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84"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(Mark One)</w:t>
      </w:r>
    </w:p>
    <w:p>
      <w:pPr>
        <w:spacing w:after="0" w:line="64" w:lineRule="exact"/>
        <w:rPr>
          <w:sz w:val="24"/>
          <w:szCs w:val="24"/>
          <w:color w:val="auto"/>
        </w:rPr>
      </w:pPr>
    </w:p>
    <w:p>
      <w:pPr>
        <w:ind w:left="2280" w:hanging="1288"/>
        <w:spacing w:after="0"/>
        <w:tabs>
          <w:tab w:leader="none" w:pos="22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2017</w:t>
      </w:r>
    </w:p>
    <w:p>
      <w:pPr>
        <w:spacing w:after="0" w:line="77" w:lineRule="exact"/>
        <w:rPr>
          <w:sz w:val="24"/>
          <w:szCs w:val="24"/>
          <w:color w:val="auto"/>
        </w:rPr>
      </w:pPr>
    </w:p>
    <w:p>
      <w:pPr>
        <w:ind w:left="2280"/>
        <w:spacing w:after="0"/>
        <w:rPr>
          <w:sz w:val="20"/>
          <w:szCs w:val="20"/>
          <w:color w:val="auto"/>
        </w:rPr>
      </w:pPr>
      <w:r>
        <w:rPr>
          <w:rFonts w:ascii="Arial" w:cs="Arial" w:eastAsia="Arial" w:hAnsi="Arial"/>
          <w:sz w:val="16"/>
          <w:szCs w:val="16"/>
          <w:color w:val="auto"/>
        </w:rPr>
        <w:t>Or</w:t>
      </w:r>
    </w:p>
    <w:p>
      <w:pPr>
        <w:sectPr>
          <w:pgSz w:w="11900" w:h="16855" w:orient="portrait"/>
          <w:cols w:equalWidth="0" w:num="1">
            <w:col w:w="11420"/>
          </w:cols>
          <w:pgMar w:left="240" w:top="549" w:right="239" w:bottom="0" w:gutter="0" w:footer="0" w:header="0"/>
        </w:sectPr>
      </w:pPr>
    </w:p>
    <w:p>
      <w:pPr>
        <w:spacing w:after="0" w:line="66" w:lineRule="exact"/>
        <w:rPr>
          <w:sz w:val="24"/>
          <w:szCs w:val="24"/>
          <w:color w:val="auto"/>
        </w:rPr>
      </w:pPr>
    </w:p>
    <w:p>
      <w:pPr>
        <w:jc w:val="center"/>
        <w:ind w:left="700"/>
        <w:spacing w:after="0"/>
        <w:rPr>
          <w:sz w:val="20"/>
          <w:szCs w:val="20"/>
          <w:color w:val="auto"/>
        </w:rPr>
      </w:pPr>
      <w:r>
        <w:rPr>
          <w:rFonts w:ascii="Arial" w:cs="Arial" w:eastAsia="Arial" w:hAnsi="Arial"/>
          <w:sz w:val="20"/>
          <w:szCs w:val="20"/>
          <w:color w:val="auto"/>
        </w:rPr>
        <w:t>[ ]</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2" w:lineRule="exact"/>
        <w:rPr>
          <w:sz w:val="24"/>
          <w:szCs w:val="24"/>
          <w:color w:val="auto"/>
        </w:rPr>
      </w:pPr>
    </w:p>
    <w:p>
      <w:pPr>
        <w:sectPr>
          <w:pgSz w:w="11900" w:h="16855" w:orient="portrait"/>
          <w:cols w:equalWidth="0" w:num="2">
            <w:col w:w="1560" w:space="720"/>
            <w:col w:w="9140"/>
          </w:cols>
          <w:pgMar w:left="240" w:top="549" w:right="239" w:bottom="0" w:gutter="0" w:footer="0" w:header="0"/>
          <w:type w:val="continuous"/>
        </w:sectPr>
      </w:pPr>
    </w:p>
    <w:p>
      <w:pPr>
        <w:ind w:left="2280"/>
        <w:spacing w:after="0"/>
        <w:rPr>
          <w:sz w:val="20"/>
          <w:szCs w:val="20"/>
          <w:color w:val="auto"/>
        </w:rPr>
      </w:pPr>
      <w:r>
        <w:rPr>
          <w:rFonts w:ascii="Arial" w:cs="Arial" w:eastAsia="Arial" w:hAnsi="Arial"/>
          <w:sz w:val="16"/>
          <w:szCs w:val="16"/>
          <w:color w:val="auto"/>
        </w:rPr>
        <w:t>For the transition period from ______ to 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144145</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ectPr>
          <w:pgSz w:w="11900" w:h="16855" w:orient="portrait"/>
          <w:cols w:equalWidth="0" w:num="1">
            <w:col w:w="11420"/>
          </w:cols>
          <w:pgMar w:left="240" w:top="549"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BLOOMIN’ BRANDS, INC.</w:t>
      </w: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55" w:orient="portrait"/>
          <w:cols w:equalWidth="0" w:num="1">
            <w:col w:w="11420"/>
          </w:cols>
          <w:pgMar w:left="240" w:top="549" w:right="239" w:bottom="0" w:gutter="0" w:footer="0" w:header="0"/>
          <w:type w:val="continuous"/>
        </w:sectPr>
      </w:pPr>
    </w:p>
    <w:p>
      <w:pPr>
        <w:spacing w:after="0" w:line="190"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86" w:lineRule="exact"/>
        <w:rPr>
          <w:sz w:val="24"/>
          <w:szCs w:val="24"/>
          <w:color w:val="auto"/>
        </w:rPr>
      </w:pPr>
    </w:p>
    <w:p>
      <w:pPr>
        <w:sectPr>
          <w:pgSz w:w="11900" w:h="16855" w:orient="portrait"/>
          <w:cols w:equalWidth="0" w:num="2">
            <w:col w:w="7880" w:space="720"/>
            <w:col w:w="2820"/>
          </w:cols>
          <w:pgMar w:left="240" w:top="549" w:right="239" w:bottom="0" w:gutter="0" w:footer="0" w:header="0"/>
          <w:type w:val="continuous"/>
        </w:sectPr>
      </w:pPr>
    </w:p>
    <w:p>
      <w:pPr>
        <w:jc w:val="center"/>
        <w:ind w:right="4300"/>
        <w:spacing w:after="0"/>
        <w:rPr>
          <w:sz w:val="20"/>
          <w:szCs w:val="20"/>
          <w:color w:val="auto"/>
        </w:rPr>
      </w:pPr>
      <w:r>
        <w:rPr>
          <w:rFonts w:ascii="Arial" w:cs="Arial" w:eastAsia="Arial" w:hAnsi="Arial"/>
          <w:sz w:val="13"/>
          <w:szCs w:val="13"/>
          <w:color w:val="auto"/>
        </w:rPr>
        <w:t>(State or other jurisdiction of incorporation or</w:t>
      </w:r>
    </w:p>
    <w:p>
      <w:pPr>
        <w:spacing w:after="0" w:line="11" w:lineRule="exact"/>
        <w:rPr>
          <w:sz w:val="24"/>
          <w:szCs w:val="24"/>
          <w:color w:val="auto"/>
        </w:rPr>
      </w:pPr>
    </w:p>
    <w:p>
      <w:pPr>
        <w:jc w:val="center"/>
        <w:ind w:right="4300"/>
        <w:spacing w:after="0"/>
        <w:rPr>
          <w:sz w:val="20"/>
          <w:szCs w:val="20"/>
          <w:color w:val="auto"/>
        </w:rPr>
      </w:pPr>
      <w:r>
        <w:rPr>
          <w:rFonts w:ascii="Arial" w:cs="Arial" w:eastAsia="Arial" w:hAnsi="Arial"/>
          <w:sz w:val="14"/>
          <w:szCs w:val="14"/>
          <w:color w:val="auto"/>
        </w:rPr>
        <w:t>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20" w:lineRule="exact"/>
        <w:rPr>
          <w:sz w:val="24"/>
          <w:szCs w:val="24"/>
          <w:color w:val="auto"/>
        </w:rPr>
      </w:pPr>
    </w:p>
    <w:p>
      <w:pPr>
        <w:sectPr>
          <w:pgSz w:w="11900" w:h="16855" w:orient="portrait"/>
          <w:cols w:equalWidth="0" w:num="2">
            <w:col w:w="7780" w:space="720"/>
            <w:col w:w="2920"/>
          </w:cols>
          <w:pgMar w:left="240" w:top="549"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2202 North West Shore Boulevard, Suite 500, Tampa, Florida 33607</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(813) 282-1225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55" w:orient="portrait"/>
          <w:cols w:equalWidth="0" w:num="1">
            <w:col w:w="11420"/>
          </w:cols>
          <w:pgMar w:left="240" w:top="549" w:right="239" w:bottom="0" w:gutter="0" w:footer="0" w:header="0"/>
          <w:type w:val="continuous"/>
        </w:sectPr>
      </w:pPr>
    </w:p>
    <w:p>
      <w:pPr>
        <w:spacing w:after="0" w:line="167"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55" w:orient="portrait"/>
          <w:cols w:equalWidth="0" w:num="2">
            <w:col w:w="6880" w:space="720"/>
            <w:col w:w="3820"/>
          </w:cols>
          <w:pgMar w:left="240" w:top="549" w:right="239" w:bottom="0" w:gutter="0" w:footer="0" w:header="0"/>
          <w:type w:val="continuous"/>
        </w:sectPr>
      </w:pPr>
    </w:p>
    <w:p>
      <w:pPr>
        <w:ind w:left="64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55" w:orient="portrait"/>
          <w:cols w:equalWidth="0" w:num="2">
            <w:col w:w="7220" w:space="720"/>
            <w:col w:w="3480"/>
          </w:cols>
          <w:pgMar w:left="240" w:top="549" w:right="239" w:bottom="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1"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(Do not check if smaller reporting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Smaller reporting company o Emerging growth company o</w:t>
      </w:r>
    </w:p>
    <w:p>
      <w:pPr>
        <w:spacing w:after="0" w:line="20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ectPr>
          <w:pgSz w:w="11900" w:h="16855" w:orient="portrait"/>
          <w:cols w:equalWidth="0" w:num="1">
            <w:col w:w="11420"/>
          </w:cols>
          <w:pgMar w:left="240" w:top="549" w:right="239" w:bottom="0" w:gutter="0" w:footer="0" w:header="0"/>
          <w:type w:val="continuous"/>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$1.9 billion.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23, 2018, 92,581,406 shares of common stock of the registrant were outstanding.</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for its 2018 Annual Meeting of Stockholders, expected to be held on April 24, 2018,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422" w:right="419" w:bottom="1440" w:gutter="0" w:footer="0" w:header="0"/>
        </w:sectPr>
      </w:pPr>
    </w:p>
    <w:bookmarkStart w:id="2" w:name="page3"/>
    <w:bookmarkEnd w:id="2"/>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7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99"/>
              </w:rPr>
              <w:t>BLOOMIN’ BRANDS,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0"/>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40" w:type="dxa"/>
            <w:vAlign w:val="bottom"/>
            <w:gridSpan w:val="7"/>
          </w:tcPr>
          <w:p>
            <w:pPr>
              <w:jc w:val="center"/>
              <w:ind w:right="2280"/>
              <w:spacing w:after="0"/>
              <w:rPr>
                <w:sz w:val="20"/>
                <w:szCs w:val="20"/>
                <w:color w:val="auto"/>
              </w:rPr>
            </w:pPr>
            <w:r>
              <w:rPr>
                <w:rFonts w:ascii="Arial" w:cs="Arial" w:eastAsia="Arial" w:hAnsi="Arial"/>
                <w:sz w:val="20"/>
                <w:szCs w:val="20"/>
                <w:b w:val="1"/>
                <w:bCs w:val="1"/>
                <w:color w:val="auto"/>
                <w:w w:val="99"/>
              </w:rPr>
              <w:t>INDEX TO ANNUAL REPORT ON FORM 10-K</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80" w:type="dxa"/>
            <w:vAlign w:val="bottom"/>
            <w:gridSpan w:val="6"/>
          </w:tcPr>
          <w:p>
            <w:pPr>
              <w:jc w:val="center"/>
              <w:ind w:right="3060"/>
              <w:spacing w:after="0"/>
              <w:rPr>
                <w:sz w:val="20"/>
                <w:szCs w:val="20"/>
                <w:color w:val="auto"/>
              </w:rPr>
            </w:pPr>
            <w:r>
              <w:rPr>
                <w:rFonts w:ascii="Arial" w:cs="Arial" w:eastAsia="Arial" w:hAnsi="Arial"/>
                <w:sz w:val="20"/>
                <w:szCs w:val="20"/>
                <w:b w:val="1"/>
                <w:bCs w:val="1"/>
                <w:color w:val="auto"/>
                <w:w w:val="89"/>
              </w:rPr>
              <w:t>For Fiscal Year 2017</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3040"/>
              <w:spacing w:after="0"/>
              <w:rPr>
                <w:sz w:val="20"/>
                <w:szCs w:val="20"/>
                <w:color w:val="auto"/>
              </w:rPr>
            </w:pPr>
            <w:r>
              <w:rPr>
                <w:rFonts w:ascii="Arial" w:cs="Arial" w:eastAsia="Arial" w:hAnsi="Arial"/>
                <w:sz w:val="20"/>
                <w:szCs w:val="20"/>
                <w:b w:val="1"/>
                <w:bCs w:val="1"/>
                <w:color w:val="auto"/>
                <w:w w:val="98"/>
              </w:rPr>
              <w:t>TABLE OF CONTENTS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40" w:type="dxa"/>
            <w:vAlign w:val="bottom"/>
            <w:gridSpan w:val="5"/>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80" w:type="dxa"/>
            <w:vAlign w:val="bottom"/>
            <w:gridSpan w:val="6"/>
            <w:vMerge w:val="restart"/>
          </w:tcPr>
          <w:p>
            <w:pPr>
              <w:jc w:val="center"/>
              <w:ind w:right="4300"/>
              <w:spacing w:after="0"/>
              <w:rPr>
                <w:sz w:val="20"/>
                <w:szCs w:val="20"/>
                <w:color w:val="auto"/>
              </w:rPr>
            </w:pPr>
            <w:r>
              <w:rPr>
                <w:rFonts w:ascii="Arial" w:cs="Arial" w:eastAsia="Arial" w:hAnsi="Arial"/>
                <w:sz w:val="16"/>
                <w:szCs w:val="16"/>
                <w:b w:val="1"/>
                <w:bCs w:val="1"/>
                <w:color w:val="auto"/>
              </w:rPr>
              <w:t>PART I</w:t>
            </w: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80" w:type="dxa"/>
            <w:vAlign w:val="bottom"/>
            <w:gridSpan w:val="6"/>
            <w:vMerge w:val="continue"/>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80" w:type="dxa"/>
            <w:vAlign w:val="bottom"/>
            <w:gridSpan w:val="4"/>
          </w:tcPr>
          <w:p>
            <w:pPr>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Item 1. Business</w:t>
              </w:r>
            </w:hyperlink>
          </w:p>
        </w:tc>
        <w:tc>
          <w:tcPr>
            <w:tcW w:w="9060" w:type="dxa"/>
            <w:vAlign w:val="bottom"/>
            <w:gridSpan w:val="19"/>
          </w:tcPr>
          <w:p>
            <w:pPr>
              <w:spacing w:after="0"/>
              <w:rPr>
                <w:sz w:val="19"/>
                <w:szCs w:val="19"/>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6"/>
          </w:tcPr>
          <w:p>
            <w:pPr>
              <w:spacing w:after="0"/>
              <w:rPr>
                <w:rFonts w:ascii="Arial" w:cs="Arial" w:eastAsia="Arial" w:hAnsi="Arial"/>
                <w:sz w:val="16"/>
                <w:szCs w:val="16"/>
                <w:color w:val="0000EE"/>
                <w:w w:val="92"/>
              </w:rPr>
            </w:pPr>
            <w:hyperlink w:anchor="page16">
              <w:r>
                <w:rPr>
                  <w:rFonts w:ascii="Arial" w:cs="Arial" w:eastAsia="Arial" w:hAnsi="Arial"/>
                  <w:sz w:val="16"/>
                  <w:szCs w:val="16"/>
                  <w:color w:val="0000EE"/>
                  <w:w w:val="92"/>
                </w:rPr>
                <w:t>Item 1A. Risk Factors</w:t>
              </w:r>
            </w:hyperlink>
          </w:p>
        </w:tc>
        <w:tc>
          <w:tcPr>
            <w:tcW w:w="8360" w:type="dxa"/>
            <w:vAlign w:val="bottom"/>
            <w:gridSpan w:val="16"/>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6">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12"/>
          </w:tcPr>
          <w:p>
            <w:pPr>
              <w:spacing w:after="0"/>
              <w:rPr>
                <w:rFonts w:ascii="Arial" w:cs="Arial" w:eastAsia="Arial" w:hAnsi="Arial"/>
                <w:sz w:val="16"/>
                <w:szCs w:val="16"/>
                <w:color w:val="0000EE"/>
                <w:w w:val="92"/>
              </w:rPr>
            </w:pPr>
            <w:hyperlink w:anchor="page28">
              <w:r>
                <w:rPr>
                  <w:rFonts w:ascii="Arial" w:cs="Arial" w:eastAsia="Arial" w:hAnsi="Arial"/>
                  <w:sz w:val="16"/>
                  <w:szCs w:val="16"/>
                  <w:color w:val="0000EE"/>
                  <w:w w:val="92"/>
                </w:rPr>
                <w:t>Item 1B. Unresolved Staff Comments</w:t>
              </w:r>
            </w:hyperlink>
          </w:p>
        </w:tc>
        <w:tc>
          <w:tcPr>
            <w:tcW w:w="7340" w:type="dxa"/>
            <w:vAlign w:val="bottom"/>
            <w:gridSpan w:val="10"/>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8">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160" w:type="dxa"/>
            <w:vAlign w:val="bottom"/>
            <w:gridSpan w:val="5"/>
          </w:tcPr>
          <w:p>
            <w:pPr>
              <w:spacing w:after="0"/>
              <w:rPr>
                <w:rFonts w:ascii="Arial" w:cs="Arial" w:eastAsia="Arial" w:hAnsi="Arial"/>
                <w:sz w:val="16"/>
                <w:szCs w:val="16"/>
                <w:color w:val="0000EE"/>
                <w:w w:val="90"/>
              </w:rPr>
            </w:pPr>
            <w:hyperlink w:anchor="page29">
              <w:r>
                <w:rPr>
                  <w:rFonts w:ascii="Arial" w:cs="Arial" w:eastAsia="Arial" w:hAnsi="Arial"/>
                  <w:sz w:val="16"/>
                  <w:szCs w:val="16"/>
                  <w:color w:val="0000EE"/>
                  <w:w w:val="90"/>
                </w:rPr>
                <w:t>Item 2. Properties</w:t>
              </w:r>
            </w:hyperlink>
          </w:p>
        </w:tc>
        <w:tc>
          <w:tcPr>
            <w:tcW w:w="8980" w:type="dxa"/>
            <w:vAlign w:val="bottom"/>
            <w:gridSpan w:val="18"/>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gridSpan w:val="6"/>
          </w:tcPr>
          <w:p>
            <w:pPr>
              <w:spacing w:after="0"/>
              <w:rPr>
                <w:rFonts w:ascii="Arial" w:cs="Arial" w:eastAsia="Arial" w:hAnsi="Arial"/>
                <w:sz w:val="16"/>
                <w:szCs w:val="16"/>
                <w:color w:val="0000EE"/>
                <w:w w:val="90"/>
              </w:rPr>
            </w:pPr>
            <w:hyperlink w:anchor="page29">
              <w:r>
                <w:rPr>
                  <w:rFonts w:ascii="Arial" w:cs="Arial" w:eastAsia="Arial" w:hAnsi="Arial"/>
                  <w:sz w:val="16"/>
                  <w:szCs w:val="16"/>
                  <w:color w:val="0000EE"/>
                  <w:w w:val="90"/>
                </w:rPr>
                <w:t>Item 3. Legal Proceedings</w:t>
              </w:r>
            </w:hyperlink>
          </w:p>
        </w:tc>
        <w:tc>
          <w:tcPr>
            <w:tcW w:w="8440" w:type="dxa"/>
            <w:vAlign w:val="bottom"/>
            <w:gridSpan w:val="1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29">
              <w:r>
                <w:rPr>
                  <w:rFonts w:ascii="Arial" w:cs="Arial" w:eastAsia="Arial" w:hAnsi="Arial"/>
                  <w:sz w:val="16"/>
                  <w:szCs w:val="16"/>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4. Mine Safety Disclosures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Item 5. Market for Registrant’s Common Equity, Related Stockholder Matters and Issuer Purchases of Equity Securities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29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gridSpan w:val="8"/>
          </w:tcPr>
          <w:p>
            <w:pPr>
              <w:spacing w:after="0"/>
              <w:rPr>
                <w:rFonts w:ascii="Arial" w:cs="Arial" w:eastAsia="Arial" w:hAnsi="Arial"/>
                <w:sz w:val="16"/>
                <w:szCs w:val="16"/>
                <w:color w:val="0000EE"/>
                <w:w w:val="87"/>
              </w:rPr>
            </w:pPr>
            <w:hyperlink w:anchor="page33">
              <w:r>
                <w:rPr>
                  <w:rFonts w:ascii="Arial" w:cs="Arial" w:eastAsia="Arial" w:hAnsi="Arial"/>
                  <w:sz w:val="16"/>
                  <w:szCs w:val="16"/>
                  <w:color w:val="0000EE"/>
                  <w:w w:val="87"/>
                </w:rPr>
                <w:t>Item 6. Selected Financial Data</w:t>
              </w:r>
            </w:hyperlink>
          </w:p>
        </w:tc>
        <w:tc>
          <w:tcPr>
            <w:tcW w:w="5780" w:type="dxa"/>
            <w:vAlign w:val="bottom"/>
            <w:gridSpan w:val="14"/>
          </w:tcPr>
          <w:p>
            <w:pPr>
              <w:spacing w:after="0"/>
              <w:rPr>
                <w:sz w:val="20"/>
                <w:szCs w:val="20"/>
                <w:color w:val="auto"/>
              </w:rPr>
            </w:pPr>
          </w:p>
        </w:tc>
        <w:tc>
          <w:tcPr>
            <w:tcW w:w="2380" w:type="dxa"/>
            <w:vAlign w:val="bottom"/>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3">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320" w:type="dxa"/>
            <w:vAlign w:val="bottom"/>
            <w:gridSpan w:val="20"/>
          </w:tcPr>
          <w:p>
            <w:pPr>
              <w:spacing w:after="0"/>
              <w:rPr>
                <w:rFonts w:ascii="Arial" w:cs="Arial" w:eastAsia="Arial" w:hAnsi="Arial"/>
                <w:sz w:val="16"/>
                <w:szCs w:val="16"/>
                <w:color w:val="0000EE"/>
                <w:w w:val="92"/>
              </w:rPr>
            </w:pPr>
            <w:hyperlink w:anchor="page34">
              <w:r>
                <w:rPr>
                  <w:rFonts w:ascii="Arial" w:cs="Arial" w:eastAsia="Arial" w:hAnsi="Arial"/>
                  <w:sz w:val="16"/>
                  <w:szCs w:val="16"/>
                  <w:color w:val="0000EE"/>
                  <w:w w:val="92"/>
                </w:rPr>
                <w:t>Item 7. Management’s Discussion and Analysis of Financial Condition and Results of Operations</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80" w:type="dxa"/>
            <w:vAlign w:val="bottom"/>
            <w:gridSpan w:val="19"/>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Item 7A. Quantitative and Qualitative Disclosures About Market Risk</w:t>
              </w:r>
            </w:hyperlink>
          </w:p>
        </w:tc>
        <w:tc>
          <w:tcPr>
            <w:tcW w:w="3820" w:type="dxa"/>
            <w:vAlign w:val="bottom"/>
            <w:gridSpan w:val="3"/>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3">
              <w:r>
                <w:rPr>
                  <w:rFonts w:ascii="Arial" w:cs="Arial" w:eastAsia="Arial" w:hAnsi="Arial"/>
                  <w:sz w:val="16"/>
                  <w:szCs w:val="16"/>
                  <w:color w:val="0000EE"/>
                </w:rPr>
                <w:t>62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16"/>
          </w:tcPr>
          <w:p>
            <w:pPr>
              <w:spacing w:after="0"/>
              <w:rPr>
                <w:rFonts w:ascii="Arial" w:cs="Arial" w:eastAsia="Arial" w:hAnsi="Arial"/>
                <w:sz w:val="16"/>
                <w:szCs w:val="16"/>
                <w:color w:val="0000EE"/>
                <w:w w:val="90"/>
              </w:rPr>
            </w:pPr>
            <w:hyperlink w:anchor="page65">
              <w:r>
                <w:rPr>
                  <w:rFonts w:ascii="Arial" w:cs="Arial" w:eastAsia="Arial" w:hAnsi="Arial"/>
                  <w:sz w:val="16"/>
                  <w:szCs w:val="16"/>
                  <w:color w:val="0000EE"/>
                  <w:w w:val="90"/>
                </w:rPr>
                <w:t>Item 8. Financial Statements and Supplementary Data</w:t>
              </w:r>
            </w:hyperlink>
          </w:p>
        </w:tc>
        <w:tc>
          <w:tcPr>
            <w:tcW w:w="6640" w:type="dxa"/>
            <w:vAlign w:val="bottom"/>
            <w:gridSpan w:val="7"/>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9. 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2">
              <w:r>
                <w:rPr>
                  <w:rFonts w:ascii="Arial" w:cs="Arial" w:eastAsia="Arial" w:hAnsi="Arial"/>
                  <w:sz w:val="16"/>
                  <w:szCs w:val="16"/>
                  <w:color w:val="0000EE"/>
                </w:rPr>
                <w:t>111</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22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1"/>
              </w:rPr>
            </w:pPr>
            <w:hyperlink w:anchor="page112">
              <w:r>
                <w:rPr>
                  <w:rFonts w:ascii="Arial" w:cs="Arial" w:eastAsia="Arial" w:hAnsi="Arial"/>
                  <w:sz w:val="16"/>
                  <w:szCs w:val="16"/>
                  <w:color w:val="0000EE"/>
                  <w:w w:val="91"/>
                </w:rPr>
                <w:t>Item 9A. Controls and Procedures</w:t>
              </w:r>
            </w:hyperlink>
          </w:p>
        </w:tc>
        <w:tc>
          <w:tcPr>
            <w:tcW w:w="3760" w:type="dxa"/>
            <w:vAlign w:val="bottom"/>
            <w:tcBorders>
              <w:top w:val="single" w:sz="8" w:color="0000EE"/>
            </w:tcBorders>
            <w:gridSpan w:val="8"/>
          </w:tcPr>
          <w:p>
            <w:pPr>
              <w:spacing w:after="0"/>
              <w:rPr>
                <w:sz w:val="20"/>
                <w:szCs w:val="20"/>
                <w:color w:val="auto"/>
              </w:rPr>
            </w:pPr>
          </w:p>
        </w:tc>
        <w:tc>
          <w:tcPr>
            <w:tcW w:w="3820" w:type="dxa"/>
            <w:vAlign w:val="bottom"/>
            <w:gridSpan w:val="3"/>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top w:val="single" w:sz="8" w:color="0000EE"/>
              <w:bottom w:val="single" w:sz="8" w:color="0000EE"/>
            </w:tcBorders>
            <w:gridSpan w:val="3"/>
          </w:tcPr>
          <w:p>
            <w:pPr>
              <w:jc w:val="right"/>
              <w:spacing w:after="0"/>
              <w:rPr>
                <w:rFonts w:ascii="Arial" w:cs="Arial" w:eastAsia="Arial" w:hAnsi="Arial"/>
                <w:sz w:val="16"/>
                <w:szCs w:val="16"/>
                <w:color w:val="0000EE"/>
                <w:w w:val="82"/>
              </w:rPr>
            </w:pPr>
            <w:hyperlink w:anchor="page112">
              <w:r>
                <w:rPr>
                  <w:rFonts w:ascii="Arial" w:cs="Arial" w:eastAsia="Arial" w:hAnsi="Arial"/>
                  <w:sz w:val="16"/>
                  <w:szCs w:val="16"/>
                  <w:color w:val="0000EE"/>
                  <w:w w:val="82"/>
                </w:rPr>
                <w:t>111</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0" w:type="dxa"/>
            <w:vAlign w:val="bottom"/>
            <w:gridSpan w:val="22"/>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9B. Other Information</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2">
              <w:r>
                <w:rPr>
                  <w:rFonts w:ascii="Arial" w:cs="Arial" w:eastAsia="Arial" w:hAnsi="Arial"/>
                  <w:sz w:val="16"/>
                  <w:szCs w:val="16"/>
                  <w:color w:val="0000EE"/>
                </w:rPr>
                <w:t>111</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300"/>
              <w:spacing w:after="0"/>
              <w:rPr>
                <w:sz w:val="20"/>
                <w:szCs w:val="20"/>
                <w:color w:val="auto"/>
              </w:rPr>
            </w:pPr>
            <w:r>
              <w:rPr>
                <w:rFonts w:ascii="Arial" w:cs="Arial" w:eastAsia="Arial" w:hAnsi="Arial"/>
                <w:sz w:val="16"/>
                <w:szCs w:val="16"/>
                <w:b w:val="1"/>
                <w:bCs w:val="1"/>
                <w:color w:val="auto"/>
              </w:rPr>
              <w:t>PART III</w:t>
            </w: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10. Directors, Executive Officers and Corporate Governance</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11"/>
          </w:tcPr>
          <w:p>
            <w:pPr>
              <w:spacing w:after="0"/>
              <w:rPr>
                <w:rFonts w:ascii="Arial" w:cs="Arial" w:eastAsia="Arial" w:hAnsi="Arial"/>
                <w:sz w:val="16"/>
                <w:szCs w:val="16"/>
                <w:color w:val="0000EE"/>
                <w:w w:val="91"/>
              </w:rPr>
            </w:pPr>
            <w:hyperlink w:anchor="page113">
              <w:r>
                <w:rPr>
                  <w:rFonts w:ascii="Arial" w:cs="Arial" w:eastAsia="Arial" w:hAnsi="Arial"/>
                  <w:sz w:val="16"/>
                  <w:szCs w:val="16"/>
                  <w:color w:val="0000EE"/>
                  <w:w w:val="91"/>
                </w:rPr>
                <w:t>Item 11. Executive Compensation</w:t>
              </w:r>
            </w:hyperlink>
          </w:p>
        </w:tc>
        <w:tc>
          <w:tcPr>
            <w:tcW w:w="2060" w:type="dxa"/>
            <w:vAlign w:val="bottom"/>
            <w:gridSpan w:val="6"/>
          </w:tcPr>
          <w:p>
            <w:pPr>
              <w:spacing w:after="0"/>
              <w:rPr>
                <w:sz w:val="20"/>
                <w:szCs w:val="20"/>
                <w:color w:val="auto"/>
              </w:rPr>
            </w:pPr>
          </w:p>
        </w:tc>
        <w:tc>
          <w:tcPr>
            <w:tcW w:w="5880" w:type="dxa"/>
            <w:vAlign w:val="bottom"/>
            <w:gridSpan w:val="6"/>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140" w:type="dxa"/>
            <w:vAlign w:val="bottom"/>
            <w:gridSpan w:val="23"/>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12. Security Ownership of Certain Beneficial Owners and Management and Related Stockholder Matters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140" w:type="dxa"/>
            <w:vAlign w:val="bottom"/>
            <w:gridSpan w:val="21"/>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Item 13. Certain Relationships and Related Transactions, and Director Independence</w:t>
              </w:r>
            </w:hyperlink>
          </w:p>
        </w:tc>
        <w:tc>
          <w:tcPr>
            <w:tcW w:w="3000" w:type="dxa"/>
            <w:vAlign w:val="bottom"/>
            <w:gridSpan w:val="2"/>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3">
              <w:r>
                <w:rPr>
                  <w:rFonts w:ascii="Arial" w:cs="Arial" w:eastAsia="Arial" w:hAnsi="Arial"/>
                  <w:sz w:val="16"/>
                  <w:szCs w:val="16"/>
                  <w:color w:val="0000EE"/>
                </w:rPr>
                <w:t>112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gridSpan w:val="19"/>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Item 14. Principal Accounting Fees and Services</w:t>
              </w:r>
            </w:hyperlink>
          </w:p>
        </w:tc>
        <w:tc>
          <w:tcPr>
            <w:tcW w:w="4660" w:type="dxa"/>
            <w:vAlign w:val="bottom"/>
            <w:gridSpan w:val="4"/>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4">
              <w:r>
                <w:rPr>
                  <w:rFonts w:ascii="Arial" w:cs="Arial" w:eastAsia="Arial" w:hAnsi="Arial"/>
                  <w:sz w:val="16"/>
                  <w:szCs w:val="16"/>
                  <w:color w:val="0000EE"/>
                </w:rPr>
                <w:t>113</w:t>
              </w:r>
            </w:hyperlink>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80" w:type="dxa"/>
            <w:vAlign w:val="bottom"/>
            <w:gridSpan w:val="6"/>
          </w:tcPr>
          <w:p>
            <w:pPr>
              <w:jc w:val="center"/>
              <w:ind w:right="4280"/>
              <w:spacing w:after="0"/>
              <w:rPr>
                <w:sz w:val="20"/>
                <w:szCs w:val="20"/>
                <w:color w:val="auto"/>
              </w:rPr>
            </w:pPr>
            <w:r>
              <w:rPr>
                <w:rFonts w:ascii="Arial" w:cs="Arial" w:eastAsia="Arial" w:hAnsi="Arial"/>
                <w:sz w:val="16"/>
                <w:szCs w:val="16"/>
                <w:b w:val="1"/>
                <w:bCs w:val="1"/>
                <w:color w:val="auto"/>
              </w:rPr>
              <w:t>PART IV</w:t>
            </w: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140" w:type="dxa"/>
            <w:vAlign w:val="bottom"/>
            <w:gridSpan w:val="23"/>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Item 15. Exhibits, Financial Statement Schedules</w:t>
              </w:r>
            </w:hyperlink>
          </w:p>
        </w:tc>
        <w:tc>
          <w:tcPr>
            <w:tcW w:w="1240" w:type="dxa"/>
            <w:vAlign w:val="bottom"/>
            <w:gridSpan w:val="5"/>
          </w:tcPr>
          <w:p>
            <w:pPr>
              <w:jc w:val="right"/>
              <w:ind w:right="20"/>
              <w:spacing w:after="0"/>
              <w:rPr>
                <w:rFonts w:ascii="Arial" w:cs="Arial" w:eastAsia="Arial" w:hAnsi="Arial"/>
                <w:sz w:val="16"/>
                <w:szCs w:val="16"/>
                <w:color w:val="0000EE"/>
              </w:rPr>
            </w:pPr>
            <w:hyperlink w:anchor="page115">
              <w:r>
                <w:rPr>
                  <w:rFonts w:ascii="Arial" w:cs="Arial" w:eastAsia="Arial" w:hAnsi="Arial"/>
                  <w:sz w:val="16"/>
                  <w:szCs w:val="16"/>
                  <w:color w:val="0000EE"/>
                </w:rPr>
                <w:t>114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200" w:type="dxa"/>
            <w:vAlign w:val="bottom"/>
            <w:tcBorders>
              <w:left w:val="single" w:sz="8" w:color="0000EE"/>
            </w:tcBorders>
            <w:gridSpan w:val="7"/>
            <w:shd w:val="clear" w:color="auto" w:fill="0000EE"/>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980" w:type="dxa"/>
            <w:vAlign w:val="bottom"/>
            <w:gridSpan w:val="8"/>
          </w:tcPr>
          <w:p>
            <w:pPr>
              <w:spacing w:after="0"/>
              <w:rPr>
                <w:rFonts w:ascii="Arial" w:cs="Arial" w:eastAsia="Arial" w:hAnsi="Arial"/>
                <w:sz w:val="16"/>
                <w:szCs w:val="16"/>
                <w:color w:val="0000EE"/>
                <w:w w:val="92"/>
              </w:rPr>
            </w:pPr>
            <w:hyperlink w:anchor="page119">
              <w:r>
                <w:rPr>
                  <w:rFonts w:ascii="Arial" w:cs="Arial" w:eastAsia="Arial" w:hAnsi="Arial"/>
                  <w:sz w:val="16"/>
                  <w:szCs w:val="16"/>
                  <w:color w:val="0000EE"/>
                  <w:w w:val="92"/>
                </w:rPr>
                <w:t>Item 16. Form 10-K Summary</w:t>
              </w:r>
            </w:hyperlink>
          </w:p>
        </w:tc>
        <w:tc>
          <w:tcPr>
            <w:tcW w:w="1200" w:type="dxa"/>
            <w:vAlign w:val="bottom"/>
            <w:gridSpan w:val="7"/>
          </w:tcPr>
          <w:p>
            <w:pPr>
              <w:spacing w:after="0"/>
              <w:rPr>
                <w:sz w:val="20"/>
                <w:szCs w:val="20"/>
                <w:color w:val="auto"/>
              </w:rPr>
            </w:pPr>
          </w:p>
        </w:tc>
        <w:tc>
          <w:tcPr>
            <w:tcW w:w="6960" w:type="dxa"/>
            <w:vAlign w:val="bottom"/>
            <w:gridSpan w:val="8"/>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9">
              <w:r>
                <w:rPr>
                  <w:rFonts w:ascii="Arial" w:cs="Arial" w:eastAsia="Arial" w:hAnsi="Arial"/>
                  <w:sz w:val="16"/>
                  <w:szCs w:val="16"/>
                  <w:color w:val="0000EE"/>
                </w:rPr>
                <w:t>118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81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gridSpan w:val="2"/>
          </w:tcPr>
          <w:p>
            <w:pPr>
              <w:spacing w:after="0"/>
              <w:rPr>
                <w:rFonts w:ascii="Arial" w:cs="Arial" w:eastAsia="Arial" w:hAnsi="Arial"/>
                <w:sz w:val="16"/>
                <w:szCs w:val="16"/>
                <w:color w:val="0000EE"/>
                <w:w w:val="86"/>
              </w:rPr>
            </w:pPr>
            <w:hyperlink w:anchor="page119">
              <w:r>
                <w:rPr>
                  <w:rFonts w:ascii="Arial" w:cs="Arial" w:eastAsia="Arial" w:hAnsi="Arial"/>
                  <w:sz w:val="16"/>
                  <w:szCs w:val="16"/>
                  <w:color w:val="0000EE"/>
                  <w:w w:val="86"/>
                </w:rPr>
                <w:t>Signatures</w:t>
              </w:r>
            </w:hyperlink>
          </w:p>
        </w:tc>
        <w:tc>
          <w:tcPr>
            <w:tcW w:w="1300" w:type="dxa"/>
            <w:vAlign w:val="bottom"/>
            <w:gridSpan w:val="6"/>
          </w:tcPr>
          <w:p>
            <w:pPr>
              <w:spacing w:after="0"/>
              <w:rPr>
                <w:sz w:val="20"/>
                <w:szCs w:val="20"/>
                <w:color w:val="auto"/>
              </w:rPr>
            </w:pPr>
          </w:p>
        </w:tc>
        <w:tc>
          <w:tcPr>
            <w:tcW w:w="8160" w:type="dxa"/>
            <w:vAlign w:val="bottom"/>
            <w:gridSpan w:val="15"/>
          </w:tcPr>
          <w:p>
            <w:pPr>
              <w:spacing w:after="0"/>
              <w:rPr>
                <w:sz w:val="20"/>
                <w:szCs w:val="20"/>
                <w:color w:val="auto"/>
              </w:rPr>
            </w:pPr>
          </w:p>
        </w:tc>
        <w:tc>
          <w:tcPr>
            <w:tcW w:w="1240" w:type="dxa"/>
            <w:vAlign w:val="bottom"/>
            <w:gridSpan w:val="5"/>
          </w:tcPr>
          <w:p>
            <w:pPr>
              <w:jc w:val="right"/>
              <w:ind w:right="20"/>
              <w:spacing w:after="0"/>
              <w:rPr>
                <w:rFonts w:ascii="Arial" w:cs="Arial" w:eastAsia="Arial" w:hAnsi="Arial"/>
                <w:sz w:val="16"/>
                <w:szCs w:val="16"/>
                <w:color w:val="0000EE"/>
              </w:rPr>
            </w:pPr>
            <w:hyperlink w:anchor="page119">
              <w:r>
                <w:rPr>
                  <w:rFonts w:ascii="Arial" w:cs="Arial" w:eastAsia="Arial" w:hAnsi="Arial"/>
                  <w:sz w:val="16"/>
                  <w:szCs w:val="16"/>
                  <w:color w:val="0000EE"/>
                </w:rPr>
                <w:t>118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18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ability to implement our expansion, remodeling and relocation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right="20" w:hanging="652"/>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Strategic actions, including acquisitions and dispositions, and our success in implementing these initiatives or integrating any acquired or newly created businesses;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3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i w:val="1"/>
          <w:iCs w:val="1"/>
          <w:color w:val="auto"/>
        </w:rPr>
        <w:t xml:space="preserve">General and History </w:t>
      </w:r>
      <w:r>
        <w:rPr>
          <w:rFonts w:ascii="Arial" w:cs="Arial" w:eastAsia="Arial" w:hAnsi="Arial"/>
          <w:sz w:val="20"/>
          <w:szCs w:val="20"/>
          <w:color w:val="auto"/>
        </w:rPr>
        <w:t>- Bloomin’ Brands, Inc. (“Bloomin’ Brands,” the “Company,” “we,” “us,” and “our” and similar terms mean Bloomin’</w:t>
      </w:r>
      <w:r>
        <w:rPr>
          <w:rFonts w:ascii="Arial" w:cs="Arial" w:eastAsia="Arial" w:hAnsi="Arial"/>
          <w:sz w:val="20"/>
          <w:szCs w:val="20"/>
          <w:i w:val="1"/>
          <w:iCs w:val="1"/>
          <w:color w:val="auto"/>
        </w:rPr>
        <w:t xml:space="preserve"> </w:t>
      </w:r>
      <w:r>
        <w:rPr>
          <w:rFonts w:ascii="Arial" w:cs="Arial" w:eastAsia="Arial" w:hAnsi="Arial"/>
          <w:sz w:val="20"/>
          <w:szCs w:val="20"/>
          <w:color w:val="auto"/>
        </w:rPr>
        <w:t>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w:t>
      </w:r>
    </w:p>
    <w:p>
      <w:pPr>
        <w:spacing w:after="0" w:line="210"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As of December 31, 2017, we owned and operated 1,199 restaurants and franchised 290 restaurants across 48 states, Puerto Rico, Guam and 19 countries.</w:t>
      </w:r>
    </w:p>
    <w:p>
      <w:pPr>
        <w:spacing w:after="0" w:line="177"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The first Outback Steakhouse restaurant opened in 1988 and in 1996, we expanded the Outback Steakhouse concept internationally. OSI Restaurant Partners, LLC (“OSI”), a wholly-owned subsidiary of Bloomin’ Brands, is our primary operating entity.</w:t>
      </w:r>
    </w:p>
    <w:p>
      <w:pPr>
        <w:spacing w:after="0" w:line="16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i w:val="1"/>
          <w:iCs w:val="1"/>
          <w:color w:val="auto"/>
        </w:rPr>
        <w:t xml:space="preserve">Financial Information About Segments </w:t>
      </w:r>
      <w:r>
        <w:rPr>
          <w:rFonts w:ascii="Arial" w:cs="Arial" w:eastAsia="Arial" w:hAnsi="Arial"/>
          <w:sz w:val="18"/>
          <w:szCs w:val="18"/>
          <w:color w:val="auto"/>
        </w:rPr>
        <w:t>- We have two reportable segments, U.S. and International, which reflects how we manage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operating performance and allocate resources. The U.S. segment includes all brands operating in the U.S., and brands operating outside the U.S. are included in the International segment. Following is a summary of reporting segments as of December 31,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8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5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right w:val="single" w:sz="8" w:color="auto"/>
            </w:tcBorders>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9"/>
                <w:szCs w:val="19"/>
                <w:color w:val="auto"/>
              </w:rPr>
            </w:pPr>
          </w:p>
        </w:tc>
        <w:tc>
          <w:tcPr>
            <w:tcW w:w="39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5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46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tcPr>
          <w:p>
            <w:pPr>
              <w:spacing w:after="0"/>
              <w:rPr>
                <w:sz w:val="23"/>
                <w:szCs w:val="23"/>
                <w:color w:val="auto"/>
              </w:rPr>
            </w:pPr>
          </w:p>
        </w:tc>
        <w:tc>
          <w:tcPr>
            <w:tcW w:w="39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5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9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40" w:type="dxa"/>
            <w:vAlign w:val="bottom"/>
            <w:tcBorders>
              <w:right w:val="single" w:sz="8" w:color="auto"/>
            </w:tcBorders>
          </w:tcPr>
          <w:p>
            <w:pPr>
              <w:spacing w:after="0"/>
              <w:rPr>
                <w:sz w:val="24"/>
                <w:szCs w:val="24"/>
                <w:color w:val="auto"/>
              </w:rPr>
            </w:pPr>
          </w:p>
        </w:tc>
        <w:tc>
          <w:tcPr>
            <w:tcW w:w="25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right w:val="single" w:sz="8" w:color="auto"/>
            </w:tcBorders>
          </w:tcPr>
          <w:p>
            <w:pPr>
              <w:spacing w:after="0"/>
              <w:rPr>
                <w:sz w:val="24"/>
                <w:szCs w:val="24"/>
                <w:color w:val="auto"/>
              </w:rPr>
            </w:pPr>
          </w:p>
        </w:tc>
        <w:tc>
          <w:tcPr>
            <w:tcW w:w="39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9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00" w:type="dxa"/>
            <w:vAlign w:val="bottom"/>
          </w:tcPr>
          <w:p>
            <w:pPr>
              <w:jc w:val="right"/>
              <w:ind w:right="10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state, territory and country.</w:t>
      </w:r>
    </w:p>
    <w:p>
      <w:pPr>
        <w:spacing w:after="0" w:line="17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Segment information for 2017, 2016 and 2015, which reflects financial information by geographic area, is included in Management’s Discussion and Analysis of Financial Condition and Results of Operations in Part II, Item 7 and Note 20 -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our Notes to Consolidated Financial Statements in Part II, Item 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OUR SEGMENTS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in our U.S. segment, we owned and operated 1,075 restaurants and franchised 165 restaurants across 48 states.</w:t>
      </w:r>
    </w:p>
    <w:p>
      <w:pPr>
        <w:spacing w:after="0" w:line="239"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Outback Steakhouse is a casual steakhouse restaurant concept focused on steaks, signature flavors and Australian decor.</w:t>
      </w:r>
      <w:r>
        <w:rPr>
          <w:rFonts w:ascii="Arial" w:cs="Arial" w:eastAsia="Arial" w:hAnsi="Arial"/>
          <w:sz w:val="20"/>
          <w:szCs w:val="20"/>
          <w:i w:val="1"/>
          <w:iCs w:val="1"/>
          <w:color w:val="auto"/>
        </w:rPr>
        <w:t xml:space="preserve"> </w:t>
      </w:r>
      <w:r>
        <w:rPr>
          <w:rFonts w:ascii="Arial" w:cs="Arial" w:eastAsia="Arial" w:hAnsi="Arial"/>
          <w:sz w:val="20"/>
          <w:szCs w:val="20"/>
          <w:color w:val="auto"/>
        </w:rPr>
        <w:t>The Outback Steakhouse menu offers seasoned and seared or wood-fire grilled steaks, chops, chicken, seafood, pasta, salads and seasonal specials. The menu also includes several specialty appetizers, including our signature Bloomin’ Onion</w:t>
      </w:r>
      <w:r>
        <w:rPr>
          <w:rFonts w:ascii="Arial" w:cs="Arial" w:eastAsia="Arial" w:hAnsi="Arial"/>
          <w:sz w:val="25"/>
          <w:szCs w:val="25"/>
          <w:color w:val="auto"/>
          <w:vertAlign w:val="superscript"/>
        </w:rPr>
        <w:t>®</w:t>
      </w:r>
      <w:r>
        <w:rPr>
          <w:rFonts w:ascii="Arial" w:cs="Arial" w:eastAsia="Arial" w:hAnsi="Arial"/>
          <w:sz w:val="20"/>
          <w:szCs w:val="20"/>
          <w:color w:val="auto"/>
        </w:rPr>
        <w:t>, and desserts, together with full bar service including Australian wine and beer.</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i w:val="1"/>
          <w:iCs w:val="1"/>
          <w:color w:val="auto"/>
        </w:rPr>
        <w:t xml:space="preserve">Carrabba’s Italian Grill - </w:t>
      </w:r>
      <w:r>
        <w:rPr>
          <w:rFonts w:ascii="Arial" w:cs="Arial" w:eastAsia="Arial" w:hAnsi="Arial"/>
          <w:sz w:val="20"/>
          <w:szCs w:val="20"/>
          <w:color w:val="auto"/>
        </w:rPr>
        <w:t>Carrabba’s Italian Grill is a casual authentic Italian restaurant concept featuring handcrafted dishes. The Carrabba’s</w:t>
      </w:r>
      <w:r>
        <w:rPr>
          <w:rFonts w:ascii="Arial" w:cs="Arial" w:eastAsia="Arial" w:hAnsi="Arial"/>
          <w:sz w:val="20"/>
          <w:szCs w:val="20"/>
          <w:i w:val="1"/>
          <w:iCs w:val="1"/>
          <w:color w:val="auto"/>
        </w:rPr>
        <w:t xml:space="preserve"> </w:t>
      </w:r>
      <w:r>
        <w:rPr>
          <w:rFonts w:ascii="Arial" w:cs="Arial" w:eastAsia="Arial" w:hAnsi="Arial"/>
          <w:sz w:val="20"/>
          <w:szCs w:val="20"/>
          <w:color w:val="auto"/>
        </w:rPr>
        <w:t>Italian Grill menu includes a variety of Italian pasta, chicken, beef and seafood dishes, small plates, salads and wood-fired pizza. Our ingredients are sourced from around the world and our traditional Italian exhibition kitchen allows customers to watch handmade dishes being prepared.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121"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i w:val="1"/>
          <w:iCs w:val="1"/>
          <w:color w:val="auto"/>
        </w:rPr>
        <w:t xml:space="preserve">Bonefish Grill - </w:t>
      </w:r>
      <w:r>
        <w:rPr>
          <w:rFonts w:ascii="Arial" w:cs="Arial" w:eastAsia="Arial" w:hAnsi="Arial"/>
          <w:sz w:val="20"/>
          <w:szCs w:val="20"/>
          <w:color w:val="auto"/>
        </w:rPr>
        <w:t>Bonefish Grill is an upscale casual seafood restaurant concept that specializes in market fresh fish from around the world,</w:t>
      </w:r>
      <w:r>
        <w:rPr>
          <w:rFonts w:ascii="Arial" w:cs="Arial" w:eastAsia="Arial" w:hAnsi="Arial"/>
          <w:sz w:val="20"/>
          <w:szCs w:val="20"/>
          <w:i w:val="1"/>
          <w:iCs w:val="1"/>
          <w:color w:val="auto"/>
        </w:rPr>
        <w:t xml:space="preserve"> </w:t>
      </w:r>
      <w:r>
        <w:rPr>
          <w:rFonts w:ascii="Arial" w:cs="Arial" w:eastAsia="Arial" w:hAnsi="Arial"/>
          <w:sz w:val="20"/>
          <w:szCs w:val="20"/>
          <w:color w:val="auto"/>
        </w:rPr>
        <w:t>wood-grilled specialties and hand-crafted cocktails. In addition, Bonefish Grill offers beef, pork and chicken entrées, as well as several specialty appetizers, including our signature Bang Bang Shrimp</w:t>
      </w:r>
      <w:r>
        <w:rPr>
          <w:rFonts w:ascii="Arial" w:cs="Arial" w:eastAsia="Arial" w:hAnsi="Arial"/>
          <w:sz w:val="25"/>
          <w:szCs w:val="25"/>
          <w:color w:val="auto"/>
          <w:vertAlign w:val="superscript"/>
        </w:rPr>
        <w:t>®</w:t>
      </w:r>
      <w:r>
        <w:rPr>
          <w:rFonts w:ascii="Arial" w:cs="Arial" w:eastAsia="Arial" w:hAnsi="Arial"/>
          <w:sz w:val="20"/>
          <w:szCs w:val="20"/>
          <w:color w:val="auto"/>
        </w:rPr>
        <w:t>, and desserts.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Fleming’s Prime Steakhouse &amp; Wine Bar - </w:t>
      </w:r>
      <w:r>
        <w:rPr>
          <w:rFonts w:ascii="Arial" w:cs="Arial" w:eastAsia="Arial" w:hAnsi="Arial"/>
          <w:sz w:val="20"/>
          <w:szCs w:val="20"/>
          <w:color w:val="auto"/>
        </w:rPr>
        <w:t>Fleming’s Prime Steakhouse &amp; Wine Bar is a contemporary steakhouse concept featuring prime cuts</w:t>
      </w:r>
      <w:r>
        <w:rPr>
          <w:rFonts w:ascii="Arial" w:cs="Arial" w:eastAsia="Arial" w:hAnsi="Arial"/>
          <w:sz w:val="20"/>
          <w:szCs w:val="20"/>
          <w:i w:val="1"/>
          <w:iCs w:val="1"/>
          <w:color w:val="auto"/>
        </w:rPr>
        <w:t xml:space="preserve"> </w:t>
      </w:r>
      <w:r>
        <w:rPr>
          <w:rFonts w:ascii="Arial" w:cs="Arial" w:eastAsia="Arial" w:hAnsi="Arial"/>
          <w:sz w:val="20"/>
          <w:szCs w:val="20"/>
          <w:color w:val="auto"/>
        </w:rPr>
        <w:t>of beef, chops, fresh fish, seafood and poultry, salads and side dishes. The steak selection features USDA Prime corn-fed beef, both wet- and dry-aged for flavor and texture, in a variety of sizes and cuts. Fleming’s Prime Steakhouse &amp; Wine Bar offers a large selection of domestic and imported wines, with 100 selections available by the glass.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cross-functional, local management to support and grow restaurants in each of the countries where we have Company-owned operations. Our international operations are integrated with our corporate organization to leverage enterprise-wide capabilities, including marketing, finance, real estate, information technology, legal, human resources, supply chain management and productivity.</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2017, in our International segment, we owned and operated 124 restaurants and franchised 125 restaurants across 19 countries, Puerto Rico and Guam.</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International Outback Steakhouse restaurants have a menu similar to the U.S. menu with additional variety to meet local</w:t>
      </w:r>
      <w:r>
        <w:rPr>
          <w:rFonts w:ascii="Arial" w:cs="Arial" w:eastAsia="Arial" w:hAnsi="Arial"/>
          <w:sz w:val="20"/>
          <w:szCs w:val="20"/>
          <w:i w:val="1"/>
          <w:iCs w:val="1"/>
          <w:color w:val="auto"/>
        </w:rPr>
        <w:t xml:space="preserve"> </w:t>
      </w:r>
      <w:r>
        <w:rPr>
          <w:rFonts w:ascii="Arial" w:cs="Arial" w:eastAsia="Arial" w:hAnsi="Arial"/>
          <w:sz w:val="20"/>
          <w:szCs w:val="20"/>
          <w:color w:val="auto"/>
        </w:rPr>
        <w:t>taste preferences. In addition to the traditional Outback Special sirloin, a typical international menu may feature local beef cuts such as the Aussie Grilled Picanha in Brazil.</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Carrabba’s Italian Grill restaurant concept in Brazil,</w:t>
      </w:r>
      <w:r>
        <w:rPr>
          <w:rFonts w:ascii="Arial" w:cs="Arial" w:eastAsia="Arial" w:hAnsi="Arial"/>
          <w:sz w:val="20"/>
          <w:szCs w:val="20"/>
          <w:i w:val="1"/>
          <w:iCs w:val="1"/>
          <w:color w:val="auto"/>
        </w:rPr>
        <w:t xml:space="preserve"> </w:t>
      </w:r>
      <w:r>
        <w:rPr>
          <w:rFonts w:ascii="Arial" w:cs="Arial" w:eastAsia="Arial" w:hAnsi="Arial"/>
          <w:sz w:val="20"/>
          <w:szCs w:val="20"/>
          <w:color w:val="auto"/>
        </w:rPr>
        <w:t>offers a blend of traditional modern Italian dishes. The menu varies, with additional pasta and pizza menu offerings, to account for local tastes and customs. Abbraccio Cucina Italiana also has a range of beverage options, including classically inspired cocktails and local favorites with an Italian twist.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Overview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Selected Sales Data </w:t>
      </w:r>
      <w:r>
        <w:rPr>
          <w:rFonts w:ascii="Arial" w:cs="Arial" w:eastAsia="Arial" w:hAnsi="Arial"/>
          <w:sz w:val="18"/>
          <w:szCs w:val="18"/>
          <w:color w:val="auto"/>
        </w:rPr>
        <w:t>- Following is sales mix by product type and average check per person for Company-owned restaurants during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U.S.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center"/>
              <w:ind w:right="199"/>
              <w:spacing w:after="0"/>
              <w:rPr>
                <w:sz w:val="20"/>
                <w:szCs w:val="20"/>
                <w:color w:val="auto"/>
              </w:rPr>
            </w:pPr>
            <w:r>
              <w:rPr>
                <w:rFonts w:ascii="Arial" w:cs="Arial" w:eastAsia="Arial" w:hAnsi="Arial"/>
                <w:sz w:val="16"/>
                <w:szCs w:val="16"/>
                <w:b w:val="1"/>
                <w:bCs w:val="1"/>
                <w:color w:val="auto"/>
              </w:rPr>
              <w:t>INTERNATIONAL</w:t>
            </w:r>
          </w:p>
        </w:tc>
      </w:tr>
      <w:tr>
        <w:trPr>
          <w:trHeight w:val="40"/>
        </w:trPr>
        <w:tc>
          <w:tcPr>
            <w:tcW w:w="2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Fleming’s</w:t>
            </w:r>
          </w:p>
        </w:tc>
        <w:tc>
          <w:tcPr>
            <w:tcW w:w="280" w:type="dxa"/>
            <w:vAlign w:val="bottom"/>
          </w:tcPr>
          <w:p>
            <w:pPr>
              <w:spacing w:after="0"/>
              <w:rPr>
                <w:sz w:val="18"/>
                <w:szCs w:val="18"/>
                <w:color w:val="auto"/>
              </w:rPr>
            </w:pPr>
          </w:p>
        </w:tc>
        <w:tc>
          <w:tcPr>
            <w:tcW w:w="180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Outback</w:t>
            </w:r>
          </w:p>
        </w:tc>
      </w:tr>
      <w:tr>
        <w:trPr>
          <w:trHeight w:val="203"/>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Outback</w:t>
            </w:r>
          </w:p>
        </w:tc>
        <w:tc>
          <w:tcPr>
            <w:tcW w:w="220" w:type="dxa"/>
            <w:vAlign w:val="bottom"/>
          </w:tcPr>
          <w:p>
            <w:pPr>
              <w:spacing w:after="0"/>
              <w:rPr>
                <w:sz w:val="17"/>
                <w:szCs w:val="17"/>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Carrabba’s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Prime Steakhouse</w:t>
            </w:r>
          </w:p>
        </w:tc>
        <w:tc>
          <w:tcPr>
            <w:tcW w:w="280" w:type="dxa"/>
            <w:vAlign w:val="bottom"/>
          </w:tcPr>
          <w:p>
            <w:pPr>
              <w:spacing w:after="0"/>
              <w:rPr>
                <w:sz w:val="17"/>
                <w:szCs w:val="17"/>
                <w:color w:val="auto"/>
              </w:rPr>
            </w:pPr>
          </w:p>
        </w:tc>
        <w:tc>
          <w:tcPr>
            <w:tcW w:w="180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Steakhouse</w:t>
            </w: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Steakhouse</w:t>
            </w:r>
          </w:p>
        </w:tc>
        <w:tc>
          <w:tcPr>
            <w:tcW w:w="220" w:type="dxa"/>
            <w:vAlign w:val="bottom"/>
          </w:tcPr>
          <w:p>
            <w:pPr>
              <w:spacing w:after="0"/>
              <w:rPr>
                <w:sz w:val="18"/>
                <w:szCs w:val="18"/>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Italian Grill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Bonefish Grill</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&amp; Wine Bar</w:t>
            </w:r>
          </w:p>
        </w:tc>
        <w:tc>
          <w:tcPr>
            <w:tcW w:w="280" w:type="dxa"/>
            <w:vAlign w:val="bottom"/>
          </w:tcPr>
          <w:p>
            <w:pPr>
              <w:spacing w:after="0"/>
              <w:rPr>
                <w:sz w:val="18"/>
                <w:szCs w:val="18"/>
                <w:color w:val="auto"/>
              </w:rPr>
            </w:pPr>
          </w:p>
        </w:tc>
        <w:tc>
          <w:tcPr>
            <w:tcW w:w="1800" w:type="dxa"/>
            <w:vAlign w:val="bottom"/>
          </w:tcPr>
          <w:p>
            <w:pPr>
              <w:jc w:val="center"/>
              <w:ind w:right="199"/>
              <w:spacing w:after="0"/>
              <w:rPr>
                <w:sz w:val="20"/>
                <w:szCs w:val="20"/>
                <w:color w:val="auto"/>
              </w:rPr>
            </w:pPr>
            <w:r>
              <w:rPr>
                <w:rFonts w:ascii="Arial" w:cs="Arial" w:eastAsia="Arial" w:hAnsi="Arial"/>
                <w:sz w:val="16"/>
                <w:szCs w:val="16"/>
                <w:b w:val="1"/>
                <w:bCs w:val="1"/>
                <w:color w:val="auto"/>
              </w:rPr>
              <w:t>Brazil</w:t>
            </w:r>
          </w:p>
        </w:tc>
      </w:tr>
      <w:tr>
        <w:trPr>
          <w:trHeight w:val="40"/>
        </w:trPr>
        <w:tc>
          <w:tcPr>
            <w:tcW w:w="27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&amp; non-alcoholic beverage</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7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Alcoholic beverage</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55"/>
        </w:trPr>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check per person ($USD)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Average check per person (LC)</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w:t>
            </w: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System-wide Restaurant Summary - </w:t>
      </w:r>
      <w:r>
        <w:rPr>
          <w:rFonts w:ascii="Arial" w:cs="Arial" w:eastAsia="Arial" w:hAnsi="Arial"/>
          <w:sz w:val="20"/>
          <w:szCs w:val="20"/>
          <w:color w:val="auto"/>
        </w:rPr>
        <w:t>Following is a system-wide rollforward of restaurants in operation during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DECEMBER 25,</w:t>
            </w: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2017 ACTIVITY</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U.S. STATE</w:t>
            </w:r>
          </w:p>
        </w:tc>
        <w:tc>
          <w:tcPr>
            <w:tcW w:w="0" w:type="dxa"/>
            <w:vAlign w:val="bottom"/>
          </w:tcPr>
          <w:p>
            <w:pPr>
              <w:spacing w:after="0"/>
              <w:rPr>
                <w:sz w:val="1"/>
                <w:szCs w:val="1"/>
                <w:color w:val="auto"/>
              </w:rPr>
            </w:pPr>
          </w:p>
        </w:tc>
      </w:tr>
      <w:tr>
        <w:trPr>
          <w:trHeight w:val="58"/>
        </w:trPr>
        <w:tc>
          <w:tcPr>
            <w:tcW w:w="366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OPENED</w:t>
            </w:r>
          </w:p>
        </w:tc>
        <w:tc>
          <w:tcPr>
            <w:tcW w:w="140" w:type="dxa"/>
            <w:vAlign w:val="bottom"/>
          </w:tcPr>
          <w:p>
            <w:pPr>
              <w:spacing w:after="0"/>
              <w:rPr>
                <w:sz w:val="5"/>
                <w:szCs w:val="5"/>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CLOSED</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OTHER</w:t>
            </w:r>
          </w:p>
        </w:tc>
        <w:tc>
          <w:tcPr>
            <w:tcW w:w="1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COUNT</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500" w:type="dxa"/>
            <w:vAlign w:val="bottom"/>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80" w:type="dxa"/>
            <w:vAlign w:val="bottom"/>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restaurants:</w:t>
            </w: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U.S.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755</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740</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244</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w:t>
            </w:r>
          </w:p>
        </w:tc>
        <w:tc>
          <w:tcPr>
            <w:tcW w:w="124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Express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180"/>
              <w:spacing w:after="0"/>
              <w:rPr>
                <w:sz w:val="20"/>
                <w:szCs w:val="20"/>
                <w:color w:val="auto"/>
              </w:rPr>
            </w:pPr>
            <w:r>
              <w:rPr>
                <w:rFonts w:ascii="Arial" w:cs="Arial" w:eastAsia="Arial" w:hAnsi="Arial"/>
                <w:sz w:val="16"/>
                <w:szCs w:val="16"/>
                <w:color w:val="auto"/>
              </w:rPr>
              <w:t>Franchised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66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3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International Total</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System-wide total</w:t>
            </w:r>
          </w:p>
        </w:tc>
        <w:tc>
          <w:tcPr>
            <w:tcW w:w="1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1,516</w:t>
            </w: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1,489</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line="25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April 2017, we sold 53 Outback Steakhouse restaurants and one Carrabba’s Italian Grill restaurant, which are now operated as franchises. See Note 3 - </w:t>
      </w:r>
      <w:r>
        <w:rPr>
          <w:rFonts w:ascii="Arial" w:cs="Arial" w:eastAsia="Arial" w:hAnsi="Arial"/>
          <w:sz w:val="16"/>
          <w:szCs w:val="16"/>
          <w:i w:val="1"/>
          <w:iCs w:val="1"/>
          <w:color w:val="auto"/>
        </w:rPr>
        <w:t>Disposals</w:t>
      </w:r>
      <w:r>
        <w:rPr>
          <w:rFonts w:ascii="Arial" w:cs="Arial" w:eastAsia="Arial" w:hAnsi="Arial"/>
          <w:sz w:val="16"/>
          <w:szCs w:val="16"/>
          <w:color w:val="auto"/>
        </w:rPr>
        <w:t xml:space="preserve"> of our Notes to Consolidated Financial Statements in Part II, Item 8 for additional information.</w:t>
      </w: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2017 and 2016, respectively, to correspond with the balance sheet dates of this subsidiary.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RESTAURANT DESIGN AND DEVELOPMENT</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Site Design - </w:t>
      </w:r>
      <w:r>
        <w:rPr>
          <w:rFonts w:ascii="Arial" w:cs="Arial" w:eastAsia="Arial" w:hAnsi="Arial"/>
          <w:sz w:val="18"/>
          <w:szCs w:val="18"/>
          <w:color w:val="auto"/>
        </w:rPr>
        <w:t>We generally construct freestanding buildings on leased properties, although certain leased sites are also located in strip shopping</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Construction of a new restaurant typically takes 60 to 180 days from the date the location is leased or under contract and fully permitted. In the majority of cases, future restaurant development will result from the lease of existing third-party retail space. We typically design the interior of our restaurants in-house, utilizing outside architects when necessary. We have an ongoing remodel program across all of our concepts to maintain the relevance of our restaurants’ ambiance. During 2017, we remodeled 145 Outback Steakhouse restaurants.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Site Selection Process - </w:t>
      </w:r>
      <w:r>
        <w:rPr>
          <w:rFonts w:ascii="Arial" w:cs="Arial" w:eastAsia="Arial" w:hAnsi="Arial"/>
          <w:sz w:val="20"/>
          <w:szCs w:val="20"/>
          <w:color w:val="auto"/>
        </w:rPr>
        <w:t>We have a central site selection team comprised of real estate development, property/lease management and design and</w:t>
      </w:r>
      <w:r>
        <w:rPr>
          <w:rFonts w:ascii="Arial" w:cs="Arial" w:eastAsia="Arial" w:hAnsi="Arial"/>
          <w:sz w:val="20"/>
          <w:szCs w:val="20"/>
          <w:i w:val="1"/>
          <w:iCs w:val="1"/>
          <w:color w:val="auto"/>
        </w:rPr>
        <w:t xml:space="preserve"> </w:t>
      </w:r>
      <w:r>
        <w:rPr>
          <w:rFonts w:ascii="Arial" w:cs="Arial" w:eastAsia="Arial" w:hAnsi="Arial"/>
          <w:sz w:val="20"/>
          <w:szCs w:val="20"/>
          <w:color w:val="auto"/>
        </w:rPr>
        <w:t>construction personnel. This site selection team also utilizes a combination of existing field operations managers, internal development personnel and outside real estate brokers to identify and qualify potential sites.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relocation initiative in process, primarily related to the U.S. Outback Steakhouse brand. This multi-year relocation plan is focused on driving additional traffic to our restaurants by moving legacy restaurants from non-prime to prime locations within the same trade area. During 2017, we relocated 18 U.S. Outback Steakhouse restaurants.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joint ventures and franchises, as determined by demand, cost structure and economic conditions.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International Development - </w:t>
      </w:r>
      <w:r>
        <w:rPr>
          <w:rFonts w:ascii="Arial" w:cs="Arial" w:eastAsia="Arial" w:hAnsi="Arial"/>
          <w:sz w:val="19"/>
          <w:szCs w:val="19"/>
          <w:color w:val="auto"/>
        </w:rPr>
        <w:t>We continue to pursue international expansion opportunities, leveraging established equity and franchise markets</w:t>
      </w:r>
      <w:r>
        <w:rPr>
          <w:rFonts w:ascii="Arial" w:cs="Arial" w:eastAsia="Arial" w:hAnsi="Arial"/>
          <w:sz w:val="19"/>
          <w:szCs w:val="19"/>
          <w:i w:val="1"/>
          <w:iCs w:val="1"/>
          <w:color w:val="auto"/>
        </w:rPr>
        <w:t xml:space="preserve"> </w:t>
      </w:r>
      <w:r>
        <w:rPr>
          <w:rFonts w:ascii="Arial" w:cs="Arial" w:eastAsia="Arial" w:hAnsi="Arial"/>
          <w:sz w:val="19"/>
          <w:szCs w:val="19"/>
          <w:color w:val="auto"/>
        </w:rPr>
        <w:t>in South America and Asia, and in strategically selected emerging and high-growth developed markets, with a focus on Brazil.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2 - </w:t>
      </w:r>
      <w:r>
        <w:rPr>
          <w:rFonts w:ascii="Arial" w:cs="Arial" w:eastAsia="Arial" w:hAnsi="Arial"/>
          <w:sz w:val="20"/>
          <w:szCs w:val="20"/>
          <w:i w:val="1"/>
          <w:iCs w:val="1"/>
          <w:color w:val="auto"/>
        </w:rPr>
        <w:t>Properties</w:t>
      </w:r>
      <w:r>
        <w:rPr>
          <w:rFonts w:ascii="Arial" w:cs="Arial" w:eastAsia="Arial" w:hAnsi="Arial"/>
          <w:sz w:val="20"/>
          <w:szCs w:val="20"/>
          <w:color w:val="auto"/>
        </w:rPr>
        <w:t xml:space="preserve"> for disclosure of our international restaurant count by country.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 Development - </w:t>
      </w:r>
      <w:r>
        <w:rPr>
          <w:rFonts w:ascii="Arial" w:cs="Arial" w:eastAsia="Arial" w:hAnsi="Arial"/>
          <w:sz w:val="20"/>
          <w:szCs w:val="20"/>
          <w:color w:val="auto"/>
        </w:rPr>
        <w:t>We plan to opportunistically pursue unit growth across our concepts through existing geography fill-in and market</w:t>
      </w:r>
      <w:r>
        <w:rPr>
          <w:rFonts w:ascii="Arial" w:cs="Arial" w:eastAsia="Arial" w:hAnsi="Arial"/>
          <w:sz w:val="20"/>
          <w:szCs w:val="20"/>
          <w:i w:val="1"/>
          <w:iCs w:val="1"/>
          <w:color w:val="auto"/>
        </w:rPr>
        <w:t xml:space="preserve"> </w:t>
      </w:r>
      <w:r>
        <w:rPr>
          <w:rFonts w:ascii="Arial" w:cs="Arial" w:eastAsia="Arial" w:hAnsi="Arial"/>
          <w:sz w:val="20"/>
          <w:szCs w:val="20"/>
          <w:color w:val="auto"/>
        </w:rPr>
        <w:t>expansion opportunities based on current location mix.</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During 2017, we opened our first Express units, which combine Outback Steakhouse and Carrabba’s Italian Grill offerings in a delivery and take-out only format. We will utilize this smaller footprint concept to expand our reach into both new trade areas and fill-in opportunities in existing trade areas where we believe that the off-premise dining occasion has the largest potential.</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RESEARCH &amp; DEVELOPMENT / INNOVATION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utilize a global core menu policy to ensure consistency and quality in our menu offerings. Before we add an item to the core menu, our research and development (“R&amp;D”) team performs a thorough review of the item, including conducting consumer research. Internationally, we have teams in our developed markets that tailor our menus to address the preferences of local consumers.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continuously evolve our product offerings based on consumer trends and feedback. We have a 12-month pipeline of new menu and promotional items across all concepts that allows us to quickly make adjustments in response to market demands, when necessary. In addition, we continue to focus on productivity across the portfolio. For new menu items and significant product changes, we have a testing process that includes direct consumer feedback on the product and its pricing.</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Menu innovation and enhancement remains a high priority across all concepts. During the last two years, we introduced a new center-cut sirloin, increased certain portion sizes and simplified the menu at Outback Steakhouse. We also reduced menu complexity to refocus efforts on fresh seafood at Bonefish Grill and introduced new specialty items to our menu at Carrabba’s Italian Grill.</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INFORMATION SYSTEMS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Company leverages technology to support customer engagement, labor and food productivity initiatives and restaurant operations.</w:t>
      </w:r>
    </w:p>
    <w:p>
      <w:pPr>
        <w:spacing w:after="0" w:line="2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drive customer engagement, the Company continues to invest in technology infrastructure, including brand websites, online ordering and mobile apps. To increase customer convenience, we are leveraging our existing online ordering infrastructure to facilitate expanded off-premise dining. Additionally, we developed systems to support our new customer loyalty program with a focus of increasing traffic to our restaurants. Investments are also being made in a global supply chain management system to provide better inventory forecasting and replenishment to our restaurants, which will help manage food quality and specifications. We also continue to invest in a range of tools and infrastructure to support risk management and cyber security.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integrated point-of-sale (“POS”) system allows us to transact business in our restaurants and communicate sales data through a secure corporate network to our enterprise resource planning system and data warehouse. Our Company-owned restaurants, and most of our franchised restaurants, are connected through a portal that provides our Company employees and franchise partners with access to business information and tools that allow them to collaborate, communicate, train and share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ADVERTISING AND MARKETING</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generally advertise through national and spot television and radio media. Our concepts have an active public relations program and also rely on national promotions, site visibility, local marketing, digital marketing, direct mail, billboards and point-of-sale materials to promote our restaurants. Recently, we increased our focus on data segmentation and personalization, customer relationship management and digital advertising to be more efficient with our advertising expenditures. Internationally, we have teams in our developed markets that engage local agencies to tailor advertising to each market and develop relevant and timely promotions based on local consumer demand.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utilize a multi-branded loyalty program, called Dine Rewards, to drive incremental traffic. Additionally, to help maintain consumer interest and relevance, each concept leverages limited-time offers featuring seasonal specials. We promote limited-time offers through integrated marketing programs that utilize all of our advertising resources.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RESTAURANT OPERATIONS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Management and Employees - </w:t>
      </w:r>
      <w:r>
        <w:rPr>
          <w:rFonts w:ascii="Arial" w:cs="Arial" w:eastAsia="Arial" w:hAnsi="Arial"/>
          <w:sz w:val="19"/>
          <w:szCs w:val="19"/>
          <w:color w:val="auto"/>
        </w:rPr>
        <w:t>The restaurant management staff varies by concept and restaurant size. Our restaurants employ primarily hourly</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many of whom work part-time. The Restaurant Managing Partner has primary responsibility for the day-to-day operation of the restaurant and is required to follow Company-established operating standards. Area Operating Partners are responsible for overseeing the operations of typically six to 12 restaurants and Restaurant Managing Partners in a specific region.</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Area Operating Partner, Restaurant Managing Partner and Chef Partner Programs </w:t>
      </w:r>
      <w:r>
        <w:rPr>
          <w:rFonts w:ascii="Arial" w:cs="Arial" w:eastAsia="Arial" w:hAnsi="Arial"/>
          <w:sz w:val="20"/>
          <w:szCs w:val="20"/>
          <w:color w:val="auto"/>
        </w:rPr>
        <w:t>- In addition to salary, Area Operating Partners,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Managing Partners and Chef Partners generally receive performance-based bonuses for providing management and supervisory services to their restaurants, certain of which may be based on a percentage of their restaurants’ monthly operating results or cash flows and/or total controllable income (“Monthly Payments”).</w:t>
      </w: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Restaurant Managing Partners and Chef Partners in the U.S. are eligible to participate in deferred compensation programs and are eligible to receive payments upon completion of their five-year employment agreement. To fund deferred compensation arrangements, we may invest in corporate-owned life insurance policies, which are held within an irrevocable grantor or “rabbi” trust account for settlement of certain of our obligations under the deferred compensation plans. Also, on the fifth anniversary of the opening of each new U.S. Company-owned restaurant, the Area Operating Partner supervising the restaurant during the first five years of operation receives an additional performance-based bonus.</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Supervision and Training </w:t>
      </w:r>
      <w:r>
        <w:rPr>
          <w:rFonts w:ascii="Arial" w:cs="Arial" w:eastAsia="Arial" w:hAnsi="Arial"/>
          <w:sz w:val="20"/>
          <w:szCs w:val="20"/>
          <w:color w:val="auto"/>
        </w:rPr>
        <w:t>- We require our Area Operating Partners and Restaurant Managing Partners to have significant experience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full-service restaurant industry. All Area Operating Partners and Restaurant Managing Partners are required to complete a comprehensive training program that emphasizes our operating strategy, procedures and standards. The Restaurant Managing Partners and Area Operating Partners, together with our Presidents, Regional Vice Presidents, Vice Presidents of Training and Directors of Training, are responsible for selecting and training the employees for each new restaurant.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Service </w:t>
      </w:r>
      <w:r>
        <w:rPr>
          <w:rFonts w:ascii="Arial" w:cs="Arial" w:eastAsia="Arial" w:hAnsi="Arial"/>
          <w:sz w:val="19"/>
          <w:szCs w:val="19"/>
          <w:color w:val="auto"/>
        </w:rPr>
        <w:t>- In order to better assess and improve our performance, we use a third-party research firm to conduct an ongoing satisfaction</w:t>
      </w:r>
      <w:r>
        <w:rPr>
          <w:rFonts w:ascii="Arial" w:cs="Arial" w:eastAsia="Arial" w:hAnsi="Arial"/>
          <w:sz w:val="19"/>
          <w:szCs w:val="19"/>
          <w:i w:val="1"/>
          <w:iCs w:val="1"/>
          <w:color w:val="auto"/>
        </w:rPr>
        <w:t xml:space="preserve"> </w:t>
      </w:r>
      <w:r>
        <w:rPr>
          <w:rFonts w:ascii="Arial" w:cs="Arial" w:eastAsia="Arial" w:hAnsi="Arial"/>
          <w:sz w:val="19"/>
          <w:szCs w:val="19"/>
          <w:color w:val="auto"/>
        </w:rPr>
        <w:t>measurement program that provides us with industry benchmarking information for our Company-owned and franchise locations in the U.S. We have a similar consumer satisfaction measurement program for our international Company-owned and certain international franchise locations and we obtain industry benchmarking information for the international markets in which we operate, when available. These programs measure satisfaction across a wide range of experience elements.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SOURCING AND SUPPLY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Sourcing and Supply - </w:t>
      </w:r>
      <w:r>
        <w:rPr>
          <w:rFonts w:ascii="Arial" w:cs="Arial" w:eastAsia="Arial" w:hAnsi="Arial"/>
          <w:sz w:val="20"/>
          <w:szCs w:val="20"/>
          <w:color w:val="auto"/>
        </w:rPr>
        <w:t>We take a global approach to procurement and supply chain management, with our corporate team serving all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concepts. In addition, we have dedicated supply chain management personnel for our international operations in South America and Asia. The supply chain management organization is responsible for all food and operating supply purchases as well as a large percentage of purchases of field and corporate services.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distribution program that includes food, beverage, smallwares and packaging goods in all major markets. This program is managed by a custom distribution company that only provides products approved for our system. This customized relationship also enables our staff to effectively manage and prioritize our supply chain.</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Beef represents the majority of purchased proteins and of our overall global commodity procurement. In 2017, we primarily purchased our U.S. beef raw materials from four beef suppliers and our Brazil beef raw materials from one beef supplier. Due to the nature of our industry, we expect to continue purchasing a substantial amount of our beef from a small number of suppliers. Other major commodity categories purchased include produce, dairy, bread and pasta, and energy sources to operate our restaurants, such as natural gas and electricity.</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Quality Control - </w:t>
      </w:r>
      <w:r>
        <w:rPr>
          <w:rFonts w:ascii="Arial" w:cs="Arial" w:eastAsia="Arial" w:hAnsi="Arial"/>
          <w:sz w:val="20"/>
          <w:szCs w:val="20"/>
          <w:color w:val="auto"/>
        </w:rPr>
        <w:t>Our R&amp;D facility is located in Tampa, Florida and serves as a global test kitchen and vendor product qualification site. Our</w:t>
      </w:r>
      <w:r>
        <w:rPr>
          <w:rFonts w:ascii="Arial" w:cs="Arial" w:eastAsia="Arial" w:hAnsi="Arial"/>
          <w:sz w:val="20"/>
          <w:szCs w:val="20"/>
          <w:i w:val="1"/>
          <w:iCs w:val="1"/>
          <w:color w:val="auto"/>
        </w:rPr>
        <w:t xml:space="preserve"> </w:t>
      </w:r>
      <w:r>
        <w:rPr>
          <w:rFonts w:ascii="Arial" w:cs="Arial" w:eastAsia="Arial" w:hAnsi="Arial"/>
          <w:sz w:val="20"/>
          <w:szCs w:val="20"/>
          <w:color w:val="auto"/>
        </w:rPr>
        <w:t>quality assurance team manages internal auditors responsible for supplier evaluations and external third parties who inspect supplier adherence to quality, food safety and product specification. Our suppliers also utilize third-party labs for food safety and quality verification. We have a program that ensures suppliers comply with quality, food safety and other specifications. We develop sourcing strategies for all commodity categories based on the dynamics of each category. In addition, we require our supplier partners to meet or exceed our quality assurance standards.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operational teams have multiple touch points in the restaurants ensuring food safety, quality and freshness throughout all phases of the preparation process. In addition, we employ third-party auditors to verify our standards of food safety, training and sanitation.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RESTAURANT OWNERSHIP STRUCTURES</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restaurants are Company-owned or operated under franchise arrangements. We generate our revenues from our Company-owned restaurants and through ongoing royalties from our franchised restaurants and sales of franchise rights.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Company-owned Restaurants - </w:t>
      </w:r>
      <w:r>
        <w:rPr>
          <w:rFonts w:ascii="Arial" w:cs="Arial" w:eastAsia="Arial" w:hAnsi="Arial"/>
          <w:sz w:val="19"/>
          <w:szCs w:val="19"/>
          <w:color w:val="auto"/>
        </w:rPr>
        <w:t>Company-owned restaurants are wholly-owned by us or in which we have a majority ownership. Our cash flows</w:t>
      </w:r>
      <w:r>
        <w:rPr>
          <w:rFonts w:ascii="Arial" w:cs="Arial" w:eastAsia="Arial" w:hAnsi="Arial"/>
          <w:sz w:val="19"/>
          <w:szCs w:val="19"/>
          <w:i w:val="1"/>
          <w:iCs w:val="1"/>
          <w:color w:val="auto"/>
        </w:rPr>
        <w:t xml:space="preserve"> </w:t>
      </w:r>
      <w:r>
        <w:rPr>
          <w:rFonts w:ascii="Arial" w:cs="Arial" w:eastAsia="Arial" w:hAnsi="Arial"/>
          <w:sz w:val="19"/>
          <w:szCs w:val="19"/>
          <w:color w:val="auto"/>
        </w:rPr>
        <w:t>from entities in which we have a majority ownership are limited to the portion of our ownership. The results of operations of Company-owned restaurants are included in our consolidated operating results and the portion of income or loss attributable to the noncontrolling interests is eliminated in our Consolidated Statements of Operations and Comprehensive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pay royalties that range from 0.5% to 1.5% of U.S. sales on the majority of our Carrabba’s Italian Grill restaurants, pursuant to agreements we entered into with the Carrabba’s Italian Grill founders (“Carrabba’s Founders”).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Carrabba’s restaurant located outside the United States pays a one-time lump sum fee to the Carrabba’s Founders, which varies depending on the size of the restaurant. No continuing royalty fee is paid to the Carrabba’s Founders for Carrabba’s restaurants located outside the United States.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 one</w:t>
      </w:r>
      <w:r>
        <w:rPr>
          <w:rFonts w:ascii="Arial" w:cs="Arial" w:eastAsia="Arial" w:hAnsi="Arial"/>
          <w:sz w:val="20"/>
          <w:szCs w:val="20"/>
          <w:i w:val="1"/>
          <w:iCs w:val="1"/>
          <w:color w:val="auto"/>
        </w:rPr>
        <w:t xml:space="preserve"> </w:t>
      </w:r>
      <w:r>
        <w:rPr>
          <w:rFonts w:ascii="Arial" w:cs="Arial" w:eastAsia="Arial" w:hAnsi="Arial"/>
          <w:sz w:val="20"/>
          <w:szCs w:val="20"/>
          <w:color w:val="auto"/>
        </w:rPr>
        <w:t>of our concepts. Franchised restaurants are required to be operated in accordance with the franchise agreement and in compliance with their respective concept’s standards and specifications.</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Under our franchise agreements, each of our franchisees is required to pay an initial franchise fee and pay monthly royalties based on a percentage of gross restaurant sales. Initial franchise fees are $40,000 for U.S. franchisees and range between $40,000 and $75,000 for international franchisees, depending on the market. Some franchisees may also pay administration fees based on a percentage of gross restaurant sales. Following is a summary of royalty fee percentages based on our current existing unaffiliated franchise agreements: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r>
      <w:tr>
        <w:trPr>
          <w:trHeight w:val="20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(as a % of gross Restaurant sales)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franchisees (1)</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3.50% - 5.75%</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International franchisees (2)</w:t>
            </w:r>
          </w:p>
        </w:tc>
        <w:tc>
          <w:tcPr>
            <w:tcW w:w="2400" w:type="dxa"/>
            <w:vAlign w:val="bottom"/>
          </w:tcPr>
          <w:p>
            <w:pPr>
              <w:jc w:val="center"/>
              <w:spacing w:after="0"/>
              <w:rPr>
                <w:sz w:val="20"/>
                <w:szCs w:val="20"/>
                <w:color w:val="auto"/>
              </w:rPr>
            </w:pPr>
            <w:r>
              <w:rPr>
                <w:rFonts w:ascii="Arial" w:cs="Arial" w:eastAsia="Arial" w:hAnsi="Arial"/>
                <w:sz w:val="16"/>
                <w:szCs w:val="16"/>
                <w:color w:val="auto"/>
                <w:w w:val="93"/>
              </w:rPr>
              <w:t>3.00% - 6.00%</w:t>
            </w:r>
          </w:p>
        </w:tc>
      </w:tr>
      <w:tr>
        <w:trPr>
          <w:trHeight w:val="226"/>
        </w:trPr>
        <w:tc>
          <w:tcPr>
            <w:tcW w:w="9020" w:type="dxa"/>
            <w:vAlign w:val="bottom"/>
          </w:tcPr>
          <w:p>
            <w:pPr>
              <w:jc w:val="right"/>
              <w:ind w:right="7561"/>
              <w:spacing w:after="0"/>
              <w:rPr>
                <w:sz w:val="20"/>
                <w:szCs w:val="20"/>
                <w:color w:val="auto"/>
              </w:rPr>
            </w:pPr>
            <w:r>
              <w:rPr>
                <w:rFonts w:ascii="Arial" w:cs="Arial" w:eastAsia="Arial" w:hAnsi="Arial"/>
                <w:sz w:val="16"/>
                <w:szCs w:val="16"/>
                <w:color w:val="auto"/>
                <w:w w:val="89"/>
              </w:rPr>
              <w:t>_________________</w:t>
            </w:r>
          </w:p>
        </w:tc>
        <w:tc>
          <w:tcPr>
            <w:tcW w:w="2400" w:type="dxa"/>
            <w:vAlign w:val="bottom"/>
          </w:tcPr>
          <w:p>
            <w:pPr>
              <w:spacing w:after="0"/>
              <w:rPr>
                <w:sz w:val="19"/>
                <w:szCs w:val="19"/>
                <w:color w:val="auto"/>
              </w:rPr>
            </w:pPr>
          </w:p>
        </w:tc>
      </w:tr>
    </w:tbl>
    <w:p>
      <w:pPr>
        <w:ind w:left="660" w:hanging="652"/>
        <w:spacing w:after="0" w:line="24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franchisees must also contribute a percentage of gross sales for national marketing programs and also spend a certain percentage of gross sales on local advertising. For U.S. franchisees, there is a maximum of 8.0% of gross restaurant sales for combined national marketing and local advertising.</w:t>
      </w: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International franchisees must also spend a certain percentage of gross sales on local advertising, which varies depending on the market.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COMPETITION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also influenced strongly by marketing and brand reputation. At an aggregate level, all major U.S. casual dining restaurants and casual dining restaurants in the international markets in which we operate would be considered competitors of our concepts. Further, we face growing competition from the supermarket industry and home delivery services, with improved selections of prepared meals, and from quick service and fast casual restaurants, as a result of higher-quality food and beverage offerings. Internationally, we face increasing competition due to an increase in the number of casual dining restaurant options in the markets in which we operate.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nutritional menu labeling, health care, environmental and fire agencies in the state, municipality or country in which the restaurant is located.</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U.S. </w:t>
      </w:r>
      <w:r>
        <w:rPr>
          <w:rFonts w:ascii="Arial" w:cs="Arial" w:eastAsia="Arial" w:hAnsi="Arial"/>
          <w:sz w:val="20"/>
          <w:szCs w:val="20"/>
          <w:color w:val="auto"/>
        </w:rPr>
        <w:t>- Alcoholic beverage sales represent 14% of our U.S. restaurant sales. Alcoholic beverage control regulations require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to apply to a state authority and, in certain locations, county or municipal authorities for a license or permit to sell alcoholic beverages on the premises and to provide service for extended hours and on Sundays.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immigration, employment, minimum wages, overtime, tip credits, worker conditions and health care;</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nutritional labeling, nutritional content, menu labeling and food safety;</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information security, privacy, cashless payments, gift cards and consumer credit, protection and fraud.</w:t>
      </w:r>
    </w:p>
    <w:p>
      <w:pPr>
        <w:spacing w:after="0" w:line="22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 xml:space="preserve">International - </w:t>
      </w:r>
      <w:r>
        <w:rPr>
          <w:rFonts w:ascii="Arial" w:cs="Arial" w:eastAsia="Arial" w:hAnsi="Arial"/>
          <w:sz w:val="19"/>
          <w:szCs w:val="19"/>
          <w:color w:val="auto"/>
        </w:rPr>
        <w:t>Our restaurants outside of the United States are subject to similar local laws and regulations as our U.S. restaurants,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labor, food safety and information security. In addition, we are subject to anti-bribery and anti-corruption laws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 OF THE REGISTRANT</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Below is a list of the names, ages, positions and a brief description of the business experience of each of our executive officers as of February 23,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Elizabeth A. Smith</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Borders>
              <w:bottom w:val="single" w:sz="8" w:color="CCEEFF"/>
            </w:tcBorders>
            <w:shd w:val="clear" w:color="auto" w:fill="CCEEFF"/>
          </w:tcPr>
          <w:p>
            <w:pPr>
              <w:spacing w:after="0"/>
              <w:rPr>
                <w:sz w:val="20"/>
                <w:szCs w:val="20"/>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Chairman of the Board of Directors and Chief Executive Officer</w:t>
            </w:r>
          </w:p>
        </w:tc>
      </w:tr>
      <w:tr>
        <w:trPr>
          <w:trHeight w:val="224"/>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David J. Deno</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6"/>
                <w:szCs w:val="16"/>
                <w:color w:val="auto"/>
              </w:rPr>
              <w:t>Executive Vice President and Chief Financial and Administrative Officer</w:t>
            </w:r>
          </w:p>
        </w:tc>
      </w:tr>
      <w:tr>
        <w:trPr>
          <w:trHeight w:val="47"/>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960" w:type="dxa"/>
            <w:vAlign w:val="bottom"/>
          </w:tcPr>
          <w:p>
            <w:pPr>
              <w:spacing w:after="0"/>
              <w:rPr>
                <w:sz w:val="4"/>
                <w:szCs w:val="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Donagh M. Herlihy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Chief Technology Officer</w:t>
            </w:r>
          </w:p>
        </w:tc>
      </w:tr>
      <w:tr>
        <w:trPr>
          <w:trHeight w:val="224"/>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Joseph J. Kadow</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1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6"/>
                <w:szCs w:val="16"/>
                <w:color w:val="auto"/>
              </w:rPr>
              <w:t>Executive Vice President and Chief Legal Officer</w:t>
            </w:r>
          </w:p>
        </w:tc>
      </w:tr>
      <w:tr>
        <w:trPr>
          <w:trHeight w:val="47"/>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960" w:type="dxa"/>
            <w:vAlign w:val="bottom"/>
          </w:tcPr>
          <w:p>
            <w:pPr>
              <w:spacing w:after="0"/>
              <w:rPr>
                <w:sz w:val="4"/>
                <w:szCs w:val="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Michael Kappitt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President of Carrabba’s Italian Grill</w:t>
            </w:r>
          </w:p>
        </w:tc>
      </w:tr>
      <w:tr>
        <w:trPr>
          <w:trHeight w:val="224"/>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Gregg Scarlett</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56</w:t>
            </w:r>
          </w:p>
        </w:tc>
        <w:tc>
          <w:tcPr>
            <w:tcW w:w="1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6"/>
                <w:szCs w:val="16"/>
                <w:color w:val="auto"/>
              </w:rPr>
              <w:t>Executive Vice President and President of Outback Steakhouse</w:t>
            </w:r>
          </w:p>
        </w:tc>
      </w:tr>
      <w:tr>
        <w:trPr>
          <w:trHeight w:val="47"/>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960" w:type="dxa"/>
            <w:vAlign w:val="bottom"/>
          </w:tcPr>
          <w:p>
            <w:pPr>
              <w:spacing w:after="0"/>
              <w:rPr>
                <w:sz w:val="4"/>
                <w:szCs w:val="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David P. Schmidt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President of Bonefish Grill</w:t>
            </w:r>
          </w:p>
        </w:tc>
      </w:tr>
      <w:tr>
        <w:trPr>
          <w:trHeight w:val="224"/>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Sukhdev Singh</w:t>
            </w: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9"/>
                <w:szCs w:val="19"/>
                <w:color w:val="auto"/>
              </w:rPr>
            </w:pPr>
          </w:p>
        </w:tc>
        <w:tc>
          <w:tcPr>
            <w:tcW w:w="6960" w:type="dxa"/>
            <w:vAlign w:val="bottom"/>
          </w:tcPr>
          <w:p>
            <w:pPr>
              <w:ind w:left="40"/>
              <w:spacing w:after="0"/>
              <w:rPr>
                <w:sz w:val="20"/>
                <w:szCs w:val="20"/>
                <w:color w:val="auto"/>
              </w:rPr>
            </w:pPr>
            <w:r>
              <w:rPr>
                <w:rFonts w:ascii="Arial" w:cs="Arial" w:eastAsia="Arial" w:hAnsi="Arial"/>
                <w:sz w:val="16"/>
                <w:szCs w:val="16"/>
                <w:color w:val="auto"/>
              </w:rPr>
              <w:t>Executive Vice President and Global Chief Development and Franchising Officer</w:t>
            </w:r>
          </w:p>
        </w:tc>
      </w:tr>
    </w:tbl>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Elizabeth A. Smith </w:t>
      </w:r>
      <w:r>
        <w:rPr>
          <w:rFonts w:ascii="Arial" w:cs="Arial" w:eastAsia="Arial" w:hAnsi="Arial"/>
          <w:sz w:val="20"/>
          <w:szCs w:val="20"/>
          <w:color w:val="auto"/>
        </w:rPr>
        <w:t>was appointed Chairman in January 2012. Since November 2009, Ms. Smith has served as Chief Executive Officer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 member of our Board of Directors. Ms. Smith is a member of the Board of Directors of Hilton Worldwide Holdings, Inc. and was previously a member of the Board of Directors of Staples, Inc. from September 2008 to June 2014.</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David J. Deno </w:t>
      </w:r>
      <w:r>
        <w:rPr>
          <w:rFonts w:ascii="Arial" w:cs="Arial" w:eastAsia="Arial" w:hAnsi="Arial"/>
          <w:sz w:val="18"/>
          <w:szCs w:val="18"/>
          <w:color w:val="auto"/>
        </w:rPr>
        <w:t>has served as Executive Vice President and Chief Financial and Administrative Officer since May 2012. From December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May 2012, Mr. Deno served as Chief Financial Officer of the international division of Best Buy Co. Inc. Mr. Deno previously served as President and later Chief Executive Officer of Quiznos and Chief Financial Officer and later Chief Operating Officer of YUM! Brands, Inc.</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Donagh M. Herlihy </w:t>
      </w:r>
      <w:r>
        <w:rPr>
          <w:rFonts w:ascii="Arial" w:cs="Arial" w:eastAsia="Arial" w:hAnsi="Arial"/>
          <w:sz w:val="20"/>
          <w:szCs w:val="20"/>
          <w:color w:val="auto"/>
        </w:rPr>
        <w:t>has served as Executive Vice President and Chief Technology Officer since September 2014. Prior to joining Bloomin’</w:t>
      </w:r>
      <w:r>
        <w:rPr>
          <w:rFonts w:ascii="Arial" w:cs="Arial" w:eastAsia="Arial" w:hAnsi="Arial"/>
          <w:sz w:val="20"/>
          <w:szCs w:val="20"/>
          <w:b w:val="1"/>
          <w:bCs w:val="1"/>
          <w:color w:val="auto"/>
        </w:rPr>
        <w:t xml:space="preserve"> </w:t>
      </w:r>
      <w:r>
        <w:rPr>
          <w:rFonts w:ascii="Arial" w:cs="Arial" w:eastAsia="Arial" w:hAnsi="Arial"/>
          <w:sz w:val="20"/>
          <w:szCs w:val="20"/>
          <w:color w:val="auto"/>
        </w:rPr>
        <w:t>Brands, Mr. Herlihy was Senior Vice President, Chief Information Officer and eCommerce of Avon Products, Inc. from March 2008 to August 2014.</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Joseph J. Kadow </w:t>
      </w:r>
      <w:r>
        <w:rPr>
          <w:rFonts w:ascii="Arial" w:cs="Arial" w:eastAsia="Arial" w:hAnsi="Arial"/>
          <w:sz w:val="20"/>
          <w:szCs w:val="20"/>
          <w:color w:val="auto"/>
        </w:rPr>
        <w:t>has served as Executive Vice President and Chief Legal Officer since April 2005. Mr. Kadow has served as Assistant</w:t>
      </w:r>
      <w:r>
        <w:rPr>
          <w:rFonts w:ascii="Arial" w:cs="Arial" w:eastAsia="Arial" w:hAnsi="Arial"/>
          <w:sz w:val="20"/>
          <w:szCs w:val="20"/>
          <w:b w:val="1"/>
          <w:bCs w:val="1"/>
          <w:color w:val="auto"/>
        </w:rPr>
        <w:t xml:space="preserve"> </w:t>
      </w:r>
      <w:r>
        <w:rPr>
          <w:rFonts w:ascii="Arial" w:cs="Arial" w:eastAsia="Arial" w:hAnsi="Arial"/>
          <w:sz w:val="20"/>
          <w:szCs w:val="20"/>
          <w:color w:val="auto"/>
        </w:rPr>
        <w:t>Secretary since February 2016 and previously served as Secretary from April 1994 to February 2016.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Michael Kappitt </w:t>
      </w:r>
      <w:r>
        <w:rPr>
          <w:rFonts w:ascii="Arial" w:cs="Arial" w:eastAsia="Arial" w:hAnsi="Arial"/>
          <w:sz w:val="20"/>
          <w:szCs w:val="20"/>
          <w:color w:val="auto"/>
        </w:rPr>
        <w:t>has served as Executive Vice President and President of Carrabba’s Italian Grill since February 2016. Mr. Kappitt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Senior Vice President and Chief Marketing Officer from January 2014 to February 2016 and Chief Marketing Officer of Outback Steakhouse from March 2011 to December 2013.</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Gregg Scarlett </w:t>
      </w:r>
      <w:r>
        <w:rPr>
          <w:rFonts w:ascii="Arial" w:cs="Arial" w:eastAsia="Arial" w:hAnsi="Arial"/>
          <w:sz w:val="20"/>
          <w:szCs w:val="20"/>
          <w:color w:val="auto"/>
        </w:rPr>
        <w:t>has served as Executive Vice President and President of Outback Steakhouse since July 2016. Mr. Scarlett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and President of Bonefish Grill from March 2015 to July 2016; Senior Vice President, Casual Dining Restaurant Operations from January 2013 to March 2015; and Senior Vice President of Operations for Outback Steakhouse from March 2010 to January 2013.</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David P. Schmidt </w:t>
      </w:r>
      <w:r>
        <w:rPr>
          <w:rFonts w:ascii="Arial" w:cs="Arial" w:eastAsia="Arial" w:hAnsi="Arial"/>
          <w:sz w:val="20"/>
          <w:szCs w:val="20"/>
          <w:color w:val="auto"/>
        </w:rPr>
        <w:t>has served as Executive Vice President and President of Bonefish Grill since July 2016. Mr. Schmidt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Group Vice President of Finance from April 2016 to July 2016; Vice President of Finance for Bonefish Grill from August 2015 to April 2016; Vice President of Productivity from November 2011 to August 2015 and Vice President of Corporate Finance from April 2010 to November 2011 for Bloomin’ Brands.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Sukhdev Singh </w:t>
      </w:r>
      <w:r>
        <w:rPr>
          <w:rFonts w:ascii="Arial" w:cs="Arial" w:eastAsia="Arial" w:hAnsi="Arial"/>
          <w:sz w:val="20"/>
          <w:szCs w:val="20"/>
          <w:color w:val="auto"/>
        </w:rPr>
        <w:t>has served as Executive Vice President and Global Chief Development and Franchising Officer since May 2015. Mr. Singh</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served as Senior Vice President, Chief Development Officer from January 2014 to May 2015. Prior to joining Bloomin’ Brands, Mr. Singh was Chief Development Officer for Darden Restaurants, Inc. from July 2006 to January 2014.</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EMPLOYEES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As of December 31, 2017, we employed approximately 94,000 persons, of which approximately 850 are corporate personnel, including 200 in international markets. None of our U.S. employees are covered by a collective bargaining agreement. Various national industry-wide labor agreements apply to certain of our employees in Brazil. We consider our employee relations to be in good standing.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TRADEMARKS</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We regard our Outback</w:t>
      </w:r>
      <w:r>
        <w:rPr>
          <w:rFonts w:ascii="Arial" w:cs="Arial" w:eastAsia="Arial" w:hAnsi="Arial"/>
          <w:sz w:val="25"/>
          <w:szCs w:val="25"/>
          <w:color w:val="auto"/>
          <w:vertAlign w:val="superscript"/>
        </w:rPr>
        <w:t>®</w:t>
      </w:r>
      <w:r>
        <w:rPr>
          <w:rFonts w:ascii="Arial" w:cs="Arial" w:eastAsia="Arial" w:hAnsi="Arial"/>
          <w:sz w:val="20"/>
          <w:szCs w:val="20"/>
          <w:color w:val="auto"/>
        </w:rPr>
        <w:t>, Outback Steakhouse</w:t>
      </w:r>
      <w:r>
        <w:rPr>
          <w:rFonts w:ascii="Arial" w:cs="Arial" w:eastAsia="Arial" w:hAnsi="Arial"/>
          <w:sz w:val="25"/>
          <w:szCs w:val="25"/>
          <w:color w:val="auto"/>
          <w:vertAlign w:val="superscript"/>
        </w:rPr>
        <w:t>®</w:t>
      </w:r>
      <w:r>
        <w:rPr>
          <w:rFonts w:ascii="Arial" w:cs="Arial" w:eastAsia="Arial" w:hAnsi="Arial"/>
          <w:sz w:val="20"/>
          <w:szCs w:val="20"/>
          <w:color w:val="auto"/>
        </w:rPr>
        <w:t>, Carrabba’s Italian Grill</w:t>
      </w:r>
      <w:r>
        <w:rPr>
          <w:rFonts w:ascii="Arial" w:cs="Arial" w:eastAsia="Arial" w:hAnsi="Arial"/>
          <w:sz w:val="25"/>
          <w:szCs w:val="25"/>
          <w:color w:val="auto"/>
          <w:vertAlign w:val="superscript"/>
        </w:rPr>
        <w:t>®</w:t>
      </w:r>
      <w:r>
        <w:rPr>
          <w:rFonts w:ascii="Arial" w:cs="Arial" w:eastAsia="Arial" w:hAnsi="Arial"/>
          <w:sz w:val="20"/>
          <w:szCs w:val="20"/>
          <w:color w:val="auto"/>
        </w:rPr>
        <w:t>, Bonefish Grill</w:t>
      </w:r>
      <w:r>
        <w:rPr>
          <w:rFonts w:ascii="Arial" w:cs="Arial" w:eastAsia="Arial" w:hAnsi="Arial"/>
          <w:sz w:val="25"/>
          <w:szCs w:val="25"/>
          <w:color w:val="auto"/>
          <w:vertAlign w:val="superscript"/>
        </w:rPr>
        <w:t>®</w:t>
      </w:r>
      <w:r>
        <w:rPr>
          <w:rFonts w:ascii="Arial" w:cs="Arial" w:eastAsia="Arial" w:hAnsi="Arial"/>
          <w:sz w:val="20"/>
          <w:szCs w:val="20"/>
          <w:color w:val="auto"/>
        </w:rPr>
        <w:t>, and Fleming’s Prime Steakhouse &amp; Wine Bar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service marks and our Bloomin’ Onion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trademark as having significant value and as being important factors in the marketing of our restaurants. We have also obtained trademarks for several of our other menu items and for various advertising slogans. We are aware of names and marks similar to the service marks of ours used by other persons in certain geographic areas in which we have restaurants. However, we believe such uses will not adversely affect us. Our policy is to pursue registration of our marks whenever possible and to oppose vigorously any infringement of our marks.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arrangements and licenses.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SEASONALITY AND QUARTERLY RESULTS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For example, Brazil historically experiences minimal seasonal traffic fluctuations. Additionally, holidays and severe weather may affect sales volumes seasonally in some of our markets.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Quarterly results have been and will continue to be significantly affected by general economic conditions, the timing of new restaurant openings and their associated pre-opening costs, restaurant closures and exit-related costs and impairments of goodwill, definite and indefinite-lived intangible assets and property, fixtures and equipment. As a result of these and other factors, our financial results for any given quarter may not be indicative of the results that may be achieved for a full year.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make available, free of charge, through our internet website www.bloominbrands.com, our Annual Report on Form 10-K, Quarterly Reports on Form 10-Q, Current Reports on Form 8-K, Proxy Statements and amendments to those reports filed or furnished pursuant to Section 13(a) or 15(d) of the Securities Exchange Act of 1934, as amended, as soon as reasonably practicable after electronically filing such material with the Securities and Exchange Commission (“SEC”). You may read and copy any materials filed with the SEC at the Securities and Exchange Commission’s Public Reference Room at 100 F Street, NE, Washington, DC 20549. You may obtain information on the operation of the Public Reference Room by calling the SEC at 1-800-SEC-0330. Our reports and other materials filed with the SEC are also available at www.sec.gov. The reference to these website addresses does not constitute incorporation by reference of the information contained on the websites and should not be considered part of this 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 substantial number of restaurant operators compete directly and indirectly with us with respect to price, service, location and food quality, some of which are well-established with significant resources. There is also active competition for management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Further, we face growing competition from quick service and fast casual restaurants, the supermarket industry and meal kit and food delivery providers, with the improvement of prepared food offerings and the trend towards convergence in grocery, deli, retail and restaurant services.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Various federal and state employment and labor laws and regulations govern our relationships with our employees and affect operating costs, and similar laws and regulations apply to our operations outside of the U.S. These laws and regulations relate to matters including employment discrimination, minimum wage requirements,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mandated benefits or other requirements that impose additional obligations on us, could increase our costs and adversely affect our business and results of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Several states in which we operate have recently approved minimum wage increases. As minimum wage increases are implemented in these states or any other states in which we operate in the future, we expect our labor costs will continue to increase. Our ability to respond to minimum wage increases by increasing menu prices depends on the responses of our competitors and consumers. Our distributors and suppliers could also be affected by higher minimum wage, benefit standards and compliance costs, which could result in higher costs for goods and services supplied to us.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 In 2015, the IRS issued tax adjustments related to cash tips received and unreported by our employees during prior years.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Challenging economic conditions may have a negative effect on our business and financial results.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may negatively impact consumer spending and thus cause a decline in our financial results. For example, international, domestic and regional economic conditions, consumer income levels, financial market volatility, social unrest, governmental, political and budget matters and a slow or stagnant pace of economic growth generally may have a negative effect on consumer confidence and discretionary spending, which the restaurant industry depends upon. In recent years, we believe these factors and conditions may have affected consumer traffic and comparable restaurant sales for us and throughout our industry and may continue to contribute to a challenging sales environment in the casual dining sector. A decline in economic conditions or negative developments with respect to any of the other factors mentioned above,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These factors could also cause us to, among other things, reduce the number and frequency of new restaurant openings, close restaurants or delay remodeling of our existing restaurant locations. Further, poor economic conditions may force nearby businesses to shut down, which could cause our restaurant locations to be less attractive.</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Increased commodity, energy and other costs could decrease our profit margins or cause us to limit or otherwise modify our menus or increase prices, which could adversely affect our business.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performance of our restaurants depends on our ability to anticipate and react to changes in the price and availability of food commodities. Our business also incurs significant costs for energy, insurance, labor, marketing and real estate. Prices may be affected due to supply, market changes, increased competition, the general risk of inflation, changes in laws, shortages or interruptions in supply due to weather, disease or other conditions beyond our control, or other reasons. Increased prices or shortages could affect the cost and quality of the items we buy or require us to raise prices, limit our menu options or implement alternative processes or products. As result, these events, combined with other more general economic and demographic conditions, could impact our pricing and negatively affect our sales and profit margins.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Alcoholic beverage sales represent 14%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FDA adopted final regulations to implement federal nutritional disclosure requirements in 2014, and, although implementation has been delayed, we expect we will be required to comply with these regulations in 2018. The regulations will require us to include calorie information on our menus, and provide additional nutritional information upon request. If the costs of implementing or complying with these new requirements exceed our expectations, our results of operations could be adversely affected. Furthermore, the effect of such labeling requirements on consumer choices, if any, is unclear. It is possible that we may also become subject to other regulation in the future seeking to tax or regulate high fat and high sodium foods in certain of our markets. Compliance with these regulations could be costly.</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If we are unable to anticipate or successfully respond to changes in consumer preferences, our results of operations could be adversely affected, generally or in particular concepts or markets.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income and other taxes in the United States and numerous foreign jurisdictions. Our effective income tax rate in the future could be adversely affected by a number of factors, including changes in the mix of earnings in countries with different statutory tax rates, changes in the valuation of deferred tax assets and liabilities, changes in tax laws or other legislative changes, including the Tax Cuts and Jobs Act (the “Tax Act”) and the Base Erosion Profit Shifting initiative being conducted by the Organization for Economic Co-operation and Development, the outcome of income tax audits, and any repatriation of non-U.S. earnings for which we have not previously provided for U.S. taxes. Although we believe our tax estimates are reasonable, the final determination of tax audits could be materially different from our historical income tax provisions and accruals. The results of a tax audit could have a material effect on our results of operations or cash flows in the period or periods for which that determination is made. In addition, our effective income tax rate and our results may be impacted by our ability to realize deferred tax benefits and by any increases or decreases of our valuation allowances applied to our existing deferred tax assets.</w:t>
      </w:r>
    </w:p>
    <w:p>
      <w:pPr>
        <w:spacing w:after="0" w:line="3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Tax Act is expected to have a favorable impact on the Company’s effective tax rate and net income as reported under generally accepted accounting principles both in the first fiscal quarter of 2018 and subsequent reporting periods to which the Tax Act is effective. However, the Company is assessing the impact of the Tax Act and there can be no assurances that it will have the expected impact.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expansion, remodeling and relocation plans may have adverse effects on our operating results.</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part of our business strategy, we intend to continue to expand our current portfolio of restaurants. Our current development schedule calls for the construction of approximately 20 new system-wide locations in 2018. A variety of factors could cause the actual results and outcome of those expansion plans to differ from the anticipated results, including among other things:</w:t>
      </w:r>
    </w:p>
    <w:p>
      <w:pPr>
        <w:spacing w:after="0" w:line="20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availability of attractive sites for new restaurants;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acquiring or leasing those sites at acceptable prices and other terms;</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funding or financing our development;</w:t>
      </w:r>
    </w:p>
    <w:p>
      <w:pPr>
        <w:ind w:left="660" w:hanging="328"/>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obtaining all required permits, approvals and licenses on a timely basis;</w:t>
      </w:r>
    </w:p>
    <w:p>
      <w:pPr>
        <w:ind w:left="660" w:hanging="328"/>
        <w:spacing w:after="0"/>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recruiting and training skilled management and restaurant employees and retaining those employees on acceptable terms;</w:t>
      </w:r>
    </w:p>
    <w:p>
      <w:pPr>
        <w:spacing w:after="0" w:line="11" w:lineRule="exact"/>
        <w:rPr>
          <w:rFonts w:ascii="Arial" w:cs="Arial" w:eastAsia="Arial" w:hAnsi="Arial"/>
          <w:sz w:val="19"/>
          <w:szCs w:val="19"/>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0"/>
          <w:szCs w:val="20"/>
          <w:color w:val="auto"/>
        </w:rPr>
        <w:t>weather, natural disasters and other events or factors beyond our control resulting in construction or other delays; and</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8"/>
          <w:szCs w:val="18"/>
          <w:color w:val="auto"/>
        </w:rPr>
        <w:t>consumer tastes in new geographic regions and acceptance of our restaurant concepts and awareness of our brands in those regions.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It is difficult to estimate the performance of newly opened restaurants. Earnings achieved to date by restaurants open for less than two years may not be indicative of future operating results. If new restaurants do not meet targeted performance, it could have a material adverse effect on our operating results, including as a result of any impairment losses that we may be required to recognize. There is also the possibility that new restaurants may attract consumers away from other restaurants we own, thereby reducing the revenues of those existing restaurants, or that we will incur unrecoverable costs in the event a development project is abandoned prior to completion.</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addition, in an effort to increase same-restaurant sales and improve our operating performance, we continue to make improvements to our facilities through our remodeling and relocation programs. We also close underperforming restaurants from time to time in order to improve the performance of our brands. As demographic and economic patterns change or there are declines in neighborhoods where our restaurants are located or adverse economic conditions in local areas, current locations may not continue to be attractive or profitable. Because we lease a significant majority of our restaurants, we incur significant lease termination expenses when we close or relocate a restaurant and are often obligated to continue rent and other lease related payments after restaurant closure. We also incur significant asset impairment and other charges in connection with closures and relocations. If the expenses associated with remodels, relocations or closures are higher than anticipated, we cannot find suitable locations or remodeled or relocated restaurants do not perform as expected, these programs may not yield the desired return on investment, which could have a negative effect on our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security breaches of confidential consumer, personal employee and other material information may adversely affect our business.</w:t>
      </w: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 cyber incident is considered to be any adverse event that threatens the confidentiality, integrity or availability of our information resources. More specifically, a cyber incident is an intentional attack or an unintentional event that can include gaining unauthorized access to systems to disrupt operations, corrupt data or the theft or exposure of confidential information or intellectual property. A cyber incident that compromises the information of our consumers or employees could result in widespread negative publicity, damage to the reputation of our brands, a loss of consumers, an interruption of our business and legal liabilities.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majority of our restaurant sales are by credit or debit cards. We also maintain certain personal information regarding our employees and confidential information about our customers, franchisees and suppliers. We segment our card data environment and employ a cybersecurity protection program, which is based upon proven industry frameworks. This program includes but is not limited to cybersecurity techniques, tactics and procedures including the deployment of a robust set of security controls, continuous monitoring and detection programs, network protections, stringent vendor selection criteria, secure software development programs and ongoing employee training, awareness and incident response preparedness. In addition, we continuously scan and improve our environment for any vulnerabilities, perform penetration testing and engage third parties to assure effectiveness of our security measures. However, there are no assurances that such programs will prevent or detect cyber security breaches.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attacks, viruses, worms and other disruptive problems. From time to time we have been, and likely will continue to be, the target of attempted cyber and other security threats. In recent years our reliance on technology has increased, and consequently so have the scope and severity of risks posed to our systems from cyber threats. Malicious attacks and intrusion efforts are continuous and evolving, and are perpetuated by many different parties with varying motives, including identity thieves, contractors, vendors, employees, competitors, prospective insider traders, so-called “hacktivists,” terrorists and others. We continuously monitor and develop our information technology networks and infrastructure to prevent, detect, address and mitigate the risk of unauthorized access, misuse, computer viruses and other events that could have a security impact.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For example, a weakness in vendor’s systems or software products may provide a mechanism for a cyber threat. In recent years, certain retailers have experienced security breaches in which customer information was stolen through vendor access channels. While we select our third-party suppliers carefully, cyber attacks and security breaches at a supplier could compromise confidential information or adversely affect our ability to deliver products and services to our customers. These problems could negatively affect our results of operations, and remediation could result in significant, unplanned capital investments.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a merchant and service provider of point-of-sale related services, we are subject to the Payment Card Industry Data Security Standard (“PCI DSS”), issued by the Payment Card Industry Council. PCI DSS contains compliance guidelines and standards with regard to our security surrounding the physical and electronic storage, processing and transmission of individual cardholder data. Despite our information security measures and our efforts to comply with PCI DSS guidelines, we cannot be certain that all of our information technology systems are able to prevent, contain or detect any cyber incidents from known malware or malware that may be developed in the future.</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in the future become subject to lawsuits or other proceedings for purportedly fraudulent transactions arising out of the actual or alleged theft of our consumers’ credit or debit card information or if consumer or employee information is obtained by unauthorized persons or used inappropriately. Any such claim or proceeding, or any adverse publicity resulting from such an event, may have a material adverse effect on our business and the potential of incurring significant remediation costs.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significant number of restaurants outside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15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Currency regulations and fluctuations in exchange rates could also affect our performance. We have operations in many foreign countries, including direct investments in restaurants in Brazil, Hong Kong and China, as well as international franchises. Brazil is our largest international market and will continue to be our top international development priority. As a result, we may experience losses from fluctuations in foreign currency exchange rates or any hedging arrangements we enter into to offset such fluctuations, and such losses could adversely affect our overall sales and earnings.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of key management personnel could hurt our business and inhibit our ability to operate and grow successfully.</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success will continue to depend, to a significant extent, on our leadership team and other key management personnel. If we are unable to attract and retain sufficiently experienced and capable management personnel, our business and financial results may suffer.</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recruit, train and retain high-quality restaurant management and team members may result in lower guest satisfaction and lower sales and profitability.</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If we experience high turnover, we may experience higher labor costs and have a shortage of adequate management personnel required for future growth.</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is based in large part on consumer perceptions, which are driven by both our actions and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2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we could experience a material adverse effect on our results of operations.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There has been a marked increase in the use of social media platforms and similar devices that allow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on such platforms at any time, and such information can quickly reach a wide audience. The harm may be immediate without affording us an opportunity for redress or correction, and it is challenging to monitor and anticipate developments on social media in order to respond in an effective and timely manner. We could also be exposed to these risks if we fail to use social media responsibly in our marketing efforts. These factors could have a material adverse effect on our business. Regardless of its basis or validity, any unfavorable publicity could adversely affect public perception of our brands.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Although search engine marketing, social media and other new technological platforms offer great opportunities to increase awareness of and engagement with our brands, a failure to use social media responsibly in our marketing efforts may further expose us to these risks.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guests and brand relevance. As part of our marketing efforts, we rely on search engine marketing and social media platforms to attract and retain guests.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information, negative comments about us, exposure of personally identifiable information, fraud, or out-of-date information. The inappropriate use of social media vehicles by our guests or employees could increase our costs, lead to litigation or result in negative publicity that could damage our reputation.</w:t>
      </w:r>
    </w:p>
    <w:p>
      <w:pPr>
        <w:spacing w:after="0" w:line="18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Should the value of goodwill or other intangible or long-lived assets become impaired, there could be an adverse effect on our financial condition and consolidated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have a limited number of suppliers for our major products and rely on one custom distribution company for our national distribution programs in the U.S. and Brazil.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depend on frequent deliveries of fresh food products that meet our specifications, and we have a limited number of suppliers for our major products, such as beef. In 2017, we purchased: (i) more than 85% of our U.S. beef raw materials from four beef suppliers that represent more than 80% of the total beef marketplace in the U.S and (ii) more than 95% of our Brazil beef raw materials from one beef supplier that represents approximately 12% of the total Brazil beef marketplace. Due to the nature of our industry, we expect to continue to purchase a substantial amount of our beef from a small number of suppliers. We also primarily use one supplier in the U.S. and Brazil, respectively, to process beef raw materials to our specifications and we use one distribution company to provide distribution services in the U.S and Brazil, respectively. Although we have not experienced significant problems with our suppliers or distributors, if our suppliers or distributors are unable to fulfill their obligations under their contracts, we could encounter supply shortages and incur higher costs.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if we are unable to maintain current purchasing terms or ensure service availability with our suppliers and distributor, we may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achieve our projected cost savings from our efficiency initiatives could adversely affect our results of operations and eliminate potential funding for growth opportunities.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strategic actions and initiatives that we may implement.</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From time to time, we consider various strategic actions and initiatives in order to grow and evolve our business and brands and improve our operating results. These actions and initiatives could include, among other things, acquisitions or dispositions of restaurants or brands, new joint ventures, new franchise arrangements, restaurant closures and changes to our operating model. For example, in 2017, we engaged in sale-leaseback transactions with respect to 31 restaurant properties, refranchised 54 restaurant locations, began to test our delivery model and opened our first two Express units.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of such endeavors. If we incur significant expenses or divert management, financial and other resources to a strategic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 strategic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seasonal and periodic fluctuations, and past results are not indicative of future results.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Historically, consumer traffic patterns for our established restaurants are generally highest in the first quarter of the year and lowest in the third quarter of the year. Holidays may also affect sales volumes seasonally in some of the markets in which we operate. In addition, our quarterly results have been and will continue to be affected by the timing of new restaurant openings and their associated preopening costs, as well as restaurant closures and exit-related costs, debt extinguishment and modification costs and impairments of goodwill, intangible assets and property, fixtures and equipment. As a result of these and other factors, our financial results for any quarter may not be indicative of the results that may be achieved for a full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adverse weather conditions and other disasters or unforeseen events could negatively impact our results of operations.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Adverse weather conditions and natural disasters and other unforeseen events, such as winter storms, severe temperatures, thunderstorms, floods, hurricanes and earthquakes, terror attacks, war and widespread/pandemic illness, and the effects of such events on economic conditions and consumer spending patterns, could negatively impact our results of operations. Temporary and prolonged restaurant closures may occur and consumer traffic may decline due to the actual or perceived effects from these events. For example, severe winter weather conditions and hurricanes have impacted our traffic, and that of our franchises, and results of operations in recent years.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are subject to lawsuits, administrative proceedings and claims that arise in the regular course of business. These matters typically involve claims by consumers and others regarding issues such as food borne illness, food safety, premises liability, “dram shop” statute liability, promotional advertising and other operational issues common to the food service industry, as well as contract disputes and intellectual property infringement matters. We are also subject to employee claims against us based, among other things, on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or damage award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the trading price of our common stock.</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which could cause investors to lose confidence in our reported financial information and negatively affect the trading price of our common stock. Furthermore, we cannot be certain that our internal control over financial reporting and disclosure controls and procedures will prevent all possible error and fraud.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simple error or mistake, which could have an adverse impact on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substantial leverage and our ability to refinance our indebtedness in the future could adversely affect our ability to raise additional capital to fund our operations, limit our ability to react to changes in the economy or our industry and expose us to interest rate risk in connection with our variable-rate debt.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highly leveraged. As of December 31, 2017, our total indebtedness was $1.1 billion and we had $377.3 million in available unused borrowing capacity under our revolving credit facility, net of undrawn letters of credit of $22.7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Our high degree of leverage could have important consequences, including:</w:t>
      </w:r>
    </w:p>
    <w:p>
      <w:pPr>
        <w:spacing w:after="0" w:line="2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increasing our cost of borrowing;</w:t>
      </w:r>
    </w:p>
    <w:p>
      <w:pPr>
        <w:jc w:val="both"/>
        <w:ind w:left="660" w:right="20" w:hanging="328"/>
        <w:spacing w:after="0" w:line="239"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requiring a substantial portion of cash flow from operations to be dedicated to the payment of principal and interest on our indebtedness, thereby reducing our ability to use our cash flow to fund our operations, capital expenditures, dividend payments, share repurchases and future business opportunities;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exposing us to the risk of increased interest rates because certain of our borrowings are at variable rates of interest;</w:t>
      </w: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restricting us from making strategic acquisitions or causing us to make non-strategic divestitures;</w:t>
      </w:r>
    </w:p>
    <w:p>
      <w:pPr>
        <w:ind w:left="660" w:hanging="328"/>
        <w:spacing w:after="0" w:line="239"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limiting our ability to obtain additional financing for working capital, capital expenditures, restaurant development, debt service requirements, acquisitions and general corporate or other purposes; and</w:t>
      </w:r>
    </w:p>
    <w:p>
      <w:pPr>
        <w:spacing w:after="0" w:line="1" w:lineRule="exact"/>
        <w:rPr>
          <w:rFonts w:ascii="Arial" w:cs="Arial" w:eastAsia="Arial" w:hAnsi="Arial"/>
          <w:sz w:val="20"/>
          <w:szCs w:val="20"/>
          <w:color w:val="auto"/>
        </w:rPr>
      </w:pPr>
    </w:p>
    <w:p>
      <w:pPr>
        <w:ind w:left="660" w:hanging="328"/>
        <w:spacing w:after="0" w:line="244" w:lineRule="auto"/>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may incur substantial additional indebtedness in the future, subject to the restrictions contained in our senior secured credit facilities (the “Senior Secured Credit Facility”). If new indebtedness is added to our current debt levels, the related risks that we now face could increase.</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had $1.1 billion of variable-rate debt outstanding under our Senior Secured Credit Facility as of December 31, 2017. We also have variable-to-fixed interest rate swap agreements with eight counterparties to hedge a portion of the cash flows of our variable rate debt. The swap agreements have an aggregate notional amount of $400.0 million and mature on May 16, 2019. While these agreements limit our exposure to higher interest rates, an increase in the floating rate could nonetheless cause a material increase in our interest expense due to the total amount of our outstanding variable rate indebtedness.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Senior Secured Credit Facility matures in 2022, or at any earlier time we may seek to refinance our debt. If we are unable to refinance our indebtedness on favorable terms, our financial condition and results of operations would be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Certain of our debt agreements limit our and our subsidiaries’ ability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16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debt agreement. If our lenders accelerate the repayment of borrowings, we cannot be certain that we will have sufficient assets to repay them.</w:t>
      </w:r>
    </w:p>
    <w:p>
      <w:pPr>
        <w:spacing w:after="0" w:line="12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natural disasters, terrorist acts, war or other calamities and changes in general market and economic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pay dividends or repurchase our stock, your investment in our common stock may decline in value.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2015, we initiated a quarterly dividend program. Our Board of Directors has also authorized several stock repurchase programs commencing in late 2014 and we have repurchased a significant amount of our stock since that time. The continuation of these programs, at all or consistent with past levels, will require the generation of sufficient cash flows and the existence of surplus earnings. Any decisions to declare and pay dividends and continue stock repurchase programs in the future will be made at the discretion of our Board of Directors and will depend on, among other things, our results of operations, financial condition, cash requirements, borrowing capacity, contractual restrictions including debt covenants and other factors that our Board of Directors may deem relevant at the time.</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If we discontinue our dividend or stock repurchase programs, or reduce the amount of the dividends we pay or stock that we repurchase, the price of our common stock may fall. As a result, you may not be able to resell your shares at or above the price you paid for them.</w:t>
      </w:r>
    </w:p>
    <w:p>
      <w:pPr>
        <w:spacing w:after="0" w:line="144"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Provisions in our certificate of incorporation and bylaws, our Senior Secured Credit Facility and Delaware law may discourage, delay or prevent a change of control of our company or changes in our management and, therefore, may depress the trading price of our stock.</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certificate of incorporation and bylaws include certain provisions that could have the effect of discouraging, delaying or preventing a change of control of our company or changes in our management.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our Senior Secured Credit Facility includes change of control provisions that require that no stockholder or “group” within the meaning of Sections 13(d) and 14(d) of the Exchange Act has obtained more than 40% of our voting power.</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 except that they provide that our former private equity sponsors will not be deemed to be “interested stockholders,” regardless of the percentage of our voting stock owned by them, and accordingly will not be subject to such restrictions.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During 2017 and 2016, we entered into sale-leaseback transactions with third-parties in which we sold 31 and 159 restaurant properties, respectively. As of December 31, 2017, we leased 95% of our restaurant sites from third parties and owned the remaining 5% of our restaurant sites. We had 1,489 system-wide restaurants located across the following states, territories or countries as of December 31, 2017:</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COMPANY-OWNED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U.S.</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INTERNATIONAL</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Kentucky</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Brazil (1)</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Arizona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200" w:type="dxa"/>
            <w:vAlign w:val="bottom"/>
          </w:tcPr>
          <w:p>
            <w:pPr>
              <w:ind w:left="60"/>
              <w:spacing w:after="0"/>
              <w:rPr>
                <w:sz w:val="20"/>
                <w:szCs w:val="20"/>
                <w:color w:val="auto"/>
              </w:rPr>
            </w:pPr>
            <w:r>
              <w:rPr>
                <w:rFonts w:ascii="Arial" w:cs="Arial" w:eastAsia="Arial" w:hAnsi="Arial"/>
                <w:sz w:val="16"/>
                <w:szCs w:val="16"/>
                <w:color w:val="auto"/>
              </w:rPr>
              <w:t>Louisiana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Oklahoma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China (Mainland)</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Arkansas</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Maryland</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Hong Kong</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200" w:type="dxa"/>
            <w:vAlign w:val="bottom"/>
          </w:tcPr>
          <w:p>
            <w:pPr>
              <w:ind w:left="60"/>
              <w:spacing w:after="0"/>
              <w:rPr>
                <w:sz w:val="20"/>
                <w:szCs w:val="20"/>
                <w:color w:val="auto"/>
              </w:rPr>
            </w:pPr>
            <w:r>
              <w:rPr>
                <w:rFonts w:ascii="Arial" w:cs="Arial" w:eastAsia="Arial" w:hAnsi="Arial"/>
                <w:sz w:val="16"/>
                <w:szCs w:val="16"/>
                <w:color w:val="auto"/>
              </w:rPr>
              <w:t>Massachusetts</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Rhode Island</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Michigan</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Connecticut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2200" w:type="dxa"/>
            <w:vAlign w:val="bottom"/>
          </w:tcPr>
          <w:p>
            <w:pPr>
              <w:ind w:left="60"/>
              <w:spacing w:after="0"/>
              <w:rPr>
                <w:sz w:val="20"/>
                <w:szCs w:val="20"/>
                <w:color w:val="auto"/>
              </w:rPr>
            </w:pPr>
            <w:r>
              <w:rPr>
                <w:rFonts w:ascii="Arial" w:cs="Arial" w:eastAsia="Arial" w:hAnsi="Arial"/>
                <w:sz w:val="16"/>
                <w:szCs w:val="16"/>
                <w:color w:val="auto"/>
              </w:rPr>
              <w:t>Minnesota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South Dakota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Mississippi</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Florida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219</w:t>
            </w:r>
          </w:p>
        </w:tc>
        <w:tc>
          <w:tcPr>
            <w:tcW w:w="2200" w:type="dxa"/>
            <w:vAlign w:val="bottom"/>
          </w:tcPr>
          <w:p>
            <w:pPr>
              <w:ind w:left="60"/>
              <w:spacing w:after="0"/>
              <w:rPr>
                <w:sz w:val="20"/>
                <w:szCs w:val="20"/>
                <w:color w:val="auto"/>
              </w:rPr>
            </w:pPr>
            <w:r>
              <w:rPr>
                <w:rFonts w:ascii="Arial" w:cs="Arial" w:eastAsia="Arial" w:hAnsi="Arial"/>
                <w:sz w:val="16"/>
                <w:szCs w:val="16"/>
                <w:color w:val="auto"/>
              </w:rPr>
              <w:t>Missouri</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Texas</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Nebraska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Hawaii</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200" w:type="dxa"/>
            <w:vAlign w:val="bottom"/>
          </w:tcPr>
          <w:p>
            <w:pPr>
              <w:ind w:left="60"/>
              <w:spacing w:after="0"/>
              <w:rPr>
                <w:sz w:val="20"/>
                <w:szCs w:val="20"/>
                <w:color w:val="auto"/>
              </w:rPr>
            </w:pPr>
            <w:r>
              <w:rPr>
                <w:rFonts w:ascii="Arial" w:cs="Arial" w:eastAsia="Arial" w:hAnsi="Arial"/>
                <w:sz w:val="16"/>
                <w:szCs w:val="16"/>
                <w:color w:val="auto"/>
              </w:rPr>
              <w:t>Nevada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Vermont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Illinois</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 Hampshire</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Virginia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6"/>
                <w:szCs w:val="16"/>
                <w:color w:val="auto"/>
              </w:rPr>
              <w:t>Indiana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2200" w:type="dxa"/>
            <w:vAlign w:val="bottom"/>
          </w:tcPr>
          <w:p>
            <w:pPr>
              <w:ind w:left="60"/>
              <w:spacing w:after="0"/>
              <w:rPr>
                <w:sz w:val="20"/>
                <w:szCs w:val="20"/>
                <w:color w:val="auto"/>
              </w:rPr>
            </w:pPr>
            <w:r>
              <w:rPr>
                <w:rFonts w:ascii="Arial" w:cs="Arial" w:eastAsia="Arial" w:hAnsi="Arial"/>
                <w:sz w:val="16"/>
                <w:szCs w:val="16"/>
                <w:color w:val="auto"/>
              </w:rPr>
              <w:t>New Jersey</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West Virginia</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Iowa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New York</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Kansas</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Pr>
          <w:p>
            <w:pPr>
              <w:ind w:left="60"/>
              <w:spacing w:after="0"/>
              <w:rPr>
                <w:sz w:val="20"/>
                <w:szCs w:val="20"/>
                <w:color w:val="auto"/>
              </w:rPr>
            </w:pPr>
            <w:r>
              <w:rPr>
                <w:rFonts w:ascii="Arial" w:cs="Arial" w:eastAsia="Arial" w:hAnsi="Arial"/>
                <w:sz w:val="16"/>
                <w:szCs w:val="16"/>
                <w:color w:val="auto"/>
              </w:rPr>
              <w:t>North Carolina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1,075</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International company-</w:t>
            </w: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company-owned</w:t>
            </w:r>
          </w:p>
        </w:tc>
        <w:tc>
          <w:tcPr>
            <w:tcW w:w="8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owned</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FRANCHISE</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2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INTERNATIONAL</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Alabama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Nevada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Malaysia</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Alaska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Pr>
          <w:p>
            <w:pPr>
              <w:ind w:left="60"/>
              <w:spacing w:after="0"/>
              <w:rPr>
                <w:sz w:val="20"/>
                <w:szCs w:val="20"/>
                <w:color w:val="auto"/>
              </w:rPr>
            </w:pPr>
            <w:r>
              <w:rPr>
                <w:rFonts w:ascii="Arial" w:cs="Arial" w:eastAsia="Arial" w:hAnsi="Arial"/>
                <w:sz w:val="16"/>
                <w:szCs w:val="16"/>
                <w:color w:val="auto"/>
              </w:rPr>
              <w:t>New Mexico</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Bahamas</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Mexico</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Arizona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Ohio</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Philippines</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6"/>
                <w:szCs w:val="16"/>
                <w:color w:val="auto"/>
              </w:rPr>
              <w:t>California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w:t>
            </w:r>
          </w:p>
        </w:tc>
        <w:tc>
          <w:tcPr>
            <w:tcW w:w="2200" w:type="dxa"/>
            <w:vAlign w:val="bottom"/>
          </w:tcPr>
          <w:p>
            <w:pPr>
              <w:ind w:left="60"/>
              <w:spacing w:after="0"/>
              <w:rPr>
                <w:sz w:val="20"/>
                <w:szCs w:val="20"/>
                <w:color w:val="auto"/>
              </w:rPr>
            </w:pPr>
            <w:r>
              <w:rPr>
                <w:rFonts w:ascii="Arial" w:cs="Arial" w:eastAsia="Arial" w:hAnsi="Arial"/>
                <w:sz w:val="16"/>
                <w:szCs w:val="16"/>
                <w:color w:val="auto"/>
              </w:rPr>
              <w:t>Oregon</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Canada</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Puerto Rico</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South Dakota</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Costa Rica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Qatar</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Florida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Pr>
          <w:p>
            <w:pPr>
              <w:ind w:left="60"/>
              <w:spacing w:after="0"/>
              <w:rPr>
                <w:sz w:val="20"/>
                <w:szCs w:val="20"/>
                <w:color w:val="auto"/>
              </w:rPr>
            </w:pPr>
            <w:r>
              <w:rPr>
                <w:rFonts w:ascii="Arial" w:cs="Arial" w:eastAsia="Arial" w:hAnsi="Arial"/>
                <w:sz w:val="16"/>
                <w:szCs w:val="16"/>
                <w:color w:val="auto"/>
              </w:rPr>
              <w:t>Tennessee</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Dominican Republic</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Saudi Arabia</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Georgia</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Utah</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Ecuador</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Singapore</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Idaho</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2200" w:type="dxa"/>
            <w:vAlign w:val="bottom"/>
          </w:tcPr>
          <w:p>
            <w:pPr>
              <w:ind w:left="60"/>
              <w:spacing w:after="0"/>
              <w:rPr>
                <w:sz w:val="20"/>
                <w:szCs w:val="20"/>
                <w:color w:val="auto"/>
              </w:rPr>
            </w:pPr>
            <w:r>
              <w:rPr>
                <w:rFonts w:ascii="Arial" w:cs="Arial" w:eastAsia="Arial" w:hAnsi="Arial"/>
                <w:sz w:val="16"/>
                <w:szCs w:val="16"/>
                <w:color w:val="auto"/>
              </w:rPr>
              <w:t>Virginia</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Guam</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South Korea</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47"/>
        </w:trPr>
        <w:tc>
          <w:tcPr>
            <w:tcW w:w="2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Mississippi</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2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Washington</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Indonesia</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Thailand</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2160" w:type="dxa"/>
            <w:vAlign w:val="bottom"/>
          </w:tcPr>
          <w:p>
            <w:pPr>
              <w:ind w:left="40"/>
              <w:spacing w:after="0"/>
              <w:rPr>
                <w:sz w:val="20"/>
                <w:szCs w:val="20"/>
                <w:color w:val="auto"/>
              </w:rPr>
            </w:pPr>
            <w:r>
              <w:rPr>
                <w:rFonts w:ascii="Arial" w:cs="Arial" w:eastAsia="Arial" w:hAnsi="Arial"/>
                <w:sz w:val="16"/>
                <w:szCs w:val="16"/>
                <w:color w:val="auto"/>
              </w:rPr>
              <w:t>Montana</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200" w:type="dxa"/>
            <w:vAlign w:val="bottom"/>
          </w:tcPr>
          <w:p>
            <w:pPr>
              <w:ind w:left="60"/>
              <w:spacing w:after="0"/>
              <w:rPr>
                <w:sz w:val="20"/>
                <w:szCs w:val="20"/>
                <w:color w:val="auto"/>
              </w:rPr>
            </w:pPr>
            <w:r>
              <w:rPr>
                <w:rFonts w:ascii="Arial" w:cs="Arial" w:eastAsia="Arial" w:hAnsi="Arial"/>
                <w:sz w:val="16"/>
                <w:szCs w:val="16"/>
                <w:color w:val="auto"/>
              </w:rPr>
              <w:t>Wyoming</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Japan</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2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U.S. franchise</w:t>
            </w:r>
          </w:p>
        </w:tc>
        <w:tc>
          <w:tcPr>
            <w:tcW w:w="8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franchise</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restaurant count for Brazil is reported as of November 2017 to correspond with the balance sheet date of this subsidiary.</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location and leased square footage for our corporate offices as of December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 (1)</w:t>
            </w:r>
          </w:p>
        </w:tc>
        <w:tc>
          <w:tcPr>
            <w:tcW w:w="120" w:type="dxa"/>
            <w:vAlign w:val="bottom"/>
            <w:tcBorders>
              <w:bottom w:val="single" w:sz="8" w:color="CCEEFF"/>
            </w:tcBorders>
          </w:tcPr>
          <w:p>
            <w:pPr>
              <w:spacing w:after="0"/>
              <w:rPr>
                <w:sz w:val="17"/>
                <w:szCs w:val="17"/>
                <w:color w:val="auto"/>
              </w:rPr>
            </w:pPr>
          </w:p>
        </w:tc>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USE</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1602"/>
              <w:spacing w:after="0"/>
              <w:rPr>
                <w:sz w:val="20"/>
                <w:szCs w:val="20"/>
                <w:color w:val="auto"/>
              </w:rPr>
            </w:pPr>
            <w:r>
              <w:rPr>
                <w:rFonts w:ascii="Arial" w:cs="Arial" w:eastAsia="Arial" w:hAnsi="Arial"/>
                <w:sz w:val="14"/>
                <w:szCs w:val="14"/>
                <w:b w:val="1"/>
                <w:bCs w:val="1"/>
                <w:color w:val="auto"/>
              </w:rPr>
              <w:t>SQUARE FEET</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1202"/>
              <w:spacing w:after="0"/>
              <w:rPr>
                <w:sz w:val="20"/>
                <w:szCs w:val="20"/>
                <w:color w:val="auto"/>
              </w:rPr>
            </w:pPr>
            <w:r>
              <w:rPr>
                <w:rFonts w:ascii="Arial" w:cs="Arial" w:eastAsia="Arial" w:hAnsi="Arial"/>
                <w:sz w:val="14"/>
                <w:szCs w:val="14"/>
                <w:b w:val="1"/>
                <w:bCs w:val="1"/>
                <w:color w:val="auto"/>
              </w:rPr>
              <w:t>LEASE EXPIRATION</w:t>
            </w:r>
          </w:p>
        </w:tc>
      </w:tr>
      <w:tr>
        <w:trPr>
          <w:trHeight w:val="23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Tampa, Florida</w:t>
            </w: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w:t>
            </w:r>
          </w:p>
        </w:tc>
        <w:tc>
          <w:tcPr>
            <w:tcW w:w="2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168,000</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1/31/2025</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São Paulo, Brazil</w:t>
            </w:r>
          </w:p>
        </w:tc>
        <w:tc>
          <w:tcPr>
            <w:tcW w:w="2860" w:type="dxa"/>
            <w:vAlign w:val="bottom"/>
            <w:gridSpan w:val="2"/>
          </w:tcPr>
          <w:p>
            <w:pPr>
              <w:ind w:left="20"/>
              <w:spacing w:after="0"/>
              <w:rPr>
                <w:sz w:val="20"/>
                <w:szCs w:val="20"/>
                <w:color w:val="auto"/>
              </w:rPr>
            </w:pPr>
            <w:r>
              <w:rPr>
                <w:rFonts w:ascii="Arial" w:cs="Arial" w:eastAsia="Arial" w:hAnsi="Arial"/>
                <w:sz w:val="16"/>
                <w:szCs w:val="16"/>
                <w:color w:val="auto"/>
              </w:rPr>
              <w:t>Brazil Operations Center</w:t>
            </w:r>
          </w:p>
        </w:tc>
        <w:tc>
          <w:tcPr>
            <w:tcW w:w="2720" w:type="dxa"/>
            <w:vAlign w:val="bottom"/>
          </w:tcPr>
          <w:p>
            <w:pPr>
              <w:jc w:val="right"/>
              <w:ind w:right="22"/>
              <w:spacing w:after="0"/>
              <w:rPr>
                <w:sz w:val="20"/>
                <w:szCs w:val="20"/>
                <w:color w:val="auto"/>
              </w:rPr>
            </w:pPr>
            <w:r>
              <w:rPr>
                <w:rFonts w:ascii="Arial" w:cs="Arial" w:eastAsia="Arial" w:hAnsi="Arial"/>
                <w:sz w:val="16"/>
                <w:szCs w:val="16"/>
                <w:color w:val="auto"/>
              </w:rPr>
              <w:t>17,000</w:t>
            </w:r>
          </w:p>
        </w:tc>
        <w:tc>
          <w:tcPr>
            <w:tcW w:w="12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Arial" w:cs="Arial" w:eastAsia="Arial" w:hAnsi="Arial"/>
                <w:sz w:val="16"/>
                <w:szCs w:val="16"/>
                <w:color w:val="auto"/>
              </w:rPr>
              <w:t>7/31/2021</w:t>
            </w:r>
          </w:p>
        </w:tc>
      </w:tr>
      <w:tr>
        <w:trPr>
          <w:trHeight w:val="226"/>
        </w:trPr>
        <w:tc>
          <w:tcPr>
            <w:tcW w:w="2880" w:type="dxa"/>
            <w:vAlign w:val="bottom"/>
          </w:tcPr>
          <w:p>
            <w:pPr>
              <w:jc w:val="right"/>
              <w:ind w:right="1181"/>
              <w:spacing w:after="0"/>
              <w:rPr>
                <w:sz w:val="20"/>
                <w:szCs w:val="20"/>
                <w:color w:val="auto"/>
              </w:rPr>
            </w:pPr>
            <w:r>
              <w:rPr>
                <w:rFonts w:ascii="Arial" w:cs="Arial" w:eastAsia="Arial" w:hAnsi="Arial"/>
                <w:sz w:val="16"/>
                <w:szCs w:val="16"/>
                <w:color w:val="auto"/>
                <w:w w:val="89"/>
              </w:rPr>
              <w:t>____________________</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also have other smaller office locations regionally in China (mainland) and Hong Kong.</w:t>
      </w: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For a description of our legal proceedings, see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of the Notes to our Consolidated Financial Statements of this Report.</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MARKET INFORMATION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“BLMN”.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2014, our Board of Directors (our “Board”) adopted a dividend policy under which it intends to declare quarterly cash dividends on shares of our common stock. Future dividend payments will depend on earnings, financial condition, capital expenditure requirements, surplus and other factors that our Board considers relevant. The terms of our debt agreements permit regular quarterly dividend payments, subject to certain restrictions. The following table sets forth for the periods indicated the high and low sales prices per share of our common stock as reported on Nasdaq and the dividends declared and paid during the periods indicated:</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SALES PRICE</w:t>
      </w:r>
    </w:p>
    <w:tbl>
      <w:tblPr>
        <w:tblLayout w:type="fixed"/>
        <w:tblInd w:w="0" w:type="dxa"/>
        <w:tblCellMar>
          <w:top w:w="0" w:type="dxa"/>
          <w:left w:w="0" w:type="dxa"/>
          <w:bottom w:w="0" w:type="dxa"/>
          <w:right w:w="0" w:type="dxa"/>
        </w:tblCellMar>
      </w:tblPr>
      <w:tr>
        <w:trPr>
          <w:trHeight w:val="54"/>
        </w:trPr>
        <w:tc>
          <w:tcPr>
            <w:tcW w:w="26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900" w:type="dxa"/>
            <w:vAlign w:val="bottom"/>
            <w:gridSpan w:val="4"/>
            <w:vMerge w:val="restart"/>
          </w:tcPr>
          <w:p>
            <w:pPr>
              <w:ind w:left="460"/>
              <w:spacing w:after="0" w:line="133" w:lineRule="exact"/>
              <w:rPr>
                <w:sz w:val="20"/>
                <w:szCs w:val="20"/>
                <w:color w:val="auto"/>
              </w:rPr>
            </w:pPr>
            <w:r>
              <w:rPr>
                <w:rFonts w:ascii="Arial" w:cs="Arial" w:eastAsia="Arial" w:hAnsi="Arial"/>
                <w:sz w:val="14"/>
                <w:szCs w:val="14"/>
                <w:b w:val="1"/>
                <w:bCs w:val="1"/>
                <w:color w:val="auto"/>
              </w:rPr>
              <w:t>DIVIDENDS DECLARED</w:t>
            </w:r>
          </w:p>
        </w:tc>
        <w:tc>
          <w:tcPr>
            <w:tcW w:w="0" w:type="dxa"/>
            <w:vAlign w:val="bottom"/>
          </w:tcPr>
          <w:p>
            <w:pPr>
              <w:spacing w:after="0"/>
              <w:rPr>
                <w:sz w:val="1"/>
                <w:szCs w:val="1"/>
                <w:color w:val="auto"/>
              </w:rPr>
            </w:pPr>
          </w:p>
        </w:tc>
      </w:tr>
      <w:tr>
        <w:trPr>
          <w:trHeight w:val="58"/>
        </w:trPr>
        <w:tc>
          <w:tcPr>
            <w:tcW w:w="2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2017</w:t>
            </w: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AND PAID (1)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LOW</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16.58</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18.60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ind w:left="82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21"/>
        </w:trPr>
        <w:tc>
          <w:tcPr>
            <w:tcW w:w="2640" w:type="dxa"/>
            <w:vAlign w:val="bottom"/>
          </w:tcPr>
          <w:p>
            <w:pPr>
              <w:spacing w:after="0"/>
              <w:rPr>
                <w:sz w:val="20"/>
                <w:szCs w:val="20"/>
                <w:color w:val="auto"/>
              </w:rPr>
            </w:pPr>
            <w:r>
              <w:rPr>
                <w:rFonts w:ascii="Arial" w:cs="Arial" w:eastAsia="Arial" w:hAnsi="Arial"/>
                <w:sz w:val="16"/>
                <w:szCs w:val="16"/>
                <w:color w:val="auto"/>
              </w:rPr>
              <w:t>____________________</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See Part II, Item 7 “Management’s Discussion and Analysis of Financial Condition and Results of Operations - DIVIDENDS AND SHARE REPURCHASES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HOLDERS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of February 23, 2018, there were 10 holders of record of our common stock. The number of registered holders does not include holders who are beneficial owners whose shares are held in street name by brokers and other nominees.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securities authorized for issuance under our equity compensation plans as of December 31, 2017:</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3362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34"/>
        </w:trPr>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TO BE ISSUED UPON</w:t>
            </w:r>
          </w:p>
        </w:tc>
        <w:tc>
          <w:tcPr>
            <w:tcW w:w="20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OF</w:t>
            </w: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EXERCISE PRICE OF</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OUTSTANDING OPTIONS,</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WARRANTS AND RIGHTS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(a)) (1)</w:t>
            </w: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4660" w:space="720"/>
            <w:col w:w="60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5240" w:type="dxa"/>
            <w:vAlign w:val="bottom"/>
            <w:tcBorders>
              <w:top w:val="single" w:sz="8" w:color="auto"/>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w w:val="91"/>
              </w:rPr>
              <w:t>Equity compensation plans approved by security holders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5,063</w:t>
            </w:r>
          </w:p>
        </w:tc>
      </w:tr>
      <w:tr>
        <w:trPr>
          <w:trHeight w:val="193"/>
        </w:trPr>
        <w:tc>
          <w:tcPr>
            <w:tcW w:w="20" w:type="dxa"/>
            <w:vAlign w:val="bottom"/>
          </w:tcPr>
          <w:p>
            <w:pPr>
              <w:spacing w:after="0"/>
              <w:rPr>
                <w:sz w:val="16"/>
                <w:szCs w:val="16"/>
                <w:color w:val="auto"/>
              </w:rPr>
            </w:pPr>
          </w:p>
        </w:tc>
        <w:tc>
          <w:tcPr>
            <w:tcW w:w="5240" w:type="dxa"/>
            <w:vAlign w:val="bottom"/>
          </w:tcPr>
          <w:p>
            <w:pPr>
              <w:jc w:val="right"/>
              <w:ind w:right="3559"/>
              <w:spacing w:after="0"/>
              <w:rPr>
                <w:sz w:val="20"/>
                <w:szCs w:val="20"/>
                <w:color w:val="auto"/>
              </w:rPr>
            </w:pPr>
            <w:r>
              <w:rPr>
                <w:rFonts w:ascii="Arial" w:cs="Arial" w:eastAsia="Arial" w:hAnsi="Arial"/>
                <w:sz w:val="16"/>
                <w:szCs w:val="16"/>
                <w:color w:val="auto"/>
                <w:w w:val="88"/>
              </w:rPr>
              <w:t>____________________</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shares remaining available for issuance may be issued in the form of stock options, restricted stock, restricted stock units or other stock awards under the 2016 Omnibus Incentive Compensation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STOCK PERFORMANCE GRAPH</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graph depicts total return to stockholders from December 31, 2012 through December 31, 2017, relative to the performance of the Standard &amp; Poor’s 500 Index and the Standard &amp; Poor’s 500 Consumer Discretionary Sector, a peer group. The graph assumes an investment of $100 in our common stock and each index on December 31, 2012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-13970</wp:posOffset>
            </wp:positionV>
            <wp:extent cx="5848985" cy="4751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w:t>
            </w: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25,</w:t>
            </w:r>
          </w:p>
        </w:tc>
        <w:tc>
          <w:tcPr>
            <w:tcW w:w="140" w:type="dxa"/>
            <w:vAlign w:val="bottom"/>
          </w:tcPr>
          <w:p>
            <w:pPr>
              <w:spacing w:after="0"/>
              <w:rPr>
                <w:sz w:val="14"/>
                <w:szCs w:val="14"/>
                <w:color w:val="auto"/>
              </w:rPr>
            </w:pPr>
          </w:p>
        </w:tc>
        <w:tc>
          <w:tcPr>
            <w:tcW w:w="132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1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2017</w:t>
            </w: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Bloomin’ Brands, Inc.</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(BLMN)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153.52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151.85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110.60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120.02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142.69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Standard &amp; Poor’s 500</w:t>
            </w: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132.37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152.62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153.78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172.64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208.05</w:t>
            </w: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Standard &amp; Poor’s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06"/>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Consumer Discretionary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143.08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157.03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173.43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185.67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225.30</w:t>
            </w: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purchases of common stock during the fourteen weeks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 PURCHASED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205"/>
        </w:trPr>
        <w:tc>
          <w:tcPr>
            <w:tcW w:w="4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PROGRAMS (1)</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25, 2017 through October 22, 2017</w:t>
            </w:r>
          </w:p>
        </w:tc>
        <w:tc>
          <w:tcPr>
            <w:tcW w:w="184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55,000,223</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October 23, 2017 through November 19, 2017</w:t>
            </w:r>
          </w:p>
        </w:tc>
        <w:tc>
          <w:tcPr>
            <w:tcW w:w="1840" w:type="dxa"/>
            <w:vAlign w:val="bottom"/>
          </w:tcPr>
          <w:p>
            <w:pPr>
              <w:ind w:left="15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800" w:type="dxa"/>
            <w:vAlign w:val="bottom"/>
          </w:tcPr>
          <w:p>
            <w:pPr>
              <w:ind w:left="1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5"/>
              <w:spacing w:after="0"/>
              <w:rPr>
                <w:sz w:val="20"/>
                <w:szCs w:val="20"/>
                <w:color w:val="auto"/>
              </w:rPr>
            </w:pPr>
            <w:r>
              <w:rPr>
                <w:rFonts w:ascii="Arial" w:cs="Arial" w:eastAsia="Arial" w:hAnsi="Arial"/>
                <w:sz w:val="16"/>
                <w:szCs w:val="16"/>
                <w:color w:val="auto"/>
              </w:rPr>
              <w:t>55,000,223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20, 2017 through December 31, 2017</w:t>
            </w:r>
          </w:p>
        </w:tc>
        <w:tc>
          <w:tcPr>
            <w:tcW w:w="1840" w:type="dxa"/>
            <w:vAlign w:val="bottom"/>
            <w:tcBorders>
              <w:bottom w:val="single" w:sz="8" w:color="CCEEFF"/>
            </w:tcBorders>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55,000,223</w:t>
            </w:r>
          </w:p>
        </w:tc>
        <w:tc>
          <w:tcPr>
            <w:tcW w:w="0" w:type="dxa"/>
            <w:vAlign w:val="bottom"/>
          </w:tcPr>
          <w:p>
            <w:pPr>
              <w:spacing w:after="0"/>
              <w:rPr>
                <w:sz w:val="1"/>
                <w:szCs w:val="1"/>
                <w:color w:val="auto"/>
              </w:rPr>
            </w:pP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ind w:left="1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660" w:hanging="652"/>
        <w:spacing w:after="0" w:line="25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April 21, 2017, the Board of Directors authorized the repurchase of $250.0 million of our outstanding common stock as announced in our press release issued on April 26, 2017 (the “2017 Share Repurchase Program”). On February 16, 2018, our Board of Directors canceled the remaining $55.0 million of authorization under the 2017 Share Repurchase Program and approved a new $150.0 million authorization (the “2018 Share Repurchase Program”), as announced in our press release issued on February 22, 2018. The 2018 Share Repurchase Program will expire on August 16, 2019.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r>
      <w:tr>
        <w:trPr>
          <w:trHeight w:val="21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Results: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60"/>
        </w:trPr>
        <w:tc>
          <w:tcPr>
            <w:tcW w:w="47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4,168,658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4,226,057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4,349,921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4,415,783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4,089,128</w:t>
            </w: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Franchise and other revenues</w:t>
            </w:r>
          </w:p>
        </w:tc>
        <w:tc>
          <w:tcPr>
            <w:tcW w:w="30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27,755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26,928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40,102</w:t>
            </w:r>
          </w:p>
        </w:tc>
      </w:tr>
      <w:tr>
        <w:trPr>
          <w:trHeight w:val="40"/>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2"/>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4,213,346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4,252,312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4,377,676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4,442,711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4,129,230</w:t>
            </w:r>
          </w:p>
        </w:tc>
      </w:tr>
      <w:tr>
        <w:trPr>
          <w:trHeight w:val="211"/>
        </w:trPr>
        <w:tc>
          <w:tcPr>
            <w:tcW w:w="47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Income from operations (2)</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146,092</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127,606</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230,925</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191,964</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225,357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including noncontrolling interests (2) (3)</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214,568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 (2) (3)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100,243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41,748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127,327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91,090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208,367</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Diluted earnings per share (4)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2,642,279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3,032,569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3,338,240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3,267,421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1,118,104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1,089,485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1,316,864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1,309,797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1,408,088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 (5)</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195,353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482,709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Common stock outstanding (5)</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103,922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119,215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125,950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124,784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4"/>
        </w:trPr>
        <w:tc>
          <w:tcPr>
            <w:tcW w:w="4700" w:type="dxa"/>
            <w:vAlign w:val="bottom"/>
          </w:tcPr>
          <w:p>
            <w:pPr>
              <w:ind w:left="180"/>
              <w:spacing w:after="0"/>
              <w:rPr>
                <w:sz w:val="20"/>
                <w:szCs w:val="20"/>
                <w:color w:val="auto"/>
              </w:rPr>
            </w:pPr>
            <w:r>
              <w:rPr>
                <w:rFonts w:ascii="Arial" w:cs="Arial" w:eastAsia="Arial" w:hAnsi="Arial"/>
                <w:sz w:val="16"/>
                <w:szCs w:val="16"/>
                <w:i w:val="1"/>
                <w:iCs w:val="1"/>
                <w:color w:val="auto"/>
              </w:rPr>
              <w:t>Investing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260,589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260,578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237,868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237,214</w:t>
            </w: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Proceeds from sale-leaseback transactions, net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98,840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530,684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Repurchase of common stock (5)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272,916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310,334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170,769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436</w:t>
            </w: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Note: This selected consolidated financial data should be read in conjunction with the consolidated financial statements and notes thereto, included in Item 8 of this Report and Management’s Discussion and Analysis of Financial Condition and Results of Operations, included in Item 7 of this Report.</w:t>
      </w:r>
    </w:p>
    <w:p>
      <w:pPr>
        <w:spacing w:after="0" w:line="254" w:lineRule="exact"/>
        <w:rPr>
          <w:sz w:val="20"/>
          <w:szCs w:val="20"/>
          <w:color w:val="auto"/>
        </w:rPr>
      </w:pPr>
    </w:p>
    <w:p>
      <w:pPr>
        <w:jc w:val="both"/>
        <w:ind w:left="660" w:hanging="652"/>
        <w:spacing w:after="0" w:line="25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There were 53 operating weeks in 2017, versus 52 operating weeks for the other periods presented. This additional week resulted in an increase in Total revenues of $80.4 million during 2017. Due to the change in our fiscal year end, Total revenues for 2015 includes $24.3 million of higher restaurant sales and Total revenues in 2014 includes $46.0 million of lower restaurant sales.</w:t>
      </w:r>
    </w:p>
    <w:p>
      <w:pPr>
        <w:spacing w:after="0" w:line="1"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2017 includes: (i) $42.8 million of asset impairments and closing costs primarily related to certain approved closure and restructuring initiatives, the remeasurement of certain surplus properties and for our China subsidiary, (ii) $12.5 million of asset impairments and restaurant closing costs related to the relocation of certain restaurants and (iii) $11.0 million of severance expense incurred as a result a restructuring event. 2016 results include: (i) $51.4 million of asset impairments and closing costs related to certain approved closure and restructuring initiatives, (ii) $43.1 million of asset impairments related to the refranchising of Outback Steakhouse South Korea and for our Puerto Rico subsidiary, (iii) $7.2 million of asset impairments and restaurant closing costs related to the relocation of certain restaurants and (iv) $5.5 million of severance related to a restructuring event and the relocation of our Fleming’s operations center to the corporate home office. 2015 results include $4.9 million of higher income from operations due to a change in our fiscal year end and $31.8 million of asset impairments and restaurant closing costs related to certain approved closure and restructuring initiatives. 2014 results include: (i) $9.2 million of lower income from operations due to a change in our fiscal year end, (ii) $26.8 million of asset impairments due to certain approved closure and restructuring initiatives, (iii) $24.0 million of asset impairments related to our Roy’s concept and corporate airplanes and (iv) $9.0 million of severance related to our organizational realignment. 2013 includes $18.7 million of asset impairments due to certain approved closure and restructuring initiatives.</w:t>
      </w:r>
    </w:p>
    <w:p>
      <w:pPr>
        <w:spacing w:after="0" w:line="3" w:lineRule="exact"/>
        <w:rPr>
          <w:rFonts w:ascii="Arial" w:cs="Arial" w:eastAsia="Arial" w:hAnsi="Arial"/>
          <w:sz w:val="15"/>
          <w:szCs w:val="15"/>
          <w:color w:val="auto"/>
        </w:rPr>
      </w:pPr>
    </w:p>
    <w:p>
      <w:pPr>
        <w:jc w:val="both"/>
        <w:ind w:left="660" w:hanging="652"/>
        <w:spacing w:after="0" w:line="26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$27.0 million</w:t>
      </w:r>
      <w:r>
        <w:rPr>
          <w:rFonts w:ascii="Arial" w:cs="Arial" w:eastAsia="Arial" w:hAnsi="Arial"/>
          <w:sz w:val="18"/>
          <w:szCs w:val="18"/>
          <w:color w:val="auto"/>
        </w:rPr>
        <w:t>,</w:t>
      </w:r>
      <w:r>
        <w:rPr>
          <w:rFonts w:ascii="Arial" w:cs="Arial" w:eastAsia="Arial" w:hAnsi="Arial"/>
          <w:sz w:val="16"/>
          <w:szCs w:val="16"/>
          <w:color w:val="auto"/>
        </w:rPr>
        <w:t xml:space="preserve"> $11.1 million and $14.6 million in 2016, 2014 and 2013, respectively, of loss on defeasance, extinguishment and modification of debt. Includes a $36.6 million gain on remeasurement of a previously held equity investment related to our Brazil acquisition and a $52.0 million income tax benefit for a U.S. valuation allowance release in 2013.</w:t>
      </w:r>
    </w:p>
    <w:p>
      <w:pPr>
        <w:spacing w:after="0" w:line="2" w:lineRule="exact"/>
        <w:rPr>
          <w:rFonts w:ascii="Arial" w:cs="Arial" w:eastAsia="Arial" w:hAnsi="Arial"/>
          <w:sz w:val="16"/>
          <w:szCs w:val="16"/>
          <w:color w:val="auto"/>
        </w:rPr>
      </w:pPr>
    </w:p>
    <w:p>
      <w:pPr>
        <w:ind w:left="660" w:hanging="652"/>
        <w:spacing w:after="0" w:line="198"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Fiscal year 2017 includes $0.11 of additional diluted earnings per share from a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operating week.</w:t>
      </w: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2017, 2016 and 2015, we repurchased 13.8 million, 16.6 million and 7.6 million shares, respectively, of our outstanding common stock.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December 31, 2017, we owned and operated 1,199 restaurants and franchised 290 restaurants across 48 states, Puerto Rico, Guam and 19 countries. We have four founder-inspired concepts: Outback Steakhouse, Carrabba’s Italian Grill, Bonefish Grill and Fleming’s Prime Steakhouse &amp; Wine Bar.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2017 financial results include:</w:t>
      </w:r>
    </w:p>
    <w:p>
      <w:pPr>
        <w:spacing w:after="0" w:line="229" w:lineRule="exact"/>
        <w:rPr>
          <w:sz w:val="20"/>
          <w:szCs w:val="20"/>
          <w:color w:val="auto"/>
        </w:rPr>
      </w:pPr>
    </w:p>
    <w:p>
      <w:pPr>
        <w:jc w:val="both"/>
        <w:ind w:left="920" w:hanging="331"/>
        <w:spacing w:after="0" w:line="227" w:lineRule="auto"/>
        <w:tabs>
          <w:tab w:leader="none" w:pos="9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decrease in total revenues of 0.9% to $4.2 billion in 2017 as compared to 2016, driven primarily by refranchising internationally and domestically. This decrease was partially offset by restaurant sales during the 53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week of 2017, higher comparable restaurant sales and the effect of foreign currency translation.</w:t>
      </w:r>
    </w:p>
    <w:p>
      <w:pPr>
        <w:spacing w:after="0" w:line="211" w:lineRule="exact"/>
        <w:rPr>
          <w:rFonts w:ascii="Arial" w:cs="Arial" w:eastAsia="Arial" w:hAnsi="Arial"/>
          <w:sz w:val="20"/>
          <w:szCs w:val="20"/>
          <w:color w:val="auto"/>
        </w:rPr>
      </w:pPr>
    </w:p>
    <w:p>
      <w:pPr>
        <w:jc w:val="both"/>
        <w:ind w:left="920" w:hanging="331"/>
        <w:spacing w:after="0" w:line="258" w:lineRule="auto"/>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increased to $146.1 million in 2017 as compared to $127.6 million in 2016, primarily due to lower impairment charges, the impact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in 2017, increases in franchise and other revenues and increases in average check per person. These increases were partially offset by higher general and administrative expense and labor costs.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Following is a summary of factors that impacted our operating results and liquidity in 2017 and significant actions we have taken during the year:</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252525"/>
        </w:rPr>
        <w:t xml:space="preserve">Refranchising and Sale Transactions </w:t>
      </w:r>
      <w:r>
        <w:rPr>
          <w:rFonts w:ascii="Arial" w:cs="Arial" w:eastAsia="Arial" w:hAnsi="Arial"/>
          <w:sz w:val="18"/>
          <w:szCs w:val="18"/>
          <w:color w:val="252525"/>
        </w:rPr>
        <w:t>- During</w:t>
      </w:r>
      <w:r>
        <w:rPr>
          <w:rFonts w:ascii="Arial" w:cs="Arial" w:eastAsia="Arial" w:hAnsi="Arial"/>
          <w:sz w:val="18"/>
          <w:szCs w:val="18"/>
          <w:i w:val="1"/>
          <w:iCs w:val="1"/>
          <w:color w:val="252525"/>
        </w:rPr>
        <w:t xml:space="preserve"> </w:t>
      </w:r>
      <w:r>
        <w:rPr>
          <w:rFonts w:ascii="Arial" w:cs="Arial" w:eastAsia="Arial" w:hAnsi="Arial"/>
          <w:sz w:val="18"/>
          <w:szCs w:val="18"/>
          <w:color w:val="000000"/>
        </w:rPr>
        <w:t>2017</w:t>
      </w:r>
      <w:r>
        <w:rPr>
          <w:rFonts w:ascii="Arial" w:cs="Arial" w:eastAsia="Arial" w:hAnsi="Arial"/>
          <w:sz w:val="18"/>
          <w:szCs w:val="18"/>
          <w:color w:val="252525"/>
        </w:rPr>
        <w:t>, we refranchised 54 and sold one of our U.S. Company-owned Outback Steakhouse and</w:t>
      </w:r>
      <w:r>
        <w:rPr>
          <w:rFonts w:ascii="Arial" w:cs="Arial" w:eastAsia="Arial" w:hAnsi="Arial"/>
          <w:sz w:val="18"/>
          <w:szCs w:val="18"/>
          <w:i w:val="1"/>
          <w:iCs w:val="1"/>
          <w:color w:val="252525"/>
        </w:rPr>
        <w:t xml:space="preserve"> </w:t>
      </w:r>
      <w:r>
        <w:rPr>
          <w:rFonts w:ascii="Arial" w:cs="Arial" w:eastAsia="Arial" w:hAnsi="Arial"/>
          <w:sz w:val="18"/>
          <w:szCs w:val="18"/>
          <w:color w:val="252525"/>
        </w:rPr>
        <w:t xml:space="preserve">Carrabba’s Italian Grill locations for aggregate cash proceeds of $46.1 million, net of certain closing adjustments. The transactions resulted in an aggregate net gain of $15.8 million within Other income (expense), net, in the Consolidated Statements of Operations and Other Comprehensive Income. </w:t>
      </w:r>
      <w:r>
        <w:rPr>
          <w:rFonts w:ascii="Arial" w:cs="Arial" w:eastAsia="Arial" w:hAnsi="Arial"/>
          <w:sz w:val="18"/>
          <w:szCs w:val="18"/>
          <w:color w:val="000000"/>
        </w:rPr>
        <w:t>See Note 3 -</w:t>
      </w:r>
      <w:r>
        <w:rPr>
          <w:rFonts w:ascii="Arial" w:cs="Arial" w:eastAsia="Arial" w:hAnsi="Arial"/>
          <w:sz w:val="18"/>
          <w:szCs w:val="18"/>
          <w:color w:val="252525"/>
        </w:rPr>
        <w:t xml:space="preserve"> </w:t>
      </w:r>
      <w:r>
        <w:rPr>
          <w:rFonts w:ascii="Arial" w:cs="Arial" w:eastAsia="Arial" w:hAnsi="Arial"/>
          <w:sz w:val="18"/>
          <w:szCs w:val="18"/>
          <w:i w:val="1"/>
          <w:iCs w:val="1"/>
          <w:color w:val="000000"/>
        </w:rPr>
        <w:t>Disposals</w:t>
      </w:r>
      <w:r>
        <w:rPr>
          <w:rFonts w:ascii="Arial" w:cs="Arial" w:eastAsia="Arial" w:hAnsi="Arial"/>
          <w:sz w:val="18"/>
          <w:szCs w:val="18"/>
          <w:color w:val="252525"/>
        </w:rPr>
        <w:t xml:space="preserve"> </w:t>
      </w:r>
      <w:r>
        <w:rPr>
          <w:rFonts w:ascii="Arial" w:cs="Arial" w:eastAsia="Arial" w:hAnsi="Arial"/>
          <w:sz w:val="18"/>
          <w:szCs w:val="18"/>
          <w:color w:val="000000"/>
        </w:rPr>
        <w:t>of our Notes to Consolidated Financial Statements for additional details.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New Credit Agreement - </w:t>
      </w:r>
      <w:r>
        <w:rPr>
          <w:rFonts w:ascii="Arial" w:cs="Arial" w:eastAsia="Arial" w:hAnsi="Arial"/>
          <w:sz w:val="19"/>
          <w:szCs w:val="19"/>
          <w:color w:val="auto"/>
        </w:rPr>
        <w:t>On November 30, 2017, we entered into a credit agreement, including OSI as co-borrower (the “Credit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completing the refinancing of OSI’s senior secured credit facility. The Credit Agreement provides for senior secured credit financing of up to $1.5 billion, consisting of a $500.0 million Term loan A and a $1.0 billion revolving credit facility, including letter of credit and swing line loan sub-facilities (the “Senior Secured Credit Facility”). The proceeds of the Senior Secured Credit Facility were used to pay down OSI’s former credit facility (the “Former Credit Facility”). Our total indebtedness did not materially change as a result of the refinancing. See Note 12 - </w:t>
      </w:r>
      <w:r>
        <w:rPr>
          <w:rFonts w:ascii="Arial" w:cs="Arial" w:eastAsia="Arial" w:hAnsi="Arial"/>
          <w:sz w:val="19"/>
          <w:szCs w:val="19"/>
          <w:i w:val="1"/>
          <w:iCs w:val="1"/>
          <w:color w:val="auto"/>
        </w:rPr>
        <w:t xml:space="preserve">Long-term Debt, Net </w:t>
      </w:r>
      <w:r>
        <w:rPr>
          <w:rFonts w:ascii="Arial" w:cs="Arial" w:eastAsia="Arial" w:hAnsi="Arial"/>
          <w:sz w:val="19"/>
          <w:szCs w:val="19"/>
          <w:color w:val="auto"/>
        </w:rPr>
        <w:t>of the Notes to Consolidated Financial Statements for further information.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Sale-leaseback Transactions </w:t>
      </w:r>
      <w:r>
        <w:rPr>
          <w:rFonts w:ascii="Arial" w:cs="Arial" w:eastAsia="Arial" w:hAnsi="Arial"/>
          <w:sz w:val="20"/>
          <w:szCs w:val="20"/>
          <w:color w:val="auto"/>
        </w:rPr>
        <w:t>- During 2017, we entered into sale-leaseback transactions with third-parties in which we sold 31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properties at fair market value for gross proceeds of $108.0 million. With a portion of the proceeds from these transactions, we repaid our mortgage loan (the “PRP Mortgage Loan”) in April 2017.</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Share Repurchase Programs and Dividends - </w:t>
      </w:r>
      <w:r>
        <w:rPr>
          <w:rFonts w:ascii="Arial" w:cs="Arial" w:eastAsia="Arial" w:hAnsi="Arial"/>
          <w:sz w:val="20"/>
          <w:szCs w:val="20"/>
          <w:color w:val="auto"/>
        </w:rPr>
        <w:t>We repurchased 13.8 million shares of common stock during 2017 for a total of $272.7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paid $31.0 million of dividends. On February 16, 2018, our Board canceled the remaining $55.0 million of authorization under the 2017 Share Repurchase Program and approved a new $150.0 million authorization (the “2018 Share Repurchase Program”). The 2018 Share Repurchase Program will expire on August 16, 2019.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2017 Closure Initiative and Surplus Properties </w:t>
      </w:r>
      <w:r>
        <w:rPr>
          <w:rFonts w:ascii="Arial" w:cs="Arial" w:eastAsia="Arial" w:hAnsi="Arial"/>
          <w:sz w:val="18"/>
          <w:szCs w:val="18"/>
          <w:color w:val="auto"/>
        </w:rPr>
        <w:t>- On February 15, 2017, we decided to close 43 underperforming restaurants. Most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restaurants were closed in 2017, with the balance closing as leases and certain operating covenants expire or are amended or waived. During 2017, </w:t>
      </w:r>
      <w:r>
        <w:rPr>
          <w:rFonts w:ascii="Arial" w:cs="Arial" w:eastAsia="Arial" w:hAnsi="Arial"/>
          <w:sz w:val="18"/>
          <w:szCs w:val="18"/>
          <w:color w:val="252525"/>
        </w:rPr>
        <w:t>we</w:t>
      </w:r>
      <w:r>
        <w:rPr>
          <w:rFonts w:ascii="Arial" w:cs="Arial" w:eastAsia="Arial" w:hAnsi="Arial"/>
          <w:sz w:val="18"/>
          <w:szCs w:val="18"/>
          <w:color w:val="auto"/>
        </w:rPr>
        <w:t xml:space="preserve"> recognized impairment charges of $10.7 million in connection with the remeasurement of certain held and used surplus properties. See Note 4 - </w:t>
      </w:r>
      <w:r>
        <w:rPr>
          <w:rFonts w:ascii="Arial" w:cs="Arial" w:eastAsia="Arial" w:hAnsi="Arial"/>
          <w:sz w:val="18"/>
          <w:szCs w:val="18"/>
          <w:i w:val="1"/>
          <w:iCs w:val="1"/>
          <w:color w:val="auto"/>
        </w:rPr>
        <w:t>Impairments and Exit Costs</w:t>
      </w:r>
      <w:r>
        <w:rPr>
          <w:rFonts w:ascii="Arial" w:cs="Arial" w:eastAsia="Arial" w:hAnsi="Arial"/>
          <w:sz w:val="18"/>
          <w:szCs w:val="18"/>
          <w:color w:val="auto"/>
        </w:rPr>
        <w:t xml:space="preserve"> of our Notes to Consolidated Financial Statements for additional details.</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Express Concept - </w:t>
      </w:r>
      <w:r>
        <w:rPr>
          <w:rFonts w:ascii="Arial" w:cs="Arial" w:eastAsia="Arial" w:hAnsi="Arial"/>
          <w:sz w:val="20"/>
          <w:szCs w:val="20"/>
          <w:color w:val="auto"/>
        </w:rPr>
        <w:t>During 2017, we opened our first two Express units, which combine Outback Steakhouse and Carrabba’s Italian Grill</w:t>
      </w:r>
      <w:r>
        <w:rPr>
          <w:rFonts w:ascii="Arial" w:cs="Arial" w:eastAsia="Arial" w:hAnsi="Arial"/>
          <w:sz w:val="20"/>
          <w:szCs w:val="20"/>
          <w:i w:val="1"/>
          <w:iCs w:val="1"/>
          <w:color w:val="auto"/>
        </w:rPr>
        <w:t xml:space="preserve"> </w:t>
      </w:r>
      <w:r>
        <w:rPr>
          <w:rFonts w:ascii="Arial" w:cs="Arial" w:eastAsia="Arial" w:hAnsi="Arial"/>
          <w:sz w:val="20"/>
          <w:szCs w:val="20"/>
          <w:color w:val="auto"/>
        </w:rPr>
        <w:t>offerings in a delivery and take-out only format.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Casual Dining Industry Conditions</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2017, the casual dining industry continued to experience considerable pressures driven by the changing landscape of the restaurant space. We believe casual dining traffic levels declined due to ongoing challenges including an oversupply of restaurants, the relative affordability and quality of prepared meals from supermarkets, and an increase in home delivery services. These changing industry dynamics have led to an increased emphasis on discounts and promotions to improve value. We expect these industry trends to continue in fiscal 2018.</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utilize a 52-53 week year ending on the last Sunday in December. In a 52 week fiscal year, each of our quarterly periods comprise 13 weeks. The additional operating week in a 53 week fiscal year is added to the fourth quarter. Fiscal year 2017 consisted of 53 weeks and fiscal years 2016 and 2015 consisted of 52 weeks. The additional operating week resulted in increases of $80.4 million in Total revenues and $0.11 of diluted earnings per share during fiscal year 2017.</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 2018, our key business strategies include:</w:t>
      </w:r>
    </w:p>
    <w:p>
      <w:pPr>
        <w:spacing w:after="0" w:line="229" w:lineRule="exact"/>
        <w:rPr>
          <w:sz w:val="20"/>
          <w:szCs w:val="20"/>
          <w:color w:val="auto"/>
        </w:rPr>
      </w:pPr>
    </w:p>
    <w:p>
      <w:pPr>
        <w:jc w:val="both"/>
        <w:ind w:left="900" w:hanging="325"/>
        <w:spacing w:after="0" w:line="25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20"/>
          <w:szCs w:val="20"/>
          <w:i w:val="1"/>
          <w:iCs w:val="1"/>
          <w:color w:val="auto"/>
        </w:rPr>
        <w:t xml:space="preserve">Elevate the 360-Degree Customer Experience. </w:t>
      </w:r>
      <w:r>
        <w:rPr>
          <w:rFonts w:ascii="Arial" w:cs="Arial" w:eastAsia="Arial" w:hAnsi="Arial"/>
          <w:sz w:val="20"/>
          <w:szCs w:val="20"/>
          <w:color w:val="auto"/>
        </w:rPr>
        <w:t>We plan to continue to make investments to enhance our core guest experience,</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off-premise dining occasions, remodel and relocate restaurants, invest in digital marketing and data personalization and utilize the Dine Rewards loyalty program and multimedia marketing campaigns to drive traffic.</w:t>
      </w:r>
    </w:p>
    <w:p>
      <w:pPr>
        <w:spacing w:after="0" w:line="19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20"/>
          <w:szCs w:val="20"/>
          <w:i w:val="1"/>
          <w:iCs w:val="1"/>
          <w:color w:val="auto"/>
        </w:rPr>
        <w:t xml:space="preserve">Optimize International Opportunities. </w:t>
      </w:r>
      <w:r>
        <w:rPr>
          <w:rFonts w:ascii="Arial" w:cs="Arial" w:eastAsia="Arial" w:hAnsi="Arial"/>
          <w:sz w:val="20"/>
          <w:szCs w:val="20"/>
          <w:color w:val="auto"/>
        </w:rPr>
        <w:t>We continue to focus on existing geographic regions in South America, with strategic</w:t>
      </w:r>
      <w:r>
        <w:rPr>
          <w:rFonts w:ascii="Arial" w:cs="Arial" w:eastAsia="Arial" w:hAnsi="Arial"/>
          <w:sz w:val="20"/>
          <w:szCs w:val="20"/>
          <w:i w:val="1"/>
          <w:iCs w:val="1"/>
          <w:color w:val="auto"/>
        </w:rPr>
        <w:t xml:space="preserve"> </w:t>
      </w:r>
      <w:r>
        <w:rPr>
          <w:rFonts w:ascii="Arial" w:cs="Arial" w:eastAsia="Arial" w:hAnsi="Arial"/>
          <w:sz w:val="20"/>
          <w:szCs w:val="20"/>
          <w:color w:val="auto"/>
        </w:rPr>
        <w:t>expansion in Brazil, and pursue franchise opportunities in Asia and the Middle East.</w:t>
      </w:r>
    </w:p>
    <w:p>
      <w:pPr>
        <w:spacing w:after="0" w:line="190"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Engage with All Stakeholders Responsibly.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190" w:lineRule="exact"/>
        <w:rPr>
          <w:rFonts w:ascii="Arial" w:cs="Arial" w:eastAsia="Arial" w:hAnsi="Arial"/>
          <w:sz w:val="20"/>
          <w:szCs w:val="20"/>
          <w:i w:val="1"/>
          <w:iCs w:val="1"/>
          <w:color w:val="auto"/>
        </w:rPr>
      </w:pPr>
    </w:p>
    <w:p>
      <w:pPr>
        <w:ind w:left="900" w:hanging="325"/>
        <w:spacing w:after="0" w:line="31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Drive Long-Term Shareholder Value. </w:t>
      </w:r>
      <w:r>
        <w:rPr>
          <w:rFonts w:ascii="Arial" w:cs="Arial" w:eastAsia="Arial" w:hAnsi="Arial"/>
          <w:sz w:val="18"/>
          <w:szCs w:val="18"/>
          <w:color w:val="auto"/>
        </w:rPr>
        <w:t>We plan to drive long-term shareholder value by reinvesting operational cash flow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improving our credit profile and returning excess cash to shareholders through share repurchases and dividends.</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intend to fund our business strategies, in part, by utilizing productivity initiatives across our business. Productivity savings will be reinvested in the business to drive revenue growth and margin improvement.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920" w:hanging="331"/>
        <w:spacing w:after="0" w:line="260" w:lineRule="auto"/>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per restaurant to measure changes in consumer traffic, pricing and development of</w:t>
      </w:r>
      <w:r>
        <w:rPr>
          <w:rFonts w:ascii="Arial" w:cs="Arial" w:eastAsia="Arial" w:hAnsi="Arial"/>
          <w:sz w:val="20"/>
          <w:szCs w:val="20"/>
          <w:i w:val="1"/>
          <w:iCs w:val="1"/>
          <w:color w:val="auto"/>
        </w:rPr>
        <w:t xml:space="preserve"> </w:t>
      </w:r>
      <w:r>
        <w:rPr>
          <w:rFonts w:ascii="Arial" w:cs="Arial" w:eastAsia="Arial" w:hAnsi="Arial"/>
          <w:sz w:val="20"/>
          <w:szCs w:val="20"/>
          <w:color w:val="auto"/>
        </w:rPr>
        <w:t>the brand;</w:t>
      </w:r>
    </w:p>
    <w:p>
      <w:pPr>
        <w:spacing w:after="0" w:line="190" w:lineRule="exact"/>
        <w:rPr>
          <w:rFonts w:ascii="Arial" w:cs="Arial" w:eastAsia="Arial" w:hAnsi="Arial"/>
          <w:sz w:val="20"/>
          <w:szCs w:val="20"/>
          <w:color w:val="auto"/>
        </w:rPr>
      </w:pPr>
    </w:p>
    <w:p>
      <w:pPr>
        <w:ind w:left="920" w:hanging="331"/>
        <w:spacing w:after="0" w:line="316"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Comparable restaurant sales</w:t>
      </w:r>
      <w:r>
        <w:rPr>
          <w:rFonts w:ascii="Arial" w:cs="Arial" w:eastAsia="Arial" w:hAnsi="Arial"/>
          <w:sz w:val="18"/>
          <w:szCs w:val="18"/>
          <w:color w:val="auto"/>
        </w:rPr>
        <w:t>—year-over-year comparison of sales volumes for Company-owned restaurants that are open 18</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more in order to remove the impact of new restaurant openings in comparing the operations of existing restaurants;</w:t>
      </w:r>
    </w:p>
    <w:p>
      <w:pPr>
        <w:spacing w:after="0" w:line="143" w:lineRule="exact"/>
        <w:rPr>
          <w:rFonts w:ascii="Arial" w:cs="Arial" w:eastAsia="Arial" w:hAnsi="Arial"/>
          <w:sz w:val="18"/>
          <w:szCs w:val="18"/>
          <w:color w:val="auto"/>
        </w:rPr>
      </w:pPr>
    </w:p>
    <w:p>
      <w:pPr>
        <w:ind w:left="920" w:right="20" w:hanging="331"/>
        <w:spacing w:after="0" w:line="260" w:lineRule="auto"/>
        <w:tabs>
          <w:tab w:leader="none" w:pos="920" w:val="left"/>
        </w:tabs>
        <w:numPr>
          <w:ilvl w:val="0"/>
          <w:numId w:val="18"/>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franchise and unconsolidated joint venture restaurants,</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ownership, to interpret the overall health of our brands;</w:t>
      </w:r>
    </w:p>
    <w:p>
      <w:pPr>
        <w:spacing w:after="0" w:line="190" w:lineRule="exact"/>
        <w:rPr>
          <w:rFonts w:ascii="Arial" w:cs="Arial" w:eastAsia="Arial" w:hAnsi="Arial"/>
          <w:sz w:val="20"/>
          <w:szCs w:val="20"/>
          <w:i w:val="1"/>
          <w:iCs w:val="1"/>
          <w:color w:val="auto"/>
        </w:rPr>
      </w:pPr>
    </w:p>
    <w:p>
      <w:pPr>
        <w:ind w:left="920" w:hanging="331"/>
        <w:spacing w:after="0" w:line="260" w:lineRule="auto"/>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w:t>
      </w:r>
      <w:r>
        <w:rPr>
          <w:rFonts w:ascii="Arial" w:cs="Arial" w:eastAsia="Arial" w:hAnsi="Arial"/>
          <w:sz w:val="20"/>
          <w:szCs w:val="20"/>
          <w:i w:val="1"/>
          <w:iCs w:val="1"/>
          <w:color w:val="auto"/>
        </w:rPr>
        <w:t xml:space="preserve"> </w:t>
      </w:r>
      <w:r>
        <w:rPr>
          <w:rFonts w:ascii="Arial" w:cs="Arial" w:eastAsia="Arial" w:hAnsi="Arial"/>
          <w:sz w:val="20"/>
          <w:szCs w:val="20"/>
          <w:color w:val="auto"/>
        </w:rPr>
        <w:t>utilized to evaluate our operating performance.</w:t>
      </w:r>
    </w:p>
    <w:p>
      <w:pPr>
        <w:spacing w:after="0" w:line="190" w:lineRule="exact"/>
        <w:rPr>
          <w:rFonts w:ascii="Arial" w:cs="Arial" w:eastAsia="Arial" w:hAnsi="Arial"/>
          <w:sz w:val="20"/>
          <w:szCs w:val="20"/>
          <w:color w:val="auto"/>
        </w:rPr>
      </w:pPr>
    </w:p>
    <w:p>
      <w:pPr>
        <w:jc w:val="both"/>
        <w:ind w:left="920"/>
        <w:spacing w:after="0" w:line="243" w:lineRule="auto"/>
        <w:rPr>
          <w:rFonts w:ascii="Arial" w:cs="Arial" w:eastAsia="Arial" w:hAnsi="Arial"/>
          <w:sz w:val="20"/>
          <w:szCs w:val="20"/>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 of Operations. The following categories of our revenue and operating expenses are not included in restaurant-level operating margin because we do not consider them reflective of operating performance at the restaurant-level within a period:</w:t>
      </w:r>
    </w:p>
    <w:p>
      <w:pPr>
        <w:spacing w:after="0" w:line="206" w:lineRule="exact"/>
        <w:rPr>
          <w:rFonts w:ascii="Arial" w:cs="Arial" w:eastAsia="Arial" w:hAnsi="Arial"/>
          <w:sz w:val="20"/>
          <w:szCs w:val="20"/>
          <w:color w:val="auto"/>
        </w:rPr>
      </w:pPr>
    </w:p>
    <w:p>
      <w:pPr>
        <w:ind w:left="1700" w:hanging="801"/>
        <w:spacing w:after="0" w:line="247" w:lineRule="auto"/>
        <w:tabs>
          <w:tab w:leader="none" w:pos="1295" w:val="left"/>
        </w:tabs>
        <w:numPr>
          <w:ilvl w:val="1"/>
          <w:numId w:val="18"/>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700" w:hanging="801"/>
        <w:spacing w:after="0" w:line="239" w:lineRule="auto"/>
        <w:tabs>
          <w:tab w:leader="none" w:pos="1295"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700" w:right="20" w:hanging="801"/>
        <w:spacing w:after="0" w:line="239" w:lineRule="auto"/>
        <w:tabs>
          <w:tab w:leader="none" w:pos="1295" w:val="left"/>
        </w:tabs>
        <w:numPr>
          <w:ilvl w:val="1"/>
          <w:numId w:val="18"/>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401"/>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90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 operating margin may not be comparable to similarly titled measures used by other companies in our industry;</w:t>
      </w:r>
    </w:p>
    <w:p>
      <w:pPr>
        <w:spacing w:after="0" w:line="194" w:lineRule="exact"/>
        <w:rPr>
          <w:sz w:val="20"/>
          <w:szCs w:val="20"/>
          <w:color w:val="auto"/>
        </w:rPr>
      </w:pPr>
    </w:p>
    <w:p>
      <w:pPr>
        <w:jc w:val="both"/>
        <w:ind w:left="920" w:hanging="331"/>
        <w:spacing w:after="0" w:line="250" w:lineRule="auto"/>
        <w:tabs>
          <w:tab w:leader="none" w:pos="920"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Adjusted restaurant-level operating margin, Adjusted income from operations, Adjusted net income, Adjusted diluted earnings per share</w:t>
      </w:r>
      <w:r>
        <w:rPr>
          <w:rFonts w:ascii="Arial" w:cs="Arial" w:eastAsia="Arial" w:hAnsi="Arial"/>
          <w:sz w:val="20"/>
          <w:szCs w:val="20"/>
          <w:color w:val="auto"/>
        </w:rPr>
        <w:t>—non-GAAP financial measures utilized to evaluate our operating performance, which definitions, usefulness and</w:t>
      </w:r>
      <w:r>
        <w:rPr>
          <w:rFonts w:ascii="Arial" w:cs="Arial" w:eastAsia="Arial" w:hAnsi="Arial"/>
          <w:sz w:val="20"/>
          <w:szCs w:val="20"/>
          <w:i w:val="1"/>
          <w:iCs w:val="1"/>
          <w:color w:val="auto"/>
        </w:rPr>
        <w:t xml:space="preserve"> </w:t>
      </w:r>
      <w:r>
        <w:rPr>
          <w:rFonts w:ascii="Arial" w:cs="Arial" w:eastAsia="Arial" w:hAnsi="Arial"/>
          <w:sz w:val="20"/>
          <w:szCs w:val="20"/>
          <w:color w:val="auto"/>
        </w:rPr>
        <w:t>reconciliations are described in more detail in the “Non-GAAP Financial Measures” section below; and</w:t>
      </w:r>
    </w:p>
    <w:p>
      <w:pPr>
        <w:spacing w:after="0" w:line="199" w:lineRule="exact"/>
        <w:rPr>
          <w:rFonts w:ascii="Arial" w:cs="Arial" w:eastAsia="Arial" w:hAnsi="Arial"/>
          <w:sz w:val="20"/>
          <w:szCs w:val="20"/>
          <w:color w:val="auto"/>
        </w:rPr>
      </w:pPr>
    </w:p>
    <w:p>
      <w:pPr>
        <w:ind w:left="920" w:hanging="331"/>
        <w:spacing w:after="0"/>
        <w:tabs>
          <w:tab w:leader="none" w:pos="920"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Consumer satisfaction scores</w:t>
      </w:r>
      <w:r>
        <w:rPr>
          <w:rFonts w:ascii="Arial" w:cs="Arial" w:eastAsia="Arial" w:hAnsi="Arial"/>
          <w:sz w:val="20"/>
          <w:szCs w:val="20"/>
          <w:color w:val="auto"/>
        </w:rPr>
        <w:t>—measurement of our consumers’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BLOOMIN’ BRANDS, INC.</w:t>
      </w:r>
    </w:p>
    <w:p>
      <w:pPr>
        <w:jc w:val="center"/>
        <w:ind w:right="-3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39"/>
        <w:spacing w:after="0"/>
        <w:rPr>
          <w:sz w:val="20"/>
          <w:szCs w:val="20"/>
          <w:color w:val="auto"/>
        </w:rPr>
      </w:pPr>
      <w:r>
        <w:rPr>
          <w:rFonts w:ascii="Arial" w:cs="Arial" w:eastAsia="Arial" w:hAnsi="Arial"/>
          <w:sz w:val="19"/>
          <w:szCs w:val="19"/>
          <w:b w:val="1"/>
          <w:bCs w:val="1"/>
          <w:color w:val="auto"/>
        </w:rPr>
        <w:t>FINANCIAL CONDITION AND RESULTS OF OPERATIONS -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presents the number of our restaurants in operation as of the end of the periods indicated:</w:t>
      </w:r>
    </w:p>
    <w:p>
      <w:pPr>
        <w:sectPr>
          <w:pgSz w:w="11900" w:h="16838" w:orient="portrait"/>
          <w:cols w:equalWidth="0" w:num="1">
            <w:col w:w="11400"/>
          </w:cols>
          <w:pgMar w:left="240" w:top="121" w:right="259" w:bottom="1440" w:gutter="0" w:footer="0" w:header="0"/>
        </w:sectPr>
      </w:pPr>
    </w:p>
    <w:p>
      <w:pPr>
        <w:spacing w:after="0" w:line="167"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25,</w:t>
      </w:r>
    </w:p>
    <w:p>
      <w:pPr>
        <w:spacing w:after="0" w:line="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27,</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2015</w:t>
      </w:r>
    </w:p>
    <w:p>
      <w:pPr>
        <w:spacing w:after="0" w:line="52" w:lineRule="exact"/>
        <w:rPr>
          <w:sz w:val="20"/>
          <w:szCs w:val="20"/>
          <w:color w:val="auto"/>
        </w:rPr>
      </w:pPr>
    </w:p>
    <w:p>
      <w:pPr>
        <w:sectPr>
          <w:pgSz w:w="11900" w:h="16838" w:orient="portrait"/>
          <w:cols w:equalWidth="0" w:num="3">
            <w:col w:w="7700" w:space="680"/>
            <w:col w:w="1040" w:space="660"/>
            <w:col w:w="132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restaurants (at end of the period):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755</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Carrabba’s Italian Grill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 (1)</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 (1)</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Bonefish Grill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Franchised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Express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Company-owned</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 Total</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Company-owned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Outback Steakhouse - South Korea (3)</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Outback Steakhouse - South Korea (3)</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restaurant counts for Brazil are reported as of November 30, 2017, 2016 and 2015, respectively, to correspond with the balance sheet dates of this subsidiary.</w:t>
      </w:r>
    </w:p>
    <w:p>
      <w:pPr>
        <w:spacing w:after="0" w:line="28"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2016, we sold our restaurant locations in South Korea, converting all restaurants in that market to franchised locations.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percentages of certain items in our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in relation to Total revenues or Restaurant sales, as indicated:</w:t>
      </w:r>
    </w:p>
    <w:p>
      <w:pPr>
        <w:spacing w:after="0" w:line="194"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23495</wp:posOffset>
            </wp:positionV>
            <wp:extent cx="32759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103" w:lineRule="exact"/>
        <w:rPr>
          <w:sz w:val="20"/>
          <w:szCs w:val="20"/>
          <w:color w:val="auto"/>
        </w:rPr>
      </w:pPr>
    </w:p>
    <w:p>
      <w:pPr>
        <w:ind w:left="6920"/>
        <w:spacing w:after="0"/>
        <w:tabs>
          <w:tab w:leader="none" w:pos="8640" w:val="left"/>
          <w:tab w:leader="none" w:pos="104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Restaurant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Franchise and other revenues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revenues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and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sales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Labor and other related (1)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restaurant operating (1)</w:t>
      </w:r>
    </w:p>
    <w:p>
      <w:pPr>
        <w:spacing w:after="0" w:line="109" w:lineRule="exact"/>
        <w:rPr>
          <w:sz w:val="20"/>
          <w:szCs w:val="20"/>
          <w:color w:val="auto"/>
        </w:rPr>
      </w:pPr>
    </w:p>
    <w:p>
      <w:pPr>
        <w:jc w:val="right"/>
        <w:ind w:right="316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40" w:type="dxa"/>
            <w:vAlign w:val="bottom"/>
          </w:tcPr>
          <w:p>
            <w:pPr>
              <w:jc w:val="right"/>
              <w:spacing w:after="0"/>
              <w:rPr>
                <w:sz w:val="20"/>
                <w:szCs w:val="20"/>
                <w:color w:val="auto"/>
              </w:rPr>
            </w:pPr>
            <w:r>
              <w:rPr>
                <w:rFonts w:ascii="Arial" w:cs="Arial" w:eastAsia="Arial" w:hAnsi="Arial"/>
                <w:sz w:val="16"/>
                <w:szCs w:val="16"/>
                <w:color w:val="auto"/>
              </w:rPr>
              <w:t>98.9 %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99.4 %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99.4 %</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0.6</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100.0</w:t>
            </w:r>
          </w:p>
        </w:tc>
      </w:tr>
      <w:tr>
        <w:trPr>
          <w:trHeight w:val="54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32.6</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27.7</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23.1</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4.3</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-1350645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-1007745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-664210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-321310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5520" w:space="720"/>
            <w:col w:w="51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1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r>
      <w:tr>
        <w:trPr>
          <w:trHeight w:val="211"/>
        </w:trPr>
        <w:tc>
          <w:tcPr>
            <w:tcW w:w="62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Total costs and expenses</w:t>
            </w:r>
          </w:p>
        </w:tc>
        <w:tc>
          <w:tcPr>
            <w:tcW w:w="16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96.5</w:t>
            </w: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97.0</w:t>
            </w:r>
          </w:p>
        </w:tc>
        <w:tc>
          <w:tcPr>
            <w:tcW w:w="100" w:type="dxa"/>
            <w:vAlign w:val="bottom"/>
            <w:tcBorders>
              <w:top w:val="single" w:sz="8" w:color="CCEEFF"/>
            </w:tcBorders>
          </w:tcPr>
          <w:p>
            <w:pPr>
              <w:spacing w:after="0"/>
              <w:rPr>
                <w:sz w:val="18"/>
                <w:szCs w:val="18"/>
                <w:color w:val="auto"/>
              </w:rPr>
            </w:pPr>
          </w:p>
        </w:tc>
        <w:tc>
          <w:tcPr>
            <w:tcW w:w="16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94.7</w:t>
            </w:r>
          </w:p>
        </w:tc>
      </w:tr>
      <w:tr>
        <w:trPr>
          <w:trHeight w:val="40"/>
        </w:trPr>
        <w:tc>
          <w:tcPr>
            <w:tcW w:w="62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w:t>
            </w:r>
          </w:p>
        </w:tc>
      </w:tr>
      <w:tr>
        <w:trPr>
          <w:trHeight w:val="33"/>
        </w:trPr>
        <w:tc>
          <w:tcPr>
            <w:tcW w:w="6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Loss on defeasance, extinguishment and modification of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provision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 net income attributable to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Bloomin’ Brands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Less than 1/10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of one percent of Total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57"/>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3.9</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0.9</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3.0</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40"/>
        </w:trPr>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-1225550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-882650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-539750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-196850</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06" w:lineRule="exact"/>
        <w:rPr>
          <w:sz w:val="20"/>
          <w:szCs w:val="20"/>
          <w:color w:val="auto"/>
        </w:rPr>
      </w:pPr>
    </w:p>
    <w:p>
      <w:pPr>
        <w:sectPr>
          <w:pgSz w:w="11900" w:h="16838" w:orient="portrait"/>
          <w:cols w:equalWidth="0" w:num="2">
            <w:col w:w="5520" w:space="720"/>
            <w:col w:w="5180"/>
          </w:cols>
          <w:pgMar w:left="240" w:top="122" w:right="23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Restaurant sales </w:t>
      </w:r>
      <w:r>
        <w:rPr>
          <w:rFonts w:ascii="Arial" w:cs="Arial" w:eastAsia="Arial" w:hAnsi="Arial"/>
          <w:sz w:val="20"/>
          <w:szCs w:val="20"/>
          <w:color w:val="auto"/>
        </w:rPr>
        <w:t>- Following is a summary of the change in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 (1)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2016 and 2015</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4,226.0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4,349.9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 (2)</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 (3)</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Comparable restaurant sales (3)</w:t>
            </w:r>
          </w:p>
        </w:tc>
        <w:tc>
          <w:tcPr>
            <w:tcW w:w="34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124.7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50"/>
        </w:trPr>
        <w:tc>
          <w:tcPr>
            <w:tcW w:w="8100" w:type="dxa"/>
            <w:vAlign w:val="bottom"/>
          </w:tcPr>
          <w:p>
            <w:pPr>
              <w:ind w:left="40"/>
              <w:spacing w:after="0"/>
              <w:rPr>
                <w:sz w:val="20"/>
                <w:szCs w:val="20"/>
                <w:color w:val="auto"/>
              </w:rPr>
            </w:pPr>
            <w:r>
              <w:rPr>
                <w:rFonts w:ascii="Arial" w:cs="Arial" w:eastAsia="Arial" w:hAnsi="Arial"/>
                <w:sz w:val="16"/>
                <w:szCs w:val="16"/>
                <w:color w:val="auto"/>
              </w:rPr>
              <w:t>For fiscal years 2017 and 2016</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4,168.7</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4,226.0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19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$79.9 million of additional restaurant sales from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of 2017.</w:t>
      </w: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$5.7 million related to divestiture of Roy’s in 2016.</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decrease in Restaurant sales in 2017 as compared to 2016 was primarily attributable to the refranchising internationally and domestically and the closing of 57 restaurants since December 27, 2015. The decrease in restaurant sales was partially offset by: (i) restaurant sales during the 53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week of 2017, (ii) sales from 69 new restaurants not included in our comparable restaurant sales base, (iii) higher comparable restaurant sales and (iv) the effect of foreign currency translation, due to the appreciation of the Brazil Real.</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Restaurant sales in 2016 as compared to 2015 was primarily attributable to: (i) the refranchising of Outback Steakhouse South Korea restaurants in July 2016, (ii) lower U.S. comparable restaurant sales, (iii) the closing of 24 restaurants since December 28, 2014 and (iv) the effect of foreign currency translation, due to the depreciation of the Brazil Real. The decrease in restaurant sales was partially offset by sales from 92 new restaurants not included in our comparable restaurant sales base.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comparable restaurant sales, traffic and average check per person increases (decreases):</w:t>
      </w:r>
    </w:p>
    <w:p>
      <w:pPr>
        <w:spacing w:after="0" w:line="210"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020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03" w:lineRule="exact"/>
        <w:rPr>
          <w:sz w:val="20"/>
          <w:szCs w:val="20"/>
          <w:color w:val="auto"/>
        </w:rPr>
      </w:pPr>
    </w:p>
    <w:p>
      <w:pPr>
        <w:jc w:val="right"/>
        <w:ind w:right="620"/>
        <w:spacing w:after="0"/>
        <w:tabs>
          <w:tab w:leader="none" w:pos="2140" w:val="left"/>
          <w:tab w:leader="none" w:pos="460" w:val="left"/>
        </w:tabs>
        <w:rPr>
          <w:sz w:val="20"/>
          <w:szCs w:val="20"/>
          <w:color w:val="auto"/>
        </w:rPr>
      </w:pPr>
      <w:r>
        <w:rPr>
          <w:rFonts w:ascii="Arial" w:cs="Arial" w:eastAsia="Arial" w:hAnsi="Arial"/>
          <w:sz w:val="14"/>
          <w:szCs w:val="14"/>
          <w:b w:val="1"/>
          <w:bCs w:val="1"/>
          <w:color w:val="auto"/>
        </w:rPr>
        <w:t>2017 (1)</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 over year percentage change: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Comparable restaurant sales (stores open 18 months or more)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Fleming’s Prime Steakhouse &amp; Wine Bar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ind w:right="579"/>
              <w:spacing w:after="0"/>
              <w:rPr>
                <w:sz w:val="20"/>
                <w:szCs w:val="20"/>
                <w:color w:val="auto"/>
              </w:rPr>
            </w:pPr>
            <w:r>
              <w:rPr>
                <w:rFonts w:ascii="Arial" w:cs="Arial" w:eastAsia="Arial" w:hAnsi="Arial"/>
                <w:sz w:val="16"/>
                <w:szCs w:val="16"/>
                <w:color w:val="auto"/>
              </w:rPr>
              <w:t>1.8 %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(2.3)%</w:t>
            </w:r>
          </w:p>
        </w:tc>
        <w:tc>
          <w:tcPr>
            <w:tcW w:w="110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70"/>
        </w:trPr>
        <w:tc>
          <w:tcPr>
            <w:tcW w:w="1100" w:type="dxa"/>
            <w:vAlign w:val="bottom"/>
          </w:tcPr>
          <w:p>
            <w:pPr>
              <w:jc w:val="right"/>
              <w:ind w:right="579"/>
              <w:spacing w:after="0"/>
              <w:rPr>
                <w:sz w:val="20"/>
                <w:szCs w:val="20"/>
                <w:color w:val="auto"/>
              </w:rPr>
            </w:pPr>
            <w:r>
              <w:rPr>
                <w:rFonts w:ascii="Arial" w:cs="Arial" w:eastAsia="Arial" w:hAnsi="Arial"/>
                <w:sz w:val="16"/>
                <w:szCs w:val="16"/>
                <w:color w:val="auto"/>
                <w:w w:val="89"/>
              </w:rPr>
              <w:t>(1.2)%</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(2.7)%</w:t>
            </w: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70"/>
        </w:trPr>
        <w:tc>
          <w:tcPr>
            <w:tcW w:w="1100" w:type="dxa"/>
            <w:vAlign w:val="bottom"/>
          </w:tcPr>
          <w:p>
            <w:pPr>
              <w:jc w:val="right"/>
              <w:ind w:right="579"/>
              <w:spacing w:after="0"/>
              <w:rPr>
                <w:sz w:val="20"/>
                <w:szCs w:val="20"/>
                <w:color w:val="auto"/>
              </w:rPr>
            </w:pPr>
            <w:r>
              <w:rPr>
                <w:rFonts w:ascii="Arial" w:cs="Arial" w:eastAsia="Arial" w:hAnsi="Arial"/>
                <w:sz w:val="16"/>
                <w:szCs w:val="16"/>
                <w:color w:val="auto"/>
                <w:w w:val="89"/>
              </w:rPr>
              <w:t>(1.7)%</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(0.5)%</w:t>
            </w: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1100" w:type="dxa"/>
            <w:vAlign w:val="bottom"/>
          </w:tcPr>
          <w:p>
            <w:pPr>
              <w:jc w:val="right"/>
              <w:ind w:right="579"/>
              <w:spacing w:after="0"/>
              <w:rPr>
                <w:sz w:val="20"/>
                <w:szCs w:val="20"/>
                <w:color w:val="auto"/>
              </w:rPr>
            </w:pPr>
            <w:r>
              <w:rPr>
                <w:rFonts w:ascii="Arial" w:cs="Arial" w:eastAsia="Arial" w:hAnsi="Arial"/>
                <w:sz w:val="16"/>
                <w:szCs w:val="16"/>
                <w:color w:val="auto"/>
                <w:w w:val="89"/>
              </w:rPr>
              <w:t>(0.4)%</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(0.2)%</w:t>
            </w:r>
          </w:p>
        </w:tc>
        <w:tc>
          <w:tcPr>
            <w:tcW w:w="110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70"/>
        </w:trPr>
        <w:tc>
          <w:tcPr>
            <w:tcW w:w="1100" w:type="dxa"/>
            <w:vAlign w:val="bottom"/>
          </w:tcPr>
          <w:p>
            <w:pPr>
              <w:jc w:val="right"/>
              <w:ind w:right="579"/>
              <w:spacing w:after="0"/>
              <w:rPr>
                <w:sz w:val="20"/>
                <w:szCs w:val="20"/>
                <w:color w:val="auto"/>
              </w:rPr>
            </w:pPr>
            <w:r>
              <w:rPr>
                <w:rFonts w:ascii="Arial" w:cs="Arial" w:eastAsia="Arial" w:hAnsi="Arial"/>
                <w:sz w:val="16"/>
                <w:szCs w:val="16"/>
                <w:color w:val="auto"/>
              </w:rPr>
              <w:t>0.5 %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(1.9)%</w:t>
            </w:r>
          </w:p>
        </w:tc>
        <w:tc>
          <w:tcPr>
            <w:tcW w:w="1100" w:type="dxa"/>
            <w:vAlign w:val="bottom"/>
          </w:tcPr>
          <w:p>
            <w:pPr>
              <w:jc w:val="right"/>
              <w:spacing w:after="0"/>
              <w:rPr>
                <w:sz w:val="20"/>
                <w:szCs w:val="20"/>
                <w:color w:val="auto"/>
              </w:rPr>
            </w:pPr>
            <w:r>
              <w:rPr>
                <w:rFonts w:ascii="Arial" w:cs="Arial" w:eastAsia="Arial" w:hAnsi="Arial"/>
                <w:sz w:val="16"/>
                <w:szCs w:val="16"/>
                <w:color w:val="auto"/>
              </w:rPr>
              <w:t>0.5 %</w:t>
            </w:r>
          </w:p>
        </w:tc>
      </w:tr>
    </w:tbl>
    <w:p>
      <w:pPr>
        <w:spacing w:after="0" w:line="320" w:lineRule="exact"/>
        <w:rPr>
          <w:sz w:val="20"/>
          <w:szCs w:val="20"/>
          <w:color w:val="auto"/>
        </w:rPr>
      </w:pPr>
    </w:p>
    <w:p>
      <w:pPr>
        <w:sectPr>
          <w:pgSz w:w="11900" w:h="16838" w:orient="portrait"/>
          <w:cols w:equalWidth="0" w:num="2">
            <w:col w:w="6660" w:space="720"/>
            <w:col w:w="40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220" w:type="dxa"/>
            <w:vAlign w:val="bottom"/>
          </w:tcPr>
          <w:p>
            <w:pPr>
              <w:ind w:left="380"/>
              <w:spacing w:after="0"/>
              <w:rPr>
                <w:sz w:val="20"/>
                <w:szCs w:val="20"/>
                <w:color w:val="auto"/>
              </w:rPr>
            </w:pPr>
            <w:r>
              <w:rPr>
                <w:rFonts w:ascii="Arial" w:cs="Arial" w:eastAsia="Arial" w:hAnsi="Arial"/>
                <w:sz w:val="16"/>
                <w:szCs w:val="16"/>
                <w:color w:val="auto"/>
              </w:rPr>
              <w:t>Outback Steakhouse - Brazil (4)</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6.3 %</w:t>
            </w:r>
          </w:p>
        </w:tc>
        <w:tc>
          <w:tcPr>
            <w:tcW w:w="1780" w:type="dxa"/>
            <w:vAlign w:val="bottom"/>
          </w:tcPr>
          <w:p>
            <w:pPr>
              <w:jc w:val="right"/>
              <w:ind w:right="599"/>
              <w:spacing w:after="0"/>
              <w:rPr>
                <w:sz w:val="20"/>
                <w:szCs w:val="20"/>
                <w:color w:val="auto"/>
              </w:rPr>
            </w:pPr>
            <w:r>
              <w:rPr>
                <w:rFonts w:ascii="Arial" w:cs="Arial" w:eastAsia="Arial" w:hAnsi="Arial"/>
                <w:sz w:val="16"/>
                <w:szCs w:val="16"/>
                <w:color w:val="auto"/>
              </w:rPr>
              <w:t>6.7 %</w:t>
            </w:r>
          </w:p>
        </w:tc>
        <w:tc>
          <w:tcPr>
            <w:tcW w:w="114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4"/>
        </w:trPr>
        <w:tc>
          <w:tcPr>
            <w:tcW w:w="5220" w:type="dxa"/>
            <w:vAlign w:val="bottom"/>
          </w:tcPr>
          <w:p>
            <w:pPr>
              <w:ind w:left="180"/>
              <w:spacing w:after="0"/>
              <w:rPr>
                <w:sz w:val="20"/>
                <w:szCs w:val="20"/>
                <w:color w:val="auto"/>
              </w:rPr>
            </w:pPr>
            <w:r>
              <w:rPr>
                <w:rFonts w:ascii="Arial" w:cs="Arial" w:eastAsia="Arial" w:hAnsi="Arial"/>
                <w:sz w:val="16"/>
                <w:szCs w:val="16"/>
                <w:color w:val="auto"/>
              </w:rPr>
              <w:t>Traffic:</w:t>
            </w:r>
          </w:p>
        </w:tc>
        <w:tc>
          <w:tcPr>
            <w:tcW w:w="3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52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3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0.3 %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(5.7)%</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32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(4.2)%</w:t>
            </w:r>
          </w:p>
        </w:tc>
        <w:tc>
          <w:tcPr>
            <w:tcW w:w="1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(2.7)%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(2.8)%</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(3.7)%</w:t>
            </w: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32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(5.5)%</w:t>
            </w:r>
          </w:p>
        </w:tc>
        <w:tc>
          <w:tcPr>
            <w:tcW w:w="1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52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3260" w:type="dxa"/>
            <w:vAlign w:val="bottom"/>
          </w:tcPr>
          <w:p>
            <w:pPr>
              <w:jc w:val="right"/>
              <w:ind w:right="579"/>
              <w:spacing w:after="0"/>
              <w:rPr>
                <w:sz w:val="20"/>
                <w:szCs w:val="20"/>
                <w:color w:val="auto"/>
              </w:rPr>
            </w:pPr>
            <w:r>
              <w:rPr>
                <w:rFonts w:ascii="Arial" w:cs="Arial" w:eastAsia="Arial" w:hAnsi="Arial"/>
                <w:sz w:val="16"/>
                <w:szCs w:val="16"/>
                <w:color w:val="auto"/>
              </w:rPr>
              <w:t>(1.3)%</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(4.7)%</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5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47"/>
        </w:trPr>
        <w:tc>
          <w:tcPr>
            <w:tcW w:w="52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Outback Steakhouse - Brazil</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Average check per person increases (decreases) (5):</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Outback Steakhouse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Carrabba’s Italian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Bonefish Grill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Fleming’s Prime Steakhouse &amp; Wine Bar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Combined 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br w:type="column"/>
      </w:r>
    </w:p>
    <w:p>
      <w:pPr>
        <w:spacing w:after="0"/>
        <w:tabs>
          <w:tab w:leader="none" w:pos="1800" w:val="left"/>
          <w:tab w:leader="none" w:pos="3580" w:val="left"/>
        </w:tabs>
        <w:rPr>
          <w:sz w:val="20"/>
          <w:szCs w:val="20"/>
          <w:color w:val="auto"/>
        </w:rPr>
      </w:pPr>
      <w:r>
        <w:rPr>
          <w:rFonts w:ascii="Arial" w:cs="Arial" w:eastAsia="Arial" w:hAnsi="Arial"/>
          <w:sz w:val="16"/>
          <w:szCs w:val="16"/>
          <w:color w:val="auto"/>
        </w:rPr>
        <w:t>(0.2)%</w:t>
      </w:r>
      <w:r>
        <w:rPr>
          <w:sz w:val="20"/>
          <w:szCs w:val="20"/>
          <w:color w:val="auto"/>
        </w:rPr>
        <w:tab/>
      </w:r>
      <w:r>
        <w:rPr>
          <w:rFonts w:ascii="Arial" w:cs="Arial" w:eastAsia="Arial" w:hAnsi="Arial"/>
          <w:sz w:val="16"/>
          <w:szCs w:val="16"/>
          <w:color w:val="auto"/>
        </w:rPr>
        <w:t>0.2 %</w:t>
      </w:r>
      <w:r>
        <w:rPr>
          <w:sz w:val="20"/>
          <w:szCs w:val="20"/>
          <w:color w:val="auto"/>
        </w:rPr>
        <w:tab/>
      </w:r>
      <w:r>
        <w:rPr>
          <w:rFonts w:ascii="Arial" w:cs="Arial" w:eastAsia="Arial" w:hAnsi="Arial"/>
          <w:sz w:val="14"/>
          <w:szCs w:val="14"/>
          <w:color w:val="auto"/>
        </w:rPr>
        <w:t>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34925</wp:posOffset>
            </wp:positionV>
            <wp:extent cx="722947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395605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1.5 %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3.4 %</w:t>
            </w:r>
          </w:p>
        </w:tc>
        <w:tc>
          <w:tcPr>
            <w:tcW w:w="110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3.0 %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1.1 %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3.2 %</w:t>
            </w:r>
          </w:p>
        </w:tc>
        <w:tc>
          <w:tcPr>
            <w:tcW w:w="11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5.1 %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2.0 %</w:t>
            </w:r>
          </w:p>
        </w:tc>
        <w:tc>
          <w:tcPr>
            <w:tcW w:w="11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70"/>
        </w:trPr>
        <w:tc>
          <w:tcPr>
            <w:tcW w:w="1060" w:type="dxa"/>
            <w:vAlign w:val="bottom"/>
          </w:tcPr>
          <w:p>
            <w:pPr>
              <w:jc w:val="right"/>
              <w:ind w:right="599"/>
              <w:spacing w:after="0"/>
              <w:rPr>
                <w:sz w:val="20"/>
                <w:szCs w:val="20"/>
                <w:color w:val="auto"/>
              </w:rPr>
            </w:pPr>
            <w:r>
              <w:rPr>
                <w:rFonts w:ascii="Arial" w:cs="Arial" w:eastAsia="Arial" w:hAnsi="Arial"/>
                <w:sz w:val="16"/>
                <w:szCs w:val="16"/>
                <w:color w:val="auto"/>
                <w:w w:val="87"/>
              </w:rPr>
              <w:t>1.8 %</w:t>
            </w:r>
          </w:p>
        </w:tc>
        <w:tc>
          <w:tcPr>
            <w:tcW w:w="1760" w:type="dxa"/>
            <w:vAlign w:val="bottom"/>
          </w:tcPr>
          <w:p>
            <w:pPr>
              <w:jc w:val="right"/>
              <w:ind w:right="599"/>
              <w:spacing w:after="0"/>
              <w:rPr>
                <w:sz w:val="20"/>
                <w:szCs w:val="20"/>
                <w:color w:val="auto"/>
              </w:rPr>
            </w:pPr>
            <w:r>
              <w:rPr>
                <w:rFonts w:ascii="Arial" w:cs="Arial" w:eastAsia="Arial" w:hAnsi="Arial"/>
                <w:sz w:val="16"/>
                <w:szCs w:val="16"/>
                <w:color w:val="auto"/>
              </w:rPr>
              <w:t>2.8 %</w:t>
            </w:r>
          </w:p>
        </w:tc>
        <w:tc>
          <w:tcPr>
            <w:tcW w:w="1100" w:type="dxa"/>
            <w:vAlign w:val="bottom"/>
          </w:tcPr>
          <w:p>
            <w:pPr>
              <w:jc w:val="right"/>
              <w:spacing w:after="0"/>
              <w:rPr>
                <w:sz w:val="20"/>
                <w:szCs w:val="20"/>
                <w:color w:val="auto"/>
              </w:rPr>
            </w:pPr>
            <w:r>
              <w:rPr>
                <w:rFonts w:ascii="Arial" w:cs="Arial" w:eastAsia="Arial" w:hAnsi="Arial"/>
                <w:sz w:val="16"/>
                <w:szCs w:val="16"/>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-664210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-321310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20955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6660" w:space="720"/>
            <w:col w:w="4040"/>
          </w:cols>
          <w:pgMar w:left="240" w:top="122" w:right="239" w:bottom="1440" w:gutter="0" w:footer="0" w:header="0"/>
          <w:type w:val="continuous"/>
        </w:sectPr>
      </w:pPr>
    </w:p>
    <w:tbl>
      <w:tblPr>
        <w:tblLayout w:type="fixed"/>
        <w:tblInd w:w="380" w:type="dxa"/>
        <w:tblCellMar>
          <w:top w:w="0" w:type="dxa"/>
          <w:left w:w="0" w:type="dxa"/>
          <w:bottom w:w="0" w:type="dxa"/>
          <w:right w:w="0" w:type="dxa"/>
        </w:tblCellMar>
      </w:tblPr>
      <w:tr>
        <w:trPr>
          <w:trHeight w:val="220"/>
        </w:trPr>
        <w:tc>
          <w:tcPr>
            <w:tcW w:w="4460" w:type="dxa"/>
            <w:vAlign w:val="bottom"/>
          </w:tcPr>
          <w:p>
            <w:pPr>
              <w:spacing w:after="0"/>
              <w:rPr>
                <w:sz w:val="20"/>
                <w:szCs w:val="20"/>
                <w:color w:val="auto"/>
              </w:rPr>
            </w:pPr>
            <w:r>
              <w:rPr>
                <w:rFonts w:ascii="Arial" w:cs="Arial" w:eastAsia="Arial" w:hAnsi="Arial"/>
                <w:sz w:val="16"/>
                <w:szCs w:val="16"/>
                <w:color w:val="auto"/>
              </w:rPr>
              <w:t>Outback Steakhouse - Brazil</w:t>
            </w:r>
          </w:p>
        </w:tc>
        <w:tc>
          <w:tcPr>
            <w:tcW w:w="3660" w:type="dxa"/>
            <w:vAlign w:val="bottom"/>
          </w:tcPr>
          <w:p>
            <w:pPr>
              <w:jc w:val="right"/>
              <w:ind w:right="599"/>
              <w:spacing w:after="0"/>
              <w:rPr>
                <w:sz w:val="20"/>
                <w:szCs w:val="20"/>
                <w:color w:val="auto"/>
              </w:rPr>
            </w:pPr>
            <w:r>
              <w:rPr>
                <w:rFonts w:ascii="Arial" w:cs="Arial" w:eastAsia="Arial" w:hAnsi="Arial"/>
                <w:sz w:val="16"/>
                <w:szCs w:val="16"/>
                <w:color w:val="auto"/>
              </w:rPr>
              <w:t>6.3 %</w:t>
            </w:r>
          </w:p>
        </w:tc>
        <w:tc>
          <w:tcPr>
            <w:tcW w:w="1780" w:type="dxa"/>
            <w:vAlign w:val="bottom"/>
          </w:tcPr>
          <w:p>
            <w:pPr>
              <w:jc w:val="right"/>
              <w:ind w:right="619"/>
              <w:spacing w:after="0"/>
              <w:rPr>
                <w:sz w:val="20"/>
                <w:szCs w:val="20"/>
                <w:color w:val="auto"/>
              </w:rPr>
            </w:pPr>
            <w:r>
              <w:rPr>
                <w:rFonts w:ascii="Arial" w:cs="Arial" w:eastAsia="Arial" w:hAnsi="Arial"/>
                <w:sz w:val="16"/>
                <w:szCs w:val="16"/>
                <w:color w:val="auto"/>
              </w:rPr>
              <w:t>6.5 %</w:t>
            </w:r>
          </w:p>
        </w:tc>
        <w:tc>
          <w:tcPr>
            <w:tcW w:w="1080" w:type="dxa"/>
            <w:vAlign w:val="bottom"/>
          </w:tcPr>
          <w:p>
            <w:pPr>
              <w:jc w:val="right"/>
              <w:spacing w:after="0"/>
              <w:rPr>
                <w:sz w:val="20"/>
                <w:szCs w:val="20"/>
                <w:color w:val="auto"/>
              </w:rPr>
            </w:pPr>
            <w:r>
              <w:rPr>
                <w:rFonts w:ascii="Arial" w:cs="Arial" w:eastAsia="Arial" w:hAnsi="Arial"/>
                <w:sz w:val="16"/>
                <w:szCs w:val="16"/>
                <w:color w:val="auto"/>
              </w:rPr>
              <w:t>6.0 %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2017, comparable restaurant sales compare the 53 weeks from December 26, 2016 through December 31, 2017 to the 53 weeks from December 28, 2015 through January 1, 2017.</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$24.3 million higher restaurant sales recognized in 2015 due to a change in our fiscal year end.</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Comparable restaurant sales exclude the effect of fluctuations in foreign currency rates. Relocated international restaurants closed more than 30 days and relocated U.S. restaurants closed more than 60 days are excluded from comparable restaurant sales until at least 18 months after reopening.</w:t>
      </w: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check per person increases (decreases)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63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U.S.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3,430</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Carrabba’s Italian Grill</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2,857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2,954</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Bonefish Grill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3,019</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4,277</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4,247</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Outback Steakhouse - Brazil (1)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4,429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4,137</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Outback Steakhouse</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31,969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33,812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33,758</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Carrabba’s Italian Grill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12,678</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Arial" w:cs="Arial" w:eastAsia="Arial" w:hAnsi="Arial"/>
                <w:sz w:val="16"/>
                <w:szCs w:val="16"/>
                <w:color w:val="auto"/>
              </w:rPr>
              <w:t>Bonefish Grill</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10,411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10,667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10,731</w:t>
            </w: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Fleming’s Prime Steakhouse &amp; Wine Bar</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3,432</w:t>
            </w:r>
          </w:p>
        </w:tc>
      </w:tr>
      <w:tr>
        <w:trPr>
          <w:trHeight w:val="224"/>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Outback Steakhouse - Brazil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3,563</w:t>
            </w:r>
          </w:p>
        </w:tc>
      </w:tr>
      <w:tr>
        <w:trPr>
          <w:trHeight w:val="193"/>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Translated at average exchange rates of 3.20, 3.50 and 3.19 for 2017, 2016 and 2015,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(1)</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franchise royalties and initial franchise fees.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0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0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r>
    </w:tbl>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 of sales, consisting of food and beverage costs, decreased as a percentage of Restaurant sales in 2017 as compared to 2016. The decrease as a percentage of Restaurant sales was primarily due to: (i) 0.4% from increases in average check per person, (ii) 0.4% from lower beef costs and (iii) 0.3% from the impact of certain cost savings initiatives. These decreases were partially offset by increases as a percentage of Restaurant sales primarily due to 0.5% from higher other commodity costs.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as a percentage of Restaurant sales in 2016 as compared to 2015 was primarily due to: (i) 0.7% from the impact of certain cost savings initiatives and (ii) 0.4% from average check increases. These decreases were partially offset by increases as a percentage of Restaurant sales due to 0.5% from higher commodity costs.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2018, we expect commodity costs to increase 3.0% to 3.5%.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40" w:type="dxa"/>
            <w:vAlign w:val="bottom"/>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96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1,211.3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Labor and other related expenses include all direct and indirect labor costs incurred in operations, including distribution expense to Restaurant Managing Partners, costs related to field deferred compensation plans and other field incentive compensation expenses. Labor and other related expenses increased as a percentage of Restaurant sales for 2017 as compared to 2016 primarily attributable to 1.5% of higher kitchen and service labor costs due to higher wage rates and investments in our service model. This was partially offset by a decrease as a percentage of Restaurant sales of 0.6% from increases in average check per person and 0.2% impact from the refranchising of Outback Steakhouse South Korea in 2016.</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Labor and other related expenses increased as a percentage of Restaurant sales for 2016 as compared to 2015 due to 1.2% of higher kitchen and service labor costs due to higher wage rates and investments in our service model. This increase was partially offset by a decrease as a percentage of Restaurant sales due to 0.4% from increases in average check per person.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In 2018, we anticipate approximately 4.0% labor cost inflation.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20" w:type="dxa"/>
            <w:vAlign w:val="bottom"/>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979.0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992.2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99"/>
              </w:rPr>
              <w:t>992.2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6"/>
              </w:rPr>
              <w:t>1,006.8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r>
    </w:tbl>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was flat for 2017 as compared to 2016 and was the result of increases as a percentage of Restaurant sales primarily due to 0.5% from operating expense inflation and 0.3% from higher rent expense due to the sale-leaseback of certain properties. These increases were offset by a decrease as a percentage of Restaurant sales primarily due to 0.6% from lower advertising expenses in 2017 and 0.2% from the impact of certain cost savings initiatives.</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increase as a percentage of Restaurant sales for 2016 as compared to 2015 was primarily due to 0.4% from an increase in operating expenses due to inflation and timing and 0.3% from higher net rent expense due to the sale-leaseback of certain properties. These increases were partially offset by a decrease as a percentage of Restaurant sales primarily due to 0.3% from the impact of certain cost savings initiatives.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192.3</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193.8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193.8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Depreciation and amortization decreased for 2017 as compared to 2016 primarily due to: (i) disposal of assets related to the sale-leaseback of certain properties, (ii) refranchising internationally and domestically and (iii) assets impaired in connection with the 2017 Closure Initiative, partially offset by additional depreciation expense related to the opening of new restaurants and the relocation or remodel of our existing restaurants.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increased for 2016 as compared to 2015 primarily due to the opening of new restaurants and the remodeling of existing restaurants, partially offset by lower depreciation expense related to: (i) the refranchising of Outback South Korea, (ii) impairments related to the Bonefish Grill Restructuring and (iii) the effect of foreign currency translation.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22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General and administrative expense includes salaries and benefits, management incentive programs, related payroll tax and benefits, other employee-related costs and professional services. Following is a summary of the changes in general and administrative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2016 and 2015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Incentive compensation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Legal and professional fees</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Severance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Life insurance and deferred compensation</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Computer expense</w:t>
            </w:r>
          </w:p>
        </w:tc>
        <w:tc>
          <w:tcPr>
            <w:tcW w:w="38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Compensation, benefits and payroll tax</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For fiscal years 2017 and 2016</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increase in incentive compensation was driven by improved sales and profit performance against current year objectives.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06"/>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w:t>
            </w:r>
          </w:p>
        </w:tc>
        <w:tc>
          <w:tcPr>
            <w:tcW w:w="4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restaurant closings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52.3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67.9</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Restructuring and Closure Initiatives - </w:t>
      </w:r>
      <w:r>
        <w:rPr>
          <w:rFonts w:ascii="Arial" w:cs="Arial" w:eastAsia="Arial" w:hAnsi="Arial"/>
          <w:sz w:val="20"/>
          <w:szCs w:val="20"/>
          <w:color w:val="auto"/>
        </w:rPr>
        <w:t>Following is a summary of expenses related to the 2017 Closure Initiative, Bonefish Restructuring and</w:t>
      </w:r>
      <w:r>
        <w:rPr>
          <w:rFonts w:ascii="Arial" w:cs="Arial" w:eastAsia="Arial" w:hAnsi="Arial"/>
          <w:sz w:val="20"/>
          <w:szCs w:val="20"/>
          <w:i w:val="1"/>
          <w:iCs w:val="1"/>
          <w:color w:val="auto"/>
        </w:rPr>
        <w:t xml:space="preserve"> </w:t>
      </w:r>
      <w:r>
        <w:rPr>
          <w:rFonts w:ascii="Arial" w:cs="Arial" w:eastAsia="Arial" w:hAnsi="Arial"/>
          <w:sz w:val="20"/>
          <w:szCs w:val="20"/>
          <w:color w:val="auto"/>
        </w:rPr>
        <w:t>Pre-2015 Restaurant Closure Initiatives (the “Closure Initiatives”) recognized in Provision for impaired assets and restaurant closings in our Consolidated Statements of Operations and Comprehensive Income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2017 Closure Initiative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Restructuring (2)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70"/>
        </w:trPr>
        <w:tc>
          <w:tcPr>
            <w:tcW w:w="6400" w:type="dxa"/>
            <w:vAlign w:val="bottom"/>
          </w:tcPr>
          <w:p>
            <w:pPr>
              <w:ind w:left="280"/>
              <w:spacing w:after="0"/>
              <w:rPr>
                <w:sz w:val="20"/>
                <w:szCs w:val="20"/>
                <w:color w:val="auto"/>
              </w:rPr>
            </w:pPr>
            <w:r>
              <w:rPr>
                <w:rFonts w:ascii="Arial" w:cs="Arial" w:eastAsia="Arial" w:hAnsi="Arial"/>
                <w:sz w:val="16"/>
                <w:szCs w:val="16"/>
                <w:color w:val="auto"/>
              </w:rPr>
              <w:t>Pre-2015 Closure Initiatives (3)</w:t>
            </w:r>
          </w:p>
        </w:tc>
        <w:tc>
          <w:tcPr>
            <w:tcW w:w="40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 for Closure Initiatives</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660" w:right="20" w:hanging="652"/>
        <w:spacing w:after="0" w:line="263"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February 15, 2017 and August 28, 2017, we decided to close 43 underperforming restaurants in the U.S. and two Abbraccio restaurants outside of the core markets of São Paulo and Rio de Janeiro in Brazil (the “2017 Closure Initiative”). In connection with the 2017 Closure Initiative, we reassessed the future undiscounted cash flows of the impacted restaurants, and as a result, we recognized pre-tax asset impairments. We expect to incur additional charges of approximately $2.9 million to $3.8 million for the 2017 Closure Initiative over the next two years, including costs associated with lease obligations.</w:t>
      </w:r>
    </w:p>
    <w:p>
      <w:pPr>
        <w:jc w:val="both"/>
        <w:ind w:left="660" w:hanging="652"/>
        <w:spacing w:after="0" w:line="24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February 2016, we decided to close 14 Bonefish restaurants (the “Bonefish Restructuring”). We expect to substantially complete these restaurant closings through the first quarter of 2019 and we expect to incur additional charges of approximately $1.6 million to $2.3 million for the Bonefish Restructuring over the next two years, including costs associated with lease obligations.</w:t>
      </w:r>
    </w:p>
    <w:p>
      <w:pPr>
        <w:spacing w:after="0" w:line="1"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2014 and 2013, we decided to close 36 underperforming international locations, primarily in South Korea and 22 underperforming domestic locations (the “Pre-2015 Closure Initiatives”).</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Sale of Outback Steakhouse South Korea </w:t>
      </w:r>
      <w:r>
        <w:rPr>
          <w:rFonts w:ascii="Arial" w:cs="Arial" w:eastAsia="Arial" w:hAnsi="Arial"/>
          <w:sz w:val="20"/>
          <w:szCs w:val="20"/>
          <w:color w:val="auto"/>
        </w:rPr>
        <w:t>- On July 25, 2016, we completed the sale of Outback Steakhouse South Korea, converting all</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in that market to franchised locations. In connection with the decision to sell Outback Steakhouse South Korea, we recognized an impairment charge of $39.6 million during 2016.</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During 2017, we recognized impairment charges of $10.7 million in connection with the remeasurement of certain held</w:t>
      </w:r>
      <w:r>
        <w:rPr>
          <w:rFonts w:ascii="Arial" w:cs="Arial" w:eastAsia="Arial" w:hAnsi="Arial"/>
          <w:sz w:val="20"/>
          <w:szCs w:val="20"/>
          <w:i w:val="1"/>
          <w:iCs w:val="1"/>
          <w:color w:val="auto"/>
        </w:rPr>
        <w:t xml:space="preserve"> </w:t>
      </w:r>
      <w:r>
        <w:rPr>
          <w:rFonts w:ascii="Arial" w:cs="Arial" w:eastAsia="Arial" w:hAnsi="Arial"/>
          <w:sz w:val="20"/>
          <w:szCs w:val="20"/>
          <w:color w:val="auto"/>
        </w:rPr>
        <w:t>and used surplus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Other Impairments </w:t>
      </w:r>
      <w:r>
        <w:rPr>
          <w:rFonts w:ascii="Arial" w:cs="Arial" w:eastAsia="Arial" w:hAnsi="Arial"/>
          <w:sz w:val="19"/>
          <w:szCs w:val="19"/>
          <w:color w:val="auto"/>
        </w:rPr>
        <w:t>- During the fourth quarter of 2017, we recognized asset impairment charges of $6.3 million for our China subsidiary.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During 2016, we recognized impairment charges of $3.5 million for our Puerto Rico subsidiary.</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restaurant impairment and closing charges resulted from: (i) the carrying value of a restaurant’s assets exceeding its estimated fair market value, primarily due to locations identified for relocation, sale or closure and (ii) lease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5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jc w:val="right"/>
              <w:ind w:right="56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00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540" w:type="dxa"/>
            <w:vAlign w:val="bottom"/>
          </w:tcPr>
          <w:p>
            <w:pPr>
              <w:ind w:left="280"/>
              <w:spacing w:after="0"/>
              <w:rPr>
                <w:sz w:val="20"/>
                <w:szCs w:val="20"/>
                <w:color w:val="auto"/>
              </w:rPr>
            </w:pPr>
            <w:r>
              <w:rPr>
                <w:rFonts w:ascii="Arial" w:cs="Arial" w:eastAsia="Arial" w:hAnsi="Arial"/>
                <w:sz w:val="16"/>
                <w:szCs w:val="16"/>
                <w:color w:val="auto"/>
              </w:rPr>
              <w:t>%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24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increase in income from operations during 2017 as compared to 2016 was primarily due to lower impairment charges, primarily related to the 2017 Closure Initiative and refranchising of Outback Steakhouse South Korea in 2016, the impact of the 53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week in 2017, increases in franchise and other revenues and increases in average check per person. These increases were partially offset by higher general and administrative expense and labor costs.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decrease in income from operations during 2016 as compared to 2015 was primarily due to impairment charges incurred in connection with the 2017 Closure Initiative and the refranchising of Outback South Korea, higher labor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costs and commodity and operating expense inflation. These decreases were partially offset by lower general and administrative expense, the impact of certain cost saving initiatives and increases in average check per person.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defeasance, extinguishment and modification of debt</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4"/>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22"/>
                <w:szCs w:val="22"/>
                <w:color w:val="auto"/>
              </w:rPr>
            </w:pPr>
          </w:p>
        </w:tc>
        <w:tc>
          <w:tcPr>
            <w:tcW w:w="1240" w:type="dxa"/>
            <w:vAlign w:val="bottom"/>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22"/>
                <w:szCs w:val="22"/>
                <w:color w:val="auto"/>
              </w:rPr>
            </w:pPr>
          </w:p>
        </w:tc>
        <w:tc>
          <w:tcPr>
            <w:tcW w:w="1200" w:type="dxa"/>
            <w:vAlign w:val="bottom"/>
          </w:tcPr>
          <w:p>
            <w:pPr>
              <w:jc w:val="right"/>
              <w:ind w:right="56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ind w:right="56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23"/>
              <w:spacing w:after="0"/>
              <w:rPr>
                <w:sz w:val="20"/>
                <w:szCs w:val="20"/>
                <w:color w:val="auto"/>
              </w:rPr>
            </w:pPr>
            <w:r>
              <w:rPr>
                <w:rFonts w:ascii="Arial" w:cs="Arial" w:eastAsia="Arial" w:hAnsi="Arial"/>
                <w:sz w:val="14"/>
                <w:szCs w:val="14"/>
                <w:b w:val="1"/>
                <w:bCs w:val="1"/>
                <w:color w:val="auto"/>
                <w:w w:val="97"/>
              </w:rPr>
              <w:t>Change</w:t>
            </w:r>
          </w:p>
        </w:tc>
      </w:tr>
      <w:tr>
        <w:trPr>
          <w:trHeight w:val="20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Loss on defeasance, extinguishment</w:t>
            </w: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0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modification of debt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24.0</w:t>
            </w:r>
          </w:p>
        </w:tc>
      </w:tr>
      <w:tr>
        <w:trPr>
          <w:trHeight w:val="33"/>
        </w:trPr>
        <w:tc>
          <w:tcPr>
            <w:tcW w:w="2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recognized a loss on defeasance, extinguishment and modification of debt in connection with the: (i) the defeasance of the 2012 CMBS loan and the amendment of the PRP Mortgage Loan in 2016 and (ii) the refinancing of our Senior Secured Credit Facility in 2017 and 2015.</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income (expense), net</w:t>
      </w:r>
    </w:p>
    <w:p>
      <w:pPr>
        <w:spacing w:after="0" w:line="229"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Other income (expense), net, includes items deemed to be non-operating based on management’s assessment of the nature of the item in relation to our core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3"/>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14.9</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other income (expense) primarily in connection with: (i) gains on sale of 55 of our U.S. Company-owned locations during 2017, (ii) a gain on refranchising of Outback Steakhouse South Korea in 2016 and (iii) a loss on sale of our Roy’s business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4"/>
        </w:trPr>
        <w:tc>
          <w:tcPr>
            <w:tcW w:w="26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22"/>
                <w:szCs w:val="22"/>
                <w:color w:val="auto"/>
              </w:rPr>
            </w:pPr>
          </w:p>
        </w:tc>
        <w:tc>
          <w:tcPr>
            <w:tcW w:w="1220" w:type="dxa"/>
            <w:vAlign w:val="bottom"/>
          </w:tcPr>
          <w:p>
            <w:pPr>
              <w:jc w:val="right"/>
              <w:ind w:right="58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ind w:right="60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3"/>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43"/>
              <w:spacing w:after="0"/>
              <w:rPr>
                <w:sz w:val="20"/>
                <w:szCs w:val="20"/>
                <w:color w:val="auto"/>
              </w:rPr>
            </w:pPr>
            <w:r>
              <w:rPr>
                <w:rFonts w:ascii="Arial" w:cs="Arial" w:eastAsia="Arial" w:hAnsi="Arial"/>
                <w:sz w:val="14"/>
                <w:szCs w:val="14"/>
                <w:b w:val="1"/>
                <w:bCs w:val="1"/>
                <w:color w:val="auto"/>
                <w:w w:val="97"/>
              </w:rPr>
              <w:t>Change</w:t>
            </w:r>
          </w:p>
        </w:tc>
      </w:tr>
      <w:tr>
        <w:trPr>
          <w:trHeight w:val="224"/>
        </w:trPr>
        <w:tc>
          <w:tcPr>
            <w:tcW w:w="2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41.4</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45.7</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2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interest expense, net in 2017 as compared to 2016 was primarily due to refinancing of the 2012 CMBS loan in February 2016 and subsequent repayment of the PRP Mortgage loan in April 2017, partially offset by additional draws on our revolving credit facility and increasing interest rates.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in interest expense, net in 2016 as compared to 2015 was primarily due to the refinancing of the 2012 CMBS loan in February 2016, partially offset by deferred financing fee amortization, additional draws on our revolving credit facility and expense related to the interest rate swaps.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5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560" w:type="dxa"/>
            <w:vAlign w:val="bottom"/>
            <w:gridSpan w:val="2"/>
            <w:shd w:val="clear" w:color="auto" w:fill="CCEEFF"/>
          </w:tcPr>
          <w:p>
            <w:pPr>
              <w:jc w:val="right"/>
              <w:ind w:right="1828"/>
              <w:spacing w:after="0"/>
              <w:rPr>
                <w:sz w:val="20"/>
                <w:szCs w:val="20"/>
                <w:color w:val="auto"/>
              </w:rPr>
            </w:pPr>
            <w:r>
              <w:rPr>
                <w:rFonts w:ascii="Arial" w:cs="Arial" w:eastAsia="Arial" w:hAnsi="Arial"/>
                <w:sz w:val="16"/>
                <w:szCs w:val="16"/>
                <w:color w:val="auto"/>
                <w:w w:val="93"/>
              </w:rPr>
              <w:t>Effective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2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decrease in the effective income tax rate in 2017 as compared to 2016 was primarily due to impairment and additional tax liabilities recorded in connection with the refranchising of Outback Steakhouse South Korea in 2016. The remaining decrease was primarily due to a domestic manufacturing deduction and excess tax benefits from equity-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compensation arrangements recorded in 2017. These decreases were mostly offset by employment-related credits being a lower percentage of net income in 2017 relative to 2016 and the impact of the Tax Act.</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decrease in the effective income tax rate in 2016 as compared to 2015 was primarily due to benefits from employment-related credits being a higher percentage of net income in 2016 and a change in the amount and mix of income and losses across our domestic and international subsidiaries, partially offset by the refranchising of Outback Steakhouse South Korea.</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effective income tax rate for 2017, 2016 and 2015 was lower than the blended federal and state statutory rate of 39.0%, primarily due to the benefit of tax credits for FICA taxes on certain employees’ tips.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We estimate our effective income tax rate for 2018 will be between 9% and 10%.</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two reportable segments, U.S. and International, which reflects how we manage our business, review operating performance and allocate resources. The U.S. segment includes all brands operating in the U.S. while brands operating outside the U.S. are included in the International segment. Resources are allocated and performance is assessed by our Chief Executive Officer, whom we have determined to be our Chief Operating Decision Maker.</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excludes intersegment revenues. Excluded from income from operations for U.S. and International are legal and certain corporate costs not directly related to the performance of the segments, certain stock-based compensation expenses and certain bonus expense.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reconciliation of segment income (loss) from operations to the consolidated operating results: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297,260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286,683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348,731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28,916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34,597</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326,176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280,729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383,328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(152,403)</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146,092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127,606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230,925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(2,956)</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14,912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(56,176)</w:t>
            </w: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118,543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56,491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170,854</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2015</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3,718,261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3,777,907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3,857,162</w:t>
            </w:r>
          </w:p>
        </w:tc>
      </w:tr>
      <w:tr>
        <w:trPr>
          <w:trHeight w:val="33"/>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32,698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19,402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22,581</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3,750,959</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3,797,309</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3,879,743</w:t>
            </w:r>
          </w:p>
        </w:tc>
      </w:tr>
      <w:tr>
        <w:trPr>
          <w:trHeight w:val="33"/>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37"/>
        </w:trPr>
        <w:tc>
          <w:tcPr>
            <w:tcW w:w="630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40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297,260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286,683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348,731</w:t>
            </w:r>
          </w:p>
        </w:tc>
      </w:tr>
      <w:tr>
        <w:trPr>
          <w:trHeight w:val="33"/>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6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2017 and 2016:</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 (1)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2016 and 2015</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3,777.9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3,857.2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 (2)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Restaurant closings</w:t>
            </w:r>
          </w:p>
        </w:tc>
        <w:tc>
          <w:tcPr>
            <w:tcW w:w="32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 (3)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Comparable restaurant sales (3)</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106.8</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2017 and 2016</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3,718.3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3,777.9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19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$79.9 million of additional restaurant sales from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of 2017.</w:t>
      </w: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Fiscal year 2016 includes $5.7 million related to divestiture of Roy’s.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decrease in U.S. Restaurant sales in 2017 was primarily attributable to the refranchising of certain Company-owned restaurants during the second quarter and the closing of 52 restaurants since December 27, 2015. The decrease in U.S. Restaurant sales was partially offset by: (i) restaurant sales during the 53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week of 2017, (ii) sales from 21 new restaurants not included in our comparable restaurant sales base and (iii) an increase in comparable restaurant sales.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U.S. Restaurant sales in 2016 as compared to 2015 was primarily attributable to: (i) lower comparable restaurant sales, (ii) the closing of 18 restaurants since December 28, 2014 and (iii) the sale of 20 Roy’s restaurants in January 2015. The decrease in U.S. Restaurant sales was partially offset by sales from 38 new restaurants not included in our comparable restaurant sales base.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Restaurant-level operating margin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decrease in U.S. restaurant-level operating margin in 2017 as compared to 2016 was primarily due to: (i) higher kitchen and service labor costs due to higher wage rates and investments in our service model, (ii) an increase in operating expenses due to inflation and timing and (iii) higher net rent expense due to the sale-leaseback of certain properties. These increases were partially offset by: (i) lower advertising expense,</w:t>
      </w:r>
    </w:p>
    <w:p>
      <w:pPr>
        <w:spacing w:after="0" w:line="1"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impact of certain cost saving initiatives and (iii) increases in average check per person.</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restaurant-level operating margin in 2016 as compared to 2015 was primarily due to: (i) higher kitchen and service labor costs due to higher wage rates and investments in our service model, (ii) an increase in operating expenses due to inflation and timing and (iii) higher net rent expense due to the sale-leaseback of certain properties. These increases were partially offset by: (i) the impact of certain cost saving initiatives and (ii) increases in average check per person.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U.S. income from operations generated in 2017 as compared to 2016 was primarily due to: (i) lower impairment and restaurant closing costs, primarily related to the 2017 Closure Initiative in 2016 and (ii) increases in franchise and other revenues, partially offset by a decrease in operating margin at the restaurant-level.</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decrease in U.S. income from operations generated in 2016 as compared to 2015 was primarily due to: (i) higher impairment and restaurant closing costs, primarily related to the 2017 Closure Initiative and (ii) lower operating margin at the restaurant level, partially offset by lower general and administrative expense. General and administrative expense for the U.S. segment decreased primarily from lower deferred compensation expense due to the acquisition of a managing partner’s interests in certain Outback Steakhouse restaurants.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2015</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450,397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41"/>
              <w:spacing w:after="0"/>
              <w:rPr>
                <w:sz w:val="20"/>
                <w:szCs w:val="20"/>
                <w:color w:val="auto"/>
              </w:rPr>
            </w:pPr>
            <w:r>
              <w:rPr>
                <w:rFonts w:ascii="Arial" w:cs="Arial" w:eastAsia="Arial" w:hAnsi="Arial"/>
                <w:sz w:val="16"/>
                <w:szCs w:val="16"/>
                <w:color w:val="auto"/>
              </w:rPr>
              <w:t>448,150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492,759</w:t>
            </w:r>
          </w:p>
        </w:tc>
      </w:tr>
      <w:tr>
        <w:trPr>
          <w:trHeight w:val="33"/>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11,990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6,853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5,174</w:t>
            </w:r>
          </w:p>
        </w:tc>
      </w:tr>
      <w:tr>
        <w:trPr>
          <w:trHeight w:val="270"/>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462,387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455,003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497,933</w:t>
            </w:r>
          </w:p>
        </w:tc>
      </w:tr>
      <w:tr>
        <w:trPr>
          <w:trHeight w:val="23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Income (loss) from operations</w:t>
            </w:r>
          </w:p>
        </w:tc>
        <w:tc>
          <w:tcPr>
            <w:tcW w:w="40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28,916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(5,954)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34,597</w:t>
            </w:r>
          </w:p>
        </w:tc>
      </w:tr>
      <w:tr>
        <w:trPr>
          <w:trHeight w:val="33"/>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(loss) margin</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6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fiscal years 2016 and 2015</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448.2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38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 (1)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Refranchising of Outback Steakhouse South Korea</w:t>
            </w:r>
          </w:p>
        </w:tc>
        <w:tc>
          <w:tcPr>
            <w:tcW w:w="380" w:type="dxa"/>
            <w:vAlign w:val="bottom"/>
          </w:tcPr>
          <w:p>
            <w:pPr>
              <w:spacing w:after="0"/>
              <w:rPr>
                <w:sz w:val="20"/>
                <w:szCs w:val="20"/>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closings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For fiscal years 2017 and 2016</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increase in Restaurant sales in 2017 was primarily attributable to: (i) sales from 48 new restaurants not included in our comparable restaurant sales base, (ii) the effect of foreign currency translation due to appreciation of the Brazilian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Real and (iii) an increase in comparable restaurant sales. The increase in restaurant sales was partially offset by the refranchising of 72 Outback Steakhouse South Korea restaurants in July 2016.</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Restaurant sales in 2016 as compared to 2015 was primarily attributable to: (i) the refranchising of 72 Outback Steakhouse South Korea restaurants in July 2016, (ii) the effect of foreign currency translation and (iii) the closing of six restaurants since December 28, 2014. The decrease in restaurant sales was partially offset by: (i) sales from 54 new restaurants not included in our comparable restaurant sales base and (ii) an increase in comparable restaurant sales.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Restaurant-level operating margin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International restaurant-level operating margin in 2017 as compared to 2016 was primarily due to: (i) increases in average check per person, (ii) the impact of the refranchising of Outback Steakhouse South Korea in 2016 and (iii) the impact of certain cost saving initiatives. The increase was partially offset by labor, commodity and operating expense inflation.</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in International restaurant-level operating margin in 2016 as compared to 2015 was primarily due to: (i) higher commodity and labor inflation and (ii) higher operating expenses due to inflation. The decrease was partially offset by: (i) increases in average check per person and (ii) the impact of certain cost saving initiatives.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(loss) from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increase in International income from operations in 2017 as compared to 2016 was primarily due to: (i) lower impairment charges, primarily related to the refranchising of Outback Steakhouse South Korea in 2016, (ii) higher operating margin at the restaurant-level and (iii) increases in franchise and other revenues, partially offset by higher general and administrative expense. General and administrative expense for the International segment increased primarily from the effects of foreign currency translation.</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in International income from operations in 2016 as compared to 2015 was primarily due to higher impairment charges related to the refranchising of Outback Steakhouse South Korea and lower operating margin at the restaurant-level, partially offset by lower general and administrative expense.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system-wide sales, (ii) Adjusted restaurant-level operating margins, (iii) Adjusted income from operations and the corresponding margins, (iv) Adjusted net income and (v) Adjusted diluted earnings per share.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establish employee incentive plans.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are not intended to replace U.S. GAAP financial measures, and they are not necessarily standardized or comparable to similarly titled measures used by other companies. We maintain internal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previously announced, based on a review of our non-GAAP presentations, we determined that, commencing with our results for the first fiscal quarter of 2017, when presenting the non-GAAP measures Adjusted income from operations and the corresponding margins, Adjusted net income and Adjusted diluted earnings per share, we no longer adjust for expenses incurred in connection with our remodel program or intangible amortization recorded as a result of the acquisition of our Brazil operations. We recast the historical comparable periods to conform to the revised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System-Wide Sales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sales of Company-owned restaurants: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COMPANY-OWNED RESTAURANT SALES (dollars in millions):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Outback Steakhouse (1)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2,136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64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Steakhouse-Brazil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Outback Steakhouse-South Korea (2)</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International Total</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Company-owned restaurant sales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July 25, 2016, we sold our restaurant locations in South Korea, converting all restaurants in that market to franchised locations.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provides a summary of sales of franchised restaurants, which are not included in our consolidated financial results, and our income from the royalties and/or service fees that franchisees pay us based generally on a percentage of sales. The following table does not represent our sales and is presented only as an indicator of changes in the restaurant system, which management believes is important information regarding the health of our restaurant concepts and in determining our royalties and/or service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FRANCHISE SALES (dollars in millions): (1)</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Outback Steakhouse (2)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 (3)</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franchise sales (1)</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784</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543</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4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from franchises (4)</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2017, we sold 53 Outback Steakhouse restaurants and one Carrabba’s Italian Grill restaurant,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July 25, 2016, we sold our restaurant locations in South Korea, converting all restaurants in that market to franchised locations.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franchise royalty income and initial franchise fees included in the Consolidated Statements of Operations and Comprehensive Income in Franchise and other revenues.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restaurant-level operating margin</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Restaurant-level operating margin is calculated as Restaurant sales after deduction of the main restaurant-level operating costs, which includes Cost of sales, Labor and other related and Other restaurant operating expenses. Adjusted restaurant-level operating margin is Restaurant-level operating margin adjusted for certain items, as noted below. The following tables show the percentages of certain operating cost financial statement line items in relation to Restaurant sales on both a U.S. GAAP basis and an adjusted basis, as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FISCAL YEAR</w:t>
            </w: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 GAAP</w:t>
            </w: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 (1)</w:t>
            </w:r>
          </w:p>
        </w:tc>
        <w:tc>
          <w:tcPr>
            <w:tcW w:w="1660" w:type="dxa"/>
            <w:vAlign w:val="bottom"/>
            <w:gridSpan w:val="3"/>
          </w:tcPr>
          <w:p>
            <w:pPr>
              <w:ind w:left="340"/>
              <w:spacing w:after="0"/>
              <w:rPr>
                <w:sz w:val="20"/>
                <w:szCs w:val="20"/>
                <w:color w:val="auto"/>
              </w:rPr>
            </w:pPr>
            <w:r>
              <w:rPr>
                <w:rFonts w:ascii="Arial" w:cs="Arial" w:eastAsia="Arial" w:hAnsi="Arial"/>
                <w:sz w:val="14"/>
                <w:szCs w:val="14"/>
                <w:b w:val="1"/>
                <w:bCs w:val="1"/>
                <w:color w:val="auto"/>
              </w:rPr>
              <w:t>U.S. GAAP</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(2)</w:t>
            </w:r>
          </w:p>
        </w:tc>
        <w:tc>
          <w:tcPr>
            <w:tcW w:w="16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 GAAP</w:t>
            </w:r>
          </w:p>
        </w:tc>
        <w:tc>
          <w:tcPr>
            <w:tcW w:w="1240" w:type="dxa"/>
            <w:vAlign w:val="bottom"/>
          </w:tcPr>
          <w:p>
            <w:pPr>
              <w:jc w:val="right"/>
              <w:ind w:right="140"/>
              <w:spacing w:after="0"/>
              <w:rPr>
                <w:sz w:val="20"/>
                <w:szCs w:val="20"/>
                <w:color w:val="auto"/>
              </w:rPr>
            </w:pPr>
            <w:r>
              <w:rPr>
                <w:rFonts w:ascii="Arial" w:cs="Arial" w:eastAsia="Arial" w:hAnsi="Arial"/>
                <w:sz w:val="14"/>
                <w:szCs w:val="14"/>
                <w:b w:val="1"/>
                <w:bCs w:val="1"/>
                <w:color w:val="auto"/>
              </w:rPr>
              <w:t>ADJUSTED (3)</w:t>
            </w:r>
          </w:p>
        </w:tc>
      </w:tr>
      <w:tr>
        <w:trPr>
          <w:trHeight w:val="237"/>
        </w:trPr>
        <w:tc>
          <w:tcPr>
            <w:tcW w:w="20" w:type="dxa"/>
            <w:vAlign w:val="bottom"/>
          </w:tcPr>
          <w:p>
            <w:pPr>
              <w:spacing w:after="0"/>
              <w:rPr>
                <w:sz w:val="20"/>
                <w:szCs w:val="20"/>
                <w:color w:val="auto"/>
              </w:rPr>
            </w:pPr>
          </w:p>
        </w:tc>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37"/>
        </w:trPr>
        <w:tc>
          <w:tcPr>
            <w:tcW w:w="2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3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33"/>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97"/>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193"/>
        </w:trPr>
        <w:tc>
          <w:tcPr>
            <w:tcW w:w="2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_________________</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660" w:right="2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adjustments for the write-off of $5.7 million of deferred rent liabilities associated with approved closure and restructuring initiatives and our relocation program, recorded in Other restaurant operating.</w:t>
      </w:r>
    </w:p>
    <w:p>
      <w:pPr>
        <w:jc w:val="both"/>
        <w:ind w:left="660" w:hanging="652"/>
        <w:spacing w:after="0" w:line="24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adjustments for the write-off of $5.9 million of deferred rent liabilities, primarily related to approved closure and restructuring initiatives, partially offset by $2.3 million of legal settlement costs related to the Sears matter. The reversal of the deferred rent liabilities and the legal settlement were recorded in Other restaurant operating.</w:t>
      </w:r>
    </w:p>
    <w:p>
      <w:pPr>
        <w:spacing w:after="0" w:line="1" w:lineRule="exact"/>
        <w:rPr>
          <w:rFonts w:ascii="Arial" w:cs="Arial" w:eastAsia="Arial" w:hAnsi="Arial"/>
          <w:sz w:val="16"/>
          <w:szCs w:val="16"/>
          <w:color w:val="auto"/>
        </w:rPr>
      </w:pPr>
    </w:p>
    <w:p>
      <w:pPr>
        <w:jc w:val="both"/>
        <w:ind w:left="660" w:hanging="652"/>
        <w:spacing w:after="0" w:line="25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adjustments for the favorable resolution of payroll tax audit contingencies of $5.6 million, partially offset by legal settlement costs of $4.0 million, primarily related to the Cordoza litigation. The payroll audit adjustment was recorded in Labor and other related and the legal settlement was recorded in Other restaurant operating.</w:t>
      </w:r>
    </w:p>
    <w:p>
      <w:pPr>
        <w:sectPr>
          <w:pgSz w:w="11900" w:h="16838" w:orient="portrait"/>
          <w:cols w:equalWidth="0" w:num="1">
            <w:col w:w="11420"/>
          </w:cols>
          <w:pgMar w:left="240" w:top="122"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reconciles Adjusted income from operations and the corresponding margins, Adjusted net income and Adjusted diluted earnings per share to their respective most comparable U.S. GAAP measures: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146,092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127,606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230,925</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Restaurant impairments and closing costs (1)</w:t>
            </w:r>
          </w:p>
        </w:tc>
        <w:tc>
          <w:tcPr>
            <w:tcW w:w="3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23,770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45,806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33,507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impairments and related costs (2)</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12,539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3,185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Transaction-related expenses (5)</w:t>
            </w:r>
          </w:p>
        </w:tc>
        <w:tc>
          <w:tcPr>
            <w:tcW w:w="3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Legal and contingent matters (6)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5,843</w:t>
            </w:r>
          </w:p>
        </w:tc>
        <w:tc>
          <w:tcPr>
            <w:tcW w:w="0" w:type="dxa"/>
            <w:vAlign w:val="bottom"/>
          </w:tcPr>
          <w:p>
            <w:pPr>
              <w:spacing w:after="0"/>
              <w:rPr>
                <w:sz w:val="1"/>
                <w:szCs w:val="1"/>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6"/>
                <w:szCs w:val="16"/>
                <w:color w:val="auto"/>
              </w:rPr>
              <w:t>Payroll tax audit contingency (7)</w:t>
            </w:r>
          </w:p>
        </w:tc>
        <w:tc>
          <w:tcPr>
            <w:tcW w:w="360" w:type="dxa"/>
            <w:vAlign w:val="bottom"/>
          </w:tcPr>
          <w:p>
            <w:pPr>
              <w:spacing w:after="0"/>
              <w:rPr>
                <w:sz w:val="23"/>
                <w:szCs w:val="2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(5,587)</w:t>
            </w:r>
          </w:p>
        </w:tc>
        <w:tc>
          <w:tcPr>
            <w:tcW w:w="0" w:type="dxa"/>
            <w:vAlign w:val="bottom"/>
          </w:tcPr>
          <w:p>
            <w:pPr>
              <w:spacing w:after="0"/>
              <w:rPr>
                <w:sz w:val="1"/>
                <w:szCs w:val="1"/>
                <w:color w:val="auto"/>
              </w:rPr>
            </w:pPr>
          </w:p>
        </w:tc>
      </w:tr>
      <w:tr>
        <w:trPr>
          <w:trHeight w:val="257"/>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68,312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109,170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38,988</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income from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214,404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236,776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269,913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127,327</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operations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68,312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38,988</w:t>
            </w:r>
          </w:p>
        </w:tc>
        <w:tc>
          <w:tcPr>
            <w:tcW w:w="0" w:type="dxa"/>
            <w:vAlign w:val="bottom"/>
          </w:tcPr>
          <w:p>
            <w:pPr>
              <w:spacing w:after="0"/>
              <w:rPr>
                <w:sz w:val="1"/>
                <w:szCs w:val="1"/>
                <w:color w:val="auto"/>
              </w:rPr>
            </w:pPr>
          </w:p>
        </w:tc>
      </w:tr>
      <w:tr>
        <w:trPr>
          <w:trHeight w:val="237"/>
        </w:trPr>
        <w:tc>
          <w:tcPr>
            <w:tcW w:w="6640" w:type="dxa"/>
            <w:vAlign w:val="bottom"/>
          </w:tcPr>
          <w:p>
            <w:pPr>
              <w:ind w:left="180"/>
              <w:spacing w:after="0"/>
              <w:rPr>
                <w:sz w:val="20"/>
                <w:szCs w:val="20"/>
                <w:color w:val="auto"/>
              </w:rPr>
            </w:pPr>
            <w:r>
              <w:rPr>
                <w:rFonts w:ascii="Arial" w:cs="Arial" w:eastAsia="Arial" w:hAnsi="Arial"/>
                <w:sz w:val="16"/>
                <w:szCs w:val="16"/>
                <w:color w:val="auto"/>
              </w:rPr>
              <w:t>Loss on defeasance, extinguishment and modification of debt (8)</w:t>
            </w:r>
          </w:p>
        </w:tc>
        <w:tc>
          <w:tcPr>
            <w:tcW w:w="3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26,998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disposal of business and other costs (9)</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24"/>
        </w:trPr>
        <w:tc>
          <w:tcPr>
            <w:tcW w:w="6640" w:type="dxa"/>
            <w:vAlign w:val="bottom"/>
          </w:tcPr>
          <w:p>
            <w:pPr>
              <w:ind w:left="40"/>
              <w:spacing w:after="0"/>
              <w:rPr>
                <w:sz w:val="20"/>
                <w:szCs w:val="20"/>
                <w:color w:val="auto"/>
              </w:rPr>
            </w:pPr>
            <w:r>
              <w:rPr>
                <w:rFonts w:ascii="Arial" w:cs="Arial" w:eastAsia="Arial" w:hAnsi="Arial"/>
                <w:sz w:val="16"/>
                <w:szCs w:val="16"/>
                <w:color w:val="auto"/>
              </w:rPr>
              <w:t>Total adjustments, before income taxes</w:t>
            </w:r>
          </w:p>
        </w:tc>
        <w:tc>
          <w:tcPr>
            <w:tcW w:w="3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54,527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134,536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43,272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 to provision for income taxes (7) (10)</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(13,669)</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adjustments</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35,642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101,436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29,603</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135,885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143,184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156,930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diluted earnings per share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84"/>
        </w:trPr>
        <w:tc>
          <w:tcPr>
            <w:tcW w:w="6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99,707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114,311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125,585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expenses incurred primarily for approved closure and restructuring initiatives.</w:t>
      </w:r>
    </w:p>
    <w:p>
      <w:pPr>
        <w:spacing w:after="0" w:line="5" w:lineRule="exact"/>
        <w:rPr>
          <w:rFonts w:ascii="Arial" w:cs="Arial" w:eastAsia="Arial" w:hAnsi="Arial"/>
          <w:sz w:val="16"/>
          <w:szCs w:val="16"/>
          <w:color w:val="auto"/>
        </w:rPr>
      </w:pPr>
    </w:p>
    <w:p>
      <w:pPr>
        <w:ind w:left="660" w:hanging="652"/>
        <w:spacing w:after="0" w:line="28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asset impairment charges and related costs primarily associated with: (i) the remeasurement of certain surplus properties in 2017, (ii) our China subsidiary in 2017, (iii) our Puerto Rico subsidiary in 2016, (iv) the decision to sell Outback Steakhouse South Korea in 2016 and (v) the sale of corporate aircraft in 2015.</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Relates to severance expense incurred as a result of: (i) restructuring events in 2017 and 2016 and (ii) the relocation of our Fleming’s operations center to the corporate home office in 2016.</w:t>
      </w:r>
    </w:p>
    <w:p>
      <w:pPr>
        <w:ind w:left="660" w:right="20" w:hanging="652"/>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Relates primarily to the following: (i) professional fees related to certain income tax items in which the associated tax benefit is adjusted in Adjustments to provision for income taxes in 2017, as described in footnote 10 to this table and (ii) costs incurred in connection with our sale-leaseback initiative.</w:t>
      </w: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fees and expenses related to certain legal and contingent matters, including the Sears litigation in 2016 and the Cardoza litigation in 2015.</w:t>
      </w:r>
    </w:p>
    <w:p>
      <w:pPr>
        <w:spacing w:after="0" w:line="5"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Relates to a payroll tax audit contingency adjustment for the employer’s share of FICA taxes related to cash tips allegedly received and unreported by our employees during calendar year 2011, which is recorded in Labor and other related. In addition, a deferred income tax adjustment has been recorded for the allowable income tax credits for the employer's share expected to be paid, included in Provision for income taxes and offsets the adjustment to Labor and other related expenses. As a result, there is no impact to Net income from this adjustment.</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ind w:left="660" w:right="20" w:hanging="652"/>
        <w:spacing w:after="0" w:line="255"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Relates to: (i) refinancing of our Senior Secured Credit Facility in 2017 and 2015, (ii) modification of our Credit Agreement in 2017 and (iii) amendment of the PRP Mortgage loan and defeasance of the 2012 CMBS loan in 2016.</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Primarily relates to: (i) gains on the sale of 55 U.S. Company-owned restaurants in 2017, (ii) expenses related to certain surplus properties in 2017 and (iii) a gain on the refranchising of Outback Steakhouse South Korea during 2016.</w:t>
      </w:r>
    </w:p>
    <w:p>
      <w:pPr>
        <w:ind w:left="660" w:hanging="652"/>
        <w:spacing w:after="0" w:line="257"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the impact of the Tax Act ($1.9 million), other discretionary tax adjustments, including the allowable income tax credits in 2015 for the employer’s share of FICA taxes discussed in footnote 7 above, and the income tax effect of non-GAAP adjustments.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liquidity sources consist of cash flow from our operations, cash and cash equivalents and credit capacity under our credit facilities. We expect to use cash primarily for general operating expenses, share repurchases and dividend payments, remodeling or relocating older restaurants, principal and interest payments on our debt, development of new restaurants and new markets, obligations related to our deferred compensation plans and investments in technology.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for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December 31, 2017, we had $128.3 million in cash and cash equivalents, of which $38.2 million was held</w:t>
      </w:r>
      <w:r>
        <w:rPr>
          <w:rFonts w:ascii="Arial" w:cs="Arial" w:eastAsia="Arial" w:hAnsi="Arial"/>
          <w:sz w:val="20"/>
          <w:szCs w:val="20"/>
          <w:i w:val="1"/>
          <w:iCs w:val="1"/>
          <w:color w:val="auto"/>
        </w:rPr>
        <w:t xml:space="preserve"> </w:t>
      </w:r>
      <w:r>
        <w:rPr>
          <w:rFonts w:ascii="Arial" w:cs="Arial" w:eastAsia="Arial" w:hAnsi="Arial"/>
          <w:sz w:val="20"/>
          <w:szCs w:val="20"/>
          <w:color w:val="auto"/>
        </w:rPr>
        <w:t>by foreign affiliates. The international jurisdictions in which we have significant cash do not have any known restrictions that would prohibit the repatriation of cash and cash equivalents.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previously considered the earnings in our non-U.S. subsidiaries to be indefinitely reinvested and, accordingly, recorded no deferred income taxes. Given the Tax Act’s significant changes and potential opportunities to repatriate cash free of U.S. federal tax, we are in the process of evaluating our current permanent reinvestment assertions. This evaluation includes the repatriation of historical earnings (2017 and prior) that have been previously taxed under the Tax Act. See Note 18 -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the Tax Act.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of December 31, 2017, we had aggregate undistributed untaxed accumulated and current earnings and profits (‘E&amp;P”) from foreign subsidiaries of approximately $136.0 million, which is considered previously taxed income (“PTI”) subsequent to the Tax Act. We recorded $0.1 million in provisional Transition Tax in connection with this E&amp;P. Due to the ability to utilize foreign tax credits in the calculation of the Transition Tax, the obligation primarily related to the estimated state impacts. Additionally, we have recorded a deferred tax liability of $0.2 million as of December 31, 2017 for certain state income taxes on the potential future repatriation of PTI as a result of this assertion. We currently consider the remaining financial statement carrying amounts over the tax basis of our investments in our foreign subsidiaries to be indefinitely reinvested, and have not recorded a deferred tax liability. The determination of any unrecorded deferred tax liability on this amount is not practicable due to the uncertainty of how these investments would be recovered.</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Restructuring </w:t>
      </w:r>
      <w:r>
        <w:rPr>
          <w:rFonts w:ascii="Arial" w:cs="Arial" w:eastAsia="Arial" w:hAnsi="Arial"/>
          <w:sz w:val="20"/>
          <w:szCs w:val="20"/>
          <w:color w:val="auto"/>
        </w:rPr>
        <w:t>- Total aggregate future undiscounted cash expenditures of $31.9 million to $38.7 million for the 2017 Closure Initiative and</w:t>
      </w:r>
      <w:r>
        <w:rPr>
          <w:rFonts w:ascii="Arial" w:cs="Arial" w:eastAsia="Arial" w:hAnsi="Arial"/>
          <w:sz w:val="20"/>
          <w:szCs w:val="20"/>
          <w:i w:val="1"/>
          <w:iCs w:val="1"/>
          <w:color w:val="auto"/>
        </w:rPr>
        <w:t xml:space="preserve"> </w:t>
      </w:r>
      <w:r>
        <w:rPr>
          <w:rFonts w:ascii="Arial" w:cs="Arial" w:eastAsia="Arial" w:hAnsi="Arial"/>
          <w:sz w:val="20"/>
          <w:szCs w:val="20"/>
          <w:color w:val="auto"/>
        </w:rPr>
        <w:t>Bonefish Restructuring, primarily related to lease liabilities, are expected to occur over the remaining lease terms with the final term ending in January 2029.</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$200.0 million in 2018. The amount of actual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252525"/>
        </w:rPr>
        <w:t xml:space="preserve">Refranchising and Sale Transactions </w:t>
      </w:r>
      <w:r>
        <w:rPr>
          <w:rFonts w:ascii="Arial" w:cs="Arial" w:eastAsia="Arial" w:hAnsi="Arial"/>
          <w:sz w:val="19"/>
          <w:szCs w:val="19"/>
          <w:color w:val="252525"/>
        </w:rPr>
        <w:t>- During</w:t>
      </w:r>
      <w:r>
        <w:rPr>
          <w:rFonts w:ascii="Arial" w:cs="Arial" w:eastAsia="Arial" w:hAnsi="Arial"/>
          <w:sz w:val="19"/>
          <w:szCs w:val="19"/>
          <w:i w:val="1"/>
          <w:iCs w:val="1"/>
          <w:color w:val="252525"/>
        </w:rPr>
        <w:t xml:space="preserve"> </w:t>
      </w:r>
      <w:r>
        <w:rPr>
          <w:rFonts w:ascii="Arial" w:cs="Arial" w:eastAsia="Arial" w:hAnsi="Arial"/>
          <w:sz w:val="19"/>
          <w:szCs w:val="19"/>
          <w:color w:val="000000"/>
        </w:rPr>
        <w:t>2017</w:t>
      </w:r>
      <w:r>
        <w:rPr>
          <w:rFonts w:ascii="Arial" w:cs="Arial" w:eastAsia="Arial" w:hAnsi="Arial"/>
          <w:sz w:val="19"/>
          <w:szCs w:val="19"/>
          <w:color w:val="252525"/>
        </w:rPr>
        <w:t>, we refranchised 54 and sold one of our U.S. Company-owned Outback Steakhouse and</w:t>
      </w:r>
      <w:r>
        <w:rPr>
          <w:rFonts w:ascii="Arial" w:cs="Arial" w:eastAsia="Arial" w:hAnsi="Arial"/>
          <w:sz w:val="19"/>
          <w:szCs w:val="19"/>
          <w:i w:val="1"/>
          <w:iCs w:val="1"/>
          <w:color w:val="252525"/>
        </w:rPr>
        <w:t xml:space="preserve"> </w:t>
      </w:r>
      <w:r>
        <w:rPr>
          <w:rFonts w:ascii="Arial" w:cs="Arial" w:eastAsia="Arial" w:hAnsi="Arial"/>
          <w:sz w:val="19"/>
          <w:szCs w:val="19"/>
          <w:color w:val="252525"/>
        </w:rPr>
        <w:t>Carrabba’s Italian Grill locations for aggregate cash proceeds of $46.1 million, net of certain closing adjustments.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July 25, 2016, we sold Outback Steakhouse South Korea for a purchase price of $50.0 million, converting all restaurants in that market to franchised locations.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Sale-Leaseback Transactions - </w:t>
      </w:r>
      <w:r>
        <w:rPr>
          <w:rFonts w:ascii="Arial" w:cs="Arial" w:eastAsia="Arial" w:hAnsi="Arial"/>
          <w:sz w:val="20"/>
          <w:szCs w:val="20"/>
          <w:color w:val="auto"/>
        </w:rPr>
        <w:t>During 2017 and 2016, we entered into sale-leaseback transactions with third-parties in which we sold 31 and</w:t>
      </w:r>
      <w:r>
        <w:rPr>
          <w:rFonts w:ascii="Arial" w:cs="Arial" w:eastAsia="Arial" w:hAnsi="Arial"/>
          <w:sz w:val="20"/>
          <w:szCs w:val="20"/>
          <w:i w:val="1"/>
          <w:iCs w:val="1"/>
          <w:color w:val="auto"/>
        </w:rPr>
        <w:t xml:space="preserve"> </w:t>
      </w:r>
      <w:r>
        <w:rPr>
          <w:rFonts w:ascii="Arial" w:cs="Arial" w:eastAsia="Arial" w:hAnsi="Arial"/>
          <w:sz w:val="20"/>
          <w:szCs w:val="20"/>
          <w:color w:val="auto"/>
        </w:rPr>
        <w:t>159 restaurant properties at fair market value for gross proceeds of $108.0 million and $560.4 million, respectively. With the proceeds from these transactions, we repaid our PRP Mortgage Loan in full.</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December 31, 2017, we had $1.1 billion of outstanding borrowings under our Senior Secured Credit Facility. See Note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the Notes to Consolidated Financial Statements for further information. Following is a summary of principal payments and debt issuance: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vMerge w:val="restart"/>
          </w:tcPr>
          <w:p>
            <w:pPr>
              <w:jc w:val="center"/>
              <w:ind w:right="61"/>
              <w:spacing w:after="0"/>
              <w:rPr>
                <w:sz w:val="20"/>
                <w:szCs w:val="20"/>
                <w:color w:val="auto"/>
              </w:rPr>
            </w:pPr>
            <w:r>
              <w:rPr>
                <w:rFonts w:ascii="Arial" w:cs="Arial" w:eastAsia="Arial" w:hAnsi="Arial"/>
                <w:sz w:val="14"/>
                <w:szCs w:val="14"/>
                <w:b w:val="1"/>
                <w:bCs w:val="1"/>
                <w:color w:val="auto"/>
              </w:rPr>
              <w:t>FORMER CREDIT FACILITY</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SENIOR SECURED CREDIT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REVOLVING</w:t>
            </w:r>
          </w:p>
        </w:tc>
        <w:tc>
          <w:tcPr>
            <w:tcW w:w="140" w:type="dxa"/>
            <w:vAlign w:val="bottom"/>
          </w:tcPr>
          <w:p>
            <w:pPr>
              <w:spacing w:after="0"/>
              <w:rPr>
                <w:sz w:val="15"/>
                <w:szCs w:val="15"/>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5"/>
                <w:szCs w:val="15"/>
                <w:color w:val="auto"/>
              </w:rPr>
            </w:pPr>
          </w:p>
        </w:tc>
        <w:tc>
          <w:tcPr>
            <w:tcW w:w="12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REVOLVING</w:t>
            </w:r>
          </w:p>
        </w:tc>
        <w:tc>
          <w:tcPr>
            <w:tcW w:w="220" w:type="dxa"/>
            <w:vAlign w:val="bottom"/>
          </w:tcPr>
          <w:p>
            <w:pPr>
              <w:spacing w:after="0"/>
              <w:rPr>
                <w:sz w:val="15"/>
                <w:szCs w:val="15"/>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PRP MORTGAGE</w:t>
            </w:r>
          </w:p>
        </w:tc>
        <w:tc>
          <w:tcPr>
            <w:tcW w:w="120" w:type="dxa"/>
            <w:vAlign w:val="bottom"/>
          </w:tcPr>
          <w:p>
            <w:pPr>
              <w:spacing w:after="0"/>
              <w:rPr>
                <w:sz w:val="15"/>
                <w:szCs w:val="15"/>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FACILITY</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LOAN A</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CMBS LOAN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LOAN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27, 2015</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432,000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458,969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1,318,469</w:t>
            </w:r>
          </w:p>
        </w:tc>
        <w:tc>
          <w:tcPr>
            <w:tcW w:w="0" w:type="dxa"/>
            <w:vAlign w:val="bottom"/>
          </w:tcPr>
          <w:p>
            <w:pPr>
              <w:spacing w:after="0"/>
              <w:rPr>
                <w:sz w:val="1"/>
                <w:szCs w:val="1"/>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6"/>
                <w:szCs w:val="16"/>
                <w:color w:val="auto"/>
              </w:rPr>
              <w:t>2016 new debt (1)</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729,500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369,512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1,099,012</w:t>
            </w:r>
          </w:p>
        </w:tc>
        <w:tc>
          <w:tcPr>
            <w:tcW w:w="0" w:type="dxa"/>
            <w:vAlign w:val="bottom"/>
          </w:tcPr>
          <w:p>
            <w:pPr>
              <w:spacing w:after="0"/>
              <w:rPr>
                <w:sz w:val="1"/>
                <w:szCs w:val="1"/>
                <w:color w:val="auto"/>
              </w:rPr>
            </w:pPr>
          </w:p>
        </w:tc>
      </w:tr>
      <w:tr>
        <w:trPr>
          <w:trHeight w:val="33"/>
        </w:trPr>
        <w:tc>
          <w:tcPr>
            <w:tcW w:w="2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2016 payments (1)</w:t>
            </w: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(539,500)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(1,348,904)</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as of December 25, 2016</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399,375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622,000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47,202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1,068,577</w:t>
            </w:r>
          </w:p>
        </w:tc>
        <w:tc>
          <w:tcPr>
            <w:tcW w:w="0" w:type="dxa"/>
            <w:vAlign w:val="bottom"/>
          </w:tcPr>
          <w:p>
            <w:pPr>
              <w:spacing w:after="0"/>
              <w:rPr>
                <w:sz w:val="1"/>
                <w:szCs w:val="1"/>
                <w:color w:val="auto"/>
              </w:rPr>
            </w:pPr>
          </w:p>
        </w:tc>
      </w:tr>
      <w:tr>
        <w:trPr>
          <w:trHeight w:val="23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2017 new debt (2)</w:t>
            </w: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654,500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697,000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1,976,500</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2017 payments (2)</w:t>
            </w: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(524,375)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(1,276,500)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(1,945,077)</w:t>
            </w:r>
          </w:p>
        </w:tc>
        <w:tc>
          <w:tcPr>
            <w:tcW w:w="0" w:type="dxa"/>
            <w:vAlign w:val="bottom"/>
          </w:tcPr>
          <w:p>
            <w:pPr>
              <w:spacing w:after="0"/>
              <w:rPr>
                <w:sz w:val="1"/>
                <w:szCs w:val="1"/>
                <w:color w:val="auto"/>
              </w:rPr>
            </w:pPr>
          </w:p>
        </w:tc>
      </w:tr>
      <w:tr>
        <w:trPr>
          <w:trHeight w:val="255"/>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shd w:val="clear" w:color="auto" w:fill="CCEEFF"/>
              </w:rPr>
              <w:t>Balance as of December 31, 2017</w:t>
            </w: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February 2016, we drew $185.0 million on our revolving credit facility. The drawdowns, together with the proceeds from the PRP Mortgage Loan, were used to prepay a portion, and fully defease the remainder, of the 2012 CMBS loan.</w:t>
      </w:r>
    </w:p>
    <w:p>
      <w:pPr>
        <w:jc w:val="both"/>
        <w:ind w:left="660" w:hanging="652"/>
        <w:spacing w:after="0" w:line="25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May 2017, OSI amended its Credit Agreement, which provided an incremental Term loan A-2 in an aggregate principal amount of $125.0 million. A portion of the proceeds were used to repay $25.0 million of our outstanding revolving credit facility. Also includes $1.2 billion related to a refinancing of our Former Credit Facility, which did not materially increase total indebtedness.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outstanding credit facilities: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7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INTEREST RATE</w:t>
            </w:r>
          </w:p>
        </w:tc>
        <w:tc>
          <w:tcPr>
            <w:tcW w:w="240" w:type="dxa"/>
            <w:vAlign w:val="bottom"/>
          </w:tcPr>
          <w:p>
            <w:pPr>
              <w:spacing w:after="0"/>
              <w:rPr>
                <w:sz w:val="13"/>
                <w:szCs w:val="13"/>
                <w:color w:val="auto"/>
              </w:rPr>
            </w:pPr>
          </w:p>
        </w:tc>
        <w:tc>
          <w:tcPr>
            <w:tcW w:w="124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320" w:type="dxa"/>
            <w:vAlign w:val="bottom"/>
          </w:tcPr>
          <w:p>
            <w:pPr>
              <w:jc w:val="right"/>
              <w:ind w:right="140"/>
              <w:spacing w:after="0" w:line="153" w:lineRule="exact"/>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2017 (1)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Revolving credit facility</w:t>
            </w: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1,000,000</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3"/>
              </w:rPr>
              <w:t>November 2022</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600,000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Senior secured credit facility</w:t>
            </w: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1,500,000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440" w:type="dxa"/>
            <w:vAlign w:val="bottom"/>
          </w:tcPr>
          <w:p>
            <w:pPr>
              <w:ind w:left="40"/>
              <w:spacing w:after="0"/>
              <w:rPr>
                <w:sz w:val="20"/>
                <w:szCs w:val="20"/>
                <w:color w:val="auto"/>
              </w:rPr>
            </w:pPr>
            <w:r>
              <w:rPr>
                <w:rFonts w:ascii="Arial" w:cs="Arial" w:eastAsia="Arial" w:hAnsi="Arial"/>
                <w:sz w:val="16"/>
                <w:szCs w:val="16"/>
                <w:color w:val="auto"/>
              </w:rPr>
              <w:t>Term loan A</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2019</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258,750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A-1</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2019</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140,625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Term loan A-2</w:t>
            </w:r>
          </w:p>
        </w:tc>
        <w:tc>
          <w:tcPr>
            <w:tcW w:w="1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May 2019</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Revolving credit facility</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825,000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May 2019</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622,000</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Former Credit Facility</w:t>
            </w:r>
          </w:p>
        </w:tc>
        <w:tc>
          <w:tcPr>
            <w:tcW w:w="16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1,400,000</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1,021,375</w:t>
            </w: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PRP Mortgage Loan</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369,512</w:t>
            </w: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February 2018</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47,202</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credit facilities</w:t>
            </w:r>
          </w:p>
        </w:tc>
        <w:tc>
          <w:tcPr>
            <w:tcW w:w="16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3,269,512</w:t>
            </w:r>
          </w:p>
        </w:tc>
        <w:tc>
          <w:tcPr>
            <w:tcW w:w="120" w:type="dxa"/>
            <w:vAlign w:val="bottom"/>
            <w:tcBorders>
              <w:top w:val="single" w:sz="8" w:color="CCEEFF"/>
            </w:tcBorders>
          </w:tcPr>
          <w:p>
            <w:pPr>
              <w:spacing w:after="0"/>
              <w:rPr>
                <w:sz w:val="21"/>
                <w:szCs w:val="21"/>
                <w:color w:val="auto"/>
              </w:rPr>
            </w:pPr>
          </w:p>
        </w:tc>
        <w:tc>
          <w:tcPr>
            <w:tcW w:w="14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1,100,000</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1,068,577</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weighted-average interest rate.</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New Credit Agreement - </w:t>
      </w:r>
      <w:r>
        <w:rPr>
          <w:rFonts w:ascii="Arial" w:cs="Arial" w:eastAsia="Arial" w:hAnsi="Arial"/>
          <w:sz w:val="20"/>
          <w:szCs w:val="20"/>
          <w:color w:val="auto"/>
        </w:rPr>
        <w:t>On November 30, 2017, we entered into a Credit Agreement, including OSI as co-borrower, with a syndicate of</w:t>
      </w:r>
      <w:r>
        <w:rPr>
          <w:rFonts w:ascii="Arial" w:cs="Arial" w:eastAsia="Arial" w:hAnsi="Arial"/>
          <w:sz w:val="20"/>
          <w:szCs w:val="20"/>
          <w:i w:val="1"/>
          <w:iCs w:val="1"/>
          <w:color w:val="auto"/>
        </w:rPr>
        <w:t xml:space="preserve"> </w:t>
      </w:r>
      <w:r>
        <w:rPr>
          <w:rFonts w:ascii="Arial" w:cs="Arial" w:eastAsia="Arial" w:hAnsi="Arial"/>
          <w:sz w:val="20"/>
          <w:szCs w:val="20"/>
          <w:color w:val="auto"/>
        </w:rPr>
        <w:t>institutional lenders, providing for senior secured financing of up to $1.5 billion, consisting of a $500.0 million Term loan A and a $1.0 billion revolving credit facility, including letter of credit and swing line loan sub-facilities. The Senior Secured Credit Facility matures on November 30, 2022.</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At closing, $697.0 million was drawn under the revolving credit facility. The proceeds of the Credit Agreement were used to repay OSI’s Former Credit Facility. Our total indebtedness did not materially change as a result of the refinancing.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2017, we had $377.3 million in available unused borrowing capacity under our revolving credit facility, net of letters of credit of $22.7 million.</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Credit Agreement contains mandatory prepayment requirements for the term loans. We are required to prepay outstanding amounts with 50% of our annual excess cash flow, as defined in the Credit Agreement. The amount of outstanding term loans required to be prepaid may vary based on our leverage ratio and year end results. Other than the required minimum amortization premiums of $25.0 million, we do not anticipate any other payments will be required through December 30, 2018.</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the Notes to Consolidated Financial Statements for further information regarding the Credit Agreement and Senior Secured Credit Facility.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of the Notes to our Consolidated Financial Statements for further information.</w:t>
      </w:r>
    </w:p>
    <w:p>
      <w:pPr>
        <w:spacing w:after="0" w:line="192" w:lineRule="exact"/>
        <w:rPr>
          <w:sz w:val="20"/>
          <w:szCs w:val="20"/>
          <w:color w:val="auto"/>
        </w:rPr>
      </w:pPr>
    </w:p>
    <w:p>
      <w:pPr>
        <w:ind w:right="2240"/>
        <w:spacing w:after="0" w:line="260" w:lineRule="auto"/>
        <w:rPr>
          <w:sz w:val="20"/>
          <w:szCs w:val="20"/>
          <w:color w:val="auto"/>
        </w:rPr>
      </w:pPr>
      <w:r>
        <w:rPr>
          <w:rFonts w:ascii="Arial" w:cs="Arial" w:eastAsia="Arial" w:hAnsi="Arial"/>
          <w:sz w:val="20"/>
          <w:szCs w:val="20"/>
          <w:color w:val="auto"/>
        </w:rPr>
        <w:t>As of December 31, 2017 and December 25, 2016, we were in compliance with our debt covenants. We believe that we will remain in compliance with our debt covenants during the next 12 months.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Cash Flow Hedges of Interest Rate Risk - </w:t>
      </w:r>
      <w:r>
        <w:rPr>
          <w:rFonts w:ascii="Arial" w:cs="Arial" w:eastAsia="Arial" w:hAnsi="Arial"/>
          <w:sz w:val="18"/>
          <w:szCs w:val="18"/>
          <w:color w:val="252525"/>
        </w:rPr>
        <w:t>We have variable-to-fixed interest rate swap agreements with eight counterparties to hedge a portion</w:t>
      </w:r>
      <w:r>
        <w:rPr>
          <w:rFonts w:ascii="Arial" w:cs="Arial" w:eastAsia="Arial" w:hAnsi="Arial"/>
          <w:sz w:val="18"/>
          <w:szCs w:val="18"/>
          <w:i w:val="1"/>
          <w:iCs w:val="1"/>
          <w:color w:val="auto"/>
        </w:rPr>
        <w:t xml:space="preserve"> </w:t>
      </w:r>
      <w:r>
        <w:rPr>
          <w:rFonts w:ascii="Arial" w:cs="Arial" w:eastAsia="Arial" w:hAnsi="Arial"/>
          <w:sz w:val="18"/>
          <w:szCs w:val="18"/>
          <w:color w:val="252525"/>
        </w:rPr>
        <w:t>of the cash flows of our variable rate debt. The swap agreements have an aggregate notional amount of $400.0 million and mature on May 16, 2019. We pay a weighted-average fixed rate of 2.02% on the $400.0 million notional amount and receive payments from the counterparty based on the 30-day LIBOR rate. W</w:t>
      </w:r>
      <w:r>
        <w:rPr>
          <w:rFonts w:ascii="Arial" w:cs="Arial" w:eastAsia="Arial" w:hAnsi="Arial"/>
          <w:sz w:val="18"/>
          <w:szCs w:val="18"/>
          <w:color w:val="000000"/>
        </w:rPr>
        <w:t>e</w:t>
      </w:r>
      <w:r>
        <w:rPr>
          <w:rFonts w:ascii="Arial" w:cs="Arial" w:eastAsia="Arial" w:hAnsi="Arial"/>
          <w:sz w:val="18"/>
          <w:szCs w:val="18"/>
          <w:color w:val="252525"/>
        </w:rPr>
        <w:t xml:space="preserve"> estimate $1.0 million will be reclassified to interest expense over the next twelve months. </w:t>
      </w:r>
      <w:r>
        <w:rPr>
          <w:rFonts w:ascii="Arial" w:cs="Arial" w:eastAsia="Arial" w:hAnsi="Arial"/>
          <w:sz w:val="18"/>
          <w:szCs w:val="18"/>
          <w:color w:val="000000"/>
        </w:rPr>
        <w:t>See Note 16 -</w:t>
      </w:r>
      <w:r>
        <w:rPr>
          <w:rFonts w:ascii="Arial" w:cs="Arial" w:eastAsia="Arial" w:hAnsi="Arial"/>
          <w:sz w:val="18"/>
          <w:szCs w:val="18"/>
          <w:color w:val="252525"/>
        </w:rPr>
        <w:t xml:space="preserve"> </w:t>
      </w:r>
      <w:r>
        <w:rPr>
          <w:rFonts w:ascii="Arial" w:cs="Arial" w:eastAsia="Arial" w:hAnsi="Arial"/>
          <w:sz w:val="18"/>
          <w:szCs w:val="18"/>
          <w:i w:val="1"/>
          <w:iCs w:val="1"/>
          <w:color w:val="000000"/>
        </w:rPr>
        <w:t xml:space="preserve">Derivative Instruments and Hedging Activities </w:t>
      </w:r>
      <w:r>
        <w:rPr>
          <w:rFonts w:ascii="Arial" w:cs="Arial" w:eastAsia="Arial" w:hAnsi="Arial"/>
          <w:sz w:val="18"/>
          <w:szCs w:val="18"/>
          <w:color w:val="000000"/>
        </w:rPr>
        <w:t>of the Notes to Consolidated Financial Statements for further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provided by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40" w:right="1660"/>
        <w:spacing w:after="0" w:line="470" w:lineRule="auto"/>
        <w:rPr>
          <w:sz w:val="20"/>
          <w:szCs w:val="20"/>
          <w:color w:val="auto"/>
        </w:rPr>
      </w:pPr>
      <w:r>
        <w:rPr>
          <w:rFonts w:ascii="Arial" w:cs="Arial" w:eastAsia="Arial" w:hAnsi="Arial"/>
          <w:sz w:val="14"/>
          <w:szCs w:val="14"/>
          <w:color w:val="auto"/>
        </w:rPr>
        <w:t>Effect of exchange rate changes on cash and cash equivalents Net decrease in cash, cash equivalents and restricted cash</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1730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309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2015</w:t>
            </w: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409,002</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340,587</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395,139</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295,248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(187,595)</w:t>
            </w:r>
          </w:p>
        </w:tc>
      </w:tr>
      <w:tr>
        <w:trPr>
          <w:trHeight w:val="270"/>
        </w:trPr>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(293,505)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(657,978)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(241,001)</w:t>
            </w:r>
          </w:p>
        </w:tc>
      </w:tr>
      <w:tr>
        <w:trPr>
          <w:trHeight w:val="257"/>
        </w:trPr>
        <w:tc>
          <w:tcPr>
            <w:tcW w:w="380" w:type="dxa"/>
            <w:vAlign w:val="bottom"/>
          </w:tcPr>
          <w:p>
            <w:pPr>
              <w:spacing w:after="0"/>
              <w:rPr>
                <w:sz w:val="22"/>
                <w:szCs w:val="22"/>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(9,193)</w:t>
            </w:r>
          </w:p>
        </w:tc>
      </w:tr>
      <w:tr>
        <w:trPr>
          <w:trHeight w:val="40"/>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4"/>
        </w:trPr>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(6,643)</w:t>
            </w:r>
          </w:p>
        </w:tc>
        <w:tc>
          <w:tcPr>
            <w:tcW w:w="10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(19,188)</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(42,650)</w:t>
            </w:r>
          </w:p>
        </w:tc>
      </w:tr>
      <w:tr>
        <w:trPr>
          <w:trHeight w:val="33"/>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-882650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-539750</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-196850</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5680" w:space="720"/>
            <w:col w:w="5020"/>
          </w:cols>
          <w:pgMar w:left="240" w:top="122" w:right="239" w:bottom="1440" w:gutter="0" w:footer="0" w:header="0"/>
          <w:type w:val="continuous"/>
        </w:sectPr>
      </w:pPr>
    </w:p>
    <w:p>
      <w:pPr>
        <w:jc w:val="both"/>
        <w:spacing w:after="0" w:line="250" w:lineRule="auto"/>
        <w:rPr>
          <w:sz w:val="20"/>
          <w:szCs w:val="20"/>
          <w:color w:val="auto"/>
        </w:rPr>
      </w:pPr>
      <w:r>
        <w:rPr>
          <w:rFonts w:ascii="Arial" w:cs="Arial" w:eastAsia="Arial" w:hAnsi="Arial"/>
          <w:sz w:val="20"/>
          <w:szCs w:val="20"/>
          <w:i w:val="1"/>
          <w:iCs w:val="1"/>
          <w:color w:val="auto"/>
        </w:rPr>
        <w:t xml:space="preserve">Operating activities - </w:t>
      </w:r>
      <w:r>
        <w:rPr>
          <w:rFonts w:ascii="Arial" w:cs="Arial" w:eastAsia="Arial" w:hAnsi="Arial"/>
          <w:sz w:val="20"/>
          <w:szCs w:val="20"/>
          <w:color w:val="auto"/>
        </w:rPr>
        <w:t>Net cash provided by operating activities increased in 2017 as compared to 2016 primarily as a result of the following: (i)</w:t>
      </w:r>
      <w:r>
        <w:rPr>
          <w:rFonts w:ascii="Arial" w:cs="Arial" w:eastAsia="Arial" w:hAnsi="Arial"/>
          <w:sz w:val="20"/>
          <w:szCs w:val="20"/>
          <w:i w:val="1"/>
          <w:iCs w:val="1"/>
          <w:color w:val="auto"/>
        </w:rPr>
        <w:t xml:space="preserve"> </w:t>
      </w:r>
      <w:r>
        <w:rPr>
          <w:rFonts w:ascii="Arial" w:cs="Arial" w:eastAsia="Arial" w:hAnsi="Arial"/>
          <w:sz w:val="20"/>
          <w:szCs w:val="20"/>
          <w:color w:val="auto"/>
        </w:rPr>
        <w:t>lower income tax payments and (ii) the timing of collections of holiday gift card sales from third party vendors. These increases were partially offset by: (i) lower gift card sales and (ii) the timing of purchases of inventory.</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cash provided by operating activities decreased in 2016 as compared to 2015 primarily as a result of the following: (i) higher income tax payments primarily due to sale-leaseback transactions and (ii) the timing of rent payments. These decreases were partially offset by: (i) utilization of inventory on hand and (ii) lower cash interest payments.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Net cash used in investing activities during 2017 consisted primarily of capital expenditures, partially offset by: (i)</w:t>
      </w:r>
      <w:r>
        <w:rPr>
          <w:rFonts w:ascii="Arial" w:cs="Arial" w:eastAsia="Arial" w:hAnsi="Arial"/>
          <w:sz w:val="20"/>
          <w:szCs w:val="20"/>
          <w:i w:val="1"/>
          <w:iCs w:val="1"/>
          <w:color w:val="auto"/>
        </w:rPr>
        <w:t xml:space="preserve"> </w:t>
      </w:r>
      <w:r>
        <w:rPr>
          <w:rFonts w:ascii="Arial" w:cs="Arial" w:eastAsia="Arial" w:hAnsi="Arial"/>
          <w:sz w:val="20"/>
          <w:szCs w:val="20"/>
          <w:color w:val="auto"/>
        </w:rPr>
        <w:t>proceeds from sale-leaseback transactions and (ii) proceeds from refranchising transactions.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cash provided by investing activities during 2016 consisted primarily of: (i) proceeds from sale-leaseback transactions and (ii) proceeds from the refranchising of Outback Steakhouse South Korea.</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cash used in investing activities during 2015 consisted primarily of capital expenditures. Net cash used in investing activities was partially offset by the following: (i) proceeds from other investments, net, (ii) proceeds from the sale of Roy’s and (iii) proceeds from the disposal of property, fixtures and equipment.</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used in financing activities during 2017 was primarily attributable to the following: (i) repayments due to the</w:t>
      </w:r>
      <w:r>
        <w:rPr>
          <w:rFonts w:ascii="Arial" w:cs="Arial" w:eastAsia="Arial" w:hAnsi="Arial"/>
          <w:sz w:val="20"/>
          <w:szCs w:val="20"/>
          <w:i w:val="1"/>
          <w:iCs w:val="1"/>
          <w:color w:val="auto"/>
        </w:rPr>
        <w:t xml:space="preserve"> </w:t>
      </w:r>
      <w:r>
        <w:rPr>
          <w:rFonts w:ascii="Arial" w:cs="Arial" w:eastAsia="Arial" w:hAnsi="Arial"/>
          <w:sz w:val="20"/>
          <w:szCs w:val="20"/>
          <w:color w:val="auto"/>
        </w:rPr>
        <w:t>refinancing of our Former Credit Facility in December 2017, (ii) repayment of our PRP Mortgage Loan, (iii) voluntary repayments of our revolving credit facility, net of drawdowns and (iv) the repurchase of common stock. Net cash used in financing activities was partially offset by proceeds from our new Senior Secured Credit Facility.</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Net cash used in financing activities during 2016 was primarily attributable to the following: (i) the defeasance of the 2012 CMBS loan and payments on our PRP Mortgage Loan, (ii) the repurchase of common stock, (iii) the purchase of outstanding noncontrolling interests and limited partnership interests in certain restaurants, (iv) payment of cash dividends on our common stock and (v) repayments of partner deposits and accrued partner obligations. Net cash used in financing activities was partially offset by the following: (i) proceeds from the PRP Mortgage Loan, (ii) drawdowns on our revolving credit facility, net of repayments and (iii) proceeds from the sale of certain properties, which are considered financing obligations.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Net cash used in financing activities during 2015 was primarily attributable to the following: (i) repayments of the Term loan B due to the Senior Secured Credit Facility refinancing in March 2015 and voluntary prepayments, (ii) the repurchase of common stock, (iii) repayments of partner deposits and accrued partner obligations and (iv) payment of cash dividends on our common stock. Net cash used in financing activities was partially offset by the following: (i) proceeds from the incremental Term loan A-1, net of financing fees, (ii) drawdowns on the revolving credit facility, net of repayments, and (iii) proceeds from the exercise of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360,209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390,519</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860,863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823,408</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(432,889)</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Working capital (deficit) included Unearned revenue from unredeemed gift cards and loyalty program rewards of $378.2 million and $388.5 million as of December 31, 2017 and December 25, 2016, respectively.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make capital expenditures.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Deferred Compensation Programs - </w:t>
      </w:r>
      <w:r>
        <w:rPr>
          <w:rFonts w:ascii="Arial" w:cs="Arial" w:eastAsia="Arial" w:hAnsi="Arial"/>
          <w:sz w:val="19"/>
          <w:szCs w:val="19"/>
          <w:color w:val="auto"/>
        </w:rPr>
        <w:t>The deferred compensation obligation due to managing and chef partners was $96.3 million and $113.0</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as of December 31, 2017 and December 25, 2016,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is $36.6 million and $50.6 million as of December 31, 2017 and December 25, 2016, respectively.</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annual cash funding of $18.0 million to $20.0 million.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Dividends </w:t>
      </w:r>
      <w:r>
        <w:rPr>
          <w:rFonts w:ascii="Arial" w:cs="Arial" w:eastAsia="Arial" w:hAnsi="Arial"/>
          <w:sz w:val="19"/>
          <w:szCs w:val="19"/>
          <w:color w:val="auto"/>
        </w:rPr>
        <w:t>- In 2017, 2016 and 2015, we declared and paid quarterly cash dividends of $0.08, $0.07 and $0.06 per share, respectively.</w:t>
      </w:r>
    </w:p>
    <w:p>
      <w:pPr>
        <w:spacing w:after="0" w:line="24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February 2018, the Board declared a quarterly cash dividend of $0.09 per share, payable on March 14, 2018. Future dividend payments are dependent on our earnings, financial condition, capital expenditure requirements, surplus and other factors that our Board considers relevant.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16, 2018, our Board canceled the remaining $55.0 million of authorization under the 2017 Share Repurchase</w:t>
      </w:r>
      <w:r>
        <w:rPr>
          <w:rFonts w:ascii="Arial" w:cs="Arial" w:eastAsia="Arial" w:hAnsi="Arial"/>
          <w:sz w:val="20"/>
          <w:szCs w:val="20"/>
          <w:i w:val="1"/>
          <w:iCs w:val="1"/>
          <w:color w:val="auto"/>
        </w:rPr>
        <w:t xml:space="preserve"> </w:t>
      </w:r>
      <w:r>
        <w:rPr>
          <w:rFonts w:ascii="Arial" w:cs="Arial" w:eastAsia="Arial" w:hAnsi="Arial"/>
          <w:sz w:val="20"/>
          <w:szCs w:val="20"/>
          <w:color w:val="auto"/>
        </w:rPr>
        <w:t>Program and approved a new $150.0 million authorization. The 2018 Share Repurchase Program will expire on August 16, 2019. Following is a summary of our share repurchase programs as of December 31, 2017 (dollars in thousands):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40" w:type="dxa"/>
            <w:vAlign w:val="bottom"/>
          </w:tcPr>
          <w:p>
            <w:pPr>
              <w:spacing w:after="0"/>
              <w:rPr>
                <w:sz w:val="14"/>
                <w:szCs w:val="14"/>
                <w:color w:val="auto"/>
              </w:rPr>
            </w:pPr>
          </w:p>
        </w:tc>
        <w:tc>
          <w:tcPr>
            <w:tcW w:w="150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AUTHORIZED</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REPURCHASED</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CANCELED</w:t>
            </w:r>
          </w:p>
        </w:tc>
        <w:tc>
          <w:tcPr>
            <w:tcW w:w="10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14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22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80" w:type="dxa"/>
            <w:vAlign w:val="bottom"/>
          </w:tcPr>
          <w:p>
            <w:pPr>
              <w:ind w:lef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69,999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40" w:type="dxa"/>
            <w:vAlign w:val="bottom"/>
          </w:tcPr>
          <w:p>
            <w:pPr>
              <w:spacing w:after="0"/>
              <w:rPr>
                <w:sz w:val="20"/>
                <w:szCs w:val="20"/>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0"/>
              <w:spacing w:after="0"/>
              <w:rPr>
                <w:sz w:val="20"/>
                <w:szCs w:val="20"/>
                <w:color w:val="auto"/>
              </w:rPr>
            </w:pPr>
            <w:r>
              <w:rPr>
                <w:rFonts w:ascii="Arial" w:cs="Arial" w:eastAsia="Arial" w:hAnsi="Arial"/>
                <w:sz w:val="16"/>
                <w:szCs w:val="16"/>
                <w:color w:val="auto"/>
              </w:rPr>
              <w:t>247,731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52,269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April 21, 2017</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250,000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195,000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33"/>
        </w:trPr>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SHARE REPURCHASES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2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SETTLEMENT OF TAXES</w:t>
            </w:r>
          </w:p>
        </w:tc>
        <w:tc>
          <w:tcPr>
            <w:tcW w:w="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RELATED TO EQUITY</w:t>
            </w:r>
          </w:p>
        </w:tc>
        <w:tc>
          <w:tcPr>
            <w:tcW w:w="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26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7"/>
                <w:szCs w:val="17"/>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AWARDS</w:t>
            </w:r>
          </w:p>
        </w:tc>
        <w:tc>
          <w:tcPr>
            <w:tcW w:w="380" w:type="dxa"/>
            <w:vAlign w:val="bottom"/>
          </w:tcPr>
          <w:p>
            <w:pPr>
              <w:spacing w:after="0"/>
              <w:rPr>
                <w:sz w:val="17"/>
                <w:szCs w:val="17"/>
                <w:color w:val="auto"/>
              </w:rPr>
            </w:pPr>
          </w:p>
        </w:tc>
        <w:tc>
          <w:tcPr>
            <w:tcW w:w="1420" w:type="dxa"/>
            <w:vAlign w:val="bottom"/>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30,988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272,736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303,904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ind w:left="940"/>
              <w:spacing w:after="0"/>
              <w:rPr>
                <w:sz w:val="20"/>
                <w:szCs w:val="20"/>
                <w:color w:val="auto"/>
              </w:rPr>
            </w:pPr>
            <w:r>
              <w:rPr>
                <w:rFonts w:ascii="Arial" w:cs="Arial" w:eastAsia="Arial" w:hAnsi="Arial"/>
                <w:sz w:val="16"/>
                <w:szCs w:val="16"/>
                <w:color w:val="auto"/>
              </w:rPr>
              <w:t>309,887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23"/>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341,713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29,332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169,999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200,101</w:t>
            </w:r>
          </w:p>
        </w:tc>
        <w:tc>
          <w:tcPr>
            <w:tcW w:w="0" w:type="dxa"/>
            <w:vAlign w:val="bottom"/>
          </w:tcPr>
          <w:p>
            <w:pPr>
              <w:spacing w:after="0"/>
              <w:rPr>
                <w:sz w:val="1"/>
                <w:szCs w:val="1"/>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91,699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752,622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845,718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have access to our revolving credit facility and the existence of surplus. Based on our Credit Agreement, restricted dividend payments can be made on an unlimited basis provided we are compliant with our debt covenants.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MATERIAL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Our contractual obligations, debt obligations and commitments as of December 31, 2017 are summarized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22"/>
                <w:szCs w:val="22"/>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441"/>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76"/>
        </w:trPr>
        <w:tc>
          <w:tcPr>
            <w:tcW w:w="468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3"/>
                <w:szCs w:val="23"/>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3"/>
                <w:szCs w:val="23"/>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23"/>
                <w:szCs w:val="23"/>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Recorded Contractual Obligations</w:t>
            </w: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24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Long-term debt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1,118,104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26,335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51,030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1,021,276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19,463</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Deferred compensation and other partner obligations (2)</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106,551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Other recorded contractual obligations (3)</w:t>
            </w:r>
          </w:p>
        </w:tc>
        <w:tc>
          <w:tcPr>
            <w:tcW w:w="2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42,262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10,206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12,004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6,421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13,631</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Unrecorded Contractual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gridSpan w:val="2"/>
          </w:tcPr>
          <w:p>
            <w:pPr>
              <w:ind w:left="180"/>
              <w:spacing w:after="0"/>
              <w:rPr>
                <w:sz w:val="20"/>
                <w:szCs w:val="20"/>
                <w:color w:val="auto"/>
              </w:rPr>
            </w:pPr>
            <w:r>
              <w:rPr>
                <w:rFonts w:ascii="Arial" w:cs="Arial" w:eastAsia="Arial" w:hAnsi="Arial"/>
                <w:sz w:val="16"/>
                <w:szCs w:val="16"/>
                <w:color w:val="auto"/>
              </w:rPr>
              <w:t>Interest (4)</w:t>
            </w:r>
          </w:p>
        </w:tc>
        <w:tc>
          <w:tcPr>
            <w:tcW w:w="240" w:type="dxa"/>
            <w:vAlign w:val="bottom"/>
          </w:tcPr>
          <w:p>
            <w:pPr>
              <w:spacing w:after="0"/>
              <w:rPr>
                <w:sz w:val="20"/>
                <w:szCs w:val="20"/>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202,995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40,419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74,422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67,143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21,011</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Operating leases</w:t>
            </w:r>
          </w:p>
        </w:tc>
        <w:tc>
          <w:tcPr>
            <w:tcW w:w="2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1,697,668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185,183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274,101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902,757</w:t>
            </w:r>
          </w:p>
        </w:tc>
        <w:tc>
          <w:tcPr>
            <w:tcW w:w="0" w:type="dxa"/>
            <w:vAlign w:val="bottom"/>
          </w:tcPr>
          <w:p>
            <w:pPr>
              <w:spacing w:after="0"/>
              <w:rPr>
                <w:sz w:val="1"/>
                <w:szCs w:val="1"/>
                <w:color w:val="auto"/>
              </w:rPr>
            </w:pPr>
          </w:p>
        </w:tc>
      </w:tr>
      <w:tr>
        <w:trPr>
          <w:trHeight w:val="270"/>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Purchase obligations (5)</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445,955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276,706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89,136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42,246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37,867</w:t>
            </w:r>
          </w:p>
        </w:tc>
        <w:tc>
          <w:tcPr>
            <w:tcW w:w="0" w:type="dxa"/>
            <w:vAlign w:val="bottom"/>
          </w:tcPr>
          <w:p>
            <w:pPr>
              <w:spacing w:after="0"/>
              <w:rPr>
                <w:sz w:val="1"/>
                <w:szCs w:val="1"/>
                <w:color w:val="auto"/>
              </w:rPr>
            </w:pPr>
          </w:p>
        </w:tc>
      </w:tr>
      <w:tr>
        <w:trPr>
          <w:trHeight w:val="255"/>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shd w:val="clear" w:color="auto" w:fill="CCEEFF"/>
              </w:rPr>
              <w:t>Total contractual obligations</w:t>
            </w:r>
          </w:p>
        </w:tc>
        <w:tc>
          <w:tcPr>
            <w:tcW w:w="2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3,613,535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564,318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606,063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1,435,470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1,007,684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capital lease obligations. Excludes unamortized debt issuance costs and discount of $4.4 million.</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deferred compensation obligations, deposits and other accrued obligations due to our restaurant partners. Timing and amounts of payments may vary significantly based on employee turnover, return of deposits and changes to buyout values.</w:t>
      </w:r>
    </w:p>
    <w:p>
      <w:pPr>
        <w:ind w:left="660" w:hanging="652"/>
        <w:spacing w:after="0" w:line="263" w:lineRule="auto"/>
        <w:tabs>
          <w:tab w:leader="none" w:pos="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other long-term liabilities, primarily consisting of non-partner deferred compensation obligations and restaurant closing cost liabilities. As of December 31, 2017, unrecognized tax benefits of $23.7 million were excluded from the table since it is not possible to estimate when these future payments will occur.</w:t>
      </w:r>
    </w:p>
    <w:p>
      <w:pPr>
        <w:ind w:left="66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31, 2017 and assume only scheduled principal payments. Estimated interest expense includes the impact of financing obligations and our variable-to-fixed interest rate swap agreements.</w:t>
      </w:r>
    </w:p>
    <w:p>
      <w:pPr>
        <w:jc w:val="both"/>
        <w:ind w:left="660" w:hanging="652"/>
        <w:spacing w:after="0" w:line="25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restaurant level service contracts, advertising and technology.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using a discounted cash flow model. The key estimates and assumptions used in this model are future cash flow estimates, which are heavily influenced by growth rates, and the discount rate. The fair value of the trade name is determined through a relief from royalty method.</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carrying value of the reporting unit is compared to its estimated fair value, with any excess of carrying value over fair value deemed to be an indicator of potential impairment, in which case a second step is performed comparing the recorded amount of goodwill or indefinite-lived intangible assets to the implied fair value.</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carrying value of goodwill as of December 31, 2017 was $310.2 million, which related to our U.S. and International reporting units. Based on our annual impairment test, none of our reporting units with remaining goodwill were at risk for impairment.</w:t>
      </w:r>
    </w:p>
    <w:p>
      <w:pPr>
        <w:spacing w:after="0" w:line="19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record a liability for all unresolved claims and for an estimate of incurred but not reported claims at the anticipated cost that falls below our specified retention levels or per-claim deductible amounts. Our liability for insurance claims was $59.4 million and $62.8 million as of December 31, 2017 and December 25, 2016, respectively. In establishing our reserves, we consider certain actuarial assumptions and judgments regarding economic conditions, the frequency and severity of claims and claim development history and settlement practices. Reserves recorded for workers’ compensation and general or liquor liability claims are discounted using the average of the one-year and five-year risk free rate of monetary assets that have comparable maturities.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do not believe there is a reasonable likelihood that there will be a material change in the estimates or assumptions used to calculate our insurance claim liabilities. However, if actual results are not consistent with our estimates or assumptions, we may be exposed to losses or gains that could be material. A 50 basis point change in the discount rate in our insurance claim liabilities as of December 31, 2017, would have affected net earnings by $0.8 million in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Stock-Based Compensation - </w:t>
      </w:r>
      <w:r>
        <w:rPr>
          <w:rFonts w:ascii="Arial" w:cs="Arial" w:eastAsia="Arial" w:hAnsi="Arial"/>
          <w:sz w:val="19"/>
          <w:szCs w:val="19"/>
          <w:color w:val="auto"/>
        </w:rPr>
        <w:t>We have a stock-based compensation plan that permits the grant of stock options, stock appreciation rights,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restricted stock units, performance awards and other stock-based awards to our management and other key employees. We account for our stock-based employee compensation using a fair value-based method of accounting.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use the Black-Scholes option pricing model to estimate the weighted-average grant date fair value of stock options granted. Expected volatility is based on historical volatility of our stock. The expected term of options granted represents the period of time that options granted are expected to be outstanding. The simplified method of estimating expected term is used since we do not have significant historical exercise experience for our stock options. Dividend yield is the level of dividends expected to be paid on our common stock over the expected term of our options. The risk-free rate for periods within the expected life of the option is based on the U.S. Treasury yield curve in effect as of the grant date. Forfeitures of share-based compensation awards are recognized as they occur.</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performance-based share units (“PSUs”) require assumptions regarding the likelihood of achieving certain Company performance criteria set forth in the award agreements. Assumptions used in our assessment are consistent with our internal forecasts and operating plans</w:t>
      </w:r>
      <w:r>
        <w:rPr>
          <w:rFonts w:ascii="Arial" w:cs="Arial" w:eastAsia="Arial" w:hAnsi="Arial"/>
          <w:sz w:val="16"/>
          <w:szCs w:val="16"/>
          <w:i w:val="1"/>
          <w:iCs w:val="1"/>
          <w:color w:val="auto"/>
        </w:rPr>
        <w: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Estimates and assumptions are based upon information currently available, including historical experience and current business and economic conditions. A simultaneous 10% change in our volatility, forfeiture rate, weighted-average risk-free interest rate, dividend rate and term of grant in our stock option pricing model for 2017 would not have a material effect on net income.</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we assumed that the PSU performance conditions for stock-based awards were not met, stock-based compensation expense would have decreased by $2.2 million for 2017. If we assumed that PSU share awards met their maximum threshold, expense would have increased by $2.5 million for 2017.</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tax assets and liabilities are recognized based on the differences between the financial statement carrying amounts of</w:t>
      </w:r>
      <w:r>
        <w:rPr>
          <w:rFonts w:ascii="Arial" w:cs="Arial" w:eastAsia="Arial" w:hAnsi="Arial"/>
          <w:sz w:val="20"/>
          <w:szCs w:val="20"/>
          <w:i w:val="1"/>
          <w:iCs w:val="1"/>
          <w:color w:val="auto"/>
        </w:rPr>
        <w:t xml:space="preserve"> </w:t>
      </w:r>
      <w:r>
        <w:rPr>
          <w:rFonts w:ascii="Arial" w:cs="Arial" w:eastAsia="Arial" w:hAnsi="Arial"/>
          <w:sz w:val="20"/>
          <w:szCs w:val="20"/>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31, 2017, tax loss carryforwards and credit carryforwards that do not have a valuation allowance are expected to be recoverable within the applicable statutory expiration periods.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As a result of the enactment of the Tax Act, we have reflected our best provisional estimates and assumptions including, but not limited to: (i) the value of deferred income tax assets and liabilities based on the enacted corporate federal tax rate of 21%, (ii) the value of foreign tax credit carryforwards based on our ability to utilize foreign tax credits to offset future income tax liabilities and (iii) the accounting impact of the Deemed Repatriation Transition Tax. These provisional estimates are based on the information available and our current interpretation of the Tax Act, and may change due to changes in interpretations and assumptions we make and additional guidance or context from the Internal Revenue Service, the U.S. Treasury Department, the Financial Accounting Standards Board or others regarding the Tax Act. As our understanding of the application of certain rules under the Tax Act becomes clarified, we may further refine our estimates throughout 2018. See Note 18 -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the Notes to Consolidated Financial Statements for further information regarding the Tax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recognize a liability. The liability for unrecognized tax benefits requires significant management judgment regarding exposures about our various tax positions. These assumptions and probabilities are periodically reviewed and updated based upon new information. An unfavorable tax settlement generally requires the use of cash and an increase in the amount of income tax expense we recognize.</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We sell gift cards to customers in our restaurants, through our websites and through select third parties. A liability is</w:t>
      </w:r>
      <w:r>
        <w:rPr>
          <w:rFonts w:ascii="Arial" w:cs="Arial" w:eastAsia="Arial" w:hAnsi="Arial"/>
          <w:sz w:val="20"/>
          <w:szCs w:val="20"/>
          <w:i w:val="1"/>
          <w:iCs w:val="1"/>
          <w:color w:val="auto"/>
        </w:rPr>
        <w:t xml:space="preserve"> </w:t>
      </w:r>
      <w:r>
        <w:rPr>
          <w:rFonts w:ascii="Arial" w:cs="Arial" w:eastAsia="Arial" w:hAnsi="Arial"/>
          <w:sz w:val="20"/>
          <w:szCs w:val="20"/>
          <w:color w:val="auto"/>
        </w:rPr>
        <w:t>initially established for the value of the gift card when sold. We recognize revenue from gift cards when the card is redeemed by the customer. There is uncertainty when calculating gift card breakage because management is required to make assumptions and to apply judgment regarding the effects of future events. We currently recognize gift card breakage revenue for gift cards when the likelihood of redemption by the customer is remote.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Upon the adoption of ASU No. 2014-09 “Revenue Recognition (Topic 606), Revenue from Contracts with Customers”, we expect to recognize breakage proportional to actual gift card redemptions. See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xml:space="preserve"> of our Notes to Consolidated Financial Statements in Part II, Item 8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 xml:space="preserve">For a description of recently issued Financial Accounting Standards that we adopted in 2017 and that are applicable to us but have not yet been adopted,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Notes to the Consolidated Financial Statements of this Report.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exposed to market risk from changes in interest rates on debt, changes in foreign currency exchange rates and changes in commodity prices.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exposed to market risk from fluctuations in interest rates, which could affect our consolidated balance sheet, earnings and cash flows. Stockholders’ equity can be adversely affected by changing interest rates, as after-tax changes in the fair value of interest rate swaps designated as cash flow hedges are reflected as increases and decreases to a component of stockholders’ equity.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We manage our exposure to market risk through regular operating and financing activities and when deemed appropriate, through the use of derivative financial instruments. We use derivative financial instruments as risk management tools and not for speculative purposes. See Note 16 -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xml:space="preserve"> of the Notes to our Consolidated Financial Statements for further information.</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of December 31, 2017, our interest rate risk was primarily from variable interest rate changes on our Senior Secured Credit Facility. To manage the risk of fluctuations in variable interest rate debt, we have interest rate swaps for an aggregate notional amount of $400.0 million that </w:t>
      </w:r>
      <w:r>
        <w:rPr>
          <w:rFonts w:ascii="Arial" w:cs="Arial" w:eastAsia="Arial" w:hAnsi="Arial"/>
          <w:sz w:val="20"/>
          <w:szCs w:val="20"/>
          <w:color w:val="252525"/>
        </w:rPr>
        <w:t>mature on May 16, 2019.</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LIBOR curve.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2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 (1)</w:t>
            </w:r>
          </w:p>
        </w:tc>
        <w:tc>
          <w:tcPr>
            <w:tcW w:w="260" w:type="dxa"/>
            <w:vAlign w:val="bottom"/>
          </w:tcPr>
          <w:p>
            <w:pPr>
              <w:spacing w:after="0"/>
              <w:rPr>
                <w:sz w:val="22"/>
                <w:szCs w:val="22"/>
                <w:color w:val="auto"/>
              </w:rPr>
            </w:pPr>
          </w:p>
        </w:tc>
        <w:tc>
          <w:tcPr>
            <w:tcW w:w="1320" w:type="dxa"/>
            <w:vAlign w:val="bottom"/>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0" w:type="dxa"/>
            <w:vAlign w:val="bottom"/>
          </w:tcPr>
          <w:p>
            <w:pPr>
              <w:spacing w:after="0"/>
              <w:rPr>
                <w:sz w:val="21"/>
                <w:szCs w:val="21"/>
                <w:color w:val="auto"/>
              </w:rPr>
            </w:pPr>
          </w:p>
        </w:tc>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 in fair value: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Interest rate swap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(6,151)</w:t>
            </w: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8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Change in annual interest expense (2):</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(6,906)</w:t>
            </w:r>
          </w:p>
        </w:tc>
      </w:tr>
      <w:tr>
        <w:trPr>
          <w:trHeight w:val="193"/>
        </w:trPr>
        <w:tc>
          <w:tcPr>
            <w:tcW w:w="20" w:type="dxa"/>
            <w:vAlign w:val="bottom"/>
          </w:tcPr>
          <w:p>
            <w:pPr>
              <w:spacing w:after="0"/>
              <w:rPr>
                <w:sz w:val="16"/>
                <w:szCs w:val="16"/>
                <w:color w:val="auto"/>
              </w:rPr>
            </w:pPr>
          </w:p>
        </w:tc>
        <w:tc>
          <w:tcPr>
            <w:tcW w:w="8100" w:type="dxa"/>
            <w:vAlign w:val="bottom"/>
          </w:tcPr>
          <w:p>
            <w:pPr>
              <w:spacing w:after="0"/>
              <w:rPr>
                <w:sz w:val="20"/>
                <w:szCs w:val="20"/>
                <w:color w:val="auto"/>
              </w:rPr>
            </w:pPr>
            <w:r>
              <w:rPr>
                <w:rFonts w:ascii="Arial" w:cs="Arial" w:eastAsia="Arial" w:hAnsi="Arial"/>
                <w:sz w:val="16"/>
                <w:szCs w:val="16"/>
                <w:color w:val="auto"/>
              </w:rPr>
              <w:t>________________</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change from a hypothetical 100 basis point increase in short-term interest rates.</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change from a hypothetical basis point increase (decrease) in short-term interest rates based on the LIBOR curve with a floor of zero. The curve ranges from our current interest rate of 155 basis points to 198 basis points.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 Real relative to the U.S. dollar. Our operations in other markets consist of Company-owned restaurants on a smaller scale than Brazil. If foreign currency exchange rates depreciate in the countries in which we operate, we may experience declines in our operating results.</w:t>
      </w:r>
    </w:p>
    <w:p>
      <w:pPr>
        <w:spacing w:after="0" w:line="20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For 2017, 11.0% of our revenue was generated in foreign currencies. A 10% change in average foreign currency rates against the U.S. dollar would have increased or decreased our Total revenues and Net income for our foreign entities by $50.1 million and $1.6 million,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Our restaurants are dependent upon energy to operate and are impacted by changes in energy prices, including natural gas. We utilize derivative instruments to mitigate some of our overall exposure to material increases in natural gas prices. Mark-to-market changes in the fair value of our natural gas derivative instruments recorded in earnings and the related assets and liabilities were not material for 2017, 2016, and </w:t>
      </w:r>
      <w:r>
        <w:rPr>
          <w:rFonts w:ascii="Arial" w:cs="Arial" w:eastAsia="Arial" w:hAnsi="Arial"/>
          <w:sz w:val="20"/>
          <w:szCs w:val="20"/>
          <w:color w:val="252525"/>
        </w:rPr>
        <w:t>2015</w:t>
      </w:r>
      <w:r>
        <w:rPr>
          <w:rFonts w:ascii="Arial" w:cs="Arial" w:eastAsia="Arial" w:hAnsi="Arial"/>
          <w:sz w:val="20"/>
          <w:szCs w:val="20"/>
          <w:color w:val="auto"/>
        </w:rPr>
        <w:t>, respectively.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INFORMATION</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gridSpan w:val="3"/>
          </w:tcPr>
          <w:p>
            <w:pPr>
              <w:ind w:left="240"/>
              <w:spacing w:after="0"/>
              <w:rPr>
                <w:sz w:val="20"/>
                <w:szCs w:val="20"/>
                <w:color w:val="auto"/>
              </w:rPr>
            </w:pPr>
            <w:r>
              <w:rPr>
                <w:rFonts w:ascii="Arial" w:cs="Arial" w:eastAsia="Arial" w:hAnsi="Arial"/>
                <w:sz w:val="16"/>
                <w:szCs w:val="16"/>
                <w:b w:val="1"/>
                <w:bCs w:val="1"/>
                <w:color w:val="auto"/>
              </w:rPr>
              <w:t>PAGE NO.</w:t>
            </w:r>
          </w:p>
        </w:tc>
      </w:tr>
      <w:tr>
        <w:trPr>
          <w:trHeight w:val="33"/>
        </w:trPr>
        <w:tc>
          <w:tcPr>
            <w:tcW w:w="3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5980" w:type="dxa"/>
            <w:vAlign w:val="bottom"/>
            <w:gridSpan w:val="7"/>
          </w:tcPr>
          <w:p>
            <w:pPr>
              <w:spacing w:after="0"/>
              <w:rPr>
                <w:rFonts w:ascii="Arial" w:cs="Arial" w:eastAsia="Arial" w:hAnsi="Arial"/>
                <w:sz w:val="20"/>
                <w:szCs w:val="20"/>
                <w:color w:val="0000EE"/>
                <w:w w:val="90"/>
              </w:rPr>
            </w:pPr>
            <w:hyperlink w:anchor="page66">
              <w:r>
                <w:rPr>
                  <w:rFonts w:ascii="Arial" w:cs="Arial" w:eastAsia="Arial" w:hAnsi="Arial"/>
                  <w:sz w:val="20"/>
                  <w:szCs w:val="20"/>
                  <w:color w:val="0000EE"/>
                  <w:w w:val="90"/>
                </w:rPr>
                <w:t>Management’s Annual Report on Internal Control over Financial Reporting</w:t>
              </w:r>
            </w:hyperlink>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66">
              <w:r>
                <w:rPr>
                  <w:rFonts w:ascii="Arial" w:cs="Arial" w:eastAsia="Arial" w:hAnsi="Arial"/>
                  <w:sz w:val="20"/>
                  <w:szCs w:val="20"/>
                  <w:color w:val="0000EE"/>
                </w:rPr>
                <w:t>65</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1"/>
        </w:trPr>
        <w:tc>
          <w:tcPr>
            <w:tcW w:w="5980" w:type="dxa"/>
            <w:vAlign w:val="bottom"/>
            <w:gridSpan w:val="7"/>
          </w:tcPr>
          <w:p>
            <w:pPr>
              <w:spacing w:after="0"/>
              <w:rPr>
                <w:rFonts w:ascii="Arial" w:cs="Arial" w:eastAsia="Arial" w:hAnsi="Arial"/>
                <w:sz w:val="20"/>
                <w:szCs w:val="20"/>
                <w:color w:val="0000EE"/>
              </w:rPr>
            </w:pPr>
            <w:hyperlink w:anchor="page67">
              <w:r>
                <w:rPr>
                  <w:rFonts w:ascii="Arial" w:cs="Arial" w:eastAsia="Arial" w:hAnsi="Arial"/>
                  <w:sz w:val="20"/>
                  <w:szCs w:val="20"/>
                  <w:color w:val="0000EE"/>
                </w:rPr>
                <w:t>Report of Independent Registered Certified Public Accounting Firm</w:t>
              </w:r>
            </w:hyperlink>
          </w:p>
        </w:tc>
        <w:tc>
          <w:tcPr>
            <w:tcW w:w="4160" w:type="dxa"/>
            <w:vAlign w:val="bottom"/>
            <w:gridSpan w:val="2"/>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67">
              <w:r>
                <w:rPr>
                  <w:rFonts w:ascii="Arial" w:cs="Arial" w:eastAsia="Arial" w:hAnsi="Arial"/>
                  <w:sz w:val="20"/>
                  <w:szCs w:val="20"/>
                  <w:color w:val="0000EE"/>
                </w:rPr>
                <w:t>66</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69">
              <w:r>
                <w:rPr>
                  <w:rFonts w:ascii="Arial" w:cs="Arial" w:eastAsia="Arial" w:hAnsi="Arial"/>
                  <w:sz w:val="20"/>
                  <w:szCs w:val="20"/>
                  <w:color w:val="0000EE"/>
                </w:rPr>
                <w:t>Consolidated Balance Sheets — December 31, 2017 and December 25, 2016</w:t>
              </w:r>
            </w:hyperlink>
          </w:p>
        </w:tc>
        <w:tc>
          <w:tcPr>
            <w:tcW w:w="1240" w:type="dxa"/>
            <w:vAlign w:val="bottom"/>
            <w:gridSpan w:val="3"/>
          </w:tcPr>
          <w:p>
            <w:pPr>
              <w:jc w:val="right"/>
              <w:ind w:right="20"/>
              <w:spacing w:after="0"/>
              <w:rPr>
                <w:rFonts w:ascii="Arial" w:cs="Arial" w:eastAsia="Arial" w:hAnsi="Arial"/>
                <w:sz w:val="20"/>
                <w:szCs w:val="20"/>
                <w:color w:val="0000EE"/>
              </w:rPr>
            </w:pPr>
            <w:hyperlink w:anchor="page69">
              <w:r>
                <w:rPr>
                  <w:rFonts w:ascii="Arial" w:cs="Arial" w:eastAsia="Arial" w:hAnsi="Arial"/>
                  <w:sz w:val="20"/>
                  <w:szCs w:val="20"/>
                  <w:color w:val="0000EE"/>
                </w:rPr>
                <w:t>68</w:t>
              </w:r>
            </w:hyperlink>
          </w:p>
        </w:tc>
      </w:tr>
      <w:tr>
        <w:trPr>
          <w:trHeight w:val="588"/>
        </w:trPr>
        <w:tc>
          <w:tcPr>
            <w:tcW w:w="6080" w:type="dxa"/>
            <w:vAlign w:val="bottom"/>
            <w:tcBorders>
              <w:top w:val="single" w:sz="8" w:color="0000EE"/>
            </w:tcBorders>
            <w:gridSpan w:val="8"/>
          </w:tcPr>
          <w:p>
            <w:pPr>
              <w:spacing w:after="0"/>
              <w:rPr>
                <w:rFonts w:ascii="Arial" w:cs="Arial" w:eastAsia="Arial" w:hAnsi="Arial"/>
                <w:sz w:val="20"/>
                <w:szCs w:val="20"/>
                <w:color w:val="0000EE"/>
                <w:w w:val="96"/>
              </w:rPr>
            </w:pPr>
            <w:hyperlink w:anchor="page70">
              <w:r>
                <w:rPr>
                  <w:rFonts w:ascii="Arial" w:cs="Arial" w:eastAsia="Arial" w:hAnsi="Arial"/>
                  <w:sz w:val="20"/>
                  <w:szCs w:val="20"/>
                  <w:color w:val="0000EE"/>
                  <w:w w:val="96"/>
                </w:rPr>
                <w:t>Consolidated Statements of Operations and Comprehensive Income —</w:t>
              </w:r>
            </w:hyperlink>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60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For Fiscal Years 2017, 2016 and 2015</w:t>
              </w:r>
            </w:hyperlink>
          </w:p>
        </w:tc>
        <w:tc>
          <w:tcPr>
            <w:tcW w:w="4540" w:type="dxa"/>
            <w:vAlign w:val="bottom"/>
            <w:gridSpan w:val="3"/>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69</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71">
              <w:r>
                <w:rPr>
                  <w:rFonts w:ascii="Arial" w:cs="Arial" w:eastAsia="Arial" w:hAnsi="Arial"/>
                  <w:sz w:val="20"/>
                  <w:szCs w:val="20"/>
                  <w:color w:val="0000EE"/>
                </w:rPr>
                <w:t>Consolidated Statements of Changes in Stockholders’ Equity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08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71">
              <w:r>
                <w:rPr>
                  <w:rFonts w:ascii="Arial" w:cs="Arial" w:eastAsia="Arial" w:hAnsi="Arial"/>
                  <w:sz w:val="20"/>
                  <w:szCs w:val="20"/>
                  <w:color w:val="0000EE"/>
                </w:rPr>
                <w:t>For Fiscal Years 2017, 2016 and 2015</w:t>
              </w:r>
            </w:hyperlink>
          </w:p>
        </w:tc>
        <w:tc>
          <w:tcPr>
            <w:tcW w:w="5060" w:type="dxa"/>
            <w:vAlign w:val="bottom"/>
            <w:gridSpan w:val="5"/>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71">
              <w:r>
                <w:rPr>
                  <w:rFonts w:ascii="Arial" w:cs="Arial" w:eastAsia="Arial" w:hAnsi="Arial"/>
                  <w:sz w:val="20"/>
                  <w:szCs w:val="20"/>
                  <w:color w:val="0000EE"/>
                </w:rPr>
                <w:t>70</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140" w:type="dxa"/>
            <w:vAlign w:val="bottom"/>
            <w:gridSpan w:val="9"/>
          </w:tcPr>
          <w:p>
            <w:pPr>
              <w:spacing w:after="0"/>
              <w:rPr>
                <w:rFonts w:ascii="Arial" w:cs="Arial" w:eastAsia="Arial" w:hAnsi="Arial"/>
                <w:sz w:val="20"/>
                <w:szCs w:val="20"/>
                <w:color w:val="0000EE"/>
              </w:rPr>
            </w:pPr>
            <w:hyperlink w:anchor="page73">
              <w:r>
                <w:rPr>
                  <w:rFonts w:ascii="Arial" w:cs="Arial" w:eastAsia="Arial" w:hAnsi="Arial"/>
                  <w:sz w:val="20"/>
                  <w:szCs w:val="20"/>
                  <w:color w:val="0000EE"/>
                </w:rPr>
                <w:t>Consolidated Statements of Cash Flows —</w:t>
              </w:r>
            </w:hyperlink>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344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73">
              <w:r>
                <w:rPr>
                  <w:rFonts w:ascii="Arial" w:cs="Arial" w:eastAsia="Arial" w:hAnsi="Arial"/>
                  <w:sz w:val="20"/>
                  <w:szCs w:val="20"/>
                  <w:color w:val="0000EE"/>
                </w:rPr>
                <w:t>For Fiscal Years 2017, 2016 and 2015</w:t>
              </w:r>
            </w:hyperlink>
          </w:p>
        </w:tc>
        <w:tc>
          <w:tcPr>
            <w:tcW w:w="6700" w:type="dxa"/>
            <w:vAlign w:val="bottom"/>
            <w:gridSpan w:val="7"/>
          </w:tcPr>
          <w:p>
            <w:pPr>
              <w:spacing w:after="0"/>
              <w:rPr>
                <w:sz w:val="18"/>
                <w:szCs w:val="18"/>
                <w:color w:val="auto"/>
              </w:rPr>
            </w:pPr>
          </w:p>
        </w:tc>
        <w:tc>
          <w:tcPr>
            <w:tcW w:w="1240" w:type="dxa"/>
            <w:vAlign w:val="bottom"/>
            <w:gridSpan w:val="3"/>
          </w:tcPr>
          <w:p>
            <w:pPr>
              <w:jc w:val="right"/>
              <w:ind w:right="20"/>
              <w:spacing w:after="0" w:line="209" w:lineRule="exact"/>
              <w:rPr>
                <w:rFonts w:ascii="Arial" w:cs="Arial" w:eastAsia="Arial" w:hAnsi="Arial"/>
                <w:sz w:val="20"/>
                <w:szCs w:val="20"/>
                <w:color w:val="0000EE"/>
              </w:rPr>
            </w:pPr>
            <w:hyperlink w:anchor="page73">
              <w:r>
                <w:rPr>
                  <w:rFonts w:ascii="Arial" w:cs="Arial" w:eastAsia="Arial" w:hAnsi="Arial"/>
                  <w:sz w:val="20"/>
                  <w:szCs w:val="20"/>
                  <w:color w:val="0000EE"/>
                </w:rPr>
                <w:t>72</w:t>
              </w:r>
            </w:hyperlink>
          </w:p>
        </w:tc>
      </w:tr>
      <w:tr>
        <w:trPr>
          <w:trHeight w:val="20"/>
        </w:trPr>
        <w:tc>
          <w:tcPr>
            <w:tcW w:w="30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3460" w:type="dxa"/>
            <w:vAlign w:val="bottom"/>
            <w:gridSpan w:val="3"/>
          </w:tcPr>
          <w:p>
            <w:pPr>
              <w:spacing w:after="0"/>
              <w:rPr>
                <w:rFonts w:ascii="Arial" w:cs="Arial" w:eastAsia="Arial" w:hAnsi="Arial"/>
                <w:sz w:val="20"/>
                <w:szCs w:val="20"/>
                <w:color w:val="0000EE"/>
                <w:w w:val="88"/>
              </w:rPr>
            </w:pPr>
            <w:hyperlink w:anchor="page75">
              <w:r>
                <w:rPr>
                  <w:rFonts w:ascii="Arial" w:cs="Arial" w:eastAsia="Arial" w:hAnsi="Arial"/>
                  <w:sz w:val="20"/>
                  <w:szCs w:val="20"/>
                  <w:color w:val="0000EE"/>
                  <w:w w:val="88"/>
                </w:rPr>
                <w:t>Notes to Consolidated Financial Statements</w:t>
              </w:r>
            </w:hyperlink>
          </w:p>
        </w:tc>
        <w:tc>
          <w:tcPr>
            <w:tcW w:w="6680" w:type="dxa"/>
            <w:vAlign w:val="bottom"/>
            <w:gridSpan w:val="6"/>
          </w:tcPr>
          <w:p>
            <w:pPr>
              <w:spacing w:after="0"/>
              <w:rPr>
                <w:sz w:val="24"/>
                <w:szCs w:val="24"/>
                <w:color w:val="auto"/>
              </w:rPr>
            </w:pPr>
          </w:p>
        </w:tc>
        <w:tc>
          <w:tcPr>
            <w:tcW w:w="1240" w:type="dxa"/>
            <w:vAlign w:val="bottom"/>
            <w:gridSpan w:val="3"/>
          </w:tcPr>
          <w:p>
            <w:pPr>
              <w:jc w:val="right"/>
              <w:ind w:right="20"/>
              <w:spacing w:after="0"/>
              <w:rPr>
                <w:rFonts w:ascii="Arial" w:cs="Arial" w:eastAsia="Arial" w:hAnsi="Arial"/>
                <w:sz w:val="20"/>
                <w:szCs w:val="20"/>
                <w:color w:val="0000EE"/>
              </w:rPr>
            </w:pPr>
            <w:hyperlink w:anchor="page75">
              <w:r>
                <w:rPr>
                  <w:rFonts w:ascii="Arial" w:cs="Arial" w:eastAsia="Arial" w:hAnsi="Arial"/>
                  <w:sz w:val="20"/>
                  <w:szCs w:val="20"/>
                  <w:color w:val="0000EE"/>
                </w:rPr>
                <w:t>74</w:t>
              </w:r>
            </w:hyperlink>
          </w:p>
        </w:tc>
      </w:tr>
      <w:tr>
        <w:trPr>
          <w:trHeight w:val="723"/>
        </w:trPr>
        <w:tc>
          <w:tcPr>
            <w:tcW w:w="3460" w:type="dxa"/>
            <w:vAlign w:val="bottom"/>
            <w:tcBorders>
              <w:top w:val="single" w:sz="8" w:color="0000EE"/>
            </w:tcBorders>
            <w:gridSpan w:val="3"/>
          </w:tcPr>
          <w:p>
            <w:pPr>
              <w:spacing w:after="0"/>
              <w:rPr>
                <w:sz w:val="24"/>
                <w:szCs w:val="24"/>
                <w:color w:val="auto"/>
              </w:rPr>
            </w:pPr>
          </w:p>
        </w:tc>
        <w:tc>
          <w:tcPr>
            <w:tcW w:w="2520" w:type="dxa"/>
            <w:vAlign w:val="bottom"/>
            <w:gridSpan w:val="4"/>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76" w:lineRule="auto"/>
        <w:tabs>
          <w:tab w:leader="none" w:pos="3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On May 14, 2013, the Committee of Sponsoring Organizations of the Treadway Commission (“COSO”) issued an updated version of its </w:t>
      </w:r>
      <w:r>
        <w:rPr>
          <w:rFonts w:ascii="Arial" w:cs="Arial" w:eastAsia="Arial" w:hAnsi="Arial"/>
          <w:sz w:val="19"/>
          <w:szCs w:val="19"/>
          <w:i w:val="1"/>
          <w:iCs w:val="1"/>
          <w:color w:val="auto"/>
        </w:rPr>
        <w:t xml:space="preserve">Internal Control—Integrated Framework </w:t>
      </w:r>
      <w:r>
        <w:rPr>
          <w:rFonts w:ascii="Arial" w:cs="Arial" w:eastAsia="Arial" w:hAnsi="Arial"/>
          <w:sz w:val="19"/>
          <w:szCs w:val="19"/>
          <w:color w:val="auto"/>
        </w:rPr>
        <w:t>(“2013 Framework”). Under the supervision and with the participation of management, including our</w:t>
      </w:r>
      <w:r>
        <w:rPr>
          <w:rFonts w:ascii="Arial" w:cs="Arial" w:eastAsia="Arial" w:hAnsi="Arial"/>
          <w:sz w:val="19"/>
          <w:szCs w:val="19"/>
          <w:i w:val="1"/>
          <w:iCs w:val="1"/>
          <w:color w:val="auto"/>
        </w:rPr>
        <w:t xml:space="preserve"> </w:t>
      </w:r>
      <w:r>
        <w:rPr>
          <w:rFonts w:ascii="Arial" w:cs="Arial" w:eastAsia="Arial" w:hAnsi="Arial"/>
          <w:sz w:val="19"/>
          <w:szCs w:val="19"/>
          <w:color w:val="auto"/>
        </w:rPr>
        <w:t>Chief Executive Officer and Chief Financial and Administrative Officer, we carried out an evaluation of the effectiveness of our internal control over financial reporting as of December 31, 2017 using the 2013 Framework. Based upon our evaluation, management concluded that our internal control over financial reporting was effective as of December 31, 2017.</w:t>
      </w:r>
    </w:p>
    <w:p>
      <w:pPr>
        <w:spacing w:after="0" w:line="19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effectiveness of our internal control over financial reporting as of December 31, 2017 has been audited by PricewaterhouseCoopers LLP, an independent registered certified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We have audited the accompanying consolidated balance sheets of Bloomin’ Brands, Inc. and its subsidiaries as of December 31, 2017 and December 25, 2016, and the related consolidated statements of operations and comprehensive income, of changes in stockholders’ equity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2017 and December 25,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Certified Public Accountants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rPr>
          <w:sz w:val="20"/>
          <w:szCs w:val="20"/>
          <w:color w:val="auto"/>
        </w:rPr>
      </w:pPr>
      <w:r>
        <w:rPr>
          <w:rFonts w:ascii="Arial" w:cs="Arial" w:eastAsia="Arial" w:hAnsi="Arial"/>
          <w:sz w:val="20"/>
          <w:szCs w:val="20"/>
          <w:color w:val="auto"/>
        </w:rPr>
        <w:t>February 28, 2018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8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2016</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127,176</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Current portion of restricted cash and cash equivalents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7,886</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65,231</w:t>
            </w:r>
          </w:p>
        </w:tc>
      </w:tr>
      <w:tr>
        <w:trPr>
          <w:trHeight w:val="27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179,402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190,226</w:t>
            </w: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390,519</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1,124</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1,237,148</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310,234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310,055</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535,523</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71,499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38,764</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129,146</w:t>
            </w:r>
          </w:p>
        </w:tc>
      </w:tr>
      <w:tr>
        <w:trPr>
          <w:trHeight w:val="290"/>
        </w:trPr>
        <w:tc>
          <w:tcPr>
            <w:tcW w:w="81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2,642,279</w:t>
            </w: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MEZZANINE EQUITY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195,371</w:t>
            </w: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270,840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204,415</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388,543</w:t>
            </w:r>
          </w:p>
        </w:tc>
      </w:tr>
      <w:tr>
        <w:trPr>
          <w:trHeight w:val="27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35,079</w:t>
            </w:r>
          </w:p>
        </w:tc>
      </w:tr>
      <w:tr>
        <w:trPr>
          <w:trHeight w:val="23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860,863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823,408</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160,047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151,130</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16,709</w:t>
            </w:r>
          </w:p>
        </w:tc>
      </w:tr>
      <w:tr>
        <w:trPr>
          <w:trHeight w:val="237"/>
        </w:trPr>
        <w:tc>
          <w:tcPr>
            <w:tcW w:w="810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1,091,769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1,054,406</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 on sale-leaseback transactions,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181,696</w:t>
            </w:r>
          </w:p>
        </w:tc>
      </w:tr>
      <w:tr>
        <w:trPr>
          <w:trHeight w:val="27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205,745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219,030</w:t>
            </w:r>
          </w:p>
        </w:tc>
      </w:tr>
      <w:tr>
        <w:trPr>
          <w:trHeight w:val="26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2,523,436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2,446,379</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Commitments and contingencies (Note 19)</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Mezzanine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Redeemable noncontrolling interests</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547</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Preferred stock, $0.01 par value, 25,000,000 shares authorized; no shares issued and outstanding as of December 31,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2017 and December 25, 2016</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100" w:type="dxa"/>
            <w:vAlign w:val="bottom"/>
          </w:tcPr>
          <w:p>
            <w:pPr>
              <w:ind w:left="380"/>
              <w:spacing w:after="0"/>
              <w:rPr>
                <w:sz w:val="20"/>
                <w:szCs w:val="20"/>
                <w:color w:val="auto"/>
              </w:rPr>
            </w:pPr>
            <w:r>
              <w:rPr>
                <w:rFonts w:ascii="Arial" w:cs="Arial" w:eastAsia="Arial" w:hAnsi="Arial"/>
                <w:sz w:val="16"/>
                <w:szCs w:val="16"/>
                <w:color w:val="auto"/>
                <w:w w:val="95"/>
              </w:rPr>
              <w:t>Common stock, $0.01 par value, 475,000,000 shares authorized; 91,912,546 and 103,922,110 shares issued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8100" w:type="dxa"/>
            <w:vAlign w:val="bottom"/>
          </w:tcPr>
          <w:p>
            <w:pPr>
              <w:ind w:left="380"/>
              <w:spacing w:after="0"/>
              <w:rPr>
                <w:sz w:val="20"/>
                <w:szCs w:val="20"/>
                <w:color w:val="auto"/>
              </w:rPr>
            </w:pPr>
            <w:r>
              <w:rPr>
                <w:rFonts w:ascii="Arial" w:cs="Arial" w:eastAsia="Arial" w:hAnsi="Arial"/>
                <w:sz w:val="16"/>
                <w:szCs w:val="16"/>
                <w:color w:val="auto"/>
              </w:rPr>
              <w:t>outstanding as of December 31, 2017 and December 25, 2016, respectively</w:t>
            </w:r>
          </w:p>
        </w:tc>
        <w:tc>
          <w:tcPr>
            <w:tcW w:w="1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1,039</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1,079,583</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(944,951)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(786,780)</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r>
      <w:tr>
        <w:trPr>
          <w:trHeight w:val="224"/>
        </w:trPr>
        <w:tc>
          <w:tcPr>
            <w:tcW w:w="810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18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38,582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182,699</w:t>
            </w:r>
          </w:p>
        </w:tc>
      </w:tr>
      <w:tr>
        <w:trPr>
          <w:trHeight w:val="33"/>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12,654</w:t>
            </w:r>
          </w:p>
        </w:tc>
      </w:tr>
      <w:tr>
        <w:trPr>
          <w:trHeight w:val="270"/>
        </w:trPr>
        <w:tc>
          <w:tcPr>
            <w:tcW w:w="81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49,471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195,353</w:t>
            </w: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mezzanine equity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2,642,279</w:t>
            </w: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00"/>
          </w:cols>
          <w:pgMar w:left="240" w:top="122"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22" w:right="2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4,168,658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4,226,057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4,349,921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44,688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27,755</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4,213,346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4,252,312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4,377,676</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1,317,110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1,354,853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1,419,689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1,219,593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1,211,250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1,205,610</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978,984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992,157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1,006,772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190,399</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306,956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267,981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287,614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104,627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36,667</w:t>
            </w:r>
          </w:p>
        </w:tc>
      </w:tr>
      <w:tr>
        <w:trPr>
          <w:trHeight w:val="270"/>
        </w:trPr>
        <w:tc>
          <w:tcPr>
            <w:tcW w:w="64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4,067,254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4,124,706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4,146,751</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146,092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127,606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230,925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(26,998)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(45,726)</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(56,176)</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118,543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170,854</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15,985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10,144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39,294</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102,558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131,560</w:t>
            </w: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2,315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4,233</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41,748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127,327</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131,560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Foreign currency translation adjustment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(96,194)</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Unrealized gain (loss) on derivatives, net of tax</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(6,033)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Reclassification of adjustment for loss on derivatives included in Net income,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r>
      <w:tr>
        <w:trPr>
          <w:trHeight w:val="224"/>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Comprehensive income</w:t>
            </w: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114,525</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85,979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31,568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Less: comprehensive income (loss) attributable to noncontrolling interests</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(8,934)</w:t>
            </w:r>
          </w:p>
        </w:tc>
      </w:tr>
      <w:tr>
        <w:trPr>
          <w:trHeight w:val="290"/>
        </w:trPr>
        <w:tc>
          <w:tcPr>
            <w:tcW w:w="64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Comprehensive income attributable to Bloomin’ Brands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112,187</w:t>
            </w:r>
          </w:p>
        </w:tc>
        <w:tc>
          <w:tcPr>
            <w:tcW w:w="120" w:type="dxa"/>
            <w:vAlign w:val="bottom"/>
            <w:tcBorders>
              <w:top w:val="single" w:sz="8" w:color="CCEEFF"/>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77,971</w:t>
            </w:r>
          </w:p>
        </w:tc>
        <w:tc>
          <w:tcPr>
            <w:tcW w:w="100" w:type="dxa"/>
            <w:vAlign w:val="bottom"/>
            <w:tcBorders>
              <w:top w:val="single" w:sz="8" w:color="CCEEFF"/>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40,502</w:t>
            </w:r>
          </w:p>
        </w:tc>
      </w:tr>
      <w:tr>
        <w:trPr>
          <w:trHeight w:val="257"/>
        </w:trPr>
        <w:tc>
          <w:tcPr>
            <w:tcW w:w="64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7"/>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9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96,365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111,381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122,352</w:t>
            </w:r>
          </w:p>
        </w:tc>
      </w:tr>
      <w:tr>
        <w:trPr>
          <w:trHeight w:val="23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99,707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114,311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125,585</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12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PAID-IN</w:t>
            </w:r>
          </w:p>
        </w:tc>
        <w:tc>
          <w:tcPr>
            <w:tcW w:w="134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28, 2014</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125,950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1,085,627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(474,994)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556,449</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127,327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130,555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(86,816)</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$0.24</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(29,332)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(169,999)</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21,672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21,672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Excess tax benefit on stock-based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1"/>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94"/>
        </w:trPr>
        <w:tc>
          <w:tcPr>
            <w:tcW w:w="230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(11,548)</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Conversion of accrued partner</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obligations to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6,364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6,364</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interests</w:t>
            </w:r>
          </w:p>
        </w:tc>
        <w:tc>
          <w:tcPr>
            <w:tcW w:w="106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27, 2015</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119,215</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1,192</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1,072,861</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(518,360)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(147,367)</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13,574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421,900</w:t>
            </w:r>
          </w:p>
        </w:tc>
        <w:tc>
          <w:tcPr>
            <w:tcW w:w="0" w:type="dxa"/>
            <w:vAlign w:val="bottom"/>
          </w:tcPr>
          <w:p>
            <w:pPr>
              <w:spacing w:after="0"/>
              <w:rPr>
                <w:sz w:val="1"/>
                <w:szCs w:val="1"/>
                <w:color w:val="auto"/>
              </w:rPr>
            </w:pPr>
          </w:p>
        </w:tc>
      </w:tr>
      <w:tr>
        <w:trPr>
          <w:trHeight w:val="40"/>
        </w:trPr>
        <w:tc>
          <w:tcPr>
            <w:tcW w:w="23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45,370</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36,224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36,181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dividends declared, $0.28</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(16,647)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(309,721)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(309,887)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23,539</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Excess tax benefit from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6,831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6,397</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 net of tax of $1,504</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9,301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9,882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25, 2016</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1,039</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(786,780)</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195,353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ectPr>
          <w:pgSz w:w="11900" w:h="16838" w:orient="portrait"/>
          <w:cols w:equalWidth="0" w:num="1">
            <w:col w:w="11420"/>
          </w:cols>
          <w:pgMar w:left="240" w:top="122"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128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PAID-IN</w:t>
            </w:r>
          </w:p>
        </w:tc>
        <w:tc>
          <w:tcPr>
            <w:tcW w:w="134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25, 2016</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1,079,583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195,353</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100,243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103,342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11,941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$0.32</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(30,988)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(30,988)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(272,736)</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23,721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23,721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10,421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10,259</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 net of tax of $45</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6"/>
              </w:rPr>
              <w:t>Cumulative-effect from a change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 accounting principle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14,364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14,364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December 31, 2017</w:t>
            </w: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1,081,813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(944,951)</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10,889</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49,471</w:t>
            </w:r>
          </w:p>
        </w:tc>
        <w:tc>
          <w:tcPr>
            <w:tcW w:w="0" w:type="dxa"/>
            <w:vAlign w:val="bottom"/>
          </w:tcPr>
          <w:p>
            <w:pPr>
              <w:spacing w:after="0"/>
              <w:rPr>
                <w:sz w:val="1"/>
                <w:szCs w:val="1"/>
                <w:color w:val="auto"/>
              </w:rPr>
            </w:pPr>
          </w:p>
        </w:tc>
      </w:tr>
      <w:tr>
        <w:trPr>
          <w:trHeight w:val="33"/>
        </w:trPr>
        <w:tc>
          <w:tcPr>
            <w:tcW w:w="23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102,558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46,347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131,560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192,282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193,838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190,399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26,751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28,045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28,205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36,667</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25,938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21,522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22,725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 (benefit)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26,998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2,956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sale of a business or subsidiary</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Other non-cash items, net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Decrease (increase) in inventories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11,065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15,053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Increase in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(43,727)</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decrease in other assets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16,969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Increase (decrease) in accounts payable and accrued and 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(9,141)</w:t>
            </w:r>
          </w:p>
        </w:tc>
      </w:tr>
      <w:tr>
        <w:trPr>
          <w:trHeight w:val="237"/>
        </w:trPr>
        <w:tc>
          <w:tcPr>
            <w:tcW w:w="6400" w:type="dxa"/>
            <w:vAlign w:val="bottom"/>
          </w:tcPr>
          <w:p>
            <w:pPr>
              <w:ind w:left="720"/>
              <w:spacing w:after="0"/>
              <w:rPr>
                <w:sz w:val="20"/>
                <w:szCs w:val="20"/>
                <w:color w:val="auto"/>
              </w:rPr>
            </w:pPr>
            <w:r>
              <w:rPr>
                <w:rFonts w:ascii="Arial" w:cs="Arial" w:eastAsia="Arial" w:hAnsi="Arial"/>
                <w:sz w:val="16"/>
                <w:szCs w:val="16"/>
                <w:color w:val="auto"/>
              </w:rPr>
              <w:t>Increase in deferred rent</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12,079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12,426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17,983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(Decrease) increase in unearned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r>
      <w:tr>
        <w:trPr>
          <w:trHeight w:val="27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Decrease in other long-term liabilities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(6,525)</w:t>
            </w:r>
          </w:p>
        </w:tc>
      </w:tr>
      <w:tr>
        <w:trPr>
          <w:trHeight w:val="264"/>
        </w:trPr>
        <w:tc>
          <w:tcPr>
            <w:tcW w:w="6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409,002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340,587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395,139</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Cash flows (used in) provided by investing activities: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530,684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sale of a business, net of cash divested</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39,196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28,635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7,798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(210,263)</w:t>
            </w:r>
          </w:p>
        </w:tc>
      </w:tr>
      <w:tr>
        <w:trPr>
          <w:trHeight w:val="270"/>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investments, net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14,870</w:t>
            </w:r>
          </w:p>
        </w:tc>
      </w:tr>
      <w:tr>
        <w:trPr>
          <w:trHeight w:val="257"/>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provided by investing activities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295,248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(187,595)</w:t>
            </w: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net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621,603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364,211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149,250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Defeasance,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(478,906)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(215,000)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(75,528)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(355,616)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(43,076)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1,345,761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729,500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564,040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(676,500)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(539,500)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(458,300)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Proceeds from failed sale-leaseback transactions, net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Proceeds from the exercise of share-based compensation</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10,439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6,843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6,024</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4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3,635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(42,555)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(272,916)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(170,769)</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dividends paid on common stock</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(29,332)</w:t>
            </w:r>
          </w:p>
        </w:tc>
      </w:tr>
      <w:tr>
        <w:trPr>
          <w:trHeight w:val="27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(293,505)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(657,978)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(241,001)</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(42,650)</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136,186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155,374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198,024</w:t>
            </w:r>
          </w:p>
        </w:tc>
      </w:tr>
      <w:tr>
        <w:trPr>
          <w:trHeight w:val="29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129,543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136,186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155,374</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40,475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41,645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53,971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88,823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noncontrolling interest included in accrued and other current liabilities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6400" w:type="dxa"/>
            <w:vAlign w:val="bottom"/>
          </w:tcPr>
          <w:p>
            <w:pPr>
              <w:ind w:left="380"/>
              <w:spacing w:after="0"/>
              <w:rPr>
                <w:sz w:val="20"/>
                <w:szCs w:val="20"/>
                <w:color w:val="auto"/>
              </w:rPr>
            </w:pPr>
            <w:r>
              <w:rPr>
                <w:rFonts w:ascii="Arial" w:cs="Arial" w:eastAsia="Arial" w:hAnsi="Arial"/>
                <w:sz w:val="16"/>
                <w:szCs w:val="16"/>
                <w:color w:val="auto"/>
                <w:w w:val="93"/>
              </w:rPr>
              <w:t>(Decrease) increase in liabilities from the acquisition of property, fixtures and equipment or</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6400" w:type="dxa"/>
            <w:vAlign w:val="bottom"/>
          </w:tcPr>
          <w:p>
            <w:pPr>
              <w:ind w:left="380"/>
              <w:spacing w:after="0"/>
              <w:rPr>
                <w:sz w:val="20"/>
                <w:szCs w:val="20"/>
                <w:color w:val="auto"/>
              </w:rPr>
            </w:pPr>
            <w:r>
              <w:rPr>
                <w:rFonts w:ascii="Arial" w:cs="Arial" w:eastAsia="Arial" w:hAnsi="Arial"/>
                <w:sz w:val="16"/>
                <w:szCs w:val="16"/>
                <w:color w:val="auto"/>
              </w:rPr>
              <w:t>capital leases</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9,610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3,396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effect of purchase of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Conversion of accrued partner obligations to noncontrolling interests</w:t>
            </w:r>
          </w:p>
        </w:tc>
        <w:tc>
          <w:tcPr>
            <w:tcW w:w="4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6,364</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Description of Business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Bloomin’ Brands, Inc. (“Bloomin’ Brands” or the “Company”) is one of the largest casual dining restaurant companies in the world, with a portfolio of leading, differentiated restaurant concepts. OSI Restaurant Partners, LLC (“OSI”) is the Company’s primary operating entity.</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132" w:lineRule="exact"/>
        <w:rPr>
          <w:sz w:val="20"/>
          <w:szCs w:val="20"/>
          <w:color w:val="auto"/>
        </w:rPr>
      </w:pPr>
    </w:p>
    <w:p>
      <w:pPr>
        <w:ind w:left="700" w:hanging="692"/>
        <w:spacing w:after="0"/>
        <w:tabs>
          <w:tab w:leader="none" w:pos="7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ensure timely reporting, the Company consolidates the results of its Brazil operations on a one-month calendar lag. There were no intervening events that would materially affect the Company’s consolidated financial position, results of operations or cash flows as of and for the year ended December 31,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consolidates variable interest entities where it has been determined that the Company is the primary beneficiary of those entities’ operations. The Company is a franchisor of 290 restaurants as of December 31, 2017, but does not possess any ownership interests in its franchisees and does not provide financial support to its franchisees. These franchise relationships are not deemed variable interest entities and are not consolidated.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generally between 20% and 50% and the Company has the ability to exercise significant influence over the entity are accounted for under the equity method.</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Fiscal Year - </w:t>
      </w:r>
      <w:r>
        <w:rPr>
          <w:rFonts w:ascii="Arial" w:cs="Arial" w:eastAsia="Arial" w:hAnsi="Arial"/>
          <w:sz w:val="18"/>
          <w:szCs w:val="18"/>
          <w:color w:val="auto"/>
        </w:rPr>
        <w:t>The Company utilizes a 52-53 week year ending on the last Sunday in December. In a 52 week fiscal year, each quarterly period is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13 weeks. The additional week in a 53 week fiscal year is added to the fourth quarter. Fiscal year 2017 consisted of 53 weeks and fiscal years 2016 and 2015 consisted of 52 weeks. The additional operating week of 2017 resulted in increases of $80.4 million of Total revenues and $0.11 of diluted earnings per share in the Consolidated Statements of Operations and Comprehensive Income.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Use of Estimates - </w:t>
      </w:r>
      <w:r>
        <w:rPr>
          <w:rFonts w:ascii="Arial" w:cs="Arial" w:eastAsia="Arial" w:hAnsi="Arial"/>
          <w:sz w:val="20"/>
          <w:szCs w:val="20"/>
          <w:color w:val="auto"/>
        </w:rPr>
        <w:t>The preparation of the accompanying consolidated financial statements in conformity with generally accepted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Cash and cash equivalents include $51.6 million and $50.0 million, as of December 31, 2017 and December 25, 2016, respectively, for amounts in transit from credit card companies since settlement is reasonably assured.</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are gift card, vendor and other receivables. Gift card, vendor and other receivables consist primarily of amounts due from gift card resellers and vendor rebates. The Company considers the concentration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credit risk for gift card, vendor and other receivables to be minimal due to the payment histories and general financial condition of its gift card resellers and vendors.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mitigate its counterparty risk. At times, cash balances may be in excess of FDIC insurance limits. See Note 16 - </w:t>
      </w:r>
      <w:r>
        <w:rPr>
          <w:rFonts w:ascii="Arial" w:cs="Arial" w:eastAsia="Arial" w:hAnsi="Arial"/>
          <w:sz w:val="20"/>
          <w:szCs w:val="20"/>
          <w:i w:val="1"/>
          <w:iCs w:val="1"/>
          <w:color w:val="auto"/>
        </w:rPr>
        <w:t xml:space="preserve">Derivative Instruments and Hedging Activities </w:t>
      </w:r>
      <w:r>
        <w:rPr>
          <w:rFonts w:ascii="Arial" w:cs="Arial" w:eastAsia="Arial" w:hAnsi="Arial"/>
          <w:sz w:val="20"/>
          <w:szCs w:val="20"/>
          <w:color w:val="auto"/>
        </w:rPr>
        <w:t>for a discussion of the Company’s use of derivative instruments and management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inherent in derivative instruments.</w:t>
      </w:r>
    </w:p>
    <w:p>
      <w:pPr>
        <w:spacing w:after="0" w:line="21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2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6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33"/>
        </w:trPr>
        <w:tc>
          <w:tcPr>
            <w:tcW w:w="82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24"/>
        </w:trPr>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33"/>
        </w:trPr>
        <w:tc>
          <w:tcPr>
            <w:tcW w:w="820" w:type="dxa"/>
            <w:vAlign w:val="bottom"/>
            <w:shd w:val="clear" w:color="auto" w:fill="CCEEFF"/>
          </w:tcPr>
          <w:p>
            <w:pPr>
              <w:spacing w:after="0"/>
              <w:rPr>
                <w:sz w:val="2"/>
                <w:szCs w:val="2"/>
                <w:color w:val="auto"/>
              </w:rPr>
            </w:pPr>
          </w:p>
        </w:tc>
        <w:tc>
          <w:tcPr>
            <w:tcW w:w="105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The Company has short-term restricted cash balances consisting of amounts pledged for settlement of deferred compensation</w:t>
      </w:r>
      <w:r>
        <w:rPr>
          <w:rFonts w:ascii="Arial" w:cs="Arial" w:eastAsia="Arial" w:hAnsi="Arial"/>
          <w:sz w:val="20"/>
          <w:szCs w:val="20"/>
          <w:i w:val="1"/>
          <w:iCs w:val="1"/>
          <w:color w:val="auto"/>
        </w:rPr>
        <w:t xml:space="preserve"> </w:t>
      </w:r>
      <w:r>
        <w:rPr>
          <w:rFonts w:ascii="Arial" w:cs="Arial" w:eastAsia="Arial" w:hAnsi="Arial"/>
          <w:sz w:val="20"/>
          <w:szCs w:val="20"/>
          <w:color w:val="auto"/>
        </w:rPr>
        <w:t>plan obligations.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Improvements to leased properties are depreciated over the shorter of their useful life or the lease term, which includes renewal periods that are reasonably assured. Estimated useful lives by major asset category are generally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building improvements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shd w:val="clear" w:color="auto" w:fill="CCEEFF"/>
              </w:rPr>
              <w:t>20 to 30 years</w:t>
            </w:r>
          </w:p>
        </w:tc>
      </w:tr>
      <w:tr>
        <w:trPr>
          <w:trHeight w:val="224"/>
        </w:trPr>
        <w:tc>
          <w:tcPr>
            <w:tcW w:w="1048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940" w:type="dxa"/>
            <w:vAlign w:val="bottom"/>
          </w:tcPr>
          <w:p>
            <w:pPr>
              <w:jc w:val="right"/>
              <w:spacing w:after="0"/>
              <w:rPr>
                <w:sz w:val="20"/>
                <w:szCs w:val="20"/>
                <w:color w:val="auto"/>
              </w:rPr>
            </w:pPr>
            <w:r>
              <w:rPr>
                <w:rFonts w:ascii="Arial" w:cs="Arial" w:eastAsia="Arial" w:hAnsi="Arial"/>
                <w:sz w:val="16"/>
                <w:szCs w:val="16"/>
                <w:color w:val="auto"/>
              </w:rPr>
              <w:t>5 to 7 years</w:t>
            </w:r>
          </w:p>
        </w:tc>
      </w:tr>
      <w:tr>
        <w:trPr>
          <w:trHeight w:val="33"/>
        </w:trPr>
        <w:tc>
          <w:tcPr>
            <w:tcW w:w="10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10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 to 7 years</w:t>
            </w:r>
          </w:p>
        </w:tc>
      </w:tr>
      <w:tr>
        <w:trPr>
          <w:trHeight w:val="224"/>
        </w:trPr>
        <w:tc>
          <w:tcPr>
            <w:tcW w:w="1048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940" w:type="dxa"/>
            <w:vAlign w:val="bottom"/>
          </w:tcPr>
          <w:p>
            <w:pPr>
              <w:jc w:val="right"/>
              <w:spacing w:after="0"/>
              <w:rPr>
                <w:sz w:val="20"/>
                <w:szCs w:val="20"/>
                <w:color w:val="auto"/>
              </w:rPr>
            </w:pPr>
            <w:r>
              <w:rPr>
                <w:rFonts w:ascii="Arial" w:cs="Arial" w:eastAsia="Arial" w:hAnsi="Arial"/>
                <w:sz w:val="16"/>
                <w:szCs w:val="16"/>
                <w:color w:val="auto"/>
                <w:w w:val="97"/>
              </w:rPr>
              <w:t>5 to 20 years</w:t>
            </w:r>
          </w:p>
        </w:tc>
      </w:tr>
      <w:tr>
        <w:trPr>
          <w:trHeight w:val="33"/>
        </w:trPr>
        <w:tc>
          <w:tcPr>
            <w:tcW w:w="10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10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 software</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 to 7 years</w:t>
            </w:r>
          </w:p>
        </w:tc>
      </w:tr>
      <w:tr>
        <w:trPr>
          <w:trHeight w:val="41"/>
        </w:trPr>
        <w:tc>
          <w:tcPr>
            <w:tcW w:w="104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expenses in its Consolidated Statements of Operations and Comprehensive Income.</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Internal costs of $9.1 million, $7.6 million and $8.0 million were capitalized during 2017, 2016 and 2015, respectively.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2017 and 2016, software costs of $19.1 million and $7.1 million, respectively, were capitalized. As of December 31, 2017 and December 25, 2016, there was $31.4 million and $24.4 million, respectively, of unamortized software included in Property, fixtures and equipment, net on the Company’s Consolidated Balance Sheets.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Goodwill and Intangible Assets - </w:t>
      </w:r>
      <w:r>
        <w:rPr>
          <w:rFonts w:ascii="Arial" w:cs="Arial" w:eastAsia="Arial" w:hAnsi="Arial"/>
          <w:sz w:val="18"/>
          <w:szCs w:val="18"/>
          <w:color w:val="auto"/>
        </w:rPr>
        <w:t>Goodwill represents the excess of the purchase price over the fair value of net assets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and is assigned to the reporting unit in which the acquired business will operate. The Company’s indefinite-lived intangible assets consist of trade names. Goodwill and indefinite-lived intangible assets are tested for impairment annually, as of the first day of the second fiscal quarter, or whenever events or changes in circumstances indicate that the carrying amount may not be recoverable.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estimated fair value, with any excess of carrying value over fair value deemed to be an indicator of potential impairment, in which case a second step is performed comparing the recorded amount of goodwill or indefinite-lived intangible assets to the implied fair value.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Definite-lived intangible assets, which consist primarily of trademarks, franchise agreements, reacquired franchise rights, favorable leases, and other long-lived assets, are amortized over their estimated useful lives and are tested for impairment, using the discounted cash flow method, whenever events or changes in circumstances indicate that the carrying value may not be recoverable.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Derivatives - </w:t>
      </w:r>
      <w:r>
        <w:rPr>
          <w:rFonts w:ascii="Arial" w:cs="Arial" w:eastAsia="Arial" w:hAnsi="Arial"/>
          <w:sz w:val="18"/>
          <w:szCs w:val="18"/>
          <w:color w:val="auto"/>
        </w:rPr>
        <w:t>The Company records all derivatives on the balance sheet at fair value. The accounting for changes in the fair value of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on the intended use of the derivative, whether the Company has elected to designate a derivative in a hedging relationship and apply hedge accounting and whether the hedging relationship has satisfied the criteria necessary to apply hedge accounting.</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Derivatives designated and qualifying as a hedge of the exposure to variability in expected future cash flows, or other types of forecasted transactions, are considered cash flow hedges. </w:t>
      </w:r>
      <w:r>
        <w:rPr>
          <w:rFonts w:ascii="Arial" w:cs="Arial" w:eastAsia="Arial" w:hAnsi="Arial"/>
          <w:sz w:val="18"/>
          <w:szCs w:val="18"/>
          <w:color w:val="252525"/>
        </w:rPr>
        <w:t>If the derivative qualifies for hedge accounting treatment, then the effective portion of the gain</w:t>
      </w:r>
      <w:r>
        <w:rPr>
          <w:rFonts w:ascii="Arial" w:cs="Arial" w:eastAsia="Arial" w:hAnsi="Arial"/>
          <w:sz w:val="18"/>
          <w:szCs w:val="18"/>
          <w:color w:val="auto"/>
        </w:rPr>
        <w:t xml:space="preserve"> </w:t>
      </w:r>
      <w:r>
        <w:rPr>
          <w:rFonts w:ascii="Arial" w:cs="Arial" w:eastAsia="Arial" w:hAnsi="Arial"/>
          <w:sz w:val="18"/>
          <w:szCs w:val="18"/>
          <w:color w:val="252525"/>
        </w:rPr>
        <w:t>or loss on the derivative instrument is recognized in equity as a change to Accumulated other comprehensive loss and reclassified into earnings in the same period or periods during which the hedged transaction affects earnings. Any ineffective portion of the gain or loss on the derivative instrument is immediately recognized in the Company’s Consolidated Statements of Operations and Comprehensive Income.</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may enter into derivative contracts that are intended to economically hedge certain of its risk, even though hedge accounting does not apply or the Company elects not to apply hedge accounting. </w:t>
      </w:r>
      <w:r>
        <w:rPr>
          <w:rFonts w:ascii="Arial" w:cs="Arial" w:eastAsia="Arial" w:hAnsi="Arial"/>
          <w:sz w:val="18"/>
          <w:szCs w:val="18"/>
          <w:color w:val="252525"/>
        </w:rPr>
        <w:t>Derivatives not designated as hedges are not speculative and are used to</w:t>
      </w:r>
      <w:r>
        <w:rPr>
          <w:rFonts w:ascii="Arial" w:cs="Arial" w:eastAsia="Arial" w:hAnsi="Arial"/>
          <w:sz w:val="18"/>
          <w:szCs w:val="18"/>
          <w:color w:val="auto"/>
        </w:rPr>
        <w:t xml:space="preserve"> </w:t>
      </w:r>
      <w:r>
        <w:rPr>
          <w:rFonts w:ascii="Arial" w:cs="Arial" w:eastAsia="Arial" w:hAnsi="Arial"/>
          <w:sz w:val="18"/>
          <w:szCs w:val="18"/>
          <w:color w:val="252525"/>
        </w:rPr>
        <w:t>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Financing Fees </w:t>
      </w:r>
      <w:r>
        <w:rPr>
          <w:rFonts w:ascii="Arial" w:cs="Arial" w:eastAsia="Arial" w:hAnsi="Arial"/>
          <w:sz w:val="20"/>
          <w:szCs w:val="20"/>
          <w:color w:val="auto"/>
        </w:rPr>
        <w:t>- For fees associated with its revolving credit facility, the Company records deferred financing fees related to the</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of debt obligations in Other assets, net on its Consolidated Balance Sheets. For fees associated with all other debt obligations, the Company records deferred financing fees in Long-term debt, net.</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amortizes deferred financing fees to interest expense over the term of the respective financing arrangement, primarily using the effective interest method. The Company amortized deferred financing fees of $2.9 million, $7.1 million and $2.9 million to interest expense for 2017, 2016 and 2015, respectively.</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Liquor Licenses - </w:t>
      </w:r>
      <w:r>
        <w:rPr>
          <w:rFonts w:ascii="Arial" w:cs="Arial" w:eastAsia="Arial" w:hAnsi="Arial"/>
          <w:sz w:val="19"/>
          <w:szCs w:val="19"/>
          <w:color w:val="auto"/>
        </w:rPr>
        <w:t>The costs of obtaining non-transferable liquor licenses directly issued by local government agencies for nominal fees are</w:t>
      </w:r>
      <w:r>
        <w:rPr>
          <w:rFonts w:ascii="Arial" w:cs="Arial" w:eastAsia="Arial" w:hAnsi="Arial"/>
          <w:sz w:val="19"/>
          <w:szCs w:val="19"/>
          <w:i w:val="1"/>
          <w:iCs w:val="1"/>
          <w:color w:val="auto"/>
        </w:rPr>
        <w:t xml:space="preserve"> </w:t>
      </w:r>
      <w:r>
        <w:rPr>
          <w:rFonts w:ascii="Arial" w:cs="Arial" w:eastAsia="Arial" w:hAnsi="Arial"/>
          <w:sz w:val="19"/>
          <w:szCs w:val="19"/>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 Annual liquor license renewal fees are expensed over the renewal term.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certain actuarial assumptions and judgments regarding economic conditions, the frequency and severity of claims, claim development history and settlement practices. Reserves recorded for workers’ compensation and general liability claims are discounted using the average of the one-year and five-year risk free rate of monetary assets that have comparable maturities.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Redeemable Noncontrolling Interests - </w:t>
      </w:r>
      <w:r>
        <w:rPr>
          <w:rFonts w:ascii="Arial" w:cs="Arial" w:eastAsia="Arial" w:hAnsi="Arial"/>
          <w:sz w:val="20"/>
          <w:szCs w:val="20"/>
          <w:color w:val="auto"/>
        </w:rPr>
        <w:t>Redeemable noncontrolling interests are reported at estimated redemption value measured as the greater</w:t>
      </w:r>
      <w:r>
        <w:rPr>
          <w:rFonts w:ascii="Arial" w:cs="Arial" w:eastAsia="Arial" w:hAnsi="Arial"/>
          <w:sz w:val="20"/>
          <w:szCs w:val="20"/>
          <w:i w:val="1"/>
          <w:iCs w:val="1"/>
          <w:color w:val="auto"/>
        </w:rPr>
        <w:t xml:space="preserve"> </w:t>
      </w:r>
      <w:r>
        <w:rPr>
          <w:rFonts w:ascii="Arial" w:cs="Arial" w:eastAsia="Arial" w:hAnsi="Arial"/>
          <w:sz w:val="20"/>
          <w:szCs w:val="20"/>
          <w:color w:val="auto"/>
        </w:rPr>
        <w:t>of estimated fair value at the end of each reporting period or the historical cost basis of the redeemable noncontrolling interest adjusted for cumulative earnings or loss allocations. The resulting increases or decreases to fair value, if applicable, are recognized as adjustments to Retained earnings, or in the absence of Retained earnings, Additional paid-in capital. Redeemable noncontrolling interests are classified in Mezzanine equity on the Company’s Consolidated Balance Sheets.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Shares repurchased are retired. The par value of the repurchased shares is deducted from common stock and the excess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purchase price over the par value of the shares is recorded to Accumulated deficit.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Revenue Recognition - </w:t>
      </w:r>
      <w:r>
        <w:rPr>
          <w:rFonts w:ascii="Arial" w:cs="Arial" w:eastAsia="Arial" w:hAnsi="Arial"/>
          <w:sz w:val="19"/>
          <w:szCs w:val="19"/>
          <w:color w:val="auto"/>
        </w:rPr>
        <w:t>The Company records food and beverage revenues, net of discounts, upon sale. Initial and developmental franchise fees</w:t>
      </w:r>
      <w:r>
        <w:rPr>
          <w:rFonts w:ascii="Arial" w:cs="Arial" w:eastAsia="Arial" w:hAnsi="Arial"/>
          <w:sz w:val="19"/>
          <w:szCs w:val="19"/>
          <w:i w:val="1"/>
          <w:iCs w:val="1"/>
          <w:color w:val="auto"/>
        </w:rPr>
        <w:t xml:space="preserve"> </w:t>
      </w:r>
      <w:r>
        <w:rPr>
          <w:rFonts w:ascii="Arial" w:cs="Arial" w:eastAsia="Arial" w:hAnsi="Arial"/>
          <w:sz w:val="19"/>
          <w:szCs w:val="19"/>
          <w:color w:val="auto"/>
        </w:rPr>
        <w:t>are recognized as income once the Company has substantially performed all of its material obligations under the franchise agreement, which is generally upon the opening of the franchised restaurant. Continuing royalties, which are a percentage of net sales of the franchisee, are recognized as income when earned. Franchise-related revenues are included in Franchise and other revenues in the Company’s Consolidated Statements of Operations and Comprehensive Income, except for amounts received for national marketing, which are recorded as a reduction of Other restaurant operating expenses.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defers revenue for gift cards, which do not have expiration dates, until redemption by the customer. Gift cards sold at a discount are recorded as revenue upon redemption of the associated gift cards at an amount net of the related discount. The Company also recognizes gift card breakage revenue for gift cards when the likelihood of redemption by the customer is remote. The Company recorded breakage revenue of $27.5 million, $26.0 million and $22.9 million for 2017, 2016 and 2015, respectively. Breakage revenue is recorded as a component of Restaurant sales in the Company’s Consolidated Statements of Operations and Comprehensive Income.</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Gift card sales commissions paid to third-party providers are initially capitalized and subsequently recognized as Other restaurant operating expenses upon redemption of the associated gift card. Deferred expenses of $16.2 million and $15.6 million as of December 31, 2017 and December 25, 2016, respectively, were reflected in Other current assets, net on the Company’s Consolidated Balance Sheets. Gift card sales that are accompanied by a bonus gift card to be used by the customer at a future visit result in a separate deferral of a portion of the original gift card sale. Revenue is recorded when the bonus card is redeemed at the estimated fair market value of the bonus card.</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maintains a customer loyalty program, Dine Rewards, in the U.S., where customers have the ability to earn a reward after a number of qualified visits. The Company has developed an estimated value of the partial reward earned from each qualified visit based on historical data. The estimated value of the partial reward is recorded as deferred revenue. Each reward has a maximum value and must be redeemed within three months of earning such reward. The revenue associated with the fair value of the qualified visit is recognized upon the earlier of redemption or expiration of the reward. Deferred revenue related to the loyalty program was $6.7 million and $4.2 million as of December 31, 2017 and December 25, 2016,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Income.</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Effective January 1, 2018, the Company’s revenue accounting policies will change in conjunction with its adoption of Accounting Standards Update (“ASU”) No. 2014-09 “Revenue Recognition (Topic 606), Revenue from Contracts with Customers” (“ASU No. 2014-09”). See discussion of ASU No. 2014-09 discussion in </w:t>
      </w:r>
      <w:r>
        <w:rPr>
          <w:rFonts w:ascii="Arial" w:cs="Arial" w:eastAsia="Arial" w:hAnsi="Arial"/>
          <w:sz w:val="19"/>
          <w:szCs w:val="19"/>
          <w:i w:val="1"/>
          <w:iCs w:val="1"/>
          <w:color w:val="auto"/>
        </w:rPr>
        <w:t>Recently Issued Financial Accounting Standards Not Yet Adopted</w:t>
      </w:r>
      <w:r>
        <w:rPr>
          <w:rFonts w:ascii="Arial" w:cs="Arial" w:eastAsia="Arial" w:hAnsi="Arial"/>
          <w:sz w:val="19"/>
          <w:szCs w:val="19"/>
          <w:color w:val="auto"/>
        </w:rPr>
        <w:t xml:space="preserve"> below.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Operating Leases - </w:t>
      </w:r>
      <w:r>
        <w:rPr>
          <w:rFonts w:ascii="Arial" w:cs="Arial" w:eastAsia="Arial" w:hAnsi="Arial"/>
          <w:sz w:val="19"/>
          <w:szCs w:val="19"/>
          <w:color w:val="auto"/>
        </w:rPr>
        <w:t>Rent expense for the Company’s operating leases, which generally have escalating rentals over the term of the lease and</w:t>
      </w:r>
      <w:r>
        <w:rPr>
          <w:rFonts w:ascii="Arial" w:cs="Arial" w:eastAsia="Arial" w:hAnsi="Arial"/>
          <w:sz w:val="19"/>
          <w:szCs w:val="19"/>
          <w:i w:val="1"/>
          <w:iCs w:val="1"/>
          <w:color w:val="auto"/>
        </w:rPr>
        <w:t xml:space="preserve"> </w:t>
      </w:r>
      <w:r>
        <w:rPr>
          <w:rFonts w:ascii="Arial" w:cs="Arial" w:eastAsia="Arial" w:hAnsi="Arial"/>
          <w:sz w:val="19"/>
          <w:szCs w:val="19"/>
          <w:color w:val="auto"/>
        </w:rPr>
        <w:t>may include rent holidays, is recorded on a straight-line basis over the initial lease term and those renewal periods that are reasonably assured. The difference between rent expense and rent paid is recorded as deferred rent and is included in the Company’s Consolidated Balance Sheets. Payments received from landlords as incentives for leasehold improvements are recorded as deferred rent and are amortized on a straight-line basis over the term of the lease as a reduction of rent expense. Favorable and unfavorable lease assets and liabilities are amortized on a straight-line basis to rent expense over the remaining lease term.</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Pre-Opening Expenses - </w:t>
      </w:r>
      <w:r>
        <w:rPr>
          <w:rFonts w:ascii="Arial" w:cs="Arial" w:eastAsia="Arial" w:hAnsi="Arial"/>
          <w:sz w:val="19"/>
          <w:szCs w:val="19"/>
          <w:color w:val="auto"/>
        </w:rPr>
        <w:t>Non-capital expenditures associated with opening new restaurants are expensed as incurred and are included in Other</w:t>
      </w:r>
      <w:r>
        <w:rPr>
          <w:rFonts w:ascii="Arial" w:cs="Arial" w:eastAsia="Arial" w:hAnsi="Arial"/>
          <w:sz w:val="19"/>
          <w:szCs w:val="19"/>
          <w:i w:val="1"/>
          <w:iCs w:val="1"/>
          <w:color w:val="auto"/>
        </w:rPr>
        <w:t xml:space="preserve"> </w:t>
      </w:r>
      <w:r>
        <w:rPr>
          <w:rFonts w:ascii="Arial" w:cs="Arial" w:eastAsia="Arial" w:hAnsi="Arial"/>
          <w:sz w:val="19"/>
          <w:szCs w:val="19"/>
          <w:color w:val="auto"/>
        </w:rPr>
        <w:t>restaurant operating expenses in the Company’s Consolidated Statements of Operations and Comprehensive Income.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Consideration Received from Vendors - </w:t>
      </w:r>
      <w:r>
        <w:rPr>
          <w:rFonts w:ascii="Arial" w:cs="Arial" w:eastAsia="Arial" w:hAnsi="Arial"/>
          <w:sz w:val="18"/>
          <w:szCs w:val="18"/>
          <w:color w:val="auto"/>
        </w:rPr>
        <w:t>The Company receives consideration for a variety of vendor-sponsored programs, such as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promotions and advertising allowances. Advertising allowances are intended to offset the Company’s costs of promoting and selling menu items in its restaurants. Vendor consideration is recorded as a reduction of Cost of sales or Other restaurant operating expenses when recognized in the Company’s Consolidated Statements of Operations and Comprehensive Income.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Generally, restaurant closure costs, including lease termination fees, are expensed as incurred. When the Company ceases using the property rights under a non-cancelable operating lease, it records a liability for the net present value of any remaining lease obligations as a result of lease termination, less the estimated sublease income that can reasonably be obtained for the property. </w:t>
      </w:r>
      <w:r>
        <w:rPr>
          <w:rFonts w:ascii="Arial" w:cs="Arial" w:eastAsia="Arial" w:hAnsi="Arial"/>
          <w:sz w:val="20"/>
          <w:szCs w:val="20"/>
          <w:color w:val="252525"/>
        </w:rPr>
        <w:t>Any subsequent adjustments to that</w:t>
      </w:r>
      <w:r>
        <w:rPr>
          <w:rFonts w:ascii="Arial" w:cs="Arial" w:eastAsia="Arial" w:hAnsi="Arial"/>
          <w:sz w:val="20"/>
          <w:szCs w:val="20"/>
          <w:color w:val="auto"/>
        </w:rPr>
        <w:t xml:space="preserve"> </w:t>
      </w:r>
      <w:r>
        <w:rPr>
          <w:rFonts w:ascii="Arial" w:cs="Arial" w:eastAsia="Arial" w:hAnsi="Arial"/>
          <w:sz w:val="20"/>
          <w:szCs w:val="20"/>
          <w:color w:val="252525"/>
        </w:rPr>
        <w:t xml:space="preserve">liability as a result of lease termination or changes in estimates of sublease income are recorded in the period incurred. </w:t>
      </w:r>
      <w:r>
        <w:rPr>
          <w:rFonts w:ascii="Arial" w:cs="Arial" w:eastAsia="Arial" w:hAnsi="Arial"/>
          <w:sz w:val="20"/>
          <w:szCs w:val="20"/>
          <w:color w:val="000000"/>
        </w:rPr>
        <w:t>The associated expense</w:t>
      </w:r>
      <w:r>
        <w:rPr>
          <w:rFonts w:ascii="Arial" w:cs="Arial" w:eastAsia="Arial" w:hAnsi="Arial"/>
          <w:sz w:val="20"/>
          <w:szCs w:val="20"/>
          <w:color w:val="252525"/>
        </w:rPr>
        <w:t xml:space="preserve"> </w:t>
      </w:r>
      <w:r>
        <w:rPr>
          <w:rFonts w:ascii="Arial" w:cs="Arial" w:eastAsia="Arial" w:hAnsi="Arial"/>
          <w:sz w:val="20"/>
          <w:szCs w:val="20"/>
          <w:color w:val="000000"/>
        </w:rPr>
        <w:t>is recorded in Provision for impaired assets and restaurant closings in the Company’s Consolidated Statements of Operations and Comprehensive Income.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Advertising Costs - </w:t>
      </w:r>
      <w:r>
        <w:rPr>
          <w:rFonts w:ascii="Arial" w:cs="Arial" w:eastAsia="Arial" w:hAnsi="Arial"/>
          <w:sz w:val="20"/>
          <w:szCs w:val="20"/>
          <w:color w:val="auto"/>
        </w:rPr>
        <w:t>Advertising production costs are expensed in the period when the advertising first occurs. All other advertising costs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in the period in which the costs are incurred. Advertising expense of $134.2 million, $160.8 million and $161.6 million for 2017, 2016 and 2015, respectively, was recorded in Other restaurant operating expenses in the Company’s Consolidated Statements of Operations and Comprehensive Income.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i w:val="1"/>
          <w:iCs w:val="1"/>
          <w:color w:val="auto"/>
        </w:rPr>
        <w:t xml:space="preserve">Legal Costs - </w:t>
      </w:r>
      <w:r>
        <w:rPr>
          <w:rFonts w:ascii="Arial" w:cs="Arial" w:eastAsia="Arial" w:hAnsi="Arial"/>
          <w:sz w:val="16"/>
          <w:szCs w:val="16"/>
          <w:color w:val="auto"/>
        </w:rPr>
        <w:t>Settlement costs are accrued when they are deemed probable and reasonably estimable. Legal fees are recognized as incurred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reported in General and administrative expense in the Company’s Consolidated Statements of Operations and Comprehensive Income.</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Income. R&amp;D primarily consists of payroll and benefit costs. R&amp;D was $3.9 million, $5.2 million and $6.5 million for 2017, 2016 and 2015, respectively.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Partner Compensation - </w:t>
      </w:r>
      <w:r>
        <w:rPr>
          <w:rFonts w:ascii="Arial" w:cs="Arial" w:eastAsia="Arial" w:hAnsi="Arial"/>
          <w:sz w:val="19"/>
          <w:szCs w:val="19"/>
          <w:color w:val="auto"/>
        </w:rPr>
        <w:t>In addition to salary, Area Operating Partners, Restaurant Managing Partners and Chef Partners generally receive</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performance-based bonuses for providing management and supervisory services to their restaurants, certain of which may be based on a percentage of their restaurants’ monthly operating results or cash flows and/or total controllable income (“Monthly Payments”). The expense associated with the Monthly Payments for Restaurant Managing Partners and Chef Partners is included in Labor and other related expenses, and the expense associated with Monthly Payments for Area Operating Partners is included in General and administrative expenses in the Company’s Consolidated Statements of Operations and Comprehensive Income.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Restaurant Managing Partners and Chef Partners in the U.S. that are eligible to participate in a deferred compensation program receive an unsecured promise of a cash contribution to their account (see Note 6 - </w:t>
      </w:r>
      <w:r>
        <w:rPr>
          <w:rFonts w:ascii="Arial" w:cs="Arial" w:eastAsia="Arial" w:hAnsi="Arial"/>
          <w:sz w:val="18"/>
          <w:szCs w:val="18"/>
          <w:i w:val="1"/>
          <w:iCs w:val="1"/>
          <w:color w:val="auto"/>
        </w:rPr>
        <w:t>Stock-based and Deferred Compensation Plans</w:t>
      </w:r>
      <w:r>
        <w:rPr>
          <w:rFonts w:ascii="Arial" w:cs="Arial" w:eastAsia="Arial" w:hAnsi="Arial"/>
          <w:sz w:val="18"/>
          <w:szCs w:val="18"/>
          <w:color w:val="auto"/>
        </w:rPr>
        <w:t>). Also, on the fifth anniversary of the opening of each new U.S. Company-owned restaurant, the Area Operating Partner supervising the restaurant during the first five years of operation receives an additional performance-based bonus. International Restaurant Managing Partners whom purchase participation interests receive monthly cash distributions based on performance. Also, the supervising partners receive additional performance-based bonuses based on completion of their agreement. The terms and availability of these plans vary by country.</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estimates future bonuses and deferred compensation obligations to Restaurant Managing Partners, Chef Partners and Area Operating Partners, using current and historical information on restaurant performance and records the long-term portion of partner obligations in Other long-term liabilities, net on its Consolidated Balance Sheets. Deferred compensation expenses for Restaurant Managing and Chef Partners are included in Labor and other related expenses and bonus expense for Area Operating Partners is included in General and administrative expenses in the Company’s Consolidated Statements of Operations and Comprehensive Income.</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Foreign Currency Translation and Transactions - </w:t>
      </w:r>
      <w:r>
        <w:rPr>
          <w:rFonts w:ascii="Arial" w:cs="Arial" w:eastAsia="Arial" w:hAnsi="Arial"/>
          <w:sz w:val="19"/>
          <w:szCs w:val="19"/>
          <w:color w:val="auto"/>
        </w:rPr>
        <w:t>For non-U.S. operations, the functional currency is the local currency. Foreign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recorded foreign currency exchange transaction losses of $0.1 million, $1.3 million and $1.2 million for 2017, 2016 and 2015, respectively. Foreign currency exchange transaction losses are recorded in General and administrative in the Company’s Consolidated Statements of Operations and Comprehensive Income.</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 the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enactment date of the rate change. A valuation allowance may reduce deferred income tax assets to the amount that is more likely than not to be realized.</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0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color w:val="auto"/>
        </w:rPr>
        <w:t xml:space="preserve">Recently Adopted Financial Accounting Standards </w:t>
      </w:r>
      <w:r>
        <w:rPr>
          <w:rFonts w:ascii="Arial" w:cs="Arial" w:eastAsia="Arial" w:hAnsi="Arial"/>
          <w:sz w:val="16"/>
          <w:szCs w:val="16"/>
          <w:color w:val="auto"/>
        </w:rPr>
        <w:t>- Effective December 26, 2016, the Company adopted ASU No. 2016-09: “Compensation -</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Compensation (Topic 718): Improvements to Employee Share-Based Payment Accounting” (“ASU No. 2016-09”). ASU No. 2016-09 simplifies several aspects related to the accounting for share-based payment transactions, including the accounting for income taxes, statutory tax withholding requirements and classification on the statement of cash flows. Upon adoption, the Company made an accounting policy election to recognize forfeitures as they occur. Using the modified retrospective transition method required under the standard, the Company recorded a cumulative-effect adjustment for the adoption of ASU No. 2016-09 of $14.4 million for previously unrecognized excess tax benefits, which increased Deferred tax assets and reduced Accumulated deficit. The recognition of excess tax benefits and tax shortfalls in the income statement and presentation of excess tax benefits on the statement of cash flows were adopted prospectively, with no adjustments made to prior periods. The remaining provisions of ASU No. 2016-09 did not have a material impact on the Company’s Consolidated Financial Statements.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June 26, 2017, the Company adopted ASU No. 2016-18, “Statement of Cash Flows (Topic 230), Restricted Cash” (“ASU No. 2016-18”). ASU No. 2016-18 provides guidance on the presentation of restricted cash and restricted cash equivalents, which are now included with cash and cash equivalents when reconciling the beginning and ending cash amounts shown on the statements of cash flows. Using the retrospective transition method required under the standard, the Company has adjusted the presentation of its Consolidated Statements of Cash Flows for all periods presented. The adoption of ASU No. 2016-18 did not have any other impact on the Company’s Consolidated Financial Statements.</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additional details by financial statement line item of the adjusted presentation in the Company’s Consolidated Statement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121"/>
              <w:spacing w:after="0" w:line="153" w:lineRule="exact"/>
              <w:rPr>
                <w:sz w:val="20"/>
                <w:szCs w:val="20"/>
                <w:color w:val="auto"/>
              </w:rPr>
            </w:pPr>
            <w:r>
              <w:rPr>
                <w:rFonts w:ascii="Arial" w:cs="Arial" w:eastAsia="Arial" w:hAnsi="Arial"/>
                <w:sz w:val="14"/>
                <w:szCs w:val="14"/>
                <w:b w:val="1"/>
                <w:bCs w:val="1"/>
                <w:color w:val="auto"/>
                <w:w w:val="93"/>
              </w:rPr>
              <w:t>2016-18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3"/>
              </w:rPr>
              <w:t>2016-18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 non-cash items, net</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(2,253)</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340,581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340,587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397,430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395,139</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6"/>
                <w:szCs w:val="16"/>
                <w:color w:val="auto"/>
              </w:rPr>
              <w:t>Cash flows provided by (used in) investing activities</w:t>
            </w: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Decrease in restricted cash</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tcPr>
          <w:p>
            <w:pPr>
              <w:ind w:left="420"/>
              <w:spacing w:after="0"/>
              <w:rPr>
                <w:sz w:val="20"/>
                <w:szCs w:val="20"/>
                <w:color w:val="auto"/>
              </w:rPr>
            </w:pPr>
            <w:r>
              <w:rPr>
                <w:rFonts w:ascii="Arial" w:cs="Arial" w:eastAsia="Arial" w:hAnsi="Arial"/>
                <w:sz w:val="16"/>
                <w:szCs w:val="16"/>
                <w:color w:val="auto"/>
              </w:rPr>
              <w:t>Increase in restricted cash</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(31,446)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31,446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47,830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2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9"/>
              </w:rPr>
              <w:t>Net cash provided by (used in) investing activities</w:t>
            </w: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295,248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(180,643)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decrease in cash, cash equivalents and restricted cash</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(42,650)</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w w:val="93"/>
              </w:rPr>
              <w:t>Cash, cash equivalents, and restricted cash as of the beginning</w:t>
            </w:r>
          </w:p>
        </w:tc>
        <w:tc>
          <w:tcPr>
            <w:tcW w:w="300" w:type="dxa"/>
            <w:vAlign w:val="bottom"/>
          </w:tcPr>
          <w:p>
            <w:pPr>
              <w:spacing w:after="0"/>
              <w:rPr>
                <w:sz w:val="19"/>
                <w:szCs w:val="19"/>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132,337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6"/>
                <w:szCs w:val="16"/>
                <w:color w:val="auto"/>
              </w:rPr>
              <w:t>23,037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155,374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color w:val="auto"/>
              </w:rPr>
              <w:t>165,744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color w:val="auto"/>
              </w:rPr>
              <w:t>32,280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198,024</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of the period</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Cash, cash equivalents and restricted cash as of the end of the</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127,176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9,010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136,186</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132,337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23,037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155,374</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Recently Issued Financial Accounting Standards Not Yet Adopted </w:t>
      </w:r>
      <w:r>
        <w:rPr>
          <w:rFonts w:ascii="Arial" w:cs="Arial" w:eastAsia="Arial" w:hAnsi="Arial"/>
          <w:sz w:val="20"/>
          <w:szCs w:val="20"/>
          <w:color w:val="auto"/>
        </w:rPr>
        <w:t>- In May 2014, the Financial Accounting Standards Board (“the FASB”)</w:t>
      </w:r>
      <w:r>
        <w:rPr>
          <w:rFonts w:ascii="Arial" w:cs="Arial" w:eastAsia="Arial" w:hAnsi="Arial"/>
          <w:sz w:val="20"/>
          <w:szCs w:val="20"/>
          <w:i w:val="1"/>
          <w:iCs w:val="1"/>
          <w:color w:val="auto"/>
        </w:rPr>
        <w:t xml:space="preserve"> </w:t>
      </w:r>
      <w:r>
        <w:rPr>
          <w:rFonts w:ascii="Arial" w:cs="Arial" w:eastAsia="Arial" w:hAnsi="Arial"/>
          <w:sz w:val="20"/>
          <w:szCs w:val="20"/>
          <w:color w:val="auto"/>
        </w:rPr>
        <w:t>issued ASU No. 2014-09. ASU No. 2014-09 provides a single source of guidance for revenue arising from contracts with customers and supersedes current revenue recognition standards. Under ASU No. 2014-09, revenue is recognized in an amount that reflects the consideration an entity expects to receive for the transfer of goods and services. The standard also requires additional disclosures about the nature, timing and uncertainty of revenue and cash flows arising from contracts with customers. The Company has implemented new controls to comply with ASU No. 2014-09 and permit adoption on January 1, 2018.</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Although the Company is in the process of finalizing the impact of adoption, it has determined that changes in the timing of breakage revenue will impact quarterly results. Under the new standard, the Company will recognize gift card breakage proportional to redemptions. Previously, under the remote method, the majority of breakage revenue was recorded in the Company’s fourth fiscal quarter corresponding with the timing of the original gift card sale. Advertising fees charged to franchisees, which are currently recorded as a reduction to Other restaurant operating expenses, and approximated $17.2 million and $12.4 million in 2017 and 2016, respectively, will be recognized as revenue. In addition, initial franchise fees will be recognized over the term of the franchise agreement. Included in Q2 2017 was $2.2 million of initial franchise fees from domestic refranchising transactions.</w:t>
      </w:r>
    </w:p>
    <w:p>
      <w:pPr>
        <w:spacing w:after="0" w:line="19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intends to adopt ASU No. 2014-09 using the full retrospective transition method, which will result in restating each prior reporting period presented in the year of adoption.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February 2016, the FASB issued ASU No. 2016-02: “Leases (Topic 842)” (“ASU No. 2016-02”). ASU No. 2016-02 requires the lease rights and obligations arising from lease contracts, including existing and new arrangements, to be recognized as assets and liabilities on the balance sheet. ASU No. 2016-02 is effective for the Company in 2019 and must be adopted using a modified retrospective approach. The Company expects the adoption of ASU No. 2016-02 to have a significant impact on its Consolidated Balance Sheet due to recognition of right-of-use assets and lease liabilities for operating leases. The Company’s evaluation of ASU No. 2016-02 is ongoing and may identify additional impacts on the consolidated financial statements and related disclosures.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August 2017, the FASB issued ASU No. 2017-12, Derivatives and Hedging (Topic 815): Targeted Improvements to Accounting for Hedging Activities (“ASU No. 2017-12”) which provides guidance for reporting the economic results of hedging activities and to simplify the disclosures of risk exposures and hedging strategies. ASU No. 2017-12 will be effective for the Company in 2019, with early adoption permitted. The Company is currently evaluating the impact of ASU No. 2017-12 on its Consolidated Financial Statements.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66" w:lineRule="exact"/>
        <w:rPr>
          <w:sz w:val="20"/>
          <w:szCs w:val="20"/>
          <w:color w:val="auto"/>
        </w:rPr>
      </w:pPr>
    </w:p>
    <w:p>
      <w:pPr>
        <w:ind w:left="600" w:hanging="592"/>
        <w:spacing w:after="0"/>
        <w:tabs>
          <w:tab w:leader="none" w:pos="6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Disposals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252525"/>
        </w:rPr>
        <w:t xml:space="preserve">Refranchising </w:t>
      </w:r>
      <w:r>
        <w:rPr>
          <w:rFonts w:ascii="Arial" w:cs="Arial" w:eastAsia="Arial" w:hAnsi="Arial"/>
          <w:sz w:val="18"/>
          <w:szCs w:val="18"/>
          <w:color w:val="252525"/>
        </w:rPr>
        <w:t>- In the second quarter of</w:t>
      </w:r>
      <w:r>
        <w:rPr>
          <w:rFonts w:ascii="Arial" w:cs="Arial" w:eastAsia="Arial" w:hAnsi="Arial"/>
          <w:sz w:val="18"/>
          <w:szCs w:val="18"/>
          <w:i w:val="1"/>
          <w:iCs w:val="1"/>
          <w:color w:val="252525"/>
        </w:rPr>
        <w:t xml:space="preserve"> </w:t>
      </w:r>
      <w:r>
        <w:rPr>
          <w:rFonts w:ascii="Arial" w:cs="Arial" w:eastAsia="Arial" w:hAnsi="Arial"/>
          <w:sz w:val="18"/>
          <w:szCs w:val="18"/>
          <w:color w:val="000000"/>
        </w:rPr>
        <w:t>2017</w:t>
      </w:r>
      <w:r>
        <w:rPr>
          <w:rFonts w:ascii="Arial" w:cs="Arial" w:eastAsia="Arial" w:hAnsi="Arial"/>
          <w:sz w:val="18"/>
          <w:szCs w:val="18"/>
          <w:color w:val="252525"/>
        </w:rPr>
        <w:t>, the Company completed the sale of 54 of its existing U.S. Company-owned Outback Steakhouse</w:t>
      </w:r>
      <w:r>
        <w:rPr>
          <w:rFonts w:ascii="Arial" w:cs="Arial" w:eastAsia="Arial" w:hAnsi="Arial"/>
          <w:sz w:val="18"/>
          <w:szCs w:val="18"/>
          <w:i w:val="1"/>
          <w:iCs w:val="1"/>
          <w:color w:val="252525"/>
        </w:rPr>
        <w:t xml:space="preserve"> </w:t>
      </w:r>
      <w:r>
        <w:rPr>
          <w:rFonts w:ascii="Arial" w:cs="Arial" w:eastAsia="Arial" w:hAnsi="Arial"/>
          <w:sz w:val="18"/>
          <w:szCs w:val="18"/>
          <w:color w:val="252525"/>
        </w:rPr>
        <w:t>and Carrabba’s Italian Grill locations to two of its existing franchisees (the “Buyers”) for aggregate cash proceeds of $36.2 million, net of certain closing adjustments. The transactions resulted in an aggregate net gain of $7.4 million, recorded within Other income, net, in the Consolidated Statements of Operations and Other Comprehensive Income, and is net of an impairment of $1.7 million related to certain Company-owned assets leased to the Buyers. Included in the cash proceeds are initial franchise fees of $2.2 million that are recorded within Franchise and other revenues in the Consolidated Statements of Operations and Other Comprehensive Income.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52525"/>
        </w:rPr>
        <w:t xml:space="preserve">These restaurants are now operated as franchises and the Company remains contingently liable on certain real estate lease agreements assigned to the Buyers. See Note 19 - </w:t>
      </w:r>
      <w:r>
        <w:rPr>
          <w:rFonts w:ascii="Arial" w:cs="Arial" w:eastAsia="Arial" w:hAnsi="Arial"/>
          <w:sz w:val="19"/>
          <w:szCs w:val="19"/>
          <w:i w:val="1"/>
          <w:iCs w:val="1"/>
          <w:color w:val="252525"/>
        </w:rPr>
        <w:t>Commitments and Contingencies</w:t>
      </w:r>
      <w:r>
        <w:rPr>
          <w:rFonts w:ascii="Arial" w:cs="Arial" w:eastAsia="Arial" w:hAnsi="Arial"/>
          <w:sz w:val="19"/>
          <w:szCs w:val="19"/>
          <w:color w:val="252525"/>
        </w:rPr>
        <w:t xml:space="preserve"> for additional details regarding lease guarantees.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252525"/>
        </w:rPr>
        <w:t xml:space="preserve">Other Disposals </w:t>
      </w:r>
      <w:r>
        <w:rPr>
          <w:rFonts w:ascii="Arial" w:cs="Arial" w:eastAsia="Arial" w:hAnsi="Arial"/>
          <w:sz w:val="19"/>
          <w:szCs w:val="19"/>
          <w:color w:val="252525"/>
        </w:rPr>
        <w:t>- During third quarter of</w:t>
      </w:r>
      <w:r>
        <w:rPr>
          <w:rFonts w:ascii="Arial" w:cs="Arial" w:eastAsia="Arial" w:hAnsi="Arial"/>
          <w:sz w:val="19"/>
          <w:szCs w:val="19"/>
          <w:i w:val="1"/>
          <w:iCs w:val="1"/>
          <w:color w:val="252525"/>
        </w:rPr>
        <w:t xml:space="preserve"> </w:t>
      </w:r>
      <w:r>
        <w:rPr>
          <w:rFonts w:ascii="Arial" w:cs="Arial" w:eastAsia="Arial" w:hAnsi="Arial"/>
          <w:sz w:val="19"/>
          <w:szCs w:val="19"/>
          <w:color w:val="000000"/>
        </w:rPr>
        <w:t>2017</w:t>
      </w:r>
      <w:r>
        <w:rPr>
          <w:rFonts w:ascii="Arial" w:cs="Arial" w:eastAsia="Arial" w:hAnsi="Arial"/>
          <w:sz w:val="19"/>
          <w:szCs w:val="19"/>
          <w:color w:val="252525"/>
        </w:rPr>
        <w:t>, the Company closed and completed the sale of one U.S. Company-owned Carrabba’s Italian</w:t>
      </w:r>
      <w:r>
        <w:rPr>
          <w:rFonts w:ascii="Arial" w:cs="Arial" w:eastAsia="Arial" w:hAnsi="Arial"/>
          <w:sz w:val="19"/>
          <w:szCs w:val="19"/>
          <w:i w:val="1"/>
          <w:iCs w:val="1"/>
          <w:color w:val="252525"/>
        </w:rPr>
        <w:t xml:space="preserve"> </w:t>
      </w:r>
      <w:r>
        <w:rPr>
          <w:rFonts w:ascii="Arial" w:cs="Arial" w:eastAsia="Arial" w:hAnsi="Arial"/>
          <w:sz w:val="19"/>
          <w:szCs w:val="19"/>
          <w:color w:val="252525"/>
        </w:rPr>
        <w:t>Grill location for a purchase price of $9.9 million</w:t>
      </w:r>
      <w:r>
        <w:rPr>
          <w:rFonts w:ascii="Arial" w:cs="Arial" w:eastAsia="Arial" w:hAnsi="Arial"/>
          <w:sz w:val="19"/>
          <w:szCs w:val="19"/>
          <w:color w:val="000000"/>
        </w:rPr>
        <w:t>,</w:t>
      </w:r>
      <w:r>
        <w:rPr>
          <w:rFonts w:ascii="Arial" w:cs="Arial" w:eastAsia="Arial" w:hAnsi="Arial"/>
          <w:sz w:val="19"/>
          <w:szCs w:val="19"/>
          <w:color w:val="252525"/>
        </w:rPr>
        <w:t xml:space="preserve"> net of closing costs. The sale resulted in a net gain of $8.4 million, recorded in Other income, net, in the Company’s Consolidated Statements of Operations and Other Comprehensive Income.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Outback Steakhouse South Korea </w:t>
      </w:r>
      <w:r>
        <w:rPr>
          <w:rFonts w:ascii="Arial" w:cs="Arial" w:eastAsia="Arial" w:hAnsi="Arial"/>
          <w:sz w:val="20"/>
          <w:szCs w:val="20"/>
          <w:color w:val="auto"/>
        </w:rPr>
        <w:t>- In 2016, the Company completed the sale of its Outback Steakhouse subsidiary in South Korea (“Outback</w:t>
      </w:r>
      <w:r>
        <w:rPr>
          <w:rFonts w:ascii="Arial" w:cs="Arial" w:eastAsia="Arial" w:hAnsi="Arial"/>
          <w:sz w:val="20"/>
          <w:szCs w:val="20"/>
          <w:i w:val="1"/>
          <w:iCs w:val="1"/>
          <w:color w:val="auto"/>
        </w:rPr>
        <w:t xml:space="preserve"> </w:t>
      </w:r>
      <w:r>
        <w:rPr>
          <w:rFonts w:ascii="Arial" w:cs="Arial" w:eastAsia="Arial" w:hAnsi="Arial"/>
          <w:sz w:val="20"/>
          <w:szCs w:val="20"/>
          <w:color w:val="auto"/>
        </w:rPr>
        <w:t>Steakhouse South Korea”) for a purchase price of $50.0 million, converting all restaurants in that market to franchised locations. Following is the Income (loss) before income taxes of Outback Steakhouse South Korea included in the Consolidated Statements of Operations and Comprehensive Income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2015</w:t>
            </w: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90,455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171,649</w:t>
            </w:r>
          </w:p>
        </w:tc>
      </w:tr>
      <w:tr>
        <w:trPr>
          <w:trHeight w:val="237"/>
        </w:trPr>
        <w:tc>
          <w:tcPr>
            <w:tcW w:w="20" w:type="dxa"/>
            <w:vAlign w:val="bottom"/>
          </w:tcPr>
          <w:p>
            <w:pPr>
              <w:spacing w:after="0"/>
              <w:rPr>
                <w:sz w:val="20"/>
                <w:szCs w:val="20"/>
                <w:color w:val="auto"/>
              </w:rPr>
            </w:pPr>
          </w:p>
        </w:tc>
        <w:tc>
          <w:tcPr>
            <w:tcW w:w="8100" w:type="dxa"/>
            <w:vAlign w:val="bottom"/>
          </w:tcPr>
          <w:p>
            <w:pPr>
              <w:ind w:left="20"/>
              <w:spacing w:after="0"/>
              <w:rPr>
                <w:sz w:val="20"/>
                <w:szCs w:val="20"/>
                <w:color w:val="auto"/>
              </w:rPr>
            </w:pPr>
            <w:r>
              <w:rPr>
                <w:rFonts w:ascii="Arial" w:cs="Arial" w:eastAsia="Arial" w:hAnsi="Arial"/>
                <w:sz w:val="16"/>
                <w:szCs w:val="16"/>
                <w:color w:val="auto"/>
              </w:rPr>
              <w:t>Income (loss) before income taxes (1)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(32,348)</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3,284</w:t>
            </w:r>
          </w:p>
        </w:tc>
      </w:tr>
      <w:tr>
        <w:trPr>
          <w:trHeight w:val="226"/>
        </w:trPr>
        <w:tc>
          <w:tcPr>
            <w:tcW w:w="8120" w:type="dxa"/>
            <w:vAlign w:val="bottom"/>
            <w:gridSpan w:val="2"/>
          </w:tcPr>
          <w:p>
            <w:pPr>
              <w:jc w:val="right"/>
              <w:ind w:right="6742"/>
              <w:spacing w:after="0"/>
              <w:rPr>
                <w:sz w:val="20"/>
                <w:szCs w:val="20"/>
                <w:color w:val="auto"/>
              </w:rPr>
            </w:pPr>
            <w:r>
              <w:rPr>
                <w:rFonts w:ascii="Arial" w:cs="Arial" w:eastAsia="Arial" w:hAnsi="Arial"/>
                <w:sz w:val="16"/>
                <w:szCs w:val="16"/>
                <w:color w:val="auto"/>
                <w:w w:val="89"/>
              </w:rPr>
              <w:t>________________</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impairment charges of $39.6 million for Assets held for sale and a gain on sale of $2.1 million in 2016.</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Roy’s </w:t>
      </w:r>
      <w:r>
        <w:rPr>
          <w:rFonts w:ascii="Arial" w:cs="Arial" w:eastAsia="Arial" w:hAnsi="Arial"/>
          <w:sz w:val="20"/>
          <w:szCs w:val="20"/>
          <w:color w:val="auto"/>
        </w:rPr>
        <w:t>- In 2015, the Company sold its Roy’s business to United Ohana, LLC, for a purchase price of $10.0 million, less certain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are the components of Roy’s included in the Company’s Consolidated Statements of Operations and Comprehensive Income for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43"/>
              <w:spacing w:after="0"/>
              <w:rPr>
                <w:sz w:val="20"/>
                <w:szCs w:val="20"/>
                <w:color w:val="auto"/>
              </w:rPr>
            </w:pPr>
            <w:r>
              <w:rPr>
                <w:rFonts w:ascii="Arial" w:cs="Arial" w:eastAsia="Arial" w:hAnsi="Arial"/>
                <w:sz w:val="14"/>
                <w:szCs w:val="14"/>
                <w:b w:val="1"/>
                <w:bCs w:val="1"/>
                <w:color w:val="auto"/>
              </w:rPr>
              <w:t>FISCAL YEAR</w:t>
            </w:r>
          </w:p>
        </w:tc>
      </w:tr>
      <w:tr>
        <w:trPr>
          <w:trHeight w:val="22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2015</w:t>
            </w: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sales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5,729</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Loss before income taxes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26"/>
        </w:trPr>
        <w:tc>
          <w:tcPr>
            <w:tcW w:w="9820" w:type="dxa"/>
            <w:vAlign w:val="bottom"/>
          </w:tcPr>
          <w:p>
            <w:pPr>
              <w:jc w:val="right"/>
              <w:ind w:right="8441"/>
              <w:spacing w:after="0"/>
              <w:rPr>
                <w:sz w:val="20"/>
                <w:szCs w:val="20"/>
                <w:color w:val="auto"/>
              </w:rPr>
            </w:pPr>
            <w:r>
              <w:rPr>
                <w:rFonts w:ascii="Arial" w:cs="Arial" w:eastAsia="Arial" w:hAnsi="Arial"/>
                <w:sz w:val="16"/>
                <w:szCs w:val="16"/>
                <w:color w:val="auto"/>
                <w:w w:val="89"/>
              </w:rPr>
              <w:t>________________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loss on sale of $0.9 million.</w:t>
      </w:r>
    </w:p>
    <w:p>
      <w:pPr>
        <w:spacing w:after="0" w:line="200"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15,325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57,464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27,408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746</w:t>
            </w:r>
          </w:p>
        </w:tc>
      </w:tr>
      <w:tr>
        <w:trPr>
          <w:trHeight w:val="264"/>
        </w:trPr>
        <w:tc>
          <w:tcPr>
            <w:tcW w:w="6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impairment losses</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25,449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99,063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28,154</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Restaurant closure expenses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2,460</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6,053</w:t>
            </w:r>
          </w:p>
        </w:tc>
      </w:tr>
      <w:tr>
        <w:trPr>
          <w:trHeight w:val="257"/>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restaurant closure expenses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26,880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5,564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8,513</w:t>
            </w: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52,329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104,627</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36,667</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Closure Initiative and Restructuring Costs </w:t>
      </w:r>
      <w:r>
        <w:rPr>
          <w:rFonts w:ascii="Arial" w:cs="Arial" w:eastAsia="Arial" w:hAnsi="Arial"/>
          <w:sz w:val="19"/>
          <w:szCs w:val="19"/>
          <w:color w:val="auto"/>
        </w:rPr>
        <w:t>- Following is a summary of expenses related to the 2017 Closure Initiative, Bonefish Restructuring</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Pre-2015 Closure Initiatives (the “Closure Initiatives”), recognized in Provision for impaired assets and restaurant closings in the Company’s Consolidated Statements of Operations and Comprehensive Income for the periods indicated: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facility closure and other expenses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2017 Closure Initiative (1)</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Bonefish Restructuring (2)</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Pre-2015 Closure Initiatives (3)</w:t>
      </w:r>
    </w:p>
    <w:p>
      <w:pPr>
        <w:spacing w:after="0" w:line="96" w:lineRule="exact"/>
        <w:rPr>
          <w:sz w:val="20"/>
          <w:szCs w:val="20"/>
          <w:color w:val="auto"/>
        </w:rPr>
      </w:pPr>
    </w:p>
    <w:p>
      <w:pPr>
        <w:ind w:left="40" w:right="1860" w:firstLine="135"/>
        <w:spacing w:after="0" w:line="343" w:lineRule="auto"/>
        <w:rPr>
          <w:sz w:val="20"/>
          <w:szCs w:val="20"/>
          <w:color w:val="auto"/>
        </w:rPr>
      </w:pPr>
      <w:r>
        <w:rPr>
          <w:rFonts w:ascii="Arial" w:cs="Arial" w:eastAsia="Arial" w:hAnsi="Arial"/>
          <w:sz w:val="16"/>
          <w:szCs w:val="16"/>
          <w:b w:val="1"/>
          <w:bCs w:val="1"/>
          <w:color w:val="auto"/>
        </w:rPr>
        <w:t xml:space="preserve">Provision for impaired assets and restaurant closings </w:t>
      </w:r>
      <w:r>
        <w:rPr>
          <w:rFonts w:ascii="Arial" w:cs="Arial" w:eastAsia="Arial" w:hAnsi="Arial"/>
          <w:sz w:val="16"/>
          <w:szCs w:val="16"/>
          <w:b w:val="1"/>
          <w:bCs w:val="1"/>
          <w:i w:val="1"/>
          <w:iCs w:val="1"/>
          <w:color w:val="auto"/>
        </w:rPr>
        <w:t>Severance and other expenses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50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20,352</w:t>
            </w:r>
          </w:p>
        </w:tc>
        <w:tc>
          <w:tcPr>
            <w:tcW w:w="12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46,500</w:t>
            </w:r>
          </w:p>
        </w:tc>
        <w:tc>
          <w:tcPr>
            <w:tcW w:w="10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3,783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24,204</w:t>
            </w:r>
          </w:p>
        </w:tc>
      </w:tr>
      <w:tr>
        <w:trPr>
          <w:trHeight w:val="257"/>
        </w:trPr>
        <w:tc>
          <w:tcPr>
            <w:tcW w:w="400" w:type="dxa"/>
            <w:vAlign w:val="bottom"/>
          </w:tcPr>
          <w:p>
            <w:pPr>
              <w:spacing w:after="0"/>
              <w:rPr>
                <w:sz w:val="22"/>
                <w:szCs w:val="2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7,643</w:t>
            </w:r>
          </w:p>
        </w:tc>
      </w:tr>
      <w:tr>
        <w:trPr>
          <w:trHeight w:val="40"/>
        </w:trPr>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4"/>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24,135</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51,359</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31,847</w:t>
            </w:r>
          </w:p>
        </w:tc>
      </w:tr>
      <w:tr>
        <w:trPr>
          <w:trHeight w:val="40"/>
        </w:trPr>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-882650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-530860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-187960</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5680" w:space="720"/>
            <w:col w:w="50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2017 Closure Initiative (1)</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Bonefish Restructuring (2)</w:t>
            </w:r>
          </w:p>
        </w:tc>
        <w:tc>
          <w:tcPr>
            <w:tcW w:w="60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Pre-2015 Closure Initiatives (3)</w:t>
            </w:r>
          </w:p>
        </w:tc>
        <w:tc>
          <w:tcPr>
            <w:tcW w:w="6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bottom w:val="single" w:sz="8" w:color="CCEEFF"/>
            </w:tcBorders>
          </w:tcPr>
          <w:p>
            <w:pPr>
              <w:jc w:val="center"/>
              <w:ind w:right="4059"/>
              <w:spacing w:after="0"/>
              <w:rPr>
                <w:sz w:val="20"/>
                <w:szCs w:val="20"/>
                <w:color w:val="auto"/>
              </w:rPr>
            </w:pPr>
            <w:r>
              <w:rPr>
                <w:rFonts w:ascii="Arial" w:cs="Arial" w:eastAsia="Arial" w:hAnsi="Arial"/>
                <w:sz w:val="16"/>
                <w:szCs w:val="16"/>
                <w:b w:val="1"/>
                <w:bCs w:val="1"/>
                <w:color w:val="auto"/>
                <w:w w:val="92"/>
              </w:rPr>
              <w:t>General and administrative</w:t>
            </w: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3,366</w:t>
            </w:r>
          </w:p>
        </w:tc>
        <w:tc>
          <w:tcPr>
            <w:tcW w:w="120" w:type="dxa"/>
            <w:vAlign w:val="bottom"/>
            <w:tcBorders>
              <w:top w:val="single" w:sz="8" w:color="CCEEFF"/>
              <w:bottom w:val="single" w:sz="8" w:color="CCEEFF"/>
            </w:tcBorders>
          </w:tcPr>
          <w:p>
            <w:pPr>
              <w:spacing w:after="0"/>
              <w:rPr>
                <w:sz w:val="23"/>
                <w:szCs w:val="23"/>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Borders>
              <w:top w:val="single" w:sz="8" w:color="CCEEFF"/>
              <w:bottom w:val="single" w:sz="8" w:color="CCEEFF"/>
            </w:tcBorders>
          </w:tcPr>
          <w:p>
            <w:pPr>
              <w:spacing w:after="0"/>
              <w:rPr>
                <w:sz w:val="23"/>
                <w:szCs w:val="23"/>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jc w:val="center"/>
              <w:ind w:right="4039"/>
              <w:spacing w:after="0"/>
              <w:rPr>
                <w:sz w:val="20"/>
                <w:szCs w:val="20"/>
                <w:color w:val="auto"/>
              </w:rPr>
            </w:pPr>
            <w:r>
              <w:rPr>
                <w:rFonts w:ascii="Arial" w:cs="Arial" w:eastAsia="Arial" w:hAnsi="Arial"/>
                <w:sz w:val="16"/>
                <w:szCs w:val="16"/>
                <w:b w:val="1"/>
                <w:bCs w:val="1"/>
                <w:i w:val="1"/>
                <w:iCs w:val="1"/>
                <w:color w:val="auto"/>
                <w:w w:val="88"/>
              </w:rPr>
              <w:t>Reversal of deferred rent liability</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2017 Closure Initiative (1)</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Restructuring (2)</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280"/>
              <w:spacing w:after="0"/>
              <w:rPr>
                <w:sz w:val="20"/>
                <w:szCs w:val="20"/>
                <w:color w:val="auto"/>
              </w:rPr>
            </w:pPr>
            <w:r>
              <w:rPr>
                <w:rFonts w:ascii="Arial" w:cs="Arial" w:eastAsia="Arial" w:hAnsi="Arial"/>
                <w:sz w:val="16"/>
                <w:szCs w:val="16"/>
                <w:color w:val="auto"/>
              </w:rPr>
              <w:t>Pre-2015 Closure Initiatives (3)</w:t>
            </w:r>
          </w:p>
        </w:tc>
        <w:tc>
          <w:tcPr>
            <w:tcW w:w="6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57"/>
        </w:trPr>
        <w:tc>
          <w:tcPr>
            <w:tcW w:w="6400" w:type="dxa"/>
            <w:vAlign w:val="bottom"/>
            <w:tcBorders>
              <w:top w:val="single" w:sz="8" w:color="CCEEFF"/>
              <w:bottom w:val="single" w:sz="8" w:color="CCEEFF"/>
            </w:tcBorders>
            <w:shd w:val="clear" w:color="auto" w:fill="CCEEFF"/>
          </w:tcPr>
          <w:p>
            <w:pPr>
              <w:jc w:val="center"/>
              <w:ind w:right="4079"/>
              <w:spacing w:after="0"/>
              <w:rPr>
                <w:sz w:val="20"/>
                <w:szCs w:val="20"/>
                <w:color w:val="auto"/>
              </w:rPr>
            </w:pPr>
            <w:r>
              <w:rPr>
                <w:rFonts w:ascii="Arial" w:cs="Arial" w:eastAsia="Arial" w:hAnsi="Arial"/>
                <w:sz w:val="16"/>
                <w:szCs w:val="16"/>
                <w:b w:val="1"/>
                <w:bCs w:val="1"/>
                <w:color w:val="auto"/>
                <w:w w:val="92"/>
              </w:rPr>
              <w:t>Other restaurant operating</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24"/>
        </w:trPr>
        <w:tc>
          <w:tcPr>
            <w:tcW w:w="64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22,746</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45,279</w:t>
            </w:r>
          </w:p>
        </w:tc>
        <w:tc>
          <w:tcPr>
            <w:tcW w:w="1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33,507</w:t>
            </w:r>
          </w:p>
        </w:tc>
        <w:tc>
          <w:tcPr>
            <w:tcW w:w="0" w:type="dxa"/>
            <w:vAlign w:val="bottom"/>
          </w:tcPr>
          <w:p>
            <w:pPr>
              <w:spacing w:after="0"/>
              <w:rPr>
                <w:sz w:val="1"/>
                <w:szCs w:val="1"/>
                <w:color w:val="auto"/>
              </w:rPr>
            </w:pPr>
          </w:p>
        </w:tc>
      </w:tr>
      <w:tr>
        <w:trPr>
          <w:trHeight w:val="33"/>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4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81"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February 15, 2017 and August 28, 2017, the Company decided to close 43 underperforming restaurants in the U.S. and two Abbraccio restaurants outside of the core markets of São Paulo and Rio de Janeiro in Brazil (the “2017 Closure Initiative”). Most of these restaurants were closed in 2017, with the balance mostly closing as leases and certain operating covenants expire or are amended or waived. In connection with the 2017 Closure Initiative, the Company recognized impairments of $17.9 million and $45.6 million within the U.S. segment and $2.5 million and $0.9 million within the International segment for 2017 and 2016, respectively.</w:t>
      </w:r>
    </w:p>
    <w:p>
      <w:pPr>
        <w:spacing w:after="0" w:line="2" w:lineRule="exact"/>
        <w:rPr>
          <w:rFonts w:ascii="Arial" w:cs="Arial" w:eastAsia="Arial" w:hAnsi="Arial"/>
          <w:sz w:val="14"/>
          <w:szCs w:val="14"/>
          <w:color w:val="auto"/>
        </w:rPr>
      </w:pPr>
    </w:p>
    <w:p>
      <w:pPr>
        <w:jc w:val="both"/>
        <w:ind w:left="660" w:hanging="652"/>
        <w:spacing w:after="0" w:line="24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February 12, 2016, the Company decided to close 14 Bonefish Grill restaurants (the “Bonefish Restructuring”). The Company expects to substantially complete these restaurant closings through the first quarter of 2019. In connection with the Bonefish Restructuring, the Company reassessed the future undiscounted cash flows of the impacted restaurants, and as a result, recognized pre-tax asset impairments during 2015. Expenses related to the Bonefish Restructuring are recognized within the U.S. segment.</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2013 and 2014, the Company decided to close 22 domestic and 36 international (primarily in South Korea) underperforming locations (the “Pre-2015 Closure Initiatives”).</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Cumulative Closure Initiative and Restructuring Costs - </w:t>
      </w:r>
      <w:r>
        <w:rPr>
          <w:rFonts w:ascii="Arial" w:cs="Arial" w:eastAsia="Arial" w:hAnsi="Arial"/>
          <w:sz w:val="20"/>
          <w:szCs w:val="20"/>
          <w:color w:val="auto"/>
        </w:rPr>
        <w:t>Following is a summary of cumulative expenses related to the Closure Initiatives</w:t>
      </w:r>
      <w:r>
        <w:rPr>
          <w:rFonts w:ascii="Arial" w:cs="Arial" w:eastAsia="Arial" w:hAnsi="Arial"/>
          <w:sz w:val="20"/>
          <w:szCs w:val="20"/>
          <w:i w:val="1"/>
          <w:iCs w:val="1"/>
          <w:color w:val="auto"/>
        </w:rPr>
        <w:t xml:space="preserve"> </w:t>
      </w:r>
      <w:r>
        <w:rPr>
          <w:rFonts w:ascii="Arial" w:cs="Arial" w:eastAsia="Arial" w:hAnsi="Arial"/>
          <w:sz w:val="20"/>
          <w:szCs w:val="20"/>
          <w:color w:val="auto"/>
        </w:rPr>
        <w:t>incurred through December 31, 2017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4"/>
          </w:tcPr>
          <w:p>
            <w:pPr>
              <w:jc w:val="center"/>
              <w:ind w:right="319"/>
              <w:spacing w:after="0"/>
              <w:rPr>
                <w:sz w:val="20"/>
                <w:szCs w:val="20"/>
                <w:color w:val="auto"/>
              </w:rPr>
            </w:pPr>
            <w:r>
              <w:rPr>
                <w:rFonts w:ascii="Arial" w:cs="Arial" w:eastAsia="Arial" w:hAnsi="Arial"/>
                <w:sz w:val="14"/>
                <w:szCs w:val="14"/>
                <w:b w:val="1"/>
                <w:bCs w:val="1"/>
                <w:color w:val="auto"/>
              </w:rPr>
              <w:t>LOCATION OF CHARGE IN THE CONSOLIDATED</w:t>
            </w:r>
          </w:p>
        </w:tc>
        <w:tc>
          <w:tcPr>
            <w:tcW w:w="4100" w:type="dxa"/>
            <w:vAlign w:val="bottom"/>
            <w:gridSpan w:val="9"/>
          </w:tcPr>
          <w:p>
            <w:pPr>
              <w:jc w:val="right"/>
              <w:spacing w:after="0"/>
              <w:rPr>
                <w:sz w:val="20"/>
                <w:szCs w:val="20"/>
                <w:color w:val="auto"/>
              </w:rPr>
            </w:pPr>
            <w:r>
              <w:rPr>
                <w:rFonts w:ascii="Arial" w:cs="Arial" w:eastAsia="Arial" w:hAnsi="Arial"/>
                <w:sz w:val="14"/>
                <w:szCs w:val="14"/>
                <w:b w:val="1"/>
                <w:bCs w:val="1"/>
                <w:color w:val="auto"/>
              </w:rPr>
              <w:t>CLOSURE INITIATIVES AND RESTRUCTURING</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rPr>
              <w:t>STATEMENTS OF OPERATIONS AND</w:t>
            </w: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23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BONEFISH</w:t>
            </w:r>
          </w:p>
        </w:tc>
        <w:tc>
          <w:tcPr>
            <w:tcW w:w="220" w:type="dxa"/>
            <w:vAlign w:val="bottom"/>
          </w:tcPr>
          <w:p>
            <w:pPr>
              <w:spacing w:after="0"/>
              <w:rPr>
                <w:sz w:val="5"/>
                <w:szCs w:val="5"/>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PRE-2015</w:t>
            </w:r>
          </w:p>
        </w:tc>
        <w:tc>
          <w:tcPr>
            <w:tcW w:w="300" w:type="dxa"/>
            <w:vAlign w:val="bottom"/>
          </w:tcPr>
          <w:p>
            <w:pPr>
              <w:spacing w:after="0"/>
              <w:rPr>
                <w:sz w:val="5"/>
                <w:szCs w:val="5"/>
                <w:color w:val="auto"/>
              </w:rPr>
            </w:pPr>
          </w:p>
        </w:tc>
        <w:tc>
          <w:tcPr>
            <w:tcW w:w="9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960" w:type="dxa"/>
            <w:vAlign w:val="bottom"/>
            <w:gridSpan w:val="4"/>
          </w:tcPr>
          <w:p>
            <w:pPr>
              <w:jc w:val="center"/>
              <w:ind w:right="339"/>
              <w:spacing w:after="0"/>
              <w:rPr>
                <w:sz w:val="20"/>
                <w:szCs w:val="20"/>
                <w:color w:val="auto"/>
              </w:rPr>
            </w:pPr>
            <w:r>
              <w:rPr>
                <w:rFonts w:ascii="Arial" w:cs="Arial" w:eastAsia="Arial" w:hAnsi="Arial"/>
                <w:sz w:val="14"/>
                <w:szCs w:val="14"/>
                <w:b w:val="1"/>
                <w:bCs w:val="1"/>
                <w:color w:val="auto"/>
              </w:rPr>
              <w:t>COMPREHENSIVE INCOME</w:t>
            </w: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top w:val="single" w:sz="8" w:color="auto"/>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8"/>
                <w:shd w:val="clear" w:color="auto" w:fill="CCEEFF"/>
              </w:rPr>
              <w:t>Impairments, facility closure and</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other expenses</w:t>
            </w:r>
          </w:p>
        </w:tc>
        <w:tc>
          <w:tcPr>
            <w:tcW w:w="120" w:type="dxa"/>
            <w:vAlign w:val="bottom"/>
            <w:tcBorders>
              <w:bottom w:val="single" w:sz="8" w:color="CCEEFF"/>
            </w:tcBorders>
            <w:shd w:val="clear" w:color="auto" w:fill="CCEEFF"/>
          </w:tcPr>
          <w:p>
            <w:pPr>
              <w:spacing w:after="0"/>
              <w:rPr>
                <w:sz w:val="19"/>
                <w:szCs w:val="19"/>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shd w:val="clear" w:color="auto" w:fill="CCEEFF"/>
              </w:rPr>
              <w:t>Provision for impaired assets and restaurant closings</w:t>
            </w:r>
          </w:p>
        </w:tc>
        <w:tc>
          <w:tcPr>
            <w:tcW w:w="52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66,852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32,846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52,048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151,746</w:t>
            </w:r>
          </w:p>
        </w:tc>
        <w:tc>
          <w:tcPr>
            <w:tcW w:w="0" w:type="dxa"/>
            <w:vAlign w:val="bottom"/>
          </w:tcPr>
          <w:p>
            <w:pPr>
              <w:spacing w:after="0"/>
              <w:rPr>
                <w:sz w:val="1"/>
                <w:szCs w:val="1"/>
                <w:color w:val="auto"/>
              </w:rPr>
            </w:pPr>
          </w:p>
        </w:tc>
      </w:tr>
      <w:tr>
        <w:trPr>
          <w:trHeight w:val="237"/>
        </w:trPr>
        <w:tc>
          <w:tcPr>
            <w:tcW w:w="2420" w:type="dxa"/>
            <w:vAlign w:val="bottom"/>
            <w:gridSpan w:val="3"/>
          </w:tcPr>
          <w:p>
            <w:pPr>
              <w:ind w:left="40"/>
              <w:spacing w:after="0"/>
              <w:rPr>
                <w:sz w:val="20"/>
                <w:szCs w:val="20"/>
                <w:color w:val="auto"/>
              </w:rPr>
            </w:pPr>
            <w:r>
              <w:rPr>
                <w:rFonts w:ascii="Arial" w:cs="Arial" w:eastAsia="Arial" w:hAnsi="Arial"/>
                <w:sz w:val="16"/>
                <w:szCs w:val="16"/>
                <w:color w:val="auto"/>
              </w:rPr>
              <w:t>Severance and other expenses</w:t>
            </w:r>
          </w:p>
        </w:tc>
        <w:tc>
          <w:tcPr>
            <w:tcW w:w="3960" w:type="dxa"/>
            <w:vAlign w:val="bottom"/>
            <w:gridSpan w:val="4"/>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5,757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9,867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shd w:val="clear" w:color="auto" w:fill="CCEEFF"/>
              </w:rPr>
              <w:t>Reversal of deferred rent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restaurant operating</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(14,545)</w:t>
            </w:r>
          </w:p>
        </w:tc>
        <w:tc>
          <w:tcPr>
            <w:tcW w:w="0" w:type="dxa"/>
            <w:vAlign w:val="bottom"/>
          </w:tcPr>
          <w:p>
            <w:pPr>
              <w:spacing w:after="0"/>
              <w:rPr>
                <w:sz w:val="1"/>
                <w:szCs w:val="1"/>
                <w:color w:val="auto"/>
              </w:rPr>
            </w:pPr>
          </w:p>
        </w:tc>
      </w:tr>
      <w:tr>
        <w:trPr>
          <w:trHeight w:val="224"/>
        </w:trPr>
        <w:tc>
          <w:tcPr>
            <w:tcW w:w="40" w:type="dxa"/>
            <w:vAlign w:val="bottom"/>
            <w:tcBorders>
              <w:top w:val="single" w:sz="8" w:color="CCEEFF"/>
            </w:tcBorders>
          </w:tcPr>
          <w:p>
            <w:pPr>
              <w:spacing w:after="0"/>
              <w:rPr>
                <w:sz w:val="19"/>
                <w:szCs w:val="19"/>
                <w:color w:val="auto"/>
              </w:rPr>
            </w:pP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62,125</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30,247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54,696</w:t>
            </w:r>
          </w:p>
        </w:tc>
        <w:tc>
          <w:tcPr>
            <w:tcW w:w="1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147,068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concepts (“surplus properties”). Surplus properties primarily consist of closed properties which include land and a building, and liquor licenses no longer needed for operations. Surplus properties may be classified in the Consolidated Balance Sheets as assets held for sale or as assets held and used when the Company does not expect to sell these assets within the next 12 months. Following is a summary of the carrying value and number of surplus properties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5"/>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properties - assets held for sale</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6,217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w:t>
            </w:r>
          </w:p>
        </w:tc>
      </w:tr>
      <w:tr>
        <w:trPr>
          <w:trHeight w:val="270"/>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Surplus properties - assets held and used</w:t>
            </w: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21,611</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34,501</w:t>
            </w: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surplus properties</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27,828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35,177</w:t>
            </w:r>
          </w:p>
        </w:tc>
      </w:tr>
      <w:tr>
        <w:trPr>
          <w:trHeight w:val="20"/>
        </w:trPr>
        <w:tc>
          <w:tcPr>
            <w:tcW w:w="4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Number of surplus properties owned</w:t>
            </w:r>
          </w:p>
        </w:tc>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2017, the Company recognized impairment charges of $10.7 million in connection with the remeasurement of certain held and used surplus properties.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Other Impairment - </w:t>
      </w:r>
      <w:r>
        <w:rPr>
          <w:rFonts w:ascii="Arial" w:cs="Arial" w:eastAsia="Arial" w:hAnsi="Arial"/>
          <w:sz w:val="20"/>
          <w:szCs w:val="20"/>
          <w:color w:val="auto"/>
        </w:rPr>
        <w:t>During the fourth quarter of 2017, the Company recognized asset impairment charges of $6.3 million for its China</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subsidiary, within the International segment. During 2016, the Company recognized impairment charges of $3.5 million for its Puerto Rico subsidiary, within the U.S. segment.</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restaurant impairment and closing charges resulted from the carrying value of a restaurant’s assets exceeding its estimated fair market value, primarily due to locations identified for relocation or closure and lease liabilities.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Projected Future Expenses and Cash Expenditures </w:t>
      </w:r>
      <w:r>
        <w:rPr>
          <w:rFonts w:ascii="Arial" w:cs="Arial" w:eastAsia="Arial" w:hAnsi="Arial"/>
          <w:sz w:val="20"/>
          <w:szCs w:val="20"/>
          <w:color w:val="auto"/>
        </w:rPr>
        <w:t>- The Company currently expects to incur additional charges for the 2017 Closure Initiative</w:t>
      </w:r>
      <w:r>
        <w:rPr>
          <w:rFonts w:ascii="Arial" w:cs="Arial" w:eastAsia="Arial" w:hAnsi="Arial"/>
          <w:sz w:val="20"/>
          <w:szCs w:val="20"/>
          <w:i w:val="1"/>
          <w:iCs w:val="1"/>
          <w:color w:val="auto"/>
        </w:rPr>
        <w:t xml:space="preserve"> </w:t>
      </w:r>
      <w:r>
        <w:rPr>
          <w:rFonts w:ascii="Arial" w:cs="Arial" w:eastAsia="Arial" w:hAnsi="Arial"/>
          <w:sz w:val="20"/>
          <w:szCs w:val="20"/>
          <w:color w:val="auto"/>
        </w:rPr>
        <w:t>and Bonefish Restructuring over the next two years, including costs associated with lease obligations, employee terminations and other closure-related obligations. Following is a summary of estimated pre-tax expense by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xml:space="preserve">Estimated future expense </w:t>
            </w:r>
            <w:r>
              <w:rPr>
                <w:rFonts w:ascii="Arial" w:cs="Arial" w:eastAsia="Arial" w:hAnsi="Arial"/>
                <w:sz w:val="16"/>
                <w:szCs w:val="16"/>
                <w:b w:val="1"/>
                <w:bCs w:val="1"/>
                <w:color w:val="auto"/>
              </w:rPr>
              <w:t>(dollars in millions)</w:t>
            </w:r>
          </w:p>
        </w:tc>
        <w:tc>
          <w:tcPr>
            <w:tcW w:w="140" w:type="dxa"/>
            <w:vAlign w:val="bottom"/>
          </w:tcPr>
          <w:p>
            <w:pPr>
              <w:spacing w:after="0"/>
              <w:rPr>
                <w:sz w:val="20"/>
                <w:szCs w:val="20"/>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2017 CLOSURE INITIATIVE</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rPr>
              <w:t>BONEFISH RESTRUCTURING</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related liabilities, net of subleases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680" w:type="dxa"/>
            <w:vAlign w:val="bottom"/>
            <w:tcBorders>
              <w:top w:val="single" w:sz="8" w:color="auto"/>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 $</w:t>
            </w:r>
          </w:p>
        </w:tc>
        <w:tc>
          <w:tcPr>
            <w:tcW w:w="6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3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severance and other obligations</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w:t>
            </w: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24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estimated future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 $</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estimated future cash expenditures (dollars in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 $</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Total future undiscounted cash expenditures for the 2017 Closures Initiative and Bonefish Grill Restructuring, primarily related to lease liabilities, are expected to occur over the remaining lease terms with the final term ending in January 2029 and October 2024,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the year</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6,557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5,699</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29,393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6,845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(4,706)</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(2,513)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the year (1)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22,709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had exit-related accruals of $6.7 million and $2.6 million, recorded in Accrued and other current liabilities and $16.0 million and $4.0 million, recorded in Other long-term liabilities, net, as of December 31, 2017 and December 25, 2016, respectively.</w:t>
      </w:r>
    </w:p>
    <w:p>
      <w:pPr>
        <w:spacing w:after="0" w:line="193"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computes basic earnings per share based on the weighted average number of common shares that were outstanding during the period. Diluted earnings per share includes the dilutive effect of common stock equivalents consisting of restricted stock, restricted stock units, performance-based share units and stock options, using the treasury stock method. Performance-based share units are considered dilutive when the related performance criterion has been met.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100,243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41,748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127,327</w:t>
            </w:r>
          </w:p>
        </w:tc>
      </w:tr>
      <w:tr>
        <w:trPr>
          <w:trHeight w:val="324"/>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96,365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122,352</w:t>
            </w:r>
          </w:p>
        </w:tc>
      </w:tr>
      <w:tr>
        <w:trPr>
          <w:trHeight w:val="297"/>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2,992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and restricted stock units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216</w:t>
            </w: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99,707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114,311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125,585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1.01</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Dilutive securities outstanding not included in the computation of earnings per share because their effect was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8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5,555</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5,151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Nonvested restricted stock and restricted stock units</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27</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performance-based share units</w:t>
            </w:r>
          </w:p>
        </w:tc>
        <w:tc>
          <w:tcPr>
            <w:tcW w:w="1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6.</w:t>
            </w:r>
          </w:p>
        </w:tc>
        <w:tc>
          <w:tcPr>
            <w:tcW w:w="5980" w:type="dxa"/>
            <w:vAlign w:val="bottom"/>
          </w:tcPr>
          <w:p>
            <w:pPr>
              <w:ind w:left="280"/>
              <w:spacing w:after="0"/>
              <w:rPr>
                <w:sz w:val="20"/>
                <w:szCs w:val="20"/>
                <w:color w:val="auto"/>
              </w:rPr>
            </w:pPr>
            <w:r>
              <w:rPr>
                <w:rFonts w:ascii="Arial" w:cs="Arial" w:eastAsia="Arial" w:hAnsi="Arial"/>
                <w:sz w:val="20"/>
                <w:szCs w:val="20"/>
                <w:color w:val="auto"/>
              </w:rPr>
              <w:t>Stock-based and Deferred Compensation Plans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59"/>
        </w:trPr>
        <w:tc>
          <w:tcPr>
            <w:tcW w:w="6400" w:type="dxa"/>
            <w:vAlign w:val="bottom"/>
            <w:gridSpan w:val="2"/>
          </w:tcPr>
          <w:p>
            <w:pPr>
              <w:spacing w:after="0"/>
              <w:rPr>
                <w:sz w:val="20"/>
                <w:szCs w:val="20"/>
                <w:color w:val="auto"/>
              </w:rPr>
            </w:pPr>
            <w:r>
              <w:rPr>
                <w:rFonts w:ascii="Arial" w:cs="Arial" w:eastAsia="Arial" w:hAnsi="Arial"/>
                <w:sz w:val="20"/>
                <w:szCs w:val="20"/>
                <w:b w:val="1"/>
                <w:bCs w:val="1"/>
                <w:color w:val="auto"/>
              </w:rPr>
              <w:t>Stock-based Compensation Plans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9"/>
        </w:trPr>
        <w:tc>
          <w:tcPr>
            <w:tcW w:w="6400" w:type="dxa"/>
            <w:vAlign w:val="bottom"/>
            <w:gridSpan w:val="2"/>
          </w:tcPr>
          <w:p>
            <w:pPr>
              <w:spacing w:after="0"/>
              <w:rPr>
                <w:sz w:val="20"/>
                <w:szCs w:val="20"/>
                <w:color w:val="auto"/>
              </w:rPr>
            </w:pPr>
            <w:r>
              <w:rPr>
                <w:rFonts w:ascii="Arial" w:cs="Arial" w:eastAsia="Arial" w:hAnsi="Arial"/>
                <w:sz w:val="20"/>
                <w:szCs w:val="20"/>
                <w:color w:val="auto"/>
                <w:w w:val="97"/>
              </w:rPr>
              <w:t>The Company recognized stock-based compensation expense as follows:</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5"/>
        </w:trPr>
        <w:tc>
          <w:tcPr>
            <w:tcW w:w="4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11,926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10,041</w:t>
            </w: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Restricted stock and restricted stock units</w:t>
            </w:r>
          </w:p>
        </w:tc>
        <w:tc>
          <w:tcPr>
            <w:tcW w:w="400" w:type="dxa"/>
            <w:vAlign w:val="bottom"/>
          </w:tcPr>
          <w:p>
            <w:pPr>
              <w:spacing w:after="0"/>
              <w:rPr>
                <w:sz w:val="20"/>
                <w:szCs w:val="20"/>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9,933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9,275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6,758</w:t>
            </w:r>
          </w:p>
        </w:tc>
      </w:tr>
      <w:tr>
        <w:trPr>
          <w:trHeight w:val="33"/>
        </w:trPr>
        <w:tc>
          <w:tcPr>
            <w:tcW w:w="6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3,596</w:t>
            </w:r>
          </w:p>
        </w:tc>
      </w:tr>
      <w:tr>
        <w:trPr>
          <w:trHeight w:val="224"/>
        </w:trPr>
        <w:tc>
          <w:tcPr>
            <w:tcW w:w="4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22,583</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22,594</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20,395</w:t>
            </w:r>
          </w:p>
        </w:tc>
      </w:tr>
      <w:tr>
        <w:trPr>
          <w:trHeight w:val="33"/>
        </w:trPr>
        <w:tc>
          <w:tcPr>
            <w:tcW w:w="4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 Options - </w:t>
      </w:r>
      <w:r>
        <w:rPr>
          <w:rFonts w:ascii="Arial" w:cs="Arial" w:eastAsia="Arial" w:hAnsi="Arial"/>
          <w:sz w:val="20"/>
          <w:szCs w:val="20"/>
          <w:color w:val="auto"/>
        </w:rPr>
        <w:t>Stock options generally vest and become exercisable over a period of four years in an equal number of shares each year.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have an exercisable life of no more than ten years from the date of grant. The Company settles stock option exercises with authorized but unissued shares of the Company’s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36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136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6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25, 2016</w:t>
            </w: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10,984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14.24</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58,231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1,279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 or expired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10,051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71,373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Exercisable as of December 31, 2017</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6,727</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60,814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0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400" w:type="dxa"/>
            <w:vAlign w:val="bottom"/>
          </w:tcPr>
          <w:p>
            <w:pPr>
              <w:spacing w:after="0"/>
              <w:rPr>
                <w:sz w:val="20"/>
                <w:szCs w:val="20"/>
                <w:color w:val="auto"/>
              </w:rPr>
            </w:pPr>
          </w:p>
        </w:tc>
        <w:tc>
          <w:tcPr>
            <w:tcW w:w="1320" w:type="dxa"/>
            <w:vAlign w:val="bottom"/>
          </w:tcPr>
          <w:p>
            <w:pPr>
              <w:ind w:left="7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ind w:left="90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1.64%</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r>
      <w:tr>
        <w:trPr>
          <w:trHeight w:val="237"/>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400" w:type="dxa"/>
            <w:vAlign w:val="bottom"/>
          </w:tcPr>
          <w:p>
            <w:pPr>
              <w:spacing w:after="0"/>
              <w:rPr>
                <w:sz w:val="20"/>
                <w:szCs w:val="20"/>
                <w:color w:val="auto"/>
              </w:rPr>
            </w:pPr>
          </w:p>
        </w:tc>
        <w:tc>
          <w:tcPr>
            <w:tcW w:w="1420" w:type="dxa"/>
            <w:vAlign w:val="bottom"/>
            <w:gridSpan w:val="2"/>
          </w:tcPr>
          <w:p>
            <w:pPr>
              <w:ind w:left="440"/>
              <w:spacing w:after="0"/>
              <w:rPr>
                <w:sz w:val="20"/>
                <w:szCs w:val="20"/>
                <w:color w:val="auto"/>
              </w:rPr>
            </w:pPr>
            <w:r>
              <w:rPr>
                <w:rFonts w:ascii="Arial" w:cs="Arial" w:eastAsia="Arial" w:hAnsi="Arial"/>
                <w:sz w:val="16"/>
                <w:szCs w:val="16"/>
                <w:color w:val="auto"/>
              </w:rPr>
              <w:t>6.3 years</w:t>
            </w:r>
          </w:p>
        </w:tc>
        <w:tc>
          <w:tcPr>
            <w:tcW w:w="240" w:type="dxa"/>
            <w:vAlign w:val="bottom"/>
          </w:tcPr>
          <w:p>
            <w:pPr>
              <w:spacing w:after="0"/>
              <w:rPr>
                <w:sz w:val="20"/>
                <w:szCs w:val="20"/>
                <w:color w:val="auto"/>
              </w:rPr>
            </w:pPr>
          </w:p>
        </w:tc>
        <w:tc>
          <w:tcPr>
            <w:tcW w:w="1580" w:type="dxa"/>
            <w:vAlign w:val="bottom"/>
            <w:gridSpan w:val="2"/>
          </w:tcPr>
          <w:p>
            <w:pPr>
              <w:ind w:left="600"/>
              <w:spacing w:after="0"/>
              <w:rPr>
                <w:sz w:val="20"/>
                <w:szCs w:val="20"/>
                <w:color w:val="auto"/>
              </w:rPr>
            </w:pPr>
            <w:r>
              <w:rPr>
                <w:rFonts w:ascii="Arial" w:cs="Arial" w:eastAsia="Arial" w:hAnsi="Arial"/>
                <w:sz w:val="16"/>
                <w:szCs w:val="16"/>
                <w:color w:val="auto"/>
              </w:rPr>
              <w:t>6.1 years</w:t>
            </w:r>
          </w:p>
        </w:tc>
        <w:tc>
          <w:tcPr>
            <w:tcW w:w="420" w:type="dxa"/>
            <w:vAlign w:val="bottom"/>
          </w:tcPr>
          <w:p>
            <w:pPr>
              <w:spacing w:after="0"/>
              <w:rPr>
                <w:sz w:val="20"/>
                <w:szCs w:val="20"/>
                <w:color w:val="auto"/>
              </w:rPr>
            </w:pP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43.4%</w:t>
            </w:r>
          </w:p>
        </w:tc>
      </w:tr>
      <w:tr>
        <w:trPr>
          <w:trHeight w:val="297"/>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10.11</w:t>
            </w:r>
          </w:p>
        </w:tc>
      </w:tr>
      <w:tr>
        <w:trPr>
          <w:trHeight w:val="193"/>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________________</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ind w:left="660" w:hanging="652"/>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simplified method of estimating the expected term is used since the Company does not have significant historical exercise experience for its stock options.</w:t>
      </w:r>
    </w:p>
    <w:p>
      <w:pPr>
        <w:ind w:left="660" w:hanging="652"/>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Intrinsic value of options exercised</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15,139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10,792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Excess tax benefits for tax deductions related to the exercise of stock options</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2,928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702</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Cash received from option exercises, net of tax withholding</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13,329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Fair value of stock options vested</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28,085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19,431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26,643</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Tax benefits for stock option compensation expense</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4,594</w:t>
            </w:r>
          </w:p>
        </w:tc>
      </w:tr>
      <w:tr>
        <w:trPr>
          <w:trHeight w:val="324"/>
        </w:trPr>
        <w:tc>
          <w:tcPr>
            <w:tcW w:w="6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stock option expense</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12,347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gridSpan w:val="3"/>
          </w:tcPr>
          <w:p>
            <w:pPr>
              <w:ind w:left="920"/>
              <w:spacing w:after="0"/>
              <w:rPr>
                <w:sz w:val="20"/>
                <w:szCs w:val="20"/>
                <w:color w:val="auto"/>
              </w:rPr>
            </w:pPr>
            <w:r>
              <w:rPr>
                <w:rFonts w:ascii="Arial" w:cs="Arial" w:eastAsia="Arial" w:hAnsi="Arial"/>
                <w:sz w:val="16"/>
                <w:szCs w:val="16"/>
                <w:color w:val="auto"/>
              </w:rPr>
              <w:t>2.3 years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46" w:lineRule="exact"/>
        <w:rPr>
          <w:sz w:val="20"/>
          <w:szCs w:val="20"/>
          <w:color w:val="auto"/>
        </w:rPr>
      </w:pPr>
    </w:p>
    <w:p>
      <w:pPr>
        <w:jc w:val="both"/>
        <w:spacing w:after="0" w:line="386" w:lineRule="auto"/>
        <w:rPr>
          <w:sz w:val="20"/>
          <w:szCs w:val="20"/>
          <w:color w:val="auto"/>
        </w:rPr>
      </w:pPr>
      <w:r>
        <w:rPr>
          <w:rFonts w:ascii="Arial" w:cs="Arial" w:eastAsia="Arial" w:hAnsi="Arial"/>
          <w:sz w:val="16"/>
          <w:szCs w:val="16"/>
          <w:i w:val="1"/>
          <w:iCs w:val="1"/>
          <w:color w:val="auto"/>
        </w:rPr>
        <w:t xml:space="preserve">Restricted Stock and Restricted Stock Units - </w:t>
      </w:r>
      <w:r>
        <w:rPr>
          <w:rFonts w:ascii="Arial" w:cs="Arial" w:eastAsia="Arial" w:hAnsi="Arial"/>
          <w:sz w:val="16"/>
          <w:szCs w:val="16"/>
          <w:color w:val="auto"/>
        </w:rPr>
        <w:t>Restricted stock and restricted stock units generally vest over a period of four years and 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in an equal number of shares each year. Following is a summary of the Company’s restricted stock and restricted stock unit activity: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 RESTRICTED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r>
      <w:tr>
        <w:trPr>
          <w:trHeight w:val="205"/>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 AWARDS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r>
      <w:tr>
        <w:trPr>
          <w:trHeight w:val="23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as of December 25, 2016</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1,594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18.55</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16.49</w:t>
            </w: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Vested</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19.10</w:t>
            </w:r>
          </w:p>
        </w:tc>
      </w:tr>
      <w:tr>
        <w:trPr>
          <w:trHeight w:val="270"/>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17.91</w:t>
            </w: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shd w:val="clear" w:color="auto" w:fill="CCEEFF"/>
              </w:rPr>
              <w:t>Outstanding as of December 31, 2017</w:t>
            </w:r>
          </w:p>
        </w:tc>
        <w:tc>
          <w:tcPr>
            <w:tcW w:w="56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1,392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17.54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restricted stock and restricted stock unit compensation information as of December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restricted stock vested</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3"/>
              </w:rPr>
              <w:t>10,182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7,752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5,339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Tax benefits for restricted stock compensation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3,664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2,303</w:t>
            </w:r>
          </w:p>
        </w:tc>
      </w:tr>
      <w:tr>
        <w:trPr>
          <w:trHeight w:val="33"/>
        </w:trPr>
        <w:tc>
          <w:tcPr>
            <w:tcW w:w="6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6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Unrecognized restricted stock expense</w:t>
            </w:r>
          </w:p>
        </w:tc>
        <w:tc>
          <w:tcPr>
            <w:tcW w:w="102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w w:val="93"/>
              </w:rPr>
              <w:t>17,365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weighted-average vesting period</w:t>
            </w:r>
          </w:p>
        </w:tc>
        <w:tc>
          <w:tcPr>
            <w:tcW w:w="17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2.5 years</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33"/>
        </w:trPr>
        <w:tc>
          <w:tcPr>
            <w:tcW w:w="6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Performance-based Share Units (“PSUs”) - </w:t>
      </w:r>
      <w:r>
        <w:rPr>
          <w:rFonts w:ascii="Arial" w:cs="Arial" w:eastAsia="Arial" w:hAnsi="Arial"/>
          <w:sz w:val="19"/>
          <w:szCs w:val="19"/>
          <w:color w:val="auto"/>
        </w:rPr>
        <w:t>The number of units that vest is determined for each year based on the achievement of certain</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criteria as set forth in the award agreement and may range from zero to 200% of the annual target grant. The PSUs are settled in shares of common stock, with holders receiving one share of common stock for each performance-based share unit that vests. The fair value of PSUs is based on the closing price of the Company’s common stock on the grant date. Compensation expense for PSUs is recognized over the vesting period when it is probable the performance criteria will be achieved.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PSU activity: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25, 2016</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42"/>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17.98</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499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as of December 31,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2015</w:t>
            </w: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benefits for PSU compensation expense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636</w:t>
            </w:r>
          </w:p>
        </w:tc>
      </w:tr>
      <w:tr>
        <w:trPr>
          <w:trHeight w:val="237"/>
        </w:trPr>
        <w:tc>
          <w:tcPr>
            <w:tcW w:w="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Unrecognized PSU expense</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weighted-average vesting period (1)</w:t>
            </w:r>
          </w:p>
        </w:tc>
        <w:tc>
          <w:tcPr>
            <w:tcW w:w="15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6"/>
                <w:szCs w:val="16"/>
                <w:color w:val="auto"/>
              </w:rPr>
              <w:t>1.0 year</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________________</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PSUs granted prior to 2016, units typically vest in an equal number of shares over four years. PSUs granted after 2015 vest after three years.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2017, the maximum number of shares of common stock available for issuance pursuant to the 2016 Omnibus Incentive Plan was 5,063,157.</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Restaurant Managing Partners and Chef Partners are eligible to participate in deferred compensation programs. To fund deferred compensation arrangements, the Company may invest in corporate-owned life insurance policies, which are held within an irrevocable grantor or “rabbi” trust account for settlement of certain of the obligations under the deferred compensation plans. The deferred compensation obligation due to Restaurant Managing and Chef Partners was $96.3 million and $113.0 million as of December 31, 2017 and December 25, 2016, respectively. The rabbi trust is funded through the Company’s voluntary contributions. The unfunded obligation for Restaurant Managing and Chef Partners’ deferred compensation was $36.6 million and $50.6 million as of December 31, 2017 and December 25, 2016,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 Plans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 1986,</w:t>
      </w:r>
      <w:r>
        <w:rPr>
          <w:rFonts w:ascii="Arial" w:cs="Arial" w:eastAsia="Arial" w:hAnsi="Arial"/>
          <w:sz w:val="20"/>
          <w:szCs w:val="20"/>
          <w:i w:val="1"/>
          <w:iCs w:val="1"/>
          <w:color w:val="auto"/>
        </w:rPr>
        <w:t xml:space="preserve"> </w:t>
      </w:r>
      <w:r>
        <w:rPr>
          <w:rFonts w:ascii="Arial" w:cs="Arial" w:eastAsia="Arial" w:hAnsi="Arial"/>
          <w:sz w:val="20"/>
          <w:szCs w:val="20"/>
          <w:color w:val="auto"/>
        </w:rPr>
        <w:t>as amended. The Company incurred contribution costs of $3.3 million, $3.2 million and $3.7 million for the 401(k) Plan for 2017, 2016 and 2015, respectively.</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 The Company provides a deferred compensation plan for its highly compensated employees who are not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 - Continued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700" w:hanging="692"/>
        <w:spacing w:after="0"/>
        <w:tabs>
          <w:tab w:leader="none" w:pos="700" w:val="left"/>
        </w:tabs>
        <w:numPr>
          <w:ilvl w:val="0"/>
          <w:numId w:val="54"/>
        </w:numPr>
        <w:rPr>
          <w:rFonts w:ascii="Arial" w:cs="Arial" w:eastAsia="Arial" w:hAnsi="Arial"/>
          <w:sz w:val="20"/>
          <w:szCs w:val="20"/>
          <w:color w:val="auto"/>
        </w:rPr>
      </w:pPr>
      <w:r>
        <w:rPr>
          <w:rFonts w:ascii="Arial" w:cs="Arial" w:eastAsia="Arial" w:hAnsi="Arial"/>
          <w:sz w:val="20"/>
          <w:szCs w:val="20"/>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net, consisted of the following:</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Prepaid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gift cards,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vendors,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franchisees,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 other,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40,688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35,298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66,361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102,664</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19,483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10,107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1,677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22,808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20,497</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1,331</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21,828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18,652</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179,402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190,226</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ind w:left="400" w:hanging="392"/>
        <w:spacing w:after="0"/>
        <w:tabs>
          <w:tab w:leader="none" w:pos="4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Property, fixtures and equipment, net, consisted of the following:</w:t>
      </w: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fixtures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74,228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114,375</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653,246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726,418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410,792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383,758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600,977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550,598</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534,875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492,465</w:t>
            </w:r>
          </w:p>
        </w:tc>
      </w:tr>
      <w:tr>
        <w:trPr>
          <w:trHeight w:val="270"/>
        </w:trPr>
        <w:tc>
          <w:tcPr>
            <w:tcW w:w="1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40,740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47,332</w:t>
            </w:r>
          </w:p>
        </w:tc>
      </w:tr>
      <w:tr>
        <w:trPr>
          <w:trHeight w:val="257"/>
        </w:trPr>
        <w:tc>
          <w:tcPr>
            <w:tcW w:w="18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(1,141,444)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(1,077,798)</w:t>
            </w:r>
          </w:p>
        </w:tc>
      </w:tr>
      <w:tr>
        <w:trPr>
          <w:trHeight w:val="40"/>
        </w:trPr>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1,173,414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1,237,148</w:t>
            </w:r>
          </w:p>
        </w:tc>
      </w:tr>
      <w:tr>
        <w:trPr>
          <w:trHeight w:val="33"/>
        </w:trPr>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Sale-leaseback Transactions </w:t>
      </w:r>
      <w:r>
        <w:rPr>
          <w:rFonts w:ascii="Arial" w:cs="Arial" w:eastAsia="Arial" w:hAnsi="Arial"/>
          <w:sz w:val="20"/>
          <w:szCs w:val="20"/>
          <w:color w:val="auto"/>
        </w:rPr>
        <w:t>- During 2017 and 2016, the Company entered into sale-leaseback transactions with third-parties in which it sold</w:t>
      </w:r>
      <w:r>
        <w:rPr>
          <w:rFonts w:ascii="Arial" w:cs="Arial" w:eastAsia="Arial" w:hAnsi="Arial"/>
          <w:sz w:val="20"/>
          <w:szCs w:val="20"/>
          <w:i w:val="1"/>
          <w:iCs w:val="1"/>
          <w:color w:val="auto"/>
        </w:rPr>
        <w:t xml:space="preserve"> </w:t>
      </w:r>
      <w:r>
        <w:rPr>
          <w:rFonts w:ascii="Arial" w:cs="Arial" w:eastAsia="Arial" w:hAnsi="Arial"/>
          <w:sz w:val="20"/>
          <w:szCs w:val="20"/>
          <w:color w:val="auto"/>
        </w:rPr>
        <w:t>31 and 153 restaurant properties at fair market value for gross proceeds of $108.0 million and $541.9 million, respectively. In connection with these sale-leaseback transactions, the Company recorded deferred gains of $22.3 million and $163.4 million, respectively, which are amortized to Other restaurant operating expense in its Consolidated Statements of Operations and Comprehensive Income over the initial term of each lease, ranging from 10 to 20 years.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During 2016, the Company sold six restaurant properties to third parties for aggregate proceeds of $18.5 million that did not qualify for sale-leaseback accounting. The book value of the buildings and land for these restaurant properties remains on the Company’s Consolidated Balance Sheets. See Note 12 -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and Note 19 -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for additional details regarding the related financing obligation.</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Leased Properties </w:t>
      </w:r>
      <w:r>
        <w:rPr>
          <w:rFonts w:ascii="Arial" w:cs="Arial" w:eastAsia="Arial" w:hAnsi="Arial"/>
          <w:sz w:val="20"/>
          <w:szCs w:val="20"/>
          <w:color w:val="auto"/>
        </w:rPr>
        <w:t>- As of December 31, 2017, the Company leased $20.9 million and $27.6 million of certain land and buildings, respectively,</w:t>
      </w:r>
      <w:r>
        <w:rPr>
          <w:rFonts w:ascii="Arial" w:cs="Arial" w:eastAsia="Arial" w:hAnsi="Arial"/>
          <w:sz w:val="20"/>
          <w:szCs w:val="20"/>
          <w:i w:val="1"/>
          <w:iCs w:val="1"/>
          <w:color w:val="auto"/>
        </w:rPr>
        <w:t xml:space="preserve"> </w:t>
      </w:r>
      <w:r>
        <w:rPr>
          <w:rFonts w:ascii="Arial" w:cs="Arial" w:eastAsia="Arial" w:hAnsi="Arial"/>
          <w:sz w:val="20"/>
          <w:szCs w:val="20"/>
          <w:color w:val="auto"/>
        </w:rPr>
        <w:t>to third parties. Accumulated depreciation related to the leased building assets of $9.5 million is included in Property, fixtures and equipment, net as of December 31, 2017.</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is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182,254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183,049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178,855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Repair and maintenance expense</w:t>
            </w:r>
          </w:p>
        </w:tc>
        <w:tc>
          <w:tcPr>
            <w:tcW w:w="400" w:type="dxa"/>
            <w:vAlign w:val="bottom"/>
          </w:tcPr>
          <w:p>
            <w:pPr>
              <w:spacing w:after="0"/>
              <w:rPr>
                <w:sz w:val="20"/>
                <w:szCs w:val="20"/>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111,926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108,940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107,960</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9.</w:t>
        <w:tab/>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7"/>
                <w:szCs w:val="17"/>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7"/>
                <w:szCs w:val="17"/>
                <w:color w:val="auto"/>
              </w:rPr>
            </w:pPr>
          </w:p>
        </w:tc>
        <w:tc>
          <w:tcPr>
            <w:tcW w:w="1500" w:type="dxa"/>
            <w:vAlign w:val="bottom"/>
          </w:tcPr>
          <w:p>
            <w:pPr>
              <w:jc w:val="right"/>
              <w:ind w:right="1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27, 2015</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300,861</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11,382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Divestitures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Transfer to Assets held for sale</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25, 2016</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172,424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137,631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310,055</w:t>
            </w:r>
          </w:p>
        </w:tc>
        <w:tc>
          <w:tcPr>
            <w:tcW w:w="0" w:type="dxa"/>
            <w:vAlign w:val="bottom"/>
          </w:tcPr>
          <w:p>
            <w:pPr>
              <w:spacing w:after="0"/>
              <w:rPr>
                <w:sz w:val="1"/>
                <w:szCs w:val="1"/>
                <w:color w:val="auto"/>
              </w:rPr>
            </w:pPr>
          </w:p>
        </w:tc>
      </w:tr>
      <w:tr>
        <w:trPr>
          <w:trHeight w:val="224"/>
        </w:trPr>
        <w:tc>
          <w:tcPr>
            <w:tcW w:w="6060" w:type="dxa"/>
            <w:vAlign w:val="bottom"/>
          </w:tcPr>
          <w:p>
            <w:pPr>
              <w:ind w:left="180"/>
              <w:spacing w:after="0"/>
              <w:rPr>
                <w:sz w:val="20"/>
                <w:szCs w:val="20"/>
                <w:color w:val="auto"/>
              </w:rPr>
            </w:pPr>
            <w:r>
              <w:rPr>
                <w:rFonts w:ascii="Arial" w:cs="Arial" w:eastAsia="Arial" w:hAnsi="Arial"/>
                <w:sz w:val="16"/>
                <w:szCs w:val="16"/>
                <w:color w:val="auto"/>
              </w:rPr>
              <w:t>Translation adjustments</w:t>
            </w:r>
          </w:p>
        </w:tc>
        <w:tc>
          <w:tcPr>
            <w:tcW w:w="4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Impairments (1)</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Divestitures (2)</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44"/>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170,767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310,234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the fourth quarter of 2017, the Company recognized $1.4 million goodwill impairment related to its China subsidiary in Provision for impaired assets and restaurant closings within its Consolidated Statements of Operations and Comprehensive Income.</w:t>
      </w:r>
    </w:p>
    <w:p>
      <w:pPr>
        <w:ind w:left="660" w:right="20" w:hanging="652"/>
        <w:spacing w:after="0" w:line="25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the second quarter 2017, the Company disposed of Goodwill in connection with the sale of 54 of its U.S. Company-owned Outback Steakhouse and Carrabba’s Italian Grill locations to existing franchisees.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the Company’s gross goodwill balances and accumulated impairments: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0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25, 2016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DECEMBER 27, 2015</w:t>
            </w:r>
          </w:p>
        </w:tc>
      </w:tr>
      <w:tr>
        <w:trPr>
          <w:trHeight w:val="162"/>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4"/>
                <w:szCs w:val="14"/>
                <w:color w:val="auto"/>
              </w:rPr>
            </w:pPr>
          </w:p>
        </w:tc>
        <w:tc>
          <w:tcPr>
            <w:tcW w:w="1420" w:type="dxa"/>
            <w:vAlign w:val="bottom"/>
          </w:tcPr>
          <w:p>
            <w:pPr>
              <w:jc w:val="right"/>
              <w:ind w:right="143"/>
              <w:spacing w:after="0"/>
              <w:rPr>
                <w:sz w:val="20"/>
                <w:szCs w:val="20"/>
                <w:color w:val="auto"/>
              </w:rPr>
            </w:pPr>
            <w:r>
              <w:rPr>
                <w:rFonts w:ascii="Arial" w:cs="Arial" w:eastAsia="Arial" w:hAnsi="Arial"/>
                <w:sz w:val="14"/>
                <w:szCs w:val="14"/>
                <w:b w:val="1"/>
                <w:bCs w:val="1"/>
                <w:color w:val="auto"/>
              </w:rPr>
              <w:t>ACCUMULATED</w:t>
            </w:r>
          </w:p>
        </w:tc>
      </w:tr>
      <w:tr>
        <w:trPr>
          <w:trHeight w:val="196"/>
        </w:trPr>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IMPAIRMENTS</w:t>
            </w:r>
          </w:p>
        </w:tc>
        <w:tc>
          <w:tcPr>
            <w:tcW w:w="14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420" w:type="dxa"/>
            <w:vAlign w:val="bottom"/>
          </w:tcPr>
          <w:p>
            <w:pPr>
              <w:jc w:val="right"/>
              <w:ind w:right="183"/>
              <w:spacing w:after="0"/>
              <w:rPr>
                <w:sz w:val="20"/>
                <w:szCs w:val="20"/>
                <w:color w:val="auto"/>
              </w:rPr>
            </w:pPr>
            <w:r>
              <w:rPr>
                <w:rFonts w:ascii="Arial" w:cs="Arial" w:eastAsia="Arial" w:hAnsi="Arial"/>
                <w:sz w:val="14"/>
                <w:szCs w:val="14"/>
                <w:b w:val="1"/>
                <w:bCs w:val="1"/>
                <w:color w:val="auto"/>
              </w:rPr>
              <w:t>IMPAIRMENTS</w:t>
            </w:r>
          </w:p>
        </w:tc>
      </w:tr>
      <w:tr>
        <w:trPr>
          <w:trHeight w:val="237"/>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838,937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840,594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840,881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r>
      <w:tr>
        <w:trPr>
          <w:trHeight w:val="270"/>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257,377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254,097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244,616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(116,466)</w:t>
            </w:r>
          </w:p>
        </w:tc>
      </w:tr>
      <w:tr>
        <w:trPr>
          <w:trHeight w:val="24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1,096,314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1,085,497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(784,636)</w:t>
            </w: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The Company performs its annual assessment for impairment of goodwill and other indefinite-lived intangible assets each year during the second quarter. As a result of this assessment, the Company did not record any goodwill asset impairment charges during the periods presented.</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DECEMBER 31, 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9"/>
              </w:rPr>
              <w:t>DECEMBER 25, 2016</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7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9"/>
              </w:rPr>
              <w:t>NET</w:t>
            </w:r>
          </w:p>
        </w:tc>
        <w:tc>
          <w:tcPr>
            <w:tcW w:w="0" w:type="dxa"/>
            <w:vAlign w:val="bottom"/>
          </w:tcPr>
          <w:p>
            <w:pPr>
              <w:spacing w:after="0"/>
              <w:rPr>
                <w:sz w:val="1"/>
                <w:szCs w:val="1"/>
                <w:color w:val="auto"/>
              </w:rPr>
            </w:pPr>
          </w:p>
        </w:tc>
      </w:tr>
      <w:tr>
        <w:trPr>
          <w:trHeight w:val="158"/>
        </w:trPr>
        <w:tc>
          <w:tcPr>
            <w:tcW w:w="138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(dollars in</w:t>
            </w:r>
          </w:p>
        </w:tc>
        <w:tc>
          <w:tcPr>
            <w:tcW w:w="1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Indefinite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414,141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414,041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414,041</w:t>
            </w:r>
          </w:p>
        </w:tc>
        <w:tc>
          <w:tcPr>
            <w:tcW w:w="0" w:type="dxa"/>
            <w:vAlign w:val="bottom"/>
          </w:tcPr>
          <w:p>
            <w:pPr>
              <w:spacing w:after="0"/>
              <w:rPr>
                <w:sz w:val="1"/>
                <w:szCs w:val="1"/>
                <w:color w:val="auto"/>
              </w:rPr>
            </w:pPr>
          </w:p>
        </w:tc>
      </w:tr>
      <w:tr>
        <w:trPr>
          <w:trHeight w:val="237"/>
        </w:trPr>
        <w:tc>
          <w:tcPr>
            <w:tcW w:w="138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62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41,148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81,381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44,981</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Favorable leases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73,665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32,407</w:t>
            </w:r>
          </w:p>
        </w:tc>
        <w:tc>
          <w:tcPr>
            <w:tcW w:w="0" w:type="dxa"/>
            <w:vAlign w:val="bottom"/>
          </w:tcPr>
          <w:p>
            <w:pPr>
              <w:spacing w:after="0"/>
              <w:rPr>
                <w:sz w:val="1"/>
                <w:szCs w:val="1"/>
                <w:color w:val="auto"/>
              </w:rPr>
            </w:pPr>
          </w:p>
        </w:tc>
      </w:tr>
      <w:tr>
        <w:trPr>
          <w:trHeight w:val="220"/>
        </w:trPr>
        <w:tc>
          <w:tcPr>
            <w:tcW w:w="1380" w:type="dxa"/>
            <w:vAlign w:val="bottom"/>
          </w:tcPr>
          <w:p>
            <w:pPr>
              <w:ind w:left="40"/>
              <w:spacing w:after="0"/>
              <w:rPr>
                <w:sz w:val="20"/>
                <w:szCs w:val="20"/>
                <w:color w:val="auto"/>
              </w:rPr>
            </w:pPr>
            <w:r>
              <w:rPr>
                <w:rFonts w:ascii="Arial" w:cs="Arial" w:eastAsia="Arial" w:hAnsi="Arial"/>
                <w:sz w:val="16"/>
                <w:szCs w:val="16"/>
                <w:color w:val="auto"/>
              </w:rPr>
              <w:t>Franchise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agreements</w:t>
            </w:r>
          </w:p>
        </w:tc>
        <w:tc>
          <w:tcPr>
            <w:tcW w:w="162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14,881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Reacquired</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rights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54,961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36,998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53,045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39,954</w:t>
            </w:r>
          </w:p>
        </w:tc>
        <w:tc>
          <w:tcPr>
            <w:tcW w:w="0" w:type="dxa"/>
            <w:vAlign w:val="bottom"/>
          </w:tcPr>
          <w:p>
            <w:pPr>
              <w:spacing w:after="0"/>
              <w:rPr>
                <w:sz w:val="1"/>
                <w:szCs w:val="1"/>
                <w:color w:val="auto"/>
              </w:rPr>
            </w:pPr>
          </w:p>
        </w:tc>
      </w:tr>
      <w:tr>
        <w:trPr>
          <w:trHeight w:val="270"/>
        </w:trPr>
        <w:tc>
          <w:tcPr>
            <w:tcW w:w="1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intangibles</w:t>
            </w: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9,099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9,099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intangible</w:t>
            </w: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640,801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(118,511)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522,290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646,112</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(110,589)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535,523</w:t>
            </w: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Definite-lived intangible assets are amortized on a straight-line basis. The following table presents the aggregate expense related to the amortization of the Company’s trademarks, favorable leases, franchise agreements, reacquired franchise rights and other intangibles: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2015</w:t>
            </w: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expense (1)</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14,191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15,666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16,852</w:t>
            </w:r>
          </w:p>
        </w:tc>
      </w:tr>
      <w:tr>
        <w:trPr>
          <w:trHeight w:val="193"/>
        </w:trPr>
        <w:tc>
          <w:tcPr>
            <w:tcW w:w="20" w:type="dxa"/>
            <w:vAlign w:val="bottom"/>
          </w:tcPr>
          <w:p>
            <w:pPr>
              <w:spacing w:after="0"/>
              <w:rPr>
                <w:sz w:val="16"/>
                <w:szCs w:val="16"/>
                <w:color w:val="auto"/>
              </w:rPr>
            </w:pPr>
          </w:p>
        </w:tc>
        <w:tc>
          <w:tcPr>
            <w:tcW w:w="6380" w:type="dxa"/>
            <w:vAlign w:val="bottom"/>
          </w:tcPr>
          <w:p>
            <w:pPr>
              <w:jc w:val="right"/>
              <w:ind w:right="5022"/>
              <w:spacing w:after="0"/>
              <w:rPr>
                <w:sz w:val="20"/>
                <w:szCs w:val="20"/>
                <w:color w:val="auto"/>
              </w:rPr>
            </w:pPr>
            <w:r>
              <w:rPr>
                <w:rFonts w:ascii="Arial" w:cs="Arial" w:eastAsia="Arial" w:hAnsi="Arial"/>
                <w:sz w:val="16"/>
                <w:szCs w:val="16"/>
                <w:color w:val="auto"/>
                <w:w w:val="88"/>
              </w:rPr>
              <w:t>________________</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Amortization expense is recorded in Depreciation and amortization and Other restaurant operating expenses in the Company’s Consolidated Statements of Operations and Comprehensive Income.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31,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7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7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13,397</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2019</w:t>
            </w:r>
          </w:p>
        </w:tc>
        <w:tc>
          <w:tcPr>
            <w:tcW w:w="47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12,990</w:t>
            </w:r>
          </w:p>
        </w:tc>
      </w:tr>
      <w:tr>
        <w:trPr>
          <w:trHeight w:val="33"/>
        </w:trPr>
        <w:tc>
          <w:tcPr>
            <w:tcW w:w="56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7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11,333</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2021</w:t>
            </w:r>
          </w:p>
        </w:tc>
        <w:tc>
          <w:tcPr>
            <w:tcW w:w="47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10,079</w:t>
            </w:r>
          </w:p>
        </w:tc>
      </w:tr>
      <w:tr>
        <w:trPr>
          <w:trHeight w:val="33"/>
        </w:trPr>
        <w:tc>
          <w:tcPr>
            <w:tcW w:w="56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9,649</w:t>
            </w:r>
          </w:p>
        </w:tc>
      </w:tr>
      <w:tr>
        <w:trPr>
          <w:trHeight w:val="33"/>
        </w:trPr>
        <w:tc>
          <w:tcPr>
            <w:tcW w:w="562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10.</w:t>
            </w:r>
          </w:p>
        </w:tc>
        <w:tc>
          <w:tcPr>
            <w:tcW w:w="760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Company-owned life insurance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73,818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74,629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Deferred financing fees (1)</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8,232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2,632</w:t>
            </w:r>
          </w:p>
        </w:tc>
        <w:tc>
          <w:tcPr>
            <w:tcW w:w="0" w:type="dxa"/>
            <w:vAlign w:val="bottom"/>
          </w:tcPr>
          <w:p>
            <w:pPr>
              <w:spacing w:after="0"/>
              <w:rPr>
                <w:sz w:val="1"/>
                <w:szCs w:val="1"/>
                <w:color w:val="auto"/>
              </w:rPr>
            </w:pP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Liquor licenses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27,515</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28,552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24,370</w:t>
            </w:r>
          </w:p>
        </w:tc>
        <w:tc>
          <w:tcPr>
            <w:tcW w:w="0" w:type="dxa"/>
            <w:vAlign w:val="bottom"/>
          </w:tcPr>
          <w:p>
            <w:pPr>
              <w:spacing w:after="0"/>
              <w:rPr>
                <w:sz w:val="1"/>
                <w:szCs w:val="1"/>
                <w:color w:val="auto"/>
              </w:rPr>
            </w:pPr>
          </w:p>
        </w:tc>
      </w:tr>
      <w:tr>
        <w:trPr>
          <w:trHeight w:val="40"/>
        </w:trPr>
        <w:tc>
          <w:tcPr>
            <w:tcW w:w="520" w:type="dxa"/>
            <w:vAlign w:val="bottom"/>
            <w:tcBorders>
              <w:bottom w:val="single" w:sz="8" w:color="CCEEFF"/>
            </w:tcBorders>
          </w:tcPr>
          <w:p>
            <w:pPr>
              <w:spacing w:after="0"/>
              <w:rPr>
                <w:sz w:val="3"/>
                <w:szCs w:val="3"/>
                <w:color w:val="auto"/>
              </w:rPr>
            </w:pPr>
          </w:p>
        </w:tc>
        <w:tc>
          <w:tcPr>
            <w:tcW w:w="76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135,261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129,146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Net of accumulated amortization of $4.1 million and $3.3 million as of December 31, 2017 and December 25, 2016,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7600" w:type="dxa"/>
            <w:vAlign w:val="bottom"/>
          </w:tcPr>
          <w:p>
            <w:pPr>
              <w:ind w:left="260"/>
              <w:spacing w:after="0"/>
              <w:rPr>
                <w:sz w:val="20"/>
                <w:szCs w:val="20"/>
                <w:color w:val="auto"/>
              </w:rPr>
            </w:pPr>
            <w:r>
              <w:rPr>
                <w:rFonts w:ascii="Arial" w:cs="Arial" w:eastAsia="Arial" w:hAnsi="Arial"/>
                <w:sz w:val="20"/>
                <w:szCs w:val="20"/>
                <w:color w:val="auto"/>
              </w:rPr>
              <w:t>Accrued and Other Current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20"/>
                <w:szCs w:val="20"/>
                <w:color w:val="auto"/>
              </w:rPr>
              <w:t>Accrued and other current liabilities consisted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84"/>
        </w:trPr>
        <w:tc>
          <w:tcPr>
            <w:tcW w:w="5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Accrued payroll and other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113,636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81,981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Accrued insurance</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23,482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23,533</w:t>
            </w:r>
          </w:p>
        </w:tc>
      </w:tr>
      <w:tr>
        <w:trPr>
          <w:trHeight w:val="33"/>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133,722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98,901</w:t>
            </w:r>
          </w:p>
        </w:tc>
      </w:tr>
      <w:tr>
        <w:trPr>
          <w:trHeight w:val="224"/>
        </w:trPr>
        <w:tc>
          <w:tcPr>
            <w:tcW w:w="520" w:type="dxa"/>
            <w:vAlign w:val="bottom"/>
            <w:tcBorders>
              <w:top w:val="single" w:sz="8" w:color="CCEEFF"/>
            </w:tcBorders>
          </w:tcPr>
          <w:p>
            <w:pPr>
              <w:spacing w:after="0"/>
              <w:rPr>
                <w:sz w:val="19"/>
                <w:szCs w:val="19"/>
                <w:color w:val="auto"/>
              </w:rPr>
            </w:pPr>
          </w:p>
        </w:tc>
        <w:tc>
          <w:tcPr>
            <w:tcW w:w="76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270,840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204,415</w:t>
            </w:r>
          </w:p>
        </w:tc>
      </w:tr>
      <w:tr>
        <w:trPr>
          <w:trHeight w:val="33"/>
        </w:trPr>
        <w:tc>
          <w:tcPr>
            <w:tcW w:w="5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Pr>
          <w:p>
            <w:pPr>
              <w:spacing w:after="0"/>
              <w:rPr>
                <w:sz w:val="20"/>
                <w:szCs w:val="20"/>
                <w:color w:val="auto"/>
              </w:rPr>
            </w:pPr>
            <w:r>
              <w:rPr>
                <w:rFonts w:ascii="Arial" w:cs="Arial" w:eastAsia="Arial" w:hAnsi="Arial"/>
                <w:sz w:val="20"/>
                <w:szCs w:val="20"/>
                <w:color w:val="auto"/>
              </w:rPr>
              <w:t>12.</w:t>
            </w:r>
          </w:p>
        </w:tc>
        <w:tc>
          <w:tcPr>
            <w:tcW w:w="4280" w:type="dxa"/>
            <w:vAlign w:val="bottom"/>
          </w:tcPr>
          <w:p>
            <w:pPr>
              <w:ind w:left="420"/>
              <w:spacing w:after="0"/>
              <w:rPr>
                <w:sz w:val="20"/>
                <w:szCs w:val="20"/>
                <w:color w:val="auto"/>
              </w:rPr>
            </w:pPr>
            <w:r>
              <w:rPr>
                <w:rFonts w:ascii="Arial" w:cs="Arial" w:eastAsia="Arial" w:hAnsi="Arial"/>
                <w:sz w:val="20"/>
                <w:szCs w:val="20"/>
                <w:color w:val="auto"/>
              </w:rPr>
              <w:t>Long-term Debt, Net</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660" w:type="dxa"/>
            <w:vAlign w:val="bottom"/>
            <w:gridSpan w:val="2"/>
          </w:tcPr>
          <w:p>
            <w:pPr>
              <w:spacing w:after="0"/>
              <w:rPr>
                <w:sz w:val="20"/>
                <w:szCs w:val="20"/>
                <w:color w:val="auto"/>
              </w:rPr>
            </w:pPr>
            <w:r>
              <w:rPr>
                <w:rFonts w:ascii="Arial" w:cs="Arial" w:eastAsia="Arial" w:hAnsi="Arial"/>
                <w:sz w:val="20"/>
                <w:szCs w:val="20"/>
                <w:color w:val="auto"/>
                <w:w w:val="96"/>
              </w:rPr>
              <w:t>Following is a summary of outstanding long-term debt: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4"/>
          </w:tcPr>
          <w:p>
            <w:pPr>
              <w:ind w:left="8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4"/>
                <w:szCs w:val="24"/>
                <w:color w:val="auto"/>
              </w:rPr>
            </w:pPr>
          </w:p>
        </w:tc>
        <w:tc>
          <w:tcPr>
            <w:tcW w:w="3140" w:type="dxa"/>
            <w:vAlign w:val="bottom"/>
            <w:gridSpan w:val="3"/>
          </w:tcPr>
          <w:p>
            <w:pPr>
              <w:jc w:val="right"/>
              <w:ind w:right="881"/>
              <w:spacing w:after="0"/>
              <w:rPr>
                <w:sz w:val="20"/>
                <w:szCs w:val="20"/>
                <w:color w:val="auto"/>
              </w:rPr>
            </w:pPr>
            <w:r>
              <w:rPr>
                <w:rFonts w:ascii="Arial" w:cs="Arial" w:eastAsia="Arial" w:hAnsi="Arial"/>
                <w:sz w:val="14"/>
                <w:szCs w:val="14"/>
                <w:b w:val="1"/>
                <w:bCs w:val="1"/>
                <w:color w:val="auto"/>
              </w:rPr>
              <w:t>DECEMBER 25, 2016</w:t>
            </w:r>
          </w:p>
        </w:tc>
        <w:tc>
          <w:tcPr>
            <w:tcW w:w="0" w:type="dxa"/>
            <w:vAlign w:val="bottom"/>
          </w:tcPr>
          <w:p>
            <w:pPr>
              <w:spacing w:after="0"/>
              <w:rPr>
                <w:sz w:val="1"/>
                <w:szCs w:val="1"/>
                <w:color w:val="auto"/>
              </w:rPr>
            </w:pPr>
          </w:p>
        </w:tc>
      </w:tr>
      <w:tr>
        <w:trPr>
          <w:trHeight w:val="46"/>
        </w:trPr>
        <w:tc>
          <w:tcPr>
            <w:tcW w:w="38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180"/>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1"/>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tcPr>
          <w:p>
            <w:pPr>
              <w:spacing w:after="0"/>
              <w:rPr>
                <w:sz w:val="23"/>
                <w:szCs w:val="23"/>
                <w:color w:val="auto"/>
              </w:rPr>
            </w:pPr>
          </w:p>
        </w:tc>
        <w:tc>
          <w:tcPr>
            <w:tcW w:w="42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1,100,000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Former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Arial" w:cs="Arial" w:eastAsia="Arial" w:hAnsi="Arial"/>
                <w:sz w:val="16"/>
                <w:szCs w:val="16"/>
                <w:color w:val="auto"/>
              </w:rPr>
              <w:t>Term loan A (1)</w:t>
            </w: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258,750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Term loan A-1</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140,625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tcPr>
          <w:p>
            <w:pPr>
              <w:spacing w:after="0"/>
              <w:rPr>
                <w:sz w:val="23"/>
                <w:szCs w:val="23"/>
                <w:color w:val="auto"/>
              </w:rPr>
            </w:pPr>
          </w:p>
        </w:tc>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622,000</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0"/>
        </w:trPr>
        <w:tc>
          <w:tcPr>
            <w:tcW w:w="38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Former Credit Facility</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1,021,375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PRP Mortgage Loan</w:t>
            </w: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47,202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19,579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7.52% to 7.82%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19,595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7.45% to 7.60%</w:t>
            </w:r>
          </w:p>
        </w:tc>
        <w:tc>
          <w:tcPr>
            <w:tcW w:w="0" w:type="dxa"/>
            <w:vAlign w:val="bottom"/>
          </w:tcPr>
          <w:p>
            <w:pPr>
              <w:spacing w:after="0"/>
              <w:rPr>
                <w:sz w:val="1"/>
                <w:szCs w:val="1"/>
                <w:color w:val="auto"/>
              </w:rPr>
            </w:pPr>
          </w:p>
        </w:tc>
      </w:tr>
      <w:tr>
        <w:trPr>
          <w:trHeight w:val="237"/>
        </w:trPr>
        <w:tc>
          <w:tcPr>
            <w:tcW w:w="4660" w:type="dxa"/>
            <w:vAlign w:val="bottom"/>
            <w:gridSpan w:val="2"/>
          </w:tcPr>
          <w:p>
            <w:pPr>
              <w:ind w:left="40"/>
              <w:spacing w:after="0"/>
              <w:rPr>
                <w:sz w:val="20"/>
                <w:szCs w:val="20"/>
                <w:color w:val="auto"/>
              </w:rPr>
            </w:pPr>
            <w:r>
              <w:rPr>
                <w:rFonts w:ascii="Arial" w:cs="Arial" w:eastAsia="Arial" w:hAnsi="Arial"/>
                <w:sz w:val="16"/>
                <w:szCs w:val="16"/>
                <w:color w:val="auto"/>
              </w:rPr>
              <w:t>Capital lease obligations</w:t>
            </w:r>
          </w:p>
        </w:tc>
        <w:tc>
          <w:tcPr>
            <w:tcW w:w="2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2,364</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0.00% to 2.18%</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0.00% to 7.00%</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(4,394)</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1,118,104</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1,089,485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(26,335)</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(35,079)</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1,091,769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1,054,406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the weighted-average interest rate for the respective period.</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New Credit Agreement - </w:t>
      </w:r>
      <w:r>
        <w:rPr>
          <w:rFonts w:ascii="Arial" w:cs="Arial" w:eastAsia="Arial" w:hAnsi="Arial"/>
          <w:sz w:val="20"/>
          <w:szCs w:val="20"/>
          <w:color w:val="auto"/>
        </w:rPr>
        <w:t>On November 30, 2017, the Company and OSI, as co-borrowers, entered into a credit agreement (the “Credit</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with a syndicate of institutional lenders, providing for senior secured financing of up to $1.5 billion consisting of a $500.0 million Term loan A and a $1.0 billion revolving credit facility, including a letter of credit and swing line loan sub-facilities (the “Senior Secured Credit Facility”). The Senior Secured Credit Facility matures on November 30, 2022.</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At closing, $697.0 million was drawn under the revolving credit facility. The proceeds of the Credit Agreement were used to repay OSI’s former senior secured credit facility (the “Former Credit Facility”). The Company’s total indebtedness was not materially changed as a result of the refinancing.</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OSI’s Former Credit Facility, originally dated October 26, 2012, as amended, provided up to $1.4 billion, consisting of a $300.0 million Term loan A, a $150.0 million Term loan A-1 and a $825.0 million revolving credit facility, including letter of credit and swing line loan sub-facilities. Prior to the refinancing, in May 2017, OSI amended its former credit agreement, which provided for the $125.0 million Term loan A-2.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an interest rate for the Credit Agreement at each reset period based on the Alternate Base Rate or the Eurocurrency Rate. The Alternate Base Rate option is the highest of: (i) the prime rate of Wells Fargo Bank, National Association, (ii) the federal funds effective rate plus 0.5 of 1.0% or (iii) the Eurocurrency rate with a one-month interest period plus 1.0% (the “Alternate Base Rate”). The Eurocurrency Rate option is the seven, 30, 60, 90 or 180-day Eurocurrency rate (“Eurocurrency Rate”). The interest rates are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760" w:type="dxa"/>
            <w:vAlign w:val="bottom"/>
            <w:tcBorders>
              <w:bottom w:val="single" w:sz="8" w:color="CCEEFF"/>
            </w:tcBorders>
          </w:tcPr>
          <w:p>
            <w:pPr>
              <w:spacing w:after="0"/>
              <w:rPr>
                <w:sz w:val="17"/>
                <w:szCs w:val="17"/>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BASE RATE ELECTION</w:t>
            </w:r>
          </w:p>
        </w:tc>
        <w:tc>
          <w:tcPr>
            <w:tcW w:w="100" w:type="dxa"/>
            <w:vAlign w:val="bottom"/>
            <w:tcBorders>
              <w:bottom w:val="single" w:sz="8" w:color="CCEEFF"/>
            </w:tcBorders>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24"/>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50 to 100 basis points over Base Rate</w:t>
            </w:r>
          </w:p>
        </w:tc>
        <w:tc>
          <w:tcPr>
            <w:tcW w:w="4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150 to 200 basis points over the Eurocurrency Rate</w:t>
            </w:r>
          </w:p>
        </w:tc>
      </w:tr>
      <w:tr>
        <w:trPr>
          <w:trHeight w:val="33"/>
        </w:trPr>
        <w:tc>
          <w:tcPr>
            <w:tcW w:w="376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Fees on letters of credit and the daily unused availability under the revolving credit facility as of December 31, 2017 were 1.88% and 0.30%, respectively. As of December 31, 2017, $22.7 million of the revolving credit facility was committed for the issuance of letters of credit and not available for borrowing.</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Senior Secured Credit Facility is guaranteed by each of the Company’s current and future domestic subsidiaries and is secured by substantially all now owned or later acquired assets of the Company and OSI, including the Company’s domestic subsidiaries.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PRP Mortgage Loan </w:t>
      </w:r>
      <w:r>
        <w:rPr>
          <w:rFonts w:ascii="Arial" w:cs="Arial" w:eastAsia="Arial" w:hAnsi="Arial"/>
          <w:sz w:val="18"/>
          <w:szCs w:val="18"/>
          <w:color w:val="auto"/>
        </w:rPr>
        <w:t>- During 2016, New Private Restaurant Partners, LLC, an indirect wholly-owned subsidiary of the Company (“PRP”)</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loan agreements (the “PRP Mortgage Loan”), as borrower, and Wells Fargo Bank, National Association, as lender, for $369.5 million. The proceeds of the PRP Mortgage Loan were used, together with borrowings under the Company’s revolving credit facility, to prepay a portion, and fully defease the remainder, of the 2012 CMBS loan. The Company repaid the PRP Mortgage Loan in April 2017.</w:t>
      </w:r>
    </w:p>
    <w:p>
      <w:pPr>
        <w:spacing w:after="0" w:line="16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i w:val="1"/>
          <w:iCs w:val="1"/>
          <w:color w:val="auto"/>
        </w:rPr>
        <w:t xml:space="preserve">Financing Obligation - </w:t>
      </w:r>
      <w:r>
        <w:rPr>
          <w:rFonts w:ascii="Arial" w:cs="Arial" w:eastAsia="Arial" w:hAnsi="Arial"/>
          <w:sz w:val="16"/>
          <w:szCs w:val="16"/>
          <w:color w:val="auto"/>
        </w:rPr>
        <w:t>During 2016, the Company sold six restaurant properties to third parties for aggregate proceeds of $18.5 million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entered into lease agreements under which the Company agreed to lease back each of the properties for an initial term of 20 years. As the Company had continuing involvement in these restaurant properties, the sale of the properties did not qualify for sale-leaseback accounting. As a result, the aggregate proceeds were recorded as a financing obligation on its Consolidated Balance Sheet. As such, the lease payments are recognized as interest expense. See Note 19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details regarding the financing obligation.</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Debt Covenants and Other Restrictions - </w:t>
      </w:r>
      <w:r>
        <w:rPr>
          <w:rFonts w:ascii="Arial" w:cs="Arial" w:eastAsia="Arial" w:hAnsi="Arial"/>
          <w:sz w:val="19"/>
          <w:szCs w:val="19"/>
          <w:color w:val="auto"/>
        </w:rPr>
        <w:t>Borrowings under the Company’s debt agreements are subject to various covenants that limit its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incur additional indebtedness; make significant payments; sell assets; pay dividends and other restricted payments; acquire certain assets; effect mergers and similar transactions; and effect certain other transactions with affiliates. The Senior Secured Credit Facility has a financial covenant to maintain a specified quarterly Total Net Leverage Ratio (“TNLR”). TNLR is the ratio of Consolidated Total Debt (Current portion of long-term debt and Long-term debt, net of cash) to Consolidated EBITDA (earnings before interest, taxes, depreciation and amortization and certain other adjustments as defined in the Credit Agreement). The TNLR may not exceed 4.50 to 1.00. The Company’s TNLR as of December 31, 2017 does not limit the Company’s ability to draw on its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Senior Secured Credit Facility permits regular quarterly dividend payments, subject to certain restrictions.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2017 and December 25, 2016, the Company was in compliance with its debt covenants.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Loss on Defeasance, Extinguishment and Modification of Debt </w:t>
      </w:r>
      <w:r>
        <w:rPr>
          <w:rFonts w:ascii="Arial" w:cs="Arial" w:eastAsia="Arial" w:hAnsi="Arial"/>
          <w:sz w:val="20"/>
          <w:szCs w:val="20"/>
          <w:color w:val="auto"/>
        </w:rPr>
        <w:t>- Following is a summary of loss on defeasance, extinguishment and</w:t>
      </w:r>
      <w:r>
        <w:rPr>
          <w:rFonts w:ascii="Arial" w:cs="Arial" w:eastAsia="Arial" w:hAnsi="Arial"/>
          <w:sz w:val="20"/>
          <w:szCs w:val="20"/>
          <w:i w:val="1"/>
          <w:iCs w:val="1"/>
          <w:color w:val="auto"/>
        </w:rPr>
        <w:t xml:space="preserve"> </w:t>
      </w:r>
      <w:r>
        <w:rPr>
          <w:rFonts w:ascii="Arial" w:cs="Arial" w:eastAsia="Arial" w:hAnsi="Arial"/>
          <w:sz w:val="20"/>
          <w:szCs w:val="20"/>
          <w:color w:val="auto"/>
        </w:rPr>
        <w:t>modification of debt recorded in the Company’s Consolidated Statements of Operations and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Refinancing of Senior Secured Credit Facility</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Modification of the Former Credit Facility</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Defeasance of 2012 CMBS Loan (1)</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26,580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380" w:type="dxa"/>
            <w:vAlign w:val="bottom"/>
          </w:tcPr>
          <w:p>
            <w:pPr>
              <w:ind w:left="20"/>
              <w:spacing w:after="0"/>
              <w:rPr>
                <w:sz w:val="20"/>
                <w:szCs w:val="20"/>
                <w:color w:val="auto"/>
              </w:rPr>
            </w:pPr>
            <w:r>
              <w:rPr>
                <w:rFonts w:ascii="Arial" w:cs="Arial" w:eastAsia="Arial" w:hAnsi="Arial"/>
                <w:sz w:val="16"/>
                <w:szCs w:val="16"/>
                <w:color w:val="auto"/>
              </w:rPr>
              <w:t>Modification of PRP Mortgage Loan</w:t>
            </w:r>
          </w:p>
        </w:tc>
        <w:tc>
          <w:tcPr>
            <w:tcW w:w="40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020"/>
              <w:spacing w:after="0"/>
              <w:rPr>
                <w:sz w:val="20"/>
                <w:szCs w:val="20"/>
                <w:color w:val="auto"/>
              </w:rPr>
            </w:pPr>
            <w:r>
              <w:rPr>
                <w:rFonts w:ascii="Arial" w:cs="Arial" w:eastAsia="Arial" w:hAnsi="Arial"/>
                <w:sz w:val="16"/>
                <w:szCs w:val="16"/>
                <w:color w:val="auto"/>
                <w:w w:val="89"/>
              </w:rPr>
              <w:t>________________</w:t>
            </w: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loss was comprised primarily of a penalty of $23.2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Deferred financing fees - </w:t>
      </w:r>
      <w:r>
        <w:rPr>
          <w:rFonts w:ascii="Arial" w:cs="Arial" w:eastAsia="Arial" w:hAnsi="Arial"/>
          <w:sz w:val="19"/>
          <w:szCs w:val="19"/>
          <w:color w:val="auto"/>
        </w:rPr>
        <w:t>The Company deferred $9.7 million and $5.8 million of financing costs incurred in connection with the refinancing of</w:t>
      </w:r>
      <w:r>
        <w:rPr>
          <w:rFonts w:ascii="Arial" w:cs="Arial" w:eastAsia="Arial" w:hAnsi="Arial"/>
          <w:sz w:val="19"/>
          <w:szCs w:val="19"/>
          <w:i w:val="1"/>
          <w:iCs w:val="1"/>
          <w:color w:val="auto"/>
        </w:rPr>
        <w:t xml:space="preserve"> </w:t>
      </w:r>
      <w:r>
        <w:rPr>
          <w:rFonts w:ascii="Arial" w:cs="Arial" w:eastAsia="Arial" w:hAnsi="Arial"/>
          <w:sz w:val="19"/>
          <w:szCs w:val="19"/>
          <w:color w:val="auto"/>
        </w:rPr>
        <w:t>its Credit Agreement and PRP Mortgage Loan in 2017 and 2016, respectively. Deferred financing fees of $6.9 million associated with the revolving credit facility were recorded in Other Assets, net in 2017. All other deferred financing fees associated with the refinancing of the Credit Agreement and PRP Mortgage Loan in 2017 and 2016, respectively, were recorded in Long-term debt, net.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Maturities - </w:t>
      </w:r>
      <w:r>
        <w:rPr>
          <w:rFonts w:ascii="Arial" w:cs="Arial" w:eastAsia="Arial" w:hAnsi="Arial"/>
          <w:sz w:val="20"/>
          <w:szCs w:val="20"/>
          <w:color w:val="auto"/>
        </w:rPr>
        <w:t>Following is a summary of principal payments of the Company’s total consolidated debt outstanding: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26,335</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2</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25,543</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25,487</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Year 4</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37,969</w:t>
            </w:r>
          </w:p>
        </w:tc>
      </w:tr>
      <w:tr>
        <w:trPr>
          <w:trHeight w:val="3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983,307</w:t>
            </w:r>
          </w:p>
        </w:tc>
      </w:tr>
      <w:tr>
        <w:trPr>
          <w:trHeight w:val="27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19,463</w:t>
            </w: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1,118,104</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amortization payments for the Term loan 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SCHEDULED QUARTERLY PAYMENT DATES (dollars in thousands)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TERM LOAN A</w:t>
            </w:r>
          </w:p>
        </w:tc>
      </w:tr>
      <w:tr>
        <w:trPr>
          <w:trHeight w:val="23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April 1, 2018 through December 27,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r>
      <w:tr>
        <w:trPr>
          <w:trHeight w:val="237"/>
        </w:trPr>
        <w:tc>
          <w:tcPr>
            <w:tcW w:w="720" w:type="dxa"/>
            <w:vAlign w:val="bottom"/>
          </w:tcPr>
          <w:p>
            <w:pPr>
              <w:ind w:left="40"/>
              <w:spacing w:after="0"/>
              <w:rPr>
                <w:sz w:val="20"/>
                <w:szCs w:val="20"/>
                <w:color w:val="auto"/>
              </w:rPr>
            </w:pPr>
            <w:r>
              <w:rPr>
                <w:rFonts w:ascii="Arial" w:cs="Arial" w:eastAsia="Arial" w:hAnsi="Arial"/>
                <w:sz w:val="16"/>
                <w:szCs w:val="16"/>
                <w:color w:val="auto"/>
                <w:w w:val="92"/>
              </w:rPr>
              <w:t>March 28,</w:t>
            </w:r>
          </w:p>
        </w:tc>
        <w:tc>
          <w:tcPr>
            <w:tcW w:w="9220" w:type="dxa"/>
            <w:vAlign w:val="bottom"/>
            <w:gridSpan w:val="2"/>
          </w:tcPr>
          <w:p>
            <w:pPr>
              <w:ind w:left="20"/>
              <w:spacing w:after="0"/>
              <w:rPr>
                <w:sz w:val="20"/>
                <w:szCs w:val="20"/>
                <w:color w:val="auto"/>
              </w:rPr>
            </w:pPr>
            <w:r>
              <w:rPr>
                <w:rFonts w:ascii="Arial" w:cs="Arial" w:eastAsia="Arial" w:hAnsi="Arial"/>
                <w:sz w:val="16"/>
                <w:szCs w:val="16"/>
                <w:color w:val="auto"/>
              </w:rPr>
              <w:t>2021 through December 26, 2021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9,375</w:t>
            </w:r>
          </w:p>
        </w:tc>
      </w:tr>
      <w:tr>
        <w:trPr>
          <w:trHeight w:val="33"/>
        </w:trPr>
        <w:tc>
          <w:tcPr>
            <w:tcW w:w="7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March 27,</w:t>
            </w:r>
          </w:p>
        </w:tc>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through September 25,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12,500</w:t>
            </w:r>
          </w:p>
        </w:tc>
      </w:tr>
      <w:tr>
        <w:trPr>
          <w:trHeight w:val="33"/>
        </w:trPr>
        <w:tc>
          <w:tcPr>
            <w:tcW w:w="720" w:type="dxa"/>
            <w:vAlign w:val="bottom"/>
            <w:shd w:val="clear" w:color="auto" w:fill="CCEEFF"/>
          </w:tcPr>
          <w:p>
            <w:pPr>
              <w:spacing w:after="0"/>
              <w:rPr>
                <w:sz w:val="2"/>
                <w:szCs w:val="2"/>
                <w:color w:val="auto"/>
              </w:rPr>
            </w:pPr>
          </w:p>
        </w:tc>
        <w:tc>
          <w:tcPr>
            <w:tcW w:w="9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Senior Secured Credit Facility contains mandatory prepayment requirements for Term loan A. The Company is required to prepay outstanding amounts under these loans with 50% of its annual excess cash flow, as defined in the agreement. The amount of outstanding loans required to be prepaid in accordance with the debt covenants may vary based on the Company’s leverage ratio and year end results. Other than the required minimum amortization premiums of $25.0 million, the Company does not anticipate any other payments will be required through December 30,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13.</w:t>
        <w:tab/>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insurance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35,945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39,260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Unfavorable leases (1)</w:t>
            </w:r>
          </w:p>
        </w:tc>
        <w:tc>
          <w:tcPr>
            <w:tcW w:w="180" w:type="dxa"/>
            <w:vAlign w:val="bottom"/>
          </w:tcPr>
          <w:p>
            <w:pPr>
              <w:spacing w:after="0"/>
              <w:rPr>
                <w:sz w:val="20"/>
                <w:szCs w:val="20"/>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36,661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41,778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Chef and Restaurant Managing Partner deferred compensation obligations and deposits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102,768</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9"/>
                <w:szCs w:val="19"/>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52,056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35,224</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205,745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219,030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Net of accumulated amortization of $34.0 million and $32.6 million as of December 31, 2017 and December 25, 2016, respectively.</w:t>
      </w:r>
    </w:p>
    <w:p>
      <w:pPr>
        <w:spacing w:after="0" w:line="214" w:lineRule="exact"/>
        <w:rPr>
          <w:sz w:val="20"/>
          <w:szCs w:val="20"/>
          <w:color w:val="auto"/>
        </w:rPr>
      </w:pPr>
    </w:p>
    <w:p>
      <w:pPr>
        <w:ind w:left="800" w:hanging="792"/>
        <w:spacing w:after="0"/>
        <w:tabs>
          <w:tab w:leader="none" w:pos="8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Redeemable Noncontrolling Interests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Brazil Redeemable Noncontrolling Interests - </w:t>
      </w:r>
      <w:r>
        <w:rPr>
          <w:rFonts w:ascii="Arial" w:cs="Arial" w:eastAsia="Arial" w:hAnsi="Arial"/>
          <w:sz w:val="19"/>
          <w:szCs w:val="19"/>
          <w:color w:val="auto"/>
        </w:rPr>
        <w:t>In 2013, the Company, through its wholly-owned subsidiary, Outback Steakhouse Restaurantes</w:t>
      </w:r>
      <w:r>
        <w:rPr>
          <w:rFonts w:ascii="Arial" w:cs="Arial" w:eastAsia="Arial" w:hAnsi="Arial"/>
          <w:sz w:val="19"/>
          <w:szCs w:val="19"/>
          <w:i w:val="1"/>
          <w:iCs w:val="1"/>
          <w:color w:val="auto"/>
        </w:rPr>
        <w:t xml:space="preserve"> </w:t>
      </w:r>
      <w:r>
        <w:rPr>
          <w:rFonts w:ascii="Arial" w:cs="Arial" w:eastAsia="Arial" w:hAnsi="Arial"/>
          <w:sz w:val="19"/>
          <w:szCs w:val="19"/>
          <w:color w:val="auto"/>
        </w:rPr>
        <w:t>Brasil S.A. (“OB Brasil”), completed the acquisition of a controlling interest in PGS Consultoria e Serviços Ltda. (the “Brazil Joint Venture”). The purchase agreement provided certain former equity holders of the Brazil Joint Venture with options to sell their remaining interests to OB Brasil and provided OB Brasil with options to purchase such remaining interests (the “Options”).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2016 and 2015, the former equity holders exercised Options to sell their interests in the Brazil Joint Venture to the Company for total cash consideration of $27.3 million and $0.9 million, respectively. These transactions resulted in a reduction of $29.4 million and $0.6 million of Mezzanine equity and an increase of $2.1 million and $0.3 million of Additional paid-in capital during 2016 and 2015, respectively. The Company also recognized a cumulative translation adjustment of $9.6 million, which resulted in an increase to Additional paid-in capital and a decrease to Accumulated other comprehensive loss during 2016. As a result of these transactions, the Company owns 100% of the Brazil Joint Venture.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China Redeemable Noncontrolling Interests - </w:t>
      </w:r>
      <w:r>
        <w:rPr>
          <w:rFonts w:ascii="Arial" w:cs="Arial" w:eastAsia="Arial" w:hAnsi="Arial"/>
          <w:sz w:val="20"/>
          <w:szCs w:val="20"/>
          <w:color w:val="auto"/>
        </w:rPr>
        <w:t>The Company also consolidates a subsidiary in China, which has noncontrolling interests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permitted to deliver subsidiary shares in exchange for cash at a future date.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Rollforward of Redeemable Noncontrolling Interests - </w:t>
      </w:r>
      <w:r>
        <w:rPr>
          <w:rFonts w:ascii="Arial" w:cs="Arial" w:eastAsia="Arial" w:hAnsi="Arial"/>
          <w:sz w:val="19"/>
          <w:szCs w:val="19"/>
          <w:color w:val="auto"/>
        </w:rPr>
        <w:t>The following table presents a rollforward of Redeemable noncontrolling interests: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23,526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Change in redemption value of Redeemable noncontrolling interests</w:t>
            </w:r>
          </w:p>
        </w:tc>
        <w:tc>
          <w:tcPr>
            <w:tcW w:w="38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2,024</w:t>
            </w: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Redeemable noncontrolling interests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Foreign currency translation attributable to Redeemable noncontrolling interests</w:t>
            </w:r>
          </w:p>
        </w:tc>
        <w:tc>
          <w:tcPr>
            <w:tcW w:w="38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3,451</w:t>
            </w: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Redeemable noncontrolling interests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(29,431)</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547</w:t>
            </w:r>
          </w:p>
        </w:tc>
      </w:tr>
      <w:tr>
        <w:trPr>
          <w:trHeight w:val="20"/>
        </w:trPr>
        <w:tc>
          <w:tcPr>
            <w:tcW w:w="8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700" w:hanging="692"/>
        <w:spacing w:after="0"/>
        <w:tabs>
          <w:tab w:leader="none" w:pos="7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Following is a summary of the Company’s share repurchase programs as of December 31, 2017 (dollars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 REPURCHASE</w:t>
            </w: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BOARD APPROVAL</w:t>
            </w:r>
          </w:p>
        </w:tc>
        <w:tc>
          <w:tcPr>
            <w:tcW w:w="280" w:type="dxa"/>
            <w:vAlign w:val="bottom"/>
          </w:tcPr>
          <w:p>
            <w:pPr>
              <w:spacing w:after="0"/>
              <w:rPr>
                <w:sz w:val="14"/>
                <w:szCs w:val="14"/>
                <w:color w:val="auto"/>
              </w:rPr>
            </w:pPr>
          </w:p>
        </w:tc>
        <w:tc>
          <w:tcPr>
            <w:tcW w:w="158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REPURCHASED</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CANCELED</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205"/>
        </w:trPr>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PROGRAM</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2014</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12, 2014</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0" w:type="dxa"/>
            <w:vAlign w:val="bottom"/>
          </w:tcPr>
          <w:p>
            <w:pPr>
              <w:ind w:left="20"/>
              <w:spacing w:after="0"/>
              <w:rPr>
                <w:sz w:val="20"/>
                <w:szCs w:val="20"/>
                <w:color w:val="auto"/>
              </w:rPr>
            </w:pPr>
            <w:r>
              <w:rPr>
                <w:rFonts w:ascii="Arial" w:cs="Arial" w:eastAsia="Arial" w:hAnsi="Arial"/>
                <w:sz w:val="16"/>
                <w:szCs w:val="16"/>
                <w:color w:val="auto"/>
                <w:w w:val="89"/>
              </w:rPr>
              <w:t>2015</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August 3, 2015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69,999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30,001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12, 2016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940" w:type="dxa"/>
            <w:vAlign w:val="bottom"/>
            <w:gridSpan w:val="3"/>
          </w:tcPr>
          <w:p>
            <w:pPr>
              <w:ind w:left="20"/>
              <w:spacing w:after="0"/>
              <w:rPr>
                <w:sz w:val="20"/>
                <w:szCs w:val="20"/>
                <w:color w:val="auto"/>
              </w:rPr>
            </w:pPr>
            <w:r>
              <w:rPr>
                <w:rFonts w:ascii="Arial" w:cs="Arial" w:eastAsia="Arial" w:hAnsi="Arial"/>
                <w:sz w:val="16"/>
                <w:szCs w:val="16"/>
                <w:color w:val="auto"/>
              </w:rPr>
              <w:t>July 2016</w:t>
            </w:r>
          </w:p>
        </w:tc>
        <w:tc>
          <w:tcPr>
            <w:tcW w:w="1840" w:type="dxa"/>
            <w:vAlign w:val="bottom"/>
            <w:gridSpan w:val="2"/>
          </w:tcPr>
          <w:p>
            <w:pPr>
              <w:ind w:left="40"/>
              <w:spacing w:after="0"/>
              <w:rPr>
                <w:sz w:val="20"/>
                <w:szCs w:val="20"/>
                <w:color w:val="auto"/>
              </w:rPr>
            </w:pPr>
            <w:r>
              <w:rPr>
                <w:rFonts w:ascii="Arial" w:cs="Arial" w:eastAsia="Arial" w:hAnsi="Arial"/>
                <w:sz w:val="16"/>
                <w:szCs w:val="16"/>
                <w:color w:val="auto"/>
              </w:rPr>
              <w:t>July 26, 2016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247,731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52,269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shd w:val="clear" w:color="auto" w:fill="CCEEFF"/>
              </w:rPr>
              <w:t>2017</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April 21, 2017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41"/>
        </w:trPr>
        <w:tc>
          <w:tcPr>
            <w:tcW w:w="3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shares repurchased under the Company’s share repurchase programs: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AVERAGE REPURCHASE</w:t>
            </w: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4"/>
                <w:szCs w:val="14"/>
                <w:color w:val="auto"/>
              </w:rPr>
            </w:pPr>
          </w:p>
        </w:tc>
      </w:tr>
      <w:tr>
        <w:trPr>
          <w:trHeight w:val="205"/>
        </w:trPr>
        <w:tc>
          <w:tcPr>
            <w:tcW w:w="4440" w:type="dxa"/>
            <w:vAlign w:val="bottom"/>
          </w:tcPr>
          <w:p>
            <w:pPr>
              <w:spacing w:after="0"/>
              <w:rPr>
                <w:sz w:val="17"/>
                <w:szCs w:val="17"/>
                <w:color w:val="auto"/>
              </w:rPr>
            </w:pPr>
          </w:p>
        </w:tc>
        <w:tc>
          <w:tcPr>
            <w:tcW w:w="2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PRICE PER SHARE</w:t>
            </w:r>
          </w:p>
        </w:tc>
        <w:tc>
          <w:tcPr>
            <w:tcW w:w="260" w:type="dxa"/>
            <w:vAlign w:val="bottom"/>
          </w:tcPr>
          <w:p>
            <w:pPr>
              <w:spacing w:after="0"/>
              <w:rPr>
                <w:sz w:val="17"/>
                <w:szCs w:val="17"/>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r>
      <w:tr>
        <w:trPr>
          <w:trHeight w:val="264"/>
        </w:trPr>
        <w:tc>
          <w:tcPr>
            <w:tcW w:w="44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2,887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53,053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75,000</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7,030</w:t>
            </w: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3,376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145,675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64,892</w:t>
            </w:r>
          </w:p>
        </w:tc>
      </w:tr>
      <w:tr>
        <w:trPr>
          <w:trHeight w:val="33"/>
        </w:trPr>
        <w:tc>
          <w:tcPr>
            <w:tcW w:w="4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3,890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7,056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135,000</w:t>
            </w:r>
          </w:p>
        </w:tc>
      </w:tr>
      <w:tr>
        <w:trPr>
          <w:trHeight w:val="270"/>
        </w:trPr>
        <w:tc>
          <w:tcPr>
            <w:tcW w:w="4440" w:type="dxa"/>
            <w:vAlign w:val="bottom"/>
          </w:tcPr>
          <w:p>
            <w:pPr>
              <w:ind w:left="20"/>
              <w:spacing w:after="0"/>
              <w:rPr>
                <w:sz w:val="20"/>
                <w:szCs w:val="20"/>
                <w:color w:val="auto"/>
              </w:rPr>
            </w:pPr>
            <w:r>
              <w:rPr>
                <w:rFonts w:ascii="Arial" w:cs="Arial" w:eastAsia="Arial" w:hAnsi="Arial"/>
                <w:sz w:val="16"/>
                <w:szCs w:val="16"/>
                <w:color w:val="auto"/>
              </w:rPr>
              <w:t>Fourth fiscal quarter</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1,816</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34,995</w:t>
            </w:r>
          </w:p>
        </w:tc>
      </w:tr>
      <w:tr>
        <w:trPr>
          <w:trHeight w:val="255"/>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Total common stock repurchases</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16,647</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309,887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February 16, 2018, the Company’s Board of Directors (the “Board”) canceled the remaining $55.0 million of authorization under the 2017 Share Repurchase Program and approved a new $150.0 million authorization (the “2018 Share Repurchase Program”). The 2018 Share Repurchase Program will expire on August 16, 2019.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periods presented as follows: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DIVIDENDS PER SHARE</w:t>
            </w: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Second fiscal quarter</w:t>
            </w:r>
          </w:p>
        </w:tc>
        <w:tc>
          <w:tcPr>
            <w:tcW w:w="20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7,978</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fiscal quarter</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Fourth fiscal quarter</w:t>
            </w: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7,311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7,398</w:t>
            </w:r>
          </w:p>
        </w:tc>
        <w:tc>
          <w:tcPr>
            <w:tcW w:w="0" w:type="dxa"/>
            <w:vAlign w:val="bottom"/>
          </w:tcPr>
          <w:p>
            <w:pPr>
              <w:spacing w:after="0"/>
              <w:rPr>
                <w:sz w:val="1"/>
                <w:szCs w:val="1"/>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dividends declared and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30,988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31,379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February 2018, the Board declared a quarterly cash dividend of $0.09 per share, payable on March 14, 2018 to shareholders of record at the close of business on March 5, 2018.</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Acquisition of Limited Partnership Interests - </w:t>
      </w:r>
      <w:r>
        <w:rPr>
          <w:rFonts w:ascii="Arial" w:cs="Arial" w:eastAsia="Arial" w:hAnsi="Arial"/>
          <w:sz w:val="20"/>
          <w:szCs w:val="20"/>
          <w:color w:val="auto"/>
        </w:rPr>
        <w:t>During 2016, the Company purchased the remaining partnership interests in certain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limited partnerships for five Outback Steakhouse restaurants for an aggregate purchase price of $3.4 million. These transactions resulted in a reduction of $2.5 million, net of tax, in Additional paid-in capital in the Company’s Consolidated Statement of Changes in Stockholders’ Equity.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the effect of the acquisition of the limited partnership interests on stockholders’ equity attributable to Bloomin’ Brands for the following periods:</w:t>
      </w:r>
    </w:p>
    <w:p>
      <w:pPr>
        <w:spacing w:after="0" w:line="117"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NET INCOME ATTRIBUTABLE TO BLOOMIN’</w:t>
      </w:r>
    </w:p>
    <w:p>
      <w:pPr>
        <w:jc w:val="center"/>
        <w:ind w:left="8140"/>
        <w:spacing w:after="0" w:line="226" w:lineRule="auto"/>
        <w:rPr>
          <w:sz w:val="20"/>
          <w:szCs w:val="20"/>
          <w:color w:val="auto"/>
        </w:rPr>
      </w:pPr>
      <w:r>
        <w:rPr>
          <w:rFonts w:ascii="Arial" w:cs="Arial" w:eastAsia="Arial" w:hAnsi="Arial"/>
          <w:sz w:val="14"/>
          <w:szCs w:val="14"/>
          <w:b w:val="1"/>
          <w:bCs w:val="1"/>
          <w:color w:val="auto"/>
        </w:rPr>
        <w:t>BRANDS AND TRANSFERS TO</w:t>
      </w:r>
    </w:p>
    <w:p>
      <w:pPr>
        <w:spacing w:after="0" w:line="1"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NONCONTROLLING INTERESTS</w:t>
      </w:r>
    </w:p>
    <w:p>
      <w:pPr>
        <w:spacing w:after="0" w:line="80"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100,243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41,748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Transfers to noncontrolling interests: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Bloomin’ Brands additional paid-in capital for purchase of limited partnership interests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Change from net income attributable to Bloomin’ Brands and transfers to noncontrolling interests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99,530</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39,273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 </w:t>
      </w:r>
      <w:r>
        <w:rPr>
          <w:rFonts w:ascii="Arial" w:cs="Arial" w:eastAsia="Arial" w:hAnsi="Arial"/>
          <w:sz w:val="20"/>
          <w:szCs w:val="20"/>
          <w:color w:val="auto"/>
        </w:rPr>
        <w:t>Following are the components of Accumulated other comprehensive loss (“AOCL”):</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(107,509)</w:t>
            </w:r>
          </w:p>
        </w:tc>
      </w:tr>
      <w:tr>
        <w:trPr>
          <w:trHeight w:val="27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losses on derivatives, net of tax</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w:t>
            </w: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(111,143)</w:t>
            </w: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income during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Bloomin’ Brands: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8,936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33,667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(92,259)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Out-of period adjustment - foreign currency translation (1)</w:t>
            </w:r>
          </w:p>
        </w:tc>
        <w:tc>
          <w:tcPr>
            <w:tcW w:w="3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70"/>
        </w:trPr>
        <w:tc>
          <w:tcPr>
            <w:tcW w:w="7080" w:type="dxa"/>
            <w:vAlign w:val="bottom"/>
            <w:tcBorders>
              <w:top w:val="single" w:sz="8" w:color="CCEEFF"/>
              <w:bottom w:val="single" w:sz="8" w:color="CCEEFF"/>
            </w:tcBorders>
          </w:tcPr>
          <w:p>
            <w:pPr>
              <w:ind w:left="280"/>
              <w:spacing w:after="0"/>
              <w:rPr>
                <w:sz w:val="20"/>
                <w:szCs w:val="20"/>
                <w:color w:val="auto"/>
              </w:rPr>
            </w:pPr>
            <w:r>
              <w:rPr>
                <w:rFonts w:ascii="Arial" w:cs="Arial" w:eastAsia="Arial" w:hAnsi="Arial"/>
                <w:sz w:val="16"/>
                <w:szCs w:val="16"/>
                <w:color w:val="auto"/>
              </w:rPr>
              <w:t>Total foreign currency translation adjustment</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8,936</w:t>
            </w:r>
          </w:p>
        </w:tc>
        <w:tc>
          <w:tcPr>
            <w:tcW w:w="12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33,667</w:t>
            </w:r>
          </w:p>
        </w:tc>
        <w:tc>
          <w:tcPr>
            <w:tcW w:w="100" w:type="dxa"/>
            <w:vAlign w:val="bottom"/>
            <w:tcBorders>
              <w:top w:val="single" w:sz="8" w:color="CCEEFF"/>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(83,027)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derivatives, net of tax (2)</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Reclassification of adjustment for loss on derivatives included in Net income, net of tax (3)</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gain (loss) on derivatives, net of tax</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income (loss) attributable to Bloomin’ Brands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11,944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36,224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(86,825)</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Non-controlling interests: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comprehensive (loss) income attributable to Non-controlling interests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Redeemable non-controlling interests: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color w:val="auto"/>
              </w:rPr>
              <w:t>Out-of period adjustment - foreign currency translation (1)</w:t>
            </w:r>
          </w:p>
        </w:tc>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foreign currency translation adjustment</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(13,176)</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income (loss) attributable to Redeemable non-controlling interests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3,451</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2015, the Company identified and corrected errors in accounting for the allocation of foreign currency translation adjustments to Redeemable noncontrolling interests and fair value adjustments for Redeemable noncontrolling interests. The errors resulted in a reclassification of $9.2 million from Comprehensive income attributable to Bloomin’ Brands to Comprehensive income (loss) attributable to Redeemable noncontrolling interests.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Unrealized gain (loss) on derivatives is net of tax of $0.5 million, ($0.8) million and ($3.9) million for 2017, 2016 and 2015, respectively.</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Reclassifications of adjustments for losses on derivatives are net of tax benefits of $1.5 million</w:t>
      </w:r>
      <w:r>
        <w:rPr>
          <w:rFonts w:ascii="Arial" w:cs="Arial" w:eastAsia="Arial" w:hAnsi="Arial"/>
          <w:sz w:val="17"/>
          <w:szCs w:val="17"/>
          <w:color w:val="auto"/>
        </w:rPr>
        <w:t>,</w:t>
      </w:r>
      <w:r>
        <w:rPr>
          <w:rFonts w:ascii="Arial" w:cs="Arial" w:eastAsia="Arial" w:hAnsi="Arial"/>
          <w:sz w:val="15"/>
          <w:szCs w:val="15"/>
          <w:color w:val="auto"/>
        </w:rPr>
        <w:t xml:space="preserve"> $2.4 million and $1.4 million for 2017, 2016 and 2015 respectively.</w:t>
      </w:r>
    </w:p>
    <w:p>
      <w:pPr>
        <w:sectPr>
          <w:pgSz w:w="11900" w:h="16838" w:orient="portrait"/>
          <w:cols w:equalWidth="0" w:num="1">
            <w:col w:w="11420"/>
          </w:cols>
          <w:pgMar w:left="240" w:top="121"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Noncontrolling Interests - </w:t>
      </w:r>
      <w:r>
        <w:rPr>
          <w:rFonts w:ascii="Arial" w:cs="Arial" w:eastAsia="Arial" w:hAnsi="Arial"/>
          <w:sz w:val="20"/>
          <w:szCs w:val="20"/>
          <w:color w:val="auto"/>
        </w:rPr>
        <w:t>In 2015, certain former equity holders of PGS Par contributed approximately $3.2 million to the Company for a</w:t>
      </w:r>
      <w:r>
        <w:rPr>
          <w:rFonts w:ascii="Arial" w:cs="Arial" w:eastAsia="Arial" w:hAnsi="Arial"/>
          <w:sz w:val="20"/>
          <w:szCs w:val="20"/>
          <w:i w:val="1"/>
          <w:iCs w:val="1"/>
          <w:color w:val="auto"/>
        </w:rPr>
        <w:t xml:space="preserve"> </w:t>
      </w:r>
      <w:r>
        <w:rPr>
          <w:rFonts w:ascii="Arial" w:cs="Arial" w:eastAsia="Arial" w:hAnsi="Arial"/>
          <w:sz w:val="20"/>
          <w:szCs w:val="20"/>
          <w:color w:val="auto"/>
        </w:rPr>
        <w:t>noncontrolling interest in Abbraccio in Brazil.</w:t>
      </w:r>
    </w:p>
    <w:p>
      <w:pPr>
        <w:spacing w:after="0" w:line="177"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DESIGNATED HEDGES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September 9, 2014, the Company entered into variable-to-fixed interest rate swap agreements</w:t>
      </w:r>
      <w:r>
        <w:rPr>
          <w:rFonts w:ascii="Arial" w:cs="Arial" w:eastAsia="Arial" w:hAnsi="Arial"/>
          <w:sz w:val="20"/>
          <w:szCs w:val="20"/>
          <w:i w:val="1"/>
          <w:iCs w:val="1"/>
          <w:color w:val="auto"/>
        </w:rPr>
        <w:t xml:space="preserve"> </w:t>
      </w:r>
      <w:r>
        <w:rPr>
          <w:rFonts w:ascii="Arial" w:cs="Arial" w:eastAsia="Arial" w:hAnsi="Arial"/>
          <w:sz w:val="20"/>
          <w:szCs w:val="20"/>
          <w:color w:val="252525"/>
        </w:rPr>
        <w:t>with eight counterparties to hedge a portion of the cash flows of the Company’s variable rate debt. The swap agreements have an aggregate notional amount of $400.0 million, a start date of June 30, 2015, and mature on May 16, 2019. Under the terms of the swap agreements, the Company pays a weighted-average fixed rate of 2.02% on the notional amount and receives payments from the counterparty based on the 30-day LIBOR rate.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interest rate swaps, which have been designated and qualify as a cash flow hedge, are recognized on the Company’s Consolidated Balance Sheets at fair value and are classified based on the instruments’ maturity dates. The Company estimates $1.0 million will be reclassified to interest expense over the next twelve months.</w:t>
      </w:r>
    </w:p>
    <w:p>
      <w:pPr>
        <w:spacing w:after="0" w:line="18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252525"/>
        </w:rPr>
        <w:t xml:space="preserve">The following table presents the fair value of the Company’s interest rate swaps as well as their classification on </w:t>
      </w:r>
      <w:r>
        <w:rPr>
          <w:rFonts w:ascii="Arial" w:cs="Arial" w:eastAsia="Arial" w:hAnsi="Arial"/>
          <w:sz w:val="20"/>
          <w:szCs w:val="20"/>
          <w:color w:val="000000"/>
        </w:rPr>
        <w:t>the Company’s</w:t>
      </w:r>
      <w:r>
        <w:rPr>
          <w:rFonts w:ascii="Arial" w:cs="Arial" w:eastAsia="Arial" w:hAnsi="Arial"/>
          <w:sz w:val="20"/>
          <w:szCs w:val="20"/>
          <w:color w:val="252525"/>
        </w:rPr>
        <w:t xml:space="preserve"> Consolidated Balance Sheets: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25,</w:t>
            </w:r>
          </w:p>
        </w:tc>
        <w:tc>
          <w:tcPr>
            <w:tcW w:w="120" w:type="dxa"/>
            <w:vAlign w:val="bottom"/>
          </w:tcPr>
          <w:p>
            <w:pPr>
              <w:spacing w:after="0"/>
              <w:rPr>
                <w:sz w:val="14"/>
                <w:szCs w:val="14"/>
                <w:color w:val="auto"/>
              </w:rPr>
            </w:pPr>
          </w:p>
        </w:tc>
        <w:tc>
          <w:tcPr>
            <w:tcW w:w="3300" w:type="dxa"/>
            <w:vAlign w:val="bottom"/>
          </w:tcPr>
          <w:p>
            <w:pPr>
              <w:ind w:left="440"/>
              <w:spacing w:after="0"/>
              <w:rPr>
                <w:sz w:val="20"/>
                <w:szCs w:val="20"/>
                <w:color w:val="auto"/>
              </w:rPr>
            </w:pPr>
            <w:r>
              <w:rPr>
                <w:rFonts w:ascii="Arial" w:cs="Arial" w:eastAsia="Arial" w:hAnsi="Arial"/>
                <w:sz w:val="14"/>
                <w:szCs w:val="14"/>
                <w:b w:val="1"/>
                <w:bCs w:val="1"/>
                <w:color w:val="auto"/>
              </w:rPr>
              <w:t>CONSOLIDATED BALANCE SHEET</w:t>
            </w:r>
          </w:p>
        </w:tc>
      </w:tr>
      <w:tr>
        <w:trPr>
          <w:trHeight w:val="20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33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CLASSIFICATION</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r>
      <w:tr>
        <w:trPr>
          <w:trHeight w:val="324"/>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3,968</w:t>
            </w: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liabilities (1)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r>
      <w:tr>
        <w:trPr>
          <w:trHeight w:val="187"/>
        </w:trPr>
        <w:tc>
          <w:tcPr>
            <w:tcW w:w="470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r>
    </w:tbl>
    <w:p>
      <w:pPr>
        <w:ind w:left="360" w:hanging="352"/>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17</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interest rate swaps on Net income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expense recognized in Interest expense, net (1)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(3,664)</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recognized in Provision for income taxes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effects of the interest rate swaps on 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7"/>
        </w:numPr>
        <w:rPr>
          <w:rFonts w:ascii="Arial" w:cs="Arial" w:eastAsia="Arial" w:hAnsi="Arial"/>
          <w:sz w:val="16"/>
          <w:szCs w:val="16"/>
          <w:color w:val="252525"/>
        </w:rPr>
      </w:pPr>
      <w:r>
        <w:rPr>
          <w:rFonts w:ascii="Arial" w:cs="Arial" w:eastAsia="Arial" w:hAnsi="Arial"/>
          <w:sz w:val="16"/>
          <w:szCs w:val="16"/>
          <w:color w:val="252525"/>
        </w:rPr>
        <w:t xml:space="preserve">During the periods presented, the Company did </w:t>
      </w:r>
      <w:r>
        <w:rPr>
          <w:rFonts w:ascii="Arial" w:cs="Arial" w:eastAsia="Arial" w:hAnsi="Arial"/>
          <w:sz w:val="16"/>
          <w:szCs w:val="16"/>
          <w:color w:val="000000"/>
        </w:rPr>
        <w:t>not</w:t>
      </w:r>
      <w:r>
        <w:rPr>
          <w:rFonts w:ascii="Arial" w:cs="Arial" w:eastAsia="Arial" w:hAnsi="Arial"/>
          <w:sz w:val="16"/>
          <w:szCs w:val="16"/>
          <w:color w:val="252525"/>
        </w:rPr>
        <w:t xml:space="preserve"> recognize any gain or loss as a result of hedge ineffectiveness.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records its derivatives on its Consolidated Balance Sheets on a gross balance basis. The Company’s interest rate swaps are subject to master netting arrangements. As of December 31, 2017, the Company did not have more than one derivative between the same counterparties and as such, there was no netting.</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52525"/>
        </w:rPr>
        <w:t>The Company is exposed to credit-related losses in the event that the counterparty fails to perform under the terms of the derivative contract. To mitigate this risk, the Company enters into derivative contracts with major financial</w:t>
      </w:r>
    </w:p>
    <w:p>
      <w:pPr>
        <w:sectPr>
          <w:pgSz w:w="11900" w:h="16838" w:orient="portrait"/>
          <w:cols w:equalWidth="0" w:num="1">
            <w:col w:w="11420"/>
          </w:cols>
          <w:pgMar w:left="240" w:top="121"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institutions based upon credit ratings and other factors. The Company continually assesses the creditworthiness of its counterparties. As of December 31, 2017 and December 25, 2016, all counterparties to the interest rate swaps had performed in accordance with their contractual obligations.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As of December 31, 2017 and December 25, 2016, the fair value of the Company’s interest rate swaps in a net liability position, which includes accrued interest but excludes any adjustment for nonperformance risk, was $1.0 million and $6.4 million, respectively. As of December 31, 2017 and December 25, 2016, the Company has not posted any collateral related to these agreements. If the Company had breached any of these provisions as of December 31, 2017 and December 25, 2016, it could have been required to settle its obligations under the agreements at their termination value of $1.0 million and $6.4 million, respectively.</w:t>
      </w:r>
    </w:p>
    <w:p>
      <w:pPr>
        <w:spacing w:after="0" w:line="181" w:lineRule="exact"/>
        <w:rPr>
          <w:sz w:val="20"/>
          <w:szCs w:val="20"/>
          <w:color w:val="auto"/>
        </w:rPr>
      </w:pPr>
    </w:p>
    <w:p>
      <w:pPr>
        <w:ind w:left="800" w:hanging="792"/>
        <w:spacing w:after="0"/>
        <w:tabs>
          <w:tab w:leader="none" w:pos="8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presents the Company’s financial assets and liabilities measured at fair</w:t>
      </w:r>
      <w:r>
        <w:rPr>
          <w:rFonts w:ascii="Arial" w:cs="Arial" w:eastAsia="Arial" w:hAnsi="Arial"/>
          <w:sz w:val="20"/>
          <w:szCs w:val="20"/>
          <w:i w:val="1"/>
          <w:iCs w:val="1"/>
          <w:color w:val="auto"/>
        </w:rPr>
        <w:t xml:space="preserve"> </w:t>
      </w:r>
      <w:r>
        <w:rPr>
          <w:rFonts w:ascii="Arial" w:cs="Arial" w:eastAsia="Arial" w:hAnsi="Arial"/>
          <w:sz w:val="20"/>
          <w:szCs w:val="20"/>
          <w:color w:val="auto"/>
        </w:rPr>
        <w:t>value by hierarchy level on a recurring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31, 2017</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25, 2016</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24,656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18,607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90"/>
        </w:trPr>
        <w:tc>
          <w:tcPr>
            <w:tcW w:w="4000" w:type="dxa"/>
            <w:vAlign w:val="bottom"/>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27,833</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27,766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21,767</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21,767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4"/>
        </w:trPr>
        <w:tc>
          <w:tcPr>
            <w:tcW w:w="40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1,010</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3,968</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3,968</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commodities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1,999</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1,010</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6,124</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6,124</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FINANCIAL INSTRUMENT</w:t>
            </w:r>
          </w:p>
        </w:tc>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900" w:type="dxa"/>
            <w:vAlign w:val="bottom"/>
            <w:tcBorders>
              <w:bottom w:val="single" w:sz="8" w:color="auto"/>
            </w:tcBorders>
          </w:tcPr>
          <w:p>
            <w:pPr>
              <w:spacing w:after="0"/>
              <w:rPr>
                <w:sz w:val="6"/>
                <w:szCs w:val="6"/>
                <w:color w:val="auto"/>
              </w:rPr>
            </w:pPr>
          </w:p>
        </w:tc>
      </w:tr>
      <w:tr>
        <w:trPr>
          <w:trHeight w:val="22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Fixed income funds and</w:t>
            </w:r>
          </w:p>
        </w:tc>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approximates fair value because maturities are less than three months.</w:t>
            </w:r>
          </w:p>
        </w:tc>
      </w:tr>
      <w:tr>
        <w:trPr>
          <w:trHeight w:val="219"/>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Money market funds</w:t>
            </w:r>
          </w:p>
        </w:tc>
        <w:tc>
          <w:tcPr>
            <w:tcW w:w="8900" w:type="dxa"/>
            <w:vAlign w:val="bottom"/>
            <w:tcBorders>
              <w:bottom w:val="single" w:sz="8" w:color="CCEEFF"/>
            </w:tcBorders>
            <w:shd w:val="clear" w:color="auto" w:fill="CCEEFF"/>
          </w:tcPr>
          <w:p>
            <w:pPr>
              <w:spacing w:after="0"/>
              <w:rPr>
                <w:sz w:val="19"/>
                <w:szCs w:val="19"/>
                <w:color w:val="auto"/>
              </w:rPr>
            </w:pPr>
          </w:p>
        </w:tc>
      </w:tr>
      <w:tr>
        <w:trPr>
          <w:trHeight w:val="220"/>
        </w:trPr>
        <w:tc>
          <w:tcPr>
            <w:tcW w:w="252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8900" w:type="dxa"/>
            <w:vAlign w:val="bottom"/>
          </w:tcPr>
          <w:p>
            <w:pPr>
              <w:ind w:left="20"/>
              <w:spacing w:after="0"/>
              <w:rPr>
                <w:sz w:val="20"/>
                <w:szCs w:val="20"/>
                <w:color w:val="auto"/>
              </w:rPr>
            </w:pPr>
            <w:r>
              <w:rPr>
                <w:rFonts w:ascii="Arial" w:cs="Arial" w:eastAsia="Arial" w:hAnsi="Arial"/>
                <w:sz w:val="16"/>
                <w:szCs w:val="16"/>
                <w:color w:val="auto"/>
                <w:w w:val="97"/>
              </w:rPr>
              <w:t>The Company’s derivative instruments include interest rate swaps and commodities. Fair value measurements are based on the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1"/>
              </w:rPr>
              <w:t>contractual terms of the derivatives and use observable market-based inputs. The interest rate swaps are valued using a discounted cash</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4"/>
              </w:rPr>
              <w:t>flow analysis on the expected cash flows of each derivative using observable inputs including interest rate curves and credit spreads.</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6"/>
              </w:rPr>
              <w:t>The Company also considers its own nonperformance risk and the respective counterparty’s nonperformance risk in the fair value</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w w:val="90"/>
              </w:rPr>
              <w:t>measurements. As of December 31, 2017 and December 25, 2016 the Company has determined that the credit valuation adjustments are</w:t>
            </w: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00" w:type="dxa"/>
            <w:vAlign w:val="bottom"/>
          </w:tcPr>
          <w:p>
            <w:pPr>
              <w:ind w:left="20"/>
              <w:spacing w:after="0"/>
              <w:rPr>
                <w:sz w:val="20"/>
                <w:szCs w:val="20"/>
                <w:color w:val="auto"/>
              </w:rPr>
            </w:pPr>
            <w:r>
              <w:rPr>
                <w:rFonts w:ascii="Arial" w:cs="Arial" w:eastAsia="Arial" w:hAnsi="Arial"/>
                <w:sz w:val="16"/>
                <w:szCs w:val="16"/>
                <w:color w:val="auto"/>
              </w:rPr>
              <w:t>not significant to the overall valuation of its derivatives.</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2"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Fair Value Measurements on a Nonrecurring Basis - </w:t>
      </w:r>
      <w:r>
        <w:rPr>
          <w:rFonts w:ascii="Arial" w:cs="Arial" w:eastAsia="Arial" w:hAnsi="Arial"/>
          <w:sz w:val="20"/>
          <w:szCs w:val="20"/>
          <w:color w:val="auto"/>
        </w:rPr>
        <w:t>Assets and liabilities that are measured at fair value on a nonrecurring basis relate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to property, fixtures and equipment, goodwill and other intangible assets, which are remeasured when carrying value exceeds fair value. The following table summarizes the fair value remeasurements for Assets held for sale and Property, fixtures and equipment, aggregated by the level in the fair value hierarchy within which those measurements fall: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2015</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2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42"/>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IMPAIRMENT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45,901</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44,729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Property, fixtures and equipment (2)</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23,539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53,136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27,126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(3)</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9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20,092</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25,450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67,390</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99,063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7,770</w:t>
            </w:r>
          </w:p>
        </w:tc>
        <w:tc>
          <w:tcPr>
            <w:tcW w:w="3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28,154</w:t>
            </w:r>
          </w:p>
        </w:tc>
        <w:tc>
          <w:tcPr>
            <w:tcW w:w="0" w:type="dxa"/>
            <w:vAlign w:val="bottom"/>
          </w:tcPr>
          <w:p>
            <w:pPr>
              <w:spacing w:after="0"/>
              <w:rPr>
                <w:sz w:val="1"/>
                <w:szCs w:val="1"/>
                <w:color w:val="auto"/>
              </w:rPr>
            </w:pPr>
          </w:p>
        </w:tc>
      </w:tr>
      <w:tr>
        <w:trPr>
          <w:trHeight w:val="33"/>
        </w:trPr>
        <w:tc>
          <w:tcPr>
            <w:tcW w:w="2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Carrying value approximates fair value with all assets measured using Level 2 inputs (purchase contracts and market appraisals) to estimate the fair value. Refer to Note 4 -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discussion of impairments related to Outback Steakhouse South Korea and Roy’s.</w:t>
      </w:r>
    </w:p>
    <w:p>
      <w:pPr>
        <w:jc w:val="both"/>
        <w:ind w:left="660" w:hanging="652"/>
        <w:spacing w:after="0" w:line="24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Carrying value approximates fair value. Carrying values for assets measured using Level 2 inputs totaled $19.2 million, $20.3 million and $2.5 million for 2017, 2016 and 2015, respectively. Assets measured using Level 3 inputs, had carrying values of $1.2 million and $1.1 million for 2016 and 2015, respectively. Third-party market appraisals (Level 2) and discounted cash flow models (Level 3) were used to estimate the fair value. Refer to Note 4 - </w:t>
      </w:r>
      <w:r>
        <w:rPr>
          <w:rFonts w:ascii="Arial" w:cs="Arial" w:eastAsia="Arial" w:hAnsi="Arial"/>
          <w:sz w:val="16"/>
          <w:szCs w:val="16"/>
          <w:i w:val="1"/>
          <w:iCs w:val="1"/>
          <w:color w:val="auto"/>
        </w:rPr>
        <w:t>Impairments and Exit Costs</w:t>
      </w:r>
      <w:r>
        <w:rPr>
          <w:rFonts w:ascii="Arial" w:cs="Arial" w:eastAsia="Arial" w:hAnsi="Arial"/>
          <w:sz w:val="16"/>
          <w:szCs w:val="16"/>
          <w:color w:val="auto"/>
        </w:rPr>
        <w:t xml:space="preserve"> for discussion of impairments related to closure and restructuring initiatives.</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Other primarily includes: (i) goodwill in 2017 and (ii) investment in unconsolidated affiliates and intangible assets in 2016. Carrying value approximates fair value with all assets measured using market appraisals (Level 2) to estimate the fair value.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Fair Value of Financial Instruments - </w:t>
      </w:r>
      <w:r>
        <w:rPr>
          <w:rFonts w:ascii="Arial" w:cs="Arial" w:eastAsia="Arial" w:hAnsi="Arial"/>
          <w:sz w:val="19"/>
          <w:szCs w:val="19"/>
          <w:color w:val="auto"/>
        </w:rPr>
        <w:t>The Company’s non-derivative financial instruments as of December 31, 2017 and December 25, 2016</w:t>
      </w:r>
      <w:r>
        <w:rPr>
          <w:rFonts w:ascii="Arial" w:cs="Arial" w:eastAsia="Arial" w:hAnsi="Arial"/>
          <w:sz w:val="19"/>
          <w:szCs w:val="19"/>
          <w:i w:val="1"/>
          <w:iCs w:val="1"/>
          <w:color w:val="auto"/>
        </w:rPr>
        <w:t xml:space="preserve"> </w:t>
      </w:r>
      <w:r>
        <w:rPr>
          <w:rFonts w:ascii="Arial" w:cs="Arial" w:eastAsia="Arial" w:hAnsi="Arial"/>
          <w:sz w:val="19"/>
          <w:szCs w:val="19"/>
          <w:color w:val="auto"/>
        </w:rPr>
        <w:t>consist of cash equivalents, restricted cash, accounts receivable, accounts payable and current and long-term debt, the fair values of which approximate their carrying amounts reported in its Consolidated Balance Sheets due to their short duration.</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Debt is carried at amortized cost; however, the Company estimates the fair value of debt for disclosure purposes. The following table includes the carrying value and fair value of the Company’s debt, aggregated by the level in the fair value hierarchy in which those measurements fall: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25, 2016</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8"/>
        </w:trPr>
        <w:tc>
          <w:tcPr>
            <w:tcW w:w="2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100" w:type="dxa"/>
            <w:vAlign w:val="bottom"/>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502,500</w:t>
            </w:r>
          </w:p>
        </w:tc>
        <w:tc>
          <w:tcPr>
            <w:tcW w:w="120" w:type="dxa"/>
            <w:vAlign w:val="bottom"/>
          </w:tcPr>
          <w:p>
            <w:pPr>
              <w:spacing w:after="0"/>
              <w:rPr>
                <w:sz w:val="20"/>
                <w:szCs w:val="20"/>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598,500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Former Credit Facility:</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A</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257,780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Term loan A-1</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140,625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140,098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622,000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617,335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PRP Mortgage Loan</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47,202</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47,202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891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1,776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33"/>
        </w:trPr>
        <w:tc>
          <w:tcPr>
            <w:tcW w:w="2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Fair value of debt is determined based on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DEBT FACILITY</w:t>
            </w:r>
          </w:p>
        </w:tc>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73"/>
        </w:trPr>
        <w:tc>
          <w:tcPr>
            <w:tcW w:w="2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40" w:type="dxa"/>
            <w:vAlign w:val="bottom"/>
            <w:tcBorders>
              <w:bottom w:val="single" w:sz="8" w:color="auto"/>
            </w:tcBorders>
          </w:tcPr>
          <w:p>
            <w:pPr>
              <w:spacing w:after="0"/>
              <w:rPr>
                <w:sz w:val="6"/>
                <w:szCs w:val="6"/>
                <w:color w:val="auto"/>
              </w:rPr>
            </w:pPr>
          </w:p>
        </w:tc>
      </w:tr>
      <w:tr>
        <w:trPr>
          <w:trHeight w:val="22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Senior Secured Credit Facility and Former</w:t>
            </w:r>
          </w:p>
        </w:tc>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Quoted market prices in inactive markets.</w:t>
            </w:r>
          </w:p>
        </w:tc>
      </w:tr>
      <w:tr>
        <w:trPr>
          <w:trHeight w:val="21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8440" w:type="dxa"/>
            <w:vAlign w:val="bottom"/>
            <w:tcBorders>
              <w:bottom w:val="single" w:sz="8" w:color="CCEEFF"/>
            </w:tcBorders>
            <w:shd w:val="clear" w:color="auto" w:fill="CCEEFF"/>
          </w:tcPr>
          <w:p>
            <w:pPr>
              <w:spacing w:after="0"/>
              <w:rPr>
                <w:sz w:val="19"/>
                <w:szCs w:val="19"/>
                <w:color w:val="auto"/>
              </w:rPr>
            </w:pPr>
          </w:p>
        </w:tc>
      </w:tr>
      <w:tr>
        <w:trPr>
          <w:trHeight w:val="22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PRP mortgage loan</w:t>
            </w:r>
          </w:p>
        </w:tc>
        <w:tc>
          <w:tcPr>
            <w:tcW w:w="8440" w:type="dxa"/>
            <w:vAlign w:val="bottom"/>
          </w:tcPr>
          <w:p>
            <w:pPr>
              <w:ind w:left="20"/>
              <w:spacing w:after="0"/>
              <w:rPr>
                <w:sz w:val="20"/>
                <w:szCs w:val="20"/>
                <w:color w:val="auto"/>
              </w:rPr>
            </w:pPr>
            <w:r>
              <w:rPr>
                <w:rFonts w:ascii="Arial" w:cs="Arial" w:eastAsia="Arial" w:hAnsi="Arial"/>
                <w:sz w:val="16"/>
                <w:szCs w:val="16"/>
                <w:color w:val="auto"/>
                <w:w w:val="92"/>
              </w:rPr>
              <w:t>Assumptions derived from current conditions in real estate and credit markets, changes in underlying collateral and expectations</w:t>
            </w:r>
          </w:p>
        </w:tc>
      </w:tr>
      <w:tr>
        <w:trPr>
          <w:trHeight w:val="206"/>
        </w:trPr>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Pr>
          <w:p>
            <w:pPr>
              <w:ind w:left="20"/>
              <w:spacing w:after="0"/>
              <w:rPr>
                <w:sz w:val="20"/>
                <w:szCs w:val="20"/>
                <w:color w:val="auto"/>
              </w:rPr>
            </w:pPr>
            <w:r>
              <w:rPr>
                <w:rFonts w:ascii="Arial" w:cs="Arial" w:eastAsia="Arial" w:hAnsi="Arial"/>
                <w:sz w:val="16"/>
                <w:szCs w:val="16"/>
                <w:color w:val="auto"/>
              </w:rPr>
              <w:t>of management.</w:t>
            </w:r>
          </w:p>
        </w:tc>
      </w:tr>
      <w:tr>
        <w:trPr>
          <w:trHeight w:val="3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40" w:type="dxa"/>
            <w:vAlign w:val="bottom"/>
          </w:tcPr>
          <w:p>
            <w:pPr>
              <w:spacing w:after="0"/>
              <w:rPr>
                <w:sz w:val="2"/>
                <w:szCs w:val="2"/>
                <w:color w:val="auto"/>
              </w:rPr>
            </w:pPr>
          </w:p>
        </w:tc>
      </w:tr>
      <w:tr>
        <w:trPr>
          <w:trHeight w:val="224"/>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notes payable</w:t>
            </w:r>
          </w:p>
        </w:tc>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Discounted cash flow approach with inputs that primarily include cost of debt interest rates used to determine fair value.</w:t>
            </w:r>
          </w:p>
        </w:tc>
      </w:tr>
      <w:tr>
        <w:trPr>
          <w:trHeight w:val="47"/>
        </w:trPr>
        <w:tc>
          <w:tcPr>
            <w:tcW w:w="2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40" w:type="dxa"/>
            <w:vAlign w:val="bottom"/>
            <w:shd w:val="clear" w:color="auto" w:fill="CCEEFF"/>
          </w:tcPr>
          <w:p>
            <w:pPr>
              <w:spacing w:after="0"/>
              <w:rPr>
                <w:sz w:val="4"/>
                <w:szCs w:val="4"/>
                <w:color w:val="auto"/>
              </w:rPr>
            </w:pPr>
          </w:p>
        </w:tc>
      </w:tr>
    </w:tbl>
    <w:p>
      <w:pPr>
        <w:spacing w:after="0" w:line="172" w:lineRule="exact"/>
        <w:rPr>
          <w:sz w:val="20"/>
          <w:szCs w:val="20"/>
          <w:color w:val="auto"/>
        </w:rPr>
      </w:pPr>
    </w:p>
    <w:p>
      <w:pPr>
        <w:ind w:left="800" w:hanging="792"/>
        <w:spacing w:after="0"/>
        <w:tabs>
          <w:tab w:leader="none" w:pos="8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On December 22, 2017, the U.S. government enacted comprehensive tax legislation commonly referred to as the Tax Cuts and Jobs Act (the “Tax Act”). The Tax Act makes broad and complex changes to the U.S. tax code that impacted the Company’s 2017 provision for income taxes, including, but not limited to: (i) requiring a one-time transition tax on certain unrepatriated earnings of foreign subsidiaries that is payable over eight years and (ii) bonus depreciation that will allow for full expensing of qualified property.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Tax Act also establishes new tax laws that will affect 2018, including, but not limited to: (i) reduction of the U.S. federal corporate tax rate;</w:t>
      </w:r>
    </w:p>
    <w:p>
      <w:pPr>
        <w:spacing w:after="0" w:line="39" w:lineRule="exact"/>
        <w:rPr>
          <w:sz w:val="20"/>
          <w:szCs w:val="20"/>
          <w:color w:val="auto"/>
        </w:rPr>
      </w:pPr>
    </w:p>
    <w:p>
      <w:pPr>
        <w:jc w:val="both"/>
        <w:ind w:firstLine="8"/>
        <w:spacing w:after="0" w:line="272" w:lineRule="auto"/>
        <w:tabs>
          <w:tab w:leader="none" w:pos="2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elimination of the corporate alternative minimum tax; (iii) the creation of the base erosion anti-abuse tax, a new minimum tax; (iv) a general elimination of U.S. federal income taxes on dividends from foreign subsidiaries; (v) a new provision designed to tax global intangible low-taxed income (“GILTI”), which allows for the possibility of using foreign tax credits (“FTCs”) and a deduction of up to 50 percent to offset the income tax liability (subject to some limitations); (vi) a new limitation on deductible interest expense; (vii) the repeal of the domestic manufacturing deduction; (viii) limitations on the deductibility of certain executive compensation; (ix) limitations on the use of FTCs to reduce the U.S. income tax liability; and (x) limitations on net operating losses generated after December 31, 2017, to 80 percent of taxable income.</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connection with its initial analysis of the impact of the Tax Act, the Company recorded a provisional net tax expense of $1.9 million in the period ending December 31, 2017, as described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52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22"/>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Transition Tax (provisional)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Net impact on U.S. deferred tax assets and liabilities (provisional) (1)</w:t>
            </w:r>
          </w:p>
        </w:tc>
        <w:tc>
          <w:tcPr>
            <w:tcW w:w="360" w:type="dxa"/>
            <w:vAlign w:val="bottom"/>
          </w:tcPr>
          <w:p>
            <w:pPr>
              <w:spacing w:after="0"/>
              <w:rPr>
                <w:sz w:val="19"/>
                <w:szCs w:val="19"/>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changes in deferred tax liability associated with anticipated repatriation taxes (provisional)</w:t>
            </w:r>
          </w:p>
        </w:tc>
        <w:tc>
          <w:tcPr>
            <w:tcW w:w="3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4"/>
        </w:trPr>
        <w:tc>
          <w:tcPr>
            <w:tcW w:w="9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33"/>
        </w:trPr>
        <w:tc>
          <w:tcPr>
            <w:tcW w:w="92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90" w:lineRule="auto"/>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Includes $4.7 million of expense for a valuation allowance recorded against foreign tax credit carryforwards, $3.9 million of benefit from the impact of the corporate rate reduction on net deferred tax liability balances, and an expense of $0.8 million for the write-off of certain deferred tax assets that will no longer be realized.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various reasons that are discussed more fully below, the Company has not completed its accounting for the income tax effects of the Tax Act. The Company has made reasonable estimates of the effects of the Tax Act and recorded the provisional adjustments as shown in the table above.</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Reduction of U.S. Federal Corporate Income Tax Rate </w:t>
      </w:r>
      <w:r>
        <w:rPr>
          <w:rFonts w:ascii="Arial" w:cs="Arial" w:eastAsia="Arial" w:hAnsi="Arial"/>
          <w:sz w:val="19"/>
          <w:szCs w:val="19"/>
          <w:color w:val="auto"/>
        </w:rPr>
        <w:t>- The Tax Act reduces the corporate income tax rate to 21 percent, effective January 1,</w:t>
      </w:r>
      <w:r>
        <w:rPr>
          <w:rFonts w:ascii="Arial" w:cs="Arial" w:eastAsia="Arial" w:hAnsi="Arial"/>
          <w:sz w:val="19"/>
          <w:szCs w:val="19"/>
          <w:i w:val="1"/>
          <w:iCs w:val="1"/>
          <w:color w:val="auto"/>
        </w:rPr>
        <w:t xml:space="preserve"> </w:t>
      </w:r>
      <w:r>
        <w:rPr>
          <w:rFonts w:ascii="Arial" w:cs="Arial" w:eastAsia="Arial" w:hAnsi="Arial"/>
          <w:sz w:val="19"/>
          <w:szCs w:val="19"/>
          <w:color w:val="auto"/>
        </w:rPr>
        <w:t>2018. While the Company is able to make a reasonable estimate of the impact of the reduction in corporate rate on its deferred tax assets and liabilities, it may be affected by other analyses related to the Tax Act, including, but not limited to, its calculation of deemed repatriation of deferred foreign income and the state tax effect of adjustments made to federal temporary differences.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 The Deemed Repatriation Transition Tax (“Transition Tax”) is a tax on previously untaxed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current earnings and profits (“E&amp;P”) of the Company’s foreign subsidiaries. To determine the amount of the Transition Tax, the Company must determine, in addition to other factors, the amount of post-1986 E&amp;P of the relevant subsidiaries, as well as the amount of non-U.S. income taxes paid on such earnings. The Company is able to make a reasonable estimate of the Transition Tax and recorded a provisional amount. Due to the ability to utilize foreign tax credits in the calculation of the Transition Tax, the obligation primarily related to the estimated state impacts. However, the Company is continuing to gather additional information. Additional guidance from the U.S. Treasury and state taxing authorities on the application of certain provisions of the Tax Act is expected in the future.</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Valuation Allowances </w:t>
      </w:r>
      <w:r>
        <w:rPr>
          <w:rFonts w:ascii="Arial" w:cs="Arial" w:eastAsia="Arial" w:hAnsi="Arial"/>
          <w:sz w:val="20"/>
          <w:szCs w:val="20"/>
          <w:color w:val="auto"/>
        </w:rPr>
        <w:t>- The Company must assess whether its valuation allowance analyses or deferred tax assets are affected by various</w:t>
      </w:r>
      <w:r>
        <w:rPr>
          <w:rFonts w:ascii="Arial" w:cs="Arial" w:eastAsia="Arial" w:hAnsi="Arial"/>
          <w:sz w:val="20"/>
          <w:szCs w:val="20"/>
          <w:i w:val="1"/>
          <w:iCs w:val="1"/>
          <w:color w:val="auto"/>
        </w:rPr>
        <w:t xml:space="preserve"> </w:t>
      </w:r>
      <w:r>
        <w:rPr>
          <w:rFonts w:ascii="Arial" w:cs="Arial" w:eastAsia="Arial" w:hAnsi="Arial"/>
          <w:sz w:val="20"/>
          <w:szCs w:val="20"/>
          <w:color w:val="auto"/>
        </w:rPr>
        <w:t>aspects of the Tax Act (e.g., deemed repatriation of deferred foreign income, GILTI inclusions and new categories of FTCs). While the Company did record an additional valuation allowance against foreign tax credit carryforwards, the Company has recorded provisional amounts related to certain portions of the Tax Act and any corresponding determination of the need for a change in a valuation allowance is also provisional.</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is continuing to evaluate other provisions of the Tax Act and the application of ASC 740, however, the Company has estimated that these provisions will not have a material impact in the current year.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domestic and foreign components of Income before provision for income taxes: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119,632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70,481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146,331</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24,523</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118,543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56,491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170,854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Provision (benefit) for income taxes consisted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provision:</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18,384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43,071</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17,952</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5,962</w:t>
            </w: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9,041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11,384</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82"/>
        </w:trPr>
        <w:tc>
          <w:tcPr>
            <w:tcW w:w="64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35,580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85,493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35,298</w:t>
            </w:r>
          </w:p>
        </w:tc>
      </w:tr>
      <w:tr>
        <w:trPr>
          <w:trHeight w:val="197"/>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Deferred (benefit) provision:</w:t>
            </w:r>
          </w:p>
        </w:tc>
        <w:tc>
          <w:tcPr>
            <w:tcW w:w="4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47"/>
        </w:trPr>
        <w:tc>
          <w:tcPr>
            <w:tcW w:w="6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2,514</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(21,316)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626</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856</w:t>
            </w:r>
          </w:p>
        </w:tc>
      </w:tr>
      <w:tr>
        <w:trPr>
          <w:trHeight w:val="224"/>
        </w:trPr>
        <w:tc>
          <w:tcPr>
            <w:tcW w:w="640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(19,595)</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(75,349)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3,996</w:t>
            </w:r>
          </w:p>
        </w:tc>
      </w:tr>
      <w:tr>
        <w:trPr>
          <w:trHeight w:val="40"/>
        </w:trPr>
        <w:tc>
          <w:tcPr>
            <w:tcW w:w="64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15,985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39,294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w:t>
      </w:r>
    </w:p>
    <w:p>
      <w:pPr>
        <w:spacing w:after="0" w:line="11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103" w:lineRule="exact"/>
        <w:rPr>
          <w:sz w:val="20"/>
          <w:szCs w:val="20"/>
          <w:color w:val="auto"/>
        </w:rPr>
      </w:pPr>
    </w:p>
    <w:p>
      <w:pPr>
        <w:ind w:left="6940"/>
        <w:spacing w:after="0"/>
        <w:tabs>
          <w:tab w:leader="none" w:pos="8680" w:val="left"/>
          <w:tab w:leader="none" w:pos="104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taxes at federal statutory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 income taxes, net of federal benefit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Employment-related credits,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Domestic manufacturing deduction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Excess tax benefits from stock-based compensation arrangements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life insurance expense</w:t>
      </w:r>
    </w:p>
    <w:p>
      <w:pPr>
        <w:spacing w:after="0" w:line="86" w:lineRule="exact"/>
        <w:rPr>
          <w:sz w:val="20"/>
          <w:szCs w:val="20"/>
          <w:color w:val="auto"/>
        </w:rPr>
      </w:pPr>
    </w:p>
    <w:p>
      <w:pPr>
        <w:ind w:left="40" w:right="2200"/>
        <w:spacing w:after="0" w:line="375" w:lineRule="auto"/>
        <w:rPr>
          <w:sz w:val="20"/>
          <w:szCs w:val="20"/>
          <w:color w:val="auto"/>
        </w:rPr>
      </w:pPr>
      <w:r>
        <w:rPr>
          <w:rFonts w:ascii="Arial" w:cs="Arial" w:eastAsia="Arial" w:hAnsi="Arial"/>
          <w:sz w:val="15"/>
          <w:szCs w:val="15"/>
          <w:color w:val="auto"/>
        </w:rPr>
        <w:t>Refranchising of Outback Steakhouse South Korea Valuation allowance on deferred income tax assets Nondeductible compensation Cumulative effect of the Tax Act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rate differential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settlements and related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4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2.3</w:t>
            </w:r>
          </w:p>
        </w:tc>
      </w:tr>
      <w:tr>
        <w:trPr>
          <w:trHeight w:val="270"/>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(15.8)</w:t>
            </w:r>
          </w:p>
        </w:tc>
      </w:tr>
      <w:tr>
        <w:trPr>
          <w:trHeight w:val="270"/>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(0.8)</w:t>
            </w:r>
          </w:p>
        </w:tc>
      </w:tr>
      <w:tr>
        <w:trPr>
          <w:trHeight w:val="270"/>
        </w:trPr>
        <w:tc>
          <w:tcPr>
            <w:tcW w:w="164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(0.3)</w:t>
            </w:r>
          </w:p>
        </w:tc>
      </w:tr>
      <w:tr>
        <w:trPr>
          <w:trHeight w:val="270"/>
        </w:trPr>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1.7</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0.8</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0.6</w:t>
            </w:r>
          </w:p>
        </w:tc>
      </w:tr>
      <w:tr>
        <w:trPr>
          <w:trHeight w:val="270"/>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257"/>
        </w:trPr>
        <w:tc>
          <w:tcPr>
            <w:tcW w:w="164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(0.4)</w:t>
            </w:r>
          </w:p>
        </w:tc>
      </w:tr>
      <w:tr>
        <w:trPr>
          <w:trHeight w:val="40"/>
        </w:trPr>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4"/>
        </w:trPr>
        <w:tc>
          <w:tcPr>
            <w:tcW w:w="1640" w:type="dxa"/>
            <w:vAlign w:val="bottom"/>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23.0 %</w:t>
            </w:r>
          </w:p>
        </w:tc>
      </w:tr>
      <w:tr>
        <w:trPr>
          <w:trHeight w:val="33"/>
        </w:trPr>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-2254885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-1911985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-1568450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-1225550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-882650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-539750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-196850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540" w:space="720"/>
            <w:col w:w="5160"/>
          </w:cols>
          <w:pgMar w:left="240" w:top="121" w:right="239" w:bottom="1440" w:gutter="0" w:footer="0" w:header="0"/>
          <w:type w:val="continuous"/>
        </w:sectPr>
      </w:pPr>
    </w:p>
    <w:p>
      <w:pPr>
        <w:ind w:left="660" w:right="20" w:hanging="652"/>
        <w:spacing w:after="0" w:line="257"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2017, excess tax benefits from share-based award activity are reflected as a reduction to the provision for income taxes as a result of the adoption of ASU No. 2016-09.</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net decrease in the effective income tax rate in 2017 as compared to 2016 was primarily due to impairment and additional tax liabilities recorded in connection with the refranchising of Outback Steakhouse South Korea in 2016. The remaining decrease was primarily due to a domestic manufacturing deduction and excess tax benefits from equity-based compensation arrangements recorded in 2017. These decreases were mostly offset by employment-related credits being a lower percentage of net income in 2017 relative to 2016 and the impact of the Tax Act.</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net decrease in the effective income tax rate in 2016 as compared to 2015 was primarily due to benefits from employment-related credits being a higher percentage of net income in 2016 and a change in the amount and mix of income and losses across the Company’s domestic and international subsidiaries, partially offset by the refranchising of Outback Steakhouse South Korea.</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25,</w:t>
            </w: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40,504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57,783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Insurance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23,906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15,020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19,566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62,389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8,003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6,036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58,963</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Partner deposits and accrued partner obligations</w:t>
            </w:r>
          </w:p>
        </w:tc>
        <w:tc>
          <w:tcPr>
            <w:tcW w:w="180" w:type="dxa"/>
            <w:vAlign w:val="bottom"/>
          </w:tcPr>
          <w:p>
            <w:pPr>
              <w:spacing w:after="0"/>
              <w:rPr>
                <w:sz w:val="20"/>
                <w:szCs w:val="20"/>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8,245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2"/>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15,342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8,309</w:t>
            </w:r>
          </w:p>
        </w:tc>
      </w:tr>
      <w:tr>
        <w:trPr>
          <w:trHeight w:val="211"/>
        </w:trPr>
        <w:tc>
          <w:tcPr>
            <w:tcW w:w="812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212,917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245,197</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2"/>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valuation allowance</w:t>
            </w:r>
          </w:p>
        </w:tc>
        <w:tc>
          <w:tcPr>
            <w:tcW w:w="1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(7,220)</w:t>
            </w:r>
          </w:p>
        </w:tc>
      </w:tr>
      <w:tr>
        <w:trPr>
          <w:trHeight w:val="211"/>
        </w:trPr>
        <w:tc>
          <w:tcPr>
            <w:tcW w:w="81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Net deferred income tax assets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196,992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237,977</w:t>
            </w: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47"/>
        </w:trPr>
        <w:tc>
          <w:tcPr>
            <w:tcW w:w="8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r>
    </w:tbl>
    <w:p>
      <w:pPr>
        <w:spacing w:after="0" w:line="17" w:lineRule="exact"/>
        <w:rPr>
          <w:sz w:val="20"/>
          <w:szCs w:val="20"/>
          <w:color w:val="auto"/>
        </w:rPr>
      </w:pPr>
    </w:p>
    <w:p>
      <w:pPr>
        <w:sectPr>
          <w:pgSz w:w="11900" w:h="16838" w:orient="portrait"/>
          <w:cols w:equalWidth="0" w:num="1">
            <w:col w:w="11420"/>
          </w:cols>
          <w:pgMar w:left="240" w:top="121" w:right="239" w:bottom="1440" w:gutter="0" w:footer="0" w:header="0"/>
        </w:sectPr>
      </w:pPr>
    </w:p>
    <w:p>
      <w:pPr>
        <w:ind w:left="380"/>
        <w:spacing w:after="0"/>
        <w:rPr>
          <w:sz w:val="20"/>
          <w:szCs w:val="20"/>
          <w:color w:val="auto"/>
        </w:rPr>
      </w:pPr>
      <w:r>
        <w:rPr>
          <w:rFonts w:ascii="Arial" w:cs="Arial" w:eastAsia="Arial" w:hAnsi="Arial"/>
          <w:sz w:val="14"/>
          <w:szCs w:val="14"/>
          <w:color w:val="auto"/>
        </w:rPr>
        <w:t>Less: property, fixtures and equipment basis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intangible asset basis differences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Less: deferred gain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deferred income tax assets</w:t>
      </w:r>
    </w:p>
    <w:p>
      <w:pPr>
        <w:spacing w:after="0" w:line="20" w:lineRule="exact"/>
        <w:rPr>
          <w:sz w:val="20"/>
          <w:szCs w:val="20"/>
          <w:color w:val="auto"/>
        </w:rPr>
      </w:pPr>
      <w:r>
        <w:rPr>
          <w:sz w:val="20"/>
          <w:szCs w:val="20"/>
          <w:color w:val="auto"/>
        </w:rPr>
        <w:br w:type="column"/>
      </w:r>
    </w:p>
    <w:p>
      <w:pPr>
        <w:jc w:val="both"/>
        <w:ind w:left="980"/>
        <w:spacing w:after="0"/>
        <w:tabs>
          <w:tab w:leader="none" w:pos="2660" w:val="left"/>
        </w:tabs>
        <w:rPr>
          <w:sz w:val="20"/>
          <w:szCs w:val="20"/>
          <w:color w:val="auto"/>
        </w:rPr>
      </w:pPr>
      <w:r>
        <w:rPr>
          <w:rFonts w:ascii="Arial" w:cs="Arial" w:eastAsia="Arial" w:hAnsi="Arial"/>
          <w:sz w:val="16"/>
          <w:szCs w:val="16"/>
          <w:color w:val="auto"/>
        </w:rPr>
        <w:t>(18,814)</w:t>
      </w:r>
      <w:r>
        <w:rPr>
          <w:sz w:val="20"/>
          <w:szCs w:val="20"/>
          <w:color w:val="auto"/>
        </w:rPr>
        <w:tab/>
      </w:r>
      <w:r>
        <w:rPr>
          <w:rFonts w:ascii="Arial" w:cs="Arial" w:eastAsia="Arial" w:hAnsi="Arial"/>
          <w:sz w:val="16"/>
          <w:szCs w:val="16"/>
          <w:color w:val="auto"/>
        </w:rPr>
        <w:t>(37,847)</w:t>
      </w:r>
    </w:p>
    <w:p>
      <w:pPr>
        <w:spacing w:after="0" w:line="86" w:lineRule="exact"/>
        <w:rPr>
          <w:sz w:val="20"/>
          <w:szCs w:val="20"/>
          <w:color w:val="auto"/>
        </w:rPr>
      </w:pPr>
    </w:p>
    <w:p>
      <w:pPr>
        <w:jc w:val="both"/>
        <w:ind w:left="900"/>
        <w:spacing w:after="0"/>
        <w:tabs>
          <w:tab w:leader="none" w:pos="2580" w:val="left"/>
        </w:tabs>
        <w:rPr>
          <w:sz w:val="20"/>
          <w:szCs w:val="20"/>
          <w:color w:val="auto"/>
        </w:rPr>
      </w:pPr>
      <w:r>
        <w:rPr>
          <w:rFonts w:ascii="Arial" w:cs="Arial" w:eastAsia="Arial" w:hAnsi="Arial"/>
          <w:sz w:val="16"/>
          <w:szCs w:val="16"/>
          <w:color w:val="auto"/>
        </w:rPr>
        <w:t>(116,425)</w:t>
      </w:r>
      <w:r>
        <w:rPr>
          <w:sz w:val="20"/>
          <w:szCs w:val="20"/>
          <w:color w:val="auto"/>
        </w:rPr>
        <w:tab/>
      </w:r>
      <w:r>
        <w:rPr>
          <w:rFonts w:ascii="Arial" w:cs="Arial" w:eastAsia="Arial" w:hAnsi="Arial"/>
          <w:sz w:val="16"/>
          <w:szCs w:val="16"/>
          <w:color w:val="auto"/>
        </w:rPr>
        <w:t>(155,053)</w:t>
      </w:r>
    </w:p>
    <w:p>
      <w:pPr>
        <w:spacing w:after="0" w:line="73" w:lineRule="exact"/>
        <w:rPr>
          <w:sz w:val="20"/>
          <w:szCs w:val="20"/>
          <w:color w:val="auto"/>
        </w:rPr>
      </w:pPr>
    </w:p>
    <w:p>
      <w:pPr>
        <w:jc w:val="both"/>
        <w:ind w:left="1060"/>
        <w:spacing w:after="0"/>
        <w:tabs>
          <w:tab w:leader="none" w:pos="2660" w:val="left"/>
        </w:tabs>
        <w:rPr>
          <w:sz w:val="20"/>
          <w:szCs w:val="20"/>
          <w:color w:val="auto"/>
        </w:rPr>
      </w:pPr>
      <w:r>
        <w:rPr>
          <w:rFonts w:ascii="Arial" w:cs="Arial" w:eastAsia="Arial" w:hAnsi="Arial"/>
          <w:sz w:val="16"/>
          <w:szCs w:val="16"/>
          <w:color w:val="auto"/>
        </w:rPr>
        <w:t>(7,180)</w:t>
      </w:r>
      <w:r>
        <w:rPr>
          <w:sz w:val="20"/>
          <w:szCs w:val="20"/>
          <w:color w:val="auto"/>
        </w:rPr>
        <w:tab/>
      </w:r>
      <w:r>
        <w:rPr>
          <w:rFonts w:ascii="Arial" w:cs="Arial" w:eastAsia="Arial" w:hAnsi="Arial"/>
          <w:sz w:val="16"/>
          <w:szCs w:val="16"/>
          <w:color w:val="auto"/>
        </w:rPr>
        <w:t>(23,022)</w:t>
      </w:r>
    </w:p>
    <w:p>
      <w:pPr>
        <w:spacing w:after="0" w:line="100" w:lineRule="exact"/>
        <w:rPr>
          <w:sz w:val="20"/>
          <w:szCs w:val="20"/>
          <w:color w:val="auto"/>
        </w:rPr>
      </w:pPr>
    </w:p>
    <w:p>
      <w:pPr>
        <w:spacing w:after="0"/>
        <w:tabs>
          <w:tab w:leader="none" w:pos="1000" w:val="left"/>
          <w:tab w:leader="none" w:pos="1700" w:val="left"/>
          <w:tab w:leader="none" w:pos="2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54,573</w:t>
        <w:tab/>
        <w:t>$</w:t>
      </w:r>
      <w:r>
        <w:rPr>
          <w:sz w:val="20"/>
          <w:szCs w:val="20"/>
          <w:color w:val="auto"/>
        </w:rPr>
        <w:tab/>
      </w:r>
      <w:r>
        <w:rPr>
          <w:rFonts w:ascii="Arial" w:cs="Arial" w:eastAsia="Arial" w:hAnsi="Arial"/>
          <w:sz w:val="15"/>
          <w:szCs w:val="15"/>
          <w:color w:val="auto"/>
        </w:rPr>
        <w:t>22,055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52070</wp:posOffset>
            </wp:positionV>
            <wp:extent cx="2101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121" w:right="239" w:bottom="1440" w:gutter="0" w:footer="0" w:header="0"/>
          <w:type w:val="continuous"/>
        </w:sectPr>
      </w:pP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Undistributed Earnings </w:t>
      </w:r>
      <w:r>
        <w:rPr>
          <w:rFonts w:ascii="Arial" w:cs="Arial" w:eastAsia="Arial" w:hAnsi="Arial"/>
          <w:sz w:val="19"/>
          <w:szCs w:val="19"/>
          <w:color w:val="auto"/>
        </w:rPr>
        <w:t>- The Company previously considered the earnings in its non-U.S. subsidiaries to be indefinitely reinvested and,</w:t>
      </w:r>
      <w:r>
        <w:rPr>
          <w:rFonts w:ascii="Arial" w:cs="Arial" w:eastAsia="Arial" w:hAnsi="Arial"/>
          <w:sz w:val="19"/>
          <w:szCs w:val="19"/>
          <w:i w:val="1"/>
          <w:iCs w:val="1"/>
          <w:color w:val="auto"/>
        </w:rPr>
        <w:t xml:space="preserve"> </w:t>
      </w:r>
      <w:r>
        <w:rPr>
          <w:rFonts w:ascii="Arial" w:cs="Arial" w:eastAsia="Arial" w:hAnsi="Arial"/>
          <w:sz w:val="19"/>
          <w:szCs w:val="19"/>
          <w:color w:val="auto"/>
        </w:rPr>
        <w:t>accordingly, recorded no deferred income taxes. Given the Tax Act’s significant changes and potential opportunities to repatriate cash free of U.S. federal tax, the Company is in the process of evaluating its current permanent reinvestment assertions. This evaluation includes the repatriation of historical earnings (2017 and prior) that have been previously taxed under the Tax Act.</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had aggregate undistributed E&amp;P from foreign subsidiaries of approximately $136.0 million, which is considered previously taxed income (“PTI”) subsequent to the Tax Act. The Company recorded $0.1 million in provisional Transition Tax in connection with this E&amp;P. Due to the ability to utilize foreign tax credits in the calculation of the Transition Tax, the obligation primarily related to the estimated state impacts. Additionally, the Company has recorded a provisional deferred tax liability of $0.2 million as of December 31, 2017 for certain state income taxes on the future repatriation of PTI. The Company currently considers the remaining financial statement carrying amounts over the tax basis of investments in its foreign subsidiaries to be indefinitely reinvested, and have not recorded a provisional deferred tax liability. The determination of any unrecorded provisional deferred tax liability on this amount is not practicable due to the uncertainty of how these investments would be recovered.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31, 2017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EXPIRATION DATE</w:t>
            </w:r>
          </w:p>
        </w:tc>
        <w:tc>
          <w:tcPr>
            <w:tcW w:w="400" w:type="dxa"/>
            <w:vAlign w:val="bottom"/>
          </w:tcPr>
          <w:p>
            <w:pPr>
              <w:spacing w:after="0"/>
              <w:rPr>
                <w:sz w:val="17"/>
                <w:szCs w:val="17"/>
                <w:color w:val="auto"/>
              </w:rPr>
            </w:pPr>
          </w:p>
        </w:tc>
        <w:tc>
          <w:tcPr>
            <w:tcW w:w="1640" w:type="dxa"/>
            <w:vAlign w:val="bottom"/>
          </w:tcPr>
          <w:p>
            <w:pPr>
              <w:jc w:val="right"/>
              <w:ind w:right="622"/>
              <w:spacing w:after="0"/>
              <w:rPr>
                <w:sz w:val="20"/>
                <w:szCs w:val="20"/>
                <w:color w:val="auto"/>
              </w:rPr>
            </w:pPr>
            <w:r>
              <w:rPr>
                <w:rFonts w:ascii="Arial" w:cs="Arial" w:eastAsia="Arial" w:hAnsi="Arial"/>
                <w:sz w:val="14"/>
                <w:szCs w:val="14"/>
                <w:b w:val="1"/>
                <w:bCs w:val="1"/>
                <w:color w:val="auto"/>
              </w:rPr>
              <w:t>AMOUNT</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federal tax credit carryforwards</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34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90,092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Foreign loss carryforwards</w:t>
            </w:r>
          </w:p>
        </w:tc>
        <w:tc>
          <w:tcPr>
            <w:tcW w:w="1040" w:type="dxa"/>
            <w:vAlign w:val="bottom"/>
          </w:tcPr>
          <w:p>
            <w:pPr>
              <w:jc w:val="right"/>
              <w:spacing w:after="0"/>
              <w:rPr>
                <w:sz w:val="20"/>
                <w:szCs w:val="20"/>
                <w:color w:val="auto"/>
              </w:rPr>
            </w:pPr>
            <w:r>
              <w:rPr>
                <w:rFonts w:ascii="Arial" w:cs="Arial" w:eastAsia="Arial" w:hAnsi="Arial"/>
                <w:sz w:val="16"/>
                <w:szCs w:val="16"/>
                <w:color w:val="auto"/>
              </w:rPr>
              <w:t>2018</w:t>
            </w:r>
          </w:p>
        </w:tc>
        <w:tc>
          <w:tcPr>
            <w:tcW w:w="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Indefinite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2"/>
              <w:spacing w:after="0"/>
              <w:rPr>
                <w:sz w:val="20"/>
                <w:szCs w:val="20"/>
                <w:color w:val="auto"/>
              </w:rPr>
            </w:pPr>
            <w:r>
              <w:rPr>
                <w:rFonts w:ascii="Arial" w:cs="Arial" w:eastAsia="Arial" w:hAnsi="Arial"/>
                <w:sz w:val="16"/>
                <w:szCs w:val="16"/>
                <w:color w:val="auto"/>
              </w:rPr>
              <w:t>29,581</w:t>
            </w:r>
          </w:p>
        </w:tc>
      </w:tr>
    </w:tbl>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31, 2017 and December 25, 2016, the liability for unrecognized tax benefits was $23.7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$19.6 million, respectively. Of the total amount of unrecognized tax benefits, including accrued interest and penalties, $24.0 million and $18.9 million, respectively, if recognized, would impact the Company’s effective tax rate.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beginning of year</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17,563</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a prior period</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3,022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Reductions for tax positions taken during a prior period</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Additions for tax positions taken during the current period</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Lapses in the applicable statutes of limitations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r>
      <w:tr>
        <w:trPr>
          <w:trHeight w:val="211"/>
        </w:trPr>
        <w:tc>
          <w:tcPr>
            <w:tcW w:w="64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as of end of year</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23,663</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19,583</w:t>
            </w: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19,430</w:t>
            </w: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had approximately $1.8 million and $1.2 million accrued for the payment of interest and penalties as of December 31, 2017 and December 25, 2016, respectively. The Company recognized immaterial interest and penalties related to uncertain tax positions in the Provision for income taxes, for all periods presented.</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$3.0 million to $4.0 million within the next twelve months.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w:t>
      </w:r>
    </w:p>
    <w:p>
      <w:pPr>
        <w:spacing w:after="0" w:line="210"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OPEN AUDIT YEARS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federal</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r>
      <w:tr>
        <w:trPr>
          <w:trHeight w:val="224"/>
        </w:trPr>
        <w:tc>
          <w:tcPr>
            <w:tcW w:w="9340" w:type="dxa"/>
            <w:vAlign w:val="bottom"/>
          </w:tcPr>
          <w:p>
            <w:pPr>
              <w:ind w:left="20"/>
              <w:spacing w:after="0"/>
              <w:rPr>
                <w:sz w:val="20"/>
                <w:szCs w:val="20"/>
                <w:color w:val="auto"/>
              </w:rPr>
            </w:pPr>
            <w:r>
              <w:rPr>
                <w:rFonts w:ascii="Arial" w:cs="Arial" w:eastAsia="Arial" w:hAnsi="Arial"/>
                <w:sz w:val="16"/>
                <w:szCs w:val="16"/>
                <w:color w:val="auto"/>
              </w:rPr>
              <w:t>United States states</w:t>
            </w: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33"/>
        </w:trPr>
        <w:tc>
          <w:tcPr>
            <w:tcW w:w="9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4"/>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r>
      <w:tr>
        <w:trPr>
          <w:trHeight w:val="33"/>
        </w:trPr>
        <w:tc>
          <w:tcPr>
            <w:tcW w:w="9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was previously under examination by tax authorities in South Korea for the 2008 to 2012 tax years. In connection with the examination, the Company was assessed and paid $6.7 million of tax obligations. The Company is currently seeking relief from double taxation through competent authority.</w:t>
      </w:r>
    </w:p>
    <w:p>
      <w:pPr>
        <w:spacing w:after="0" w:line="200"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Operating Leases - </w:t>
      </w:r>
      <w:r>
        <w:rPr>
          <w:rFonts w:ascii="Arial" w:cs="Arial" w:eastAsia="Arial" w:hAnsi="Arial"/>
          <w:sz w:val="20"/>
          <w:szCs w:val="20"/>
          <w:color w:val="auto"/>
        </w:rPr>
        <w:t>The Company leases restaurant and office facilities and certain equipment under operating leases mainly having initial</w:t>
      </w:r>
      <w:r>
        <w:rPr>
          <w:rFonts w:ascii="Arial" w:cs="Arial" w:eastAsia="Arial" w:hAnsi="Arial"/>
          <w:sz w:val="20"/>
          <w:szCs w:val="20"/>
          <w:i w:val="1"/>
          <w:iCs w:val="1"/>
          <w:color w:val="auto"/>
        </w:rPr>
        <w:t xml:space="preserve"> </w:t>
      </w:r>
      <w:r>
        <w:rPr>
          <w:rFonts w:ascii="Arial" w:cs="Arial" w:eastAsia="Arial" w:hAnsi="Arial"/>
          <w:sz w:val="20"/>
          <w:szCs w:val="20"/>
          <w:color w:val="auto"/>
        </w:rPr>
        <w:t>terms expiring between 2018 and 2036. The restaurant facility leases have renewal clauses primarily from five to 30 years, exercisable at the option of the Company. Certain of these leases require the payment of contingent rentals leased on a percentage of gross revenues, as defined by the terms of the applicable lease agreement.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Total rent expense and sublease rental income is as follows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2015</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Rent expense (1)</w:t>
            </w:r>
          </w:p>
        </w:tc>
        <w:tc>
          <w:tcPr>
            <w:tcW w:w="5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188,205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173,507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164,754</w:t>
            </w:r>
          </w:p>
        </w:tc>
      </w:tr>
      <w:tr>
        <w:trPr>
          <w:trHeight w:val="237"/>
        </w:trPr>
        <w:tc>
          <w:tcPr>
            <w:tcW w:w="6400" w:type="dxa"/>
            <w:vAlign w:val="bottom"/>
            <w:gridSpan w:val="3"/>
          </w:tcPr>
          <w:p>
            <w:pPr>
              <w:ind w:left="40"/>
              <w:spacing w:after="0"/>
              <w:rPr>
                <w:sz w:val="20"/>
                <w:szCs w:val="20"/>
                <w:color w:val="auto"/>
              </w:rPr>
            </w:pPr>
            <w:r>
              <w:rPr>
                <w:rFonts w:ascii="Arial" w:cs="Arial" w:eastAsia="Arial" w:hAnsi="Arial"/>
                <w:sz w:val="16"/>
                <w:szCs w:val="16"/>
                <w:color w:val="auto"/>
              </w:rPr>
              <w:t>Sublease revenues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4,472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906</w:t>
            </w:r>
          </w:p>
        </w:tc>
      </w:tr>
      <w:tr>
        <w:trPr>
          <w:trHeight w:val="226"/>
        </w:trPr>
        <w:tc>
          <w:tcPr>
            <w:tcW w:w="6400" w:type="dxa"/>
            <w:vAlign w:val="bottom"/>
            <w:gridSpan w:val="3"/>
          </w:tcPr>
          <w:p>
            <w:pPr>
              <w:jc w:val="right"/>
              <w:ind w:right="4780"/>
              <w:spacing w:after="0"/>
              <w:rPr>
                <w:sz w:val="20"/>
                <w:szCs w:val="20"/>
                <w:color w:val="auto"/>
              </w:rPr>
            </w:pPr>
            <w:r>
              <w:rPr>
                <w:rFonts w:ascii="Arial" w:cs="Arial" w:eastAsia="Arial" w:hAnsi="Arial"/>
                <w:sz w:val="16"/>
                <w:szCs w:val="16"/>
                <w:color w:val="auto"/>
                <w:w w:val="89"/>
              </w:rPr>
              <w:t>____________________</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contingent rent expense of $4.3 million, $5.9 million and $7.4 million, respectively, for the periods presented.</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future minimum rental payments and sublease revenues under non-cancelable operating leases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LEASE PAYMENTS (1)</w:t>
            </w:r>
          </w:p>
        </w:tc>
        <w:tc>
          <w:tcPr>
            <w:tcW w:w="260" w:type="dxa"/>
            <w:vAlign w:val="bottom"/>
          </w:tcPr>
          <w:p>
            <w:pPr>
              <w:spacing w:after="0"/>
              <w:rPr>
                <w:sz w:val="17"/>
                <w:szCs w:val="17"/>
                <w:color w:val="auto"/>
              </w:rPr>
            </w:pPr>
          </w:p>
        </w:tc>
        <w:tc>
          <w:tcPr>
            <w:tcW w:w="1320" w:type="dxa"/>
            <w:vAlign w:val="bottom"/>
          </w:tcPr>
          <w:p>
            <w:pPr>
              <w:jc w:val="right"/>
              <w:ind w:right="32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480" w:type="dxa"/>
            <w:vAlign w:val="bottom"/>
            <w:tcBorders>
              <w:top w:val="single" w:sz="8" w:color="auto"/>
              <w:bottom w:val="single" w:sz="8" w:color="CCEEFF"/>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5,091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4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145,528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128,573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4,784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902,757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58,633</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1,697,668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83,796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Minimum lease payments have not been reduced by minimum sublease rentals.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December 31, 2017, the undiscounted payments the Company could be required to make in the event of non-payment by the primary lessees was approximately $30.3 million. The present value of these potential payments discounted at the Company’s incremental borrowing rate as of December 31, 2017 was approximately $21.2 million. In the event of default, the indemnity clauses in the Company’s purchase and sale agreements govern its ability to pursue and recover damages incurred. The Company believes the financial strength and operating history of the buyers significantly reduces the risk that it will be required to make payments under these leases. Accordingly, no liability has been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Financing Obligation - </w:t>
      </w:r>
      <w:r>
        <w:rPr>
          <w:rFonts w:ascii="Arial" w:cs="Arial" w:eastAsia="Arial" w:hAnsi="Arial"/>
          <w:sz w:val="18"/>
          <w:szCs w:val="18"/>
          <w:color w:val="auto"/>
        </w:rPr>
        <w:t>Following is a summary of the Company’s minimum financing payments during the initial term of the various leases: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Year 2</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Year 4</w:t>
            </w:r>
          </w:p>
        </w:tc>
        <w:tc>
          <w:tcPr>
            <w:tcW w:w="180" w:type="dxa"/>
            <w:vAlign w:val="bottom"/>
          </w:tcPr>
          <w:p>
            <w:pPr>
              <w:spacing w:after="0"/>
              <w:rPr>
                <w:sz w:val="19"/>
                <w:szCs w:val="19"/>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22,219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29,074</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jc w:val="right"/>
              <w:ind w:right="8120"/>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Refer to Note 12 - </w:t>
      </w:r>
      <w:r>
        <w:rPr>
          <w:rFonts w:ascii="Arial" w:cs="Arial" w:eastAsia="Arial" w:hAnsi="Arial"/>
          <w:sz w:val="16"/>
          <w:szCs w:val="16"/>
          <w:i w:val="1"/>
          <w:iCs w:val="1"/>
          <w:color w:val="auto"/>
        </w:rPr>
        <w:t>Long-term Debt, Net</w:t>
      </w:r>
      <w:r>
        <w:rPr>
          <w:rFonts w:ascii="Arial" w:cs="Arial" w:eastAsia="Arial" w:hAnsi="Arial"/>
          <w:sz w:val="16"/>
          <w:szCs w:val="16"/>
          <w:color w:val="auto"/>
        </w:rPr>
        <w:t xml:space="preserve"> for additional details regarding the Company’s financing obligation.</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Purchase Obligations - </w:t>
      </w:r>
      <w:r>
        <w:rPr>
          <w:rFonts w:ascii="Arial" w:cs="Arial" w:eastAsia="Arial" w:hAnsi="Arial"/>
          <w:sz w:val="19"/>
          <w:szCs w:val="19"/>
          <w:color w:val="auto"/>
        </w:rPr>
        <w:t>Purchase obligations were $446.0 million and $439.4 million as of December 31, 2017 and December 25, 2016,</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These purchase obligations are primarily due within five years, however, commitments with various vendors extend through December 2023. Outstanding commitments consist primarily of food and beverage products related to normal business operations and contracts for restaurant level service contracts, advertising and technology. In 2017, the Company purchased more than 85% of its U.S. beef raw materials from four beef suppliers that represent more than 80% of the total beef marketplace in the U.S.</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In relation to various legal matters discussed below, the Company had $4.3 million and $3.5 million of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recorded as of December 31, 2017 and December 25, 2016, respectively. During 2017, 2016 and 2015, the Company recognized $1.2 million, $4.0 million and $4.6 million, respectively, in Other restaurant operating expenses in the Company’s Consolidated Statements of Operations and Comprehensive Income for certain legal settlements.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November 2015, David Sears and Elizabeth Thomas, two former Outback Managers (“Manager Plaintiffs”), sent a demand letter seeking unpaid overtime compensation on behalf of all managers and kitchen managers employed at Outback Steakhouse restaurants from November 2012 to present. The Manager Plaintiffs claimed that managers were not assigned sufficient management duties to qualify as exempt from overtime. In December 2016, the Company agreed to a tentative class settlement for eligible kitchen managers and in 2017, the class period closed and the Company made final payment of $2.3 million.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October 4, 2013, two then-current employees (the “Nevada Plaintiffs”) filed a collective action lawsuit against the Company and certain of its subsidiaries. The complaint alleges violations of the Fair Labor Standards Act by requiring employees to work off the clock, complete on-line training without pay and attend meetings in the restaurant without pay. The nationwide collective action permitted all hourly employees in all Outback Steakhouse restaurants to join. The suit requested an unspecified amount in back pay for the employees that joined the lawsuit, an equal amount in liquidated damages, costs, expenses, and attorney’s fees. The Nevada Plaintiffs also filed a companion lawsuit in Nevada state court alleging that the Company violated the state break time rules. In November 2015, the Company reached a tentative settlement agreement resolving all claims and the cost of class administration for $3.2 million. The Court issued final approval in November 2016 and the Company subsequently made payment during 2016.</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Other than the litigation noted above, in the opinion of management, the amount of ultimate liability with respect to those actions will not have a material adverse impact on the Company’s financial position or results of operations and cash flows.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31, 2017, the future payments the Company expects for workers’ compensation, general liability and health</w:t>
      </w:r>
      <w:r>
        <w:rPr>
          <w:rFonts w:ascii="Arial" w:cs="Arial" w:eastAsia="Arial" w:hAnsi="Arial"/>
          <w:sz w:val="20"/>
          <w:szCs w:val="20"/>
          <w:i w:val="1"/>
          <w:iCs w:val="1"/>
          <w:color w:val="auto"/>
        </w:rPr>
        <w:t xml:space="preserve"> </w:t>
      </w:r>
      <w:r>
        <w:rPr>
          <w:rFonts w:ascii="Arial" w:cs="Arial" w:eastAsia="Arial" w:hAnsi="Arial"/>
          <w:sz w:val="20"/>
          <w:szCs w:val="20"/>
          <w:color w:val="auto"/>
        </w:rPr>
        <w:t>insurance claims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24,231</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12,883</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8,336</w:t>
            </w:r>
          </w:p>
        </w:tc>
      </w:tr>
      <w:tr>
        <w:trPr>
          <w:trHeight w:val="224"/>
        </w:trPr>
        <w:tc>
          <w:tcPr>
            <w:tcW w:w="9820" w:type="dxa"/>
            <w:vAlign w:val="bottom"/>
          </w:tcPr>
          <w:p>
            <w:pPr>
              <w:ind w:left="40"/>
              <w:spacing w:after="0"/>
              <w:rPr>
                <w:sz w:val="20"/>
                <w:szCs w:val="20"/>
                <w:color w:val="auto"/>
              </w:rPr>
            </w:pPr>
            <w:r>
              <w:rPr>
                <w:rFonts w:ascii="Arial" w:cs="Arial" w:eastAsia="Arial" w:hAnsi="Arial"/>
                <w:sz w:val="16"/>
                <w:szCs w:val="16"/>
                <w:color w:val="auto"/>
              </w:rPr>
              <w:t>2021</w:t>
            </w:r>
          </w:p>
        </w:tc>
        <w:tc>
          <w:tcPr>
            <w:tcW w:w="5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4,622</w:t>
            </w:r>
          </w:p>
        </w:tc>
      </w:tr>
      <w:tr>
        <w:trPr>
          <w:trHeight w:val="33"/>
        </w:trPr>
        <w:tc>
          <w:tcPr>
            <w:tcW w:w="9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2,512</w:t>
            </w:r>
          </w:p>
        </w:tc>
      </w:tr>
      <w:tr>
        <w:trPr>
          <w:trHeight w:val="27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10,842</w:t>
            </w:r>
          </w:p>
        </w:tc>
      </w:tr>
      <w:tr>
        <w:trPr>
          <w:trHeight w:val="255"/>
        </w:trPr>
        <w:tc>
          <w:tcPr>
            <w:tcW w:w="9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63,426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 reconciliation of the expected aggregate undiscounted reserves to the discounted reserves for insurance claims recognized on the Company’s </w:t>
      </w:r>
      <w:r>
        <w:rPr>
          <w:rFonts w:ascii="Arial" w:cs="Arial" w:eastAsia="Arial" w:hAnsi="Arial"/>
          <w:sz w:val="20"/>
          <w:szCs w:val="20"/>
          <w:color w:val="252525"/>
        </w:rPr>
        <w:t xml:space="preserve">Consolidated Balance Sheets </w:t>
      </w:r>
      <w:r>
        <w:rPr>
          <w:rFonts w:ascii="Arial" w:cs="Arial" w:eastAsia="Arial" w:hAnsi="Arial"/>
          <w:sz w:val="20"/>
          <w:szCs w:val="20"/>
          <w:color w:val="000000"/>
        </w:rPr>
        <w:t>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40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25,</w:t>
            </w:r>
          </w:p>
        </w:tc>
        <w:tc>
          <w:tcPr>
            <w:tcW w:w="0" w:type="dxa"/>
            <w:vAlign w:val="bottom"/>
          </w:tcPr>
          <w:p>
            <w:pPr>
              <w:spacing w:after="0"/>
              <w:rPr>
                <w:sz w:val="1"/>
                <w:szCs w:val="1"/>
                <w:color w:val="auto"/>
              </w:rPr>
            </w:pPr>
          </w:p>
        </w:tc>
      </w:tr>
      <w:tr>
        <w:trPr>
          <w:trHeight w:val="205"/>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65,471</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Discount (1)</w:t>
            </w:r>
          </w:p>
        </w:tc>
        <w:tc>
          <w:tcPr>
            <w:tcW w:w="18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40"/>
        </w:trPr>
        <w:tc>
          <w:tcPr>
            <w:tcW w:w="8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62,793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Discounted reserves recognized in the Company’s Consolidated Balance Sheets: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23,482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23,533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35,945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39,260</w:t>
            </w:r>
          </w:p>
        </w:tc>
        <w:tc>
          <w:tcPr>
            <w:tcW w:w="0" w:type="dxa"/>
            <w:vAlign w:val="bottom"/>
          </w:tcPr>
          <w:p>
            <w:pPr>
              <w:spacing w:after="0"/>
              <w:rPr>
                <w:sz w:val="1"/>
                <w:szCs w:val="1"/>
                <w:color w:val="auto"/>
              </w:rPr>
            </w:pPr>
          </w:p>
        </w:tc>
      </w:tr>
      <w:tr>
        <w:trPr>
          <w:trHeight w:val="224"/>
        </w:trPr>
        <w:tc>
          <w:tcPr>
            <w:tcW w:w="8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59,427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62,793</w:t>
            </w:r>
          </w:p>
        </w:tc>
        <w:tc>
          <w:tcPr>
            <w:tcW w:w="0" w:type="dxa"/>
            <w:vAlign w:val="bottom"/>
          </w:tcPr>
          <w:p>
            <w:pPr>
              <w:spacing w:after="0"/>
              <w:rPr>
                <w:sz w:val="1"/>
                <w:szCs w:val="1"/>
                <w:color w:val="auto"/>
              </w:rPr>
            </w:pPr>
          </w:p>
        </w:tc>
      </w:tr>
      <w:tr>
        <w:trPr>
          <w:trHeight w:val="33"/>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Discount rates of 1.88% and 1.32% were used for December 31, 2017 and December 25, 2016, respectively.</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107</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has two reportable segments, U.S. and International, which reflects how the Company manages its business, reviews operating performance and allocates resources. The U.S. segment includes all brands operating in the U.S. while brands operating outside the U.S. are included in the International segment. Resources are allocated and performance is assessed by the Company’s Chief Executive Officer, whom the Company has determined to be its Chief Operating Decision Maker. Following is a summary of reporting segments as of December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 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income from operations for U.S. and International are certain legal and corporate costs not directly related to the performance of the segments, certain stock-based compensation expenses and certain bonus expense.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3,750,959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3,797,309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3,879,743</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462,387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455,003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497,933</w:t>
            </w: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4,213,346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4,252,312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4,377,676</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reconciliation of Segment income (loss) from operations to Income before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(loss)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297,260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286,683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348,731</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28,916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34,597</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segment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326,176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280,729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383,328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Unallocated corporate operating expense</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(152,403)</w:t>
            </w:r>
          </w:p>
        </w:tc>
      </w:tr>
      <w:tr>
        <w:trPr>
          <w:trHeight w:val="224"/>
        </w:trPr>
        <w:tc>
          <w:tcPr>
            <w:tcW w:w="6400" w:type="dxa"/>
            <w:vAlign w:val="bottom"/>
          </w:tcPr>
          <w:p>
            <w:pPr>
              <w:ind w:left="500"/>
              <w:spacing w:after="0"/>
              <w:rPr>
                <w:sz w:val="20"/>
                <w:szCs w:val="20"/>
                <w:color w:val="auto"/>
              </w:rPr>
            </w:pPr>
            <w:r>
              <w:rPr>
                <w:rFonts w:ascii="Arial" w:cs="Arial" w:eastAsia="Arial" w:hAnsi="Arial"/>
                <w:sz w:val="16"/>
                <w:szCs w:val="16"/>
                <w:color w:val="auto"/>
              </w:rPr>
              <w:t>Total income from operations</w:t>
            </w:r>
          </w:p>
        </w:tc>
        <w:tc>
          <w:tcPr>
            <w:tcW w:w="400" w:type="dxa"/>
            <w:vAlign w:val="bottom"/>
          </w:tcPr>
          <w:p>
            <w:pPr>
              <w:spacing w:after="0"/>
              <w:rPr>
                <w:sz w:val="19"/>
                <w:szCs w:val="19"/>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146,092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127,606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230,925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defeasance, extinguishment and modification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(2,956)</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Other income (loss), net</w:t>
            </w:r>
          </w:p>
        </w:tc>
        <w:tc>
          <w:tcPr>
            <w:tcW w:w="400" w:type="dxa"/>
            <w:vAlign w:val="bottom"/>
          </w:tcPr>
          <w:p>
            <w:pPr>
              <w:spacing w:after="0"/>
              <w:rPr>
                <w:sz w:val="20"/>
                <w:szCs w:val="20"/>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14,912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(56,176)</w:t>
            </w:r>
          </w:p>
        </w:tc>
      </w:tr>
      <w:tr>
        <w:trPr>
          <w:trHeight w:val="250"/>
        </w:trPr>
        <w:tc>
          <w:tcPr>
            <w:tcW w:w="6400" w:type="dxa"/>
            <w:vAlign w:val="bottom"/>
          </w:tcPr>
          <w:p>
            <w:pPr>
              <w:ind w:left="500"/>
              <w:spacing w:after="0"/>
              <w:rPr>
                <w:sz w:val="20"/>
                <w:szCs w:val="20"/>
                <w:color w:val="auto"/>
              </w:rPr>
            </w:pPr>
            <w:r>
              <w:rPr>
                <w:rFonts w:ascii="Arial" w:cs="Arial" w:eastAsia="Arial" w:hAnsi="Arial"/>
                <w:sz w:val="16"/>
                <w:szCs w:val="16"/>
                <w:color w:val="auto"/>
              </w:rPr>
              <w:t>Income before Provision for income taxes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118,543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56,491</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170,854</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40"/>
          </w:cols>
          <w:pgMar w:left="240" w:top="121" w:right="21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149,976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155,434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151,868</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26,736</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14,510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12,391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11,795</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192,282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193,838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190,399</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209,260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211,855</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153,445</w:t>
            </w:r>
          </w:p>
        </w:tc>
      </w:tr>
      <w:tr>
        <w:trPr>
          <w:trHeight w:val="33"/>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40,662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46,803</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13,280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17,671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10,015</w:t>
            </w: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capital expenditures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255,842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270,188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210,263</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w:t>
      </w: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r>
      <w:tr>
        <w:trPr>
          <w:trHeight w:val="250"/>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8040" w:type="dxa"/>
            <w:vAlign w:val="bottom"/>
          </w:tcPr>
          <w:p>
            <w:pPr>
              <w:ind w:left="260"/>
              <w:spacing w:after="0"/>
              <w:rPr>
                <w:sz w:val="20"/>
                <w:szCs w:val="20"/>
                <w:color w:val="auto"/>
              </w:rPr>
            </w:pPr>
            <w:r>
              <w:rPr>
                <w:rFonts w:ascii="Arial" w:cs="Arial" w:eastAsia="Arial" w:hAnsi="Arial"/>
                <w:sz w:val="16"/>
                <w:szCs w:val="16"/>
                <w:color w:val="auto"/>
              </w:rPr>
              <w:t>U.S.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1,856,406</w:t>
            </w:r>
          </w:p>
        </w:tc>
        <w:tc>
          <w:tcPr>
            <w:tcW w:w="120" w:type="dxa"/>
            <w:vAlign w:val="bottom"/>
          </w:tcPr>
          <w:p>
            <w:pPr>
              <w:spacing w:after="0"/>
              <w:rPr>
                <w:sz w:val="20"/>
                <w:szCs w:val="20"/>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1,995,227</w:t>
            </w:r>
          </w:p>
        </w:tc>
      </w:tr>
      <w:tr>
        <w:trPr>
          <w:trHeight w:val="33"/>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450,974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436,024</w:t>
            </w:r>
          </w:p>
        </w:tc>
      </w:tr>
      <w:tr>
        <w:trPr>
          <w:trHeight w:val="270"/>
        </w:trPr>
        <w:tc>
          <w:tcPr>
            <w:tcW w:w="8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265,527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211,028</w:t>
            </w:r>
          </w:p>
        </w:tc>
      </w:tr>
      <w:tr>
        <w:trPr>
          <w:trHeight w:val="244"/>
        </w:trPr>
        <w:tc>
          <w:tcPr>
            <w:tcW w:w="8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2,572,907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2,642,279</w:t>
            </w:r>
          </w:p>
        </w:tc>
      </w:tr>
      <w:tr>
        <w:trPr>
          <w:trHeight w:val="20"/>
        </w:trPr>
        <w:tc>
          <w:tcPr>
            <w:tcW w:w="8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intangible assets and deferred tax assets,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DECEMBER 25, 2016</w:t>
            </w:r>
          </w:p>
        </w:tc>
      </w:tr>
      <w:tr>
        <w:trPr>
          <w:trHeight w:val="237"/>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1,164,322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1,231,154</w:t>
            </w:r>
          </w:p>
        </w:tc>
      </w:tr>
      <w:tr>
        <w:trPr>
          <w:trHeight w:val="270"/>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144,353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136,264</w:t>
            </w:r>
          </w:p>
        </w:tc>
      </w:tr>
      <w:tr>
        <w:trPr>
          <w:trHeight w:val="255"/>
        </w:trPr>
        <w:tc>
          <w:tcPr>
            <w:tcW w:w="8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1,308,675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1,367,418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3,750,959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3,797,309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3,879,743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410,249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318,881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287,698</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52,138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136,122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210,235</w:t>
            </w:r>
          </w:p>
        </w:tc>
        <w:tc>
          <w:tcPr>
            <w:tcW w:w="0" w:type="dxa"/>
            <w:vAlign w:val="bottom"/>
          </w:tcPr>
          <w:p>
            <w:pPr>
              <w:spacing w:after="0"/>
              <w:rPr>
                <w:sz w:val="1"/>
                <w:szCs w:val="1"/>
                <w:color w:val="auto"/>
              </w:rPr>
            </w:pPr>
          </w:p>
        </w:tc>
      </w:tr>
      <w:tr>
        <w:trPr>
          <w:trHeight w:val="204"/>
        </w:trPr>
        <w:tc>
          <w:tcPr>
            <w:tcW w:w="74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4,213,346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4,252,312</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4,377,676</w:t>
            </w:r>
          </w:p>
        </w:tc>
        <w:tc>
          <w:tcPr>
            <w:tcW w:w="0" w:type="dxa"/>
            <w:vAlign w:val="bottom"/>
          </w:tcPr>
          <w:p>
            <w:pPr>
              <w:spacing w:after="0"/>
              <w:rPr>
                <w:sz w:val="1"/>
                <w:szCs w:val="1"/>
                <w:color w:val="auto"/>
              </w:rPr>
            </w:pPr>
          </w:p>
        </w:tc>
      </w:tr>
      <w:tr>
        <w:trPr>
          <w:trHeight w:val="222"/>
        </w:trPr>
        <w:tc>
          <w:tcPr>
            <w:tcW w:w="74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vMerge w:val="continue"/>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Selected Quarterly Financial Data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2017 FISCAL QUARTERS</w:t>
            </w:r>
          </w:p>
        </w:tc>
        <w:tc>
          <w:tcPr>
            <w:tcW w:w="30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(1)</w:t>
            </w:r>
          </w:p>
        </w:tc>
        <w:tc>
          <w:tcPr>
            <w:tcW w:w="26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(1)</w:t>
            </w:r>
          </w:p>
        </w:tc>
        <w:tc>
          <w:tcPr>
            <w:tcW w:w="280" w:type="dxa"/>
            <w:vAlign w:val="bottom"/>
          </w:tcPr>
          <w:p>
            <w:pPr>
              <w:spacing w:after="0"/>
              <w:rPr>
                <w:sz w:val="14"/>
                <w:szCs w:val="1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(1)</w:t>
            </w:r>
          </w:p>
        </w:tc>
        <w:tc>
          <w:tcPr>
            <w:tcW w:w="240" w:type="dxa"/>
            <w:vAlign w:val="bottom"/>
          </w:tcPr>
          <w:p>
            <w:pPr>
              <w:spacing w:after="0"/>
              <w:rPr>
                <w:sz w:val="14"/>
                <w:szCs w:val="1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1,143,823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948,899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1,087,642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69,130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42,154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31,626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43,910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35,630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4,336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16,367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2016 FISCAL QUARTERS</w:t>
            </w:r>
          </w:p>
        </w:tc>
        <w:tc>
          <w:tcPr>
            <w:tcW w:w="300" w:type="dxa"/>
            <w:vAlign w:val="bottom"/>
          </w:tcPr>
          <w:p>
            <w:pPr>
              <w:spacing w:after="0"/>
              <w:rPr>
                <w:sz w:val="24"/>
                <w:szCs w:val="24"/>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FIRST (2)</w:t>
            </w:r>
          </w:p>
        </w:tc>
        <w:tc>
          <w:tcPr>
            <w:tcW w:w="260" w:type="dxa"/>
            <w:vAlign w:val="bottom"/>
          </w:tcPr>
          <w:p>
            <w:pPr>
              <w:spacing w:after="0"/>
              <w:rPr>
                <w:sz w:val="24"/>
                <w:szCs w:val="2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 (2)</w:t>
            </w:r>
          </w:p>
        </w:tc>
        <w:tc>
          <w:tcPr>
            <w:tcW w:w="280" w:type="dxa"/>
            <w:vAlign w:val="bottom"/>
          </w:tcPr>
          <w:p>
            <w:pPr>
              <w:spacing w:after="0"/>
              <w:rPr>
                <w:sz w:val="24"/>
                <w:szCs w:val="24"/>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THIRD (2)</w:t>
            </w:r>
          </w:p>
        </w:tc>
        <w:tc>
          <w:tcPr>
            <w:tcW w:w="240" w:type="dxa"/>
            <w:vAlign w:val="bottom"/>
          </w:tcPr>
          <w:p>
            <w:pPr>
              <w:spacing w:after="0"/>
              <w:rPr>
                <w:sz w:val="24"/>
                <w:szCs w:val="24"/>
                <w:color w:val="auto"/>
              </w:rPr>
            </w:pPr>
          </w:p>
        </w:tc>
        <w:tc>
          <w:tcPr>
            <w:tcW w:w="13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FOURTH (2)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3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1,164,188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1,078,588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1,005,387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1,004,149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86,684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13,333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31,734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30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34,475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20,733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ind w:left="1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Arial" w:cs="Arial" w:eastAsia="Arial" w:hAnsi="Arial"/>
                <w:sz w:val="16"/>
                <w:szCs w:val="16"/>
                <w:color w:val="auto"/>
              </w:rPr>
              <w:t>____________________</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652"/>
        <w:spacing w:after="0" w:line="22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Total revenues for the fourth quarter include an increase of $80.4 million for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Income from operations in the first, second, third and fourth quarters include expense of $17.6 million, $3.0 million, $20.0 million and $25.7 million, respectively, for impairments, closing costs and severance related to: (i) approved closure and restructuring initiatives, (ii) the relocation of certain restaurants, (iii) the remeasurement of certain surplus properties, (iv) a restructuring event and (v) our China subsidiary. Net income for the second and third quarters include gains on the sale of certain restaurants of $7.4 million and $8.4 million, respectively. Includes $0.11 of additional earnings per share from a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operating week in 2017.</w:t>
      </w:r>
    </w:p>
    <w:p>
      <w:pPr>
        <w:spacing w:after="0" w:line="2" w:lineRule="exact"/>
        <w:rPr>
          <w:rFonts w:ascii="Arial" w:cs="Arial" w:eastAsia="Arial" w:hAnsi="Arial"/>
          <w:sz w:val="16"/>
          <w:szCs w:val="16"/>
          <w:color w:val="auto"/>
        </w:rPr>
      </w:pPr>
    </w:p>
    <w:p>
      <w:pPr>
        <w:jc w:val="both"/>
        <w:ind w:left="660" w:hanging="652"/>
        <w:spacing w:after="0" w:line="249"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Income from operations in the first, second, third and fourth quarters include expense of $3.6 million, $39.6 million, $3.2 million and $56.5 million, respectively. for impairments, closing costs and severance related to: (i) approved closure and restructuring initiatives, (ii) the Company’s decision to sell Outback Steakhouse South Korea, (iii) its Puerto Rico subsidiary, (iv) the relocation of certain restaurants and (v) a restructuring event, partially offset by the fourth quarter reversal of $3.3 million of deferred rent liabilities in connection with the 2017 Closure Initiative. Net income for the first quarter includes $26.6 million related to the defeasance of the 2012 CMBS loan.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and Administrative Officer, as appropriate to allow timely decisions regarding required disclosure. We carried out an evaluation, under the supervision and with the participation of our management, including our Chief Executive Officer and Chief Financial and Administrative Officer, of the effectiveness of our disclosure controls and procedures as of the end of the period covered by this report. Based on that evaluation, the Chief Executive Officer and Chief Financial and Administrative Officer concluded that our disclosure controls and procedures were effective as of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our most recent quarter ended December 31, 2017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relating to our directors and nominees will be included under the captions “Proposal No. 1: Election of Directors—Nominees for Election at this Annual Meeting” and “—Directors Continuing in Office” in our definitive Proxy Statement for the 2018 Annual Meeting of Stockholders (“Definitive Proxy Statement”) and is incorporated herein by reference.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“Executive Officers of the Registrant” in Part I of this Report on Form 10-K.</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regarding compliance with Section 16(a) of the Securities Act of 1934 will be included under the caption “Ownership of Securities—Section 16(a) Beneficial Ownership Reporting Compliance” in our Definitive Proxy Statement and is incorporated herein by reference.</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adopted a Business Conduct and Code of Ethics that applies to all employees. A copy of our Business Conduct and Code of Ethics is available on our website, free of charge. The Internet address for our website is www.bloominbrands.com, and the Business Conduct and Code of Ethics may be found on our main webpage by clicking first on “Investors” and then on “Corporate Governance” and next on “Code of Business Conduct and Ethics.”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intend to satisfy any disclosure requirement under Item 5.05 of Form 8-K regarding an amendment to, or waiver from, a provision of this code of ethics by posting such information on our website, on the webpage found by clicking through to “Code of Business Conduct and Ethics” as specified above.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regarding our Audit Committee will be included under the caption “Proposal No. 1: Election of Directors —Board Committees and Meetings” in our Definitive Proxy Statement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required by this item will be included under the captions “Proposal No. 1: Election of Directors—Director Compensation” and “Executive Compensation and Related Information” in our Definitive Proxy Statement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Registered Certified Public Accounting Firm” in our Definitive Proxy Statement and is incorporated herein by reference.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29"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31, 2017 and December 25, 2016</w:t>
      </w:r>
    </w:p>
    <w:p>
      <w:pPr>
        <w:spacing w:after="0" w:line="15" w:lineRule="exact"/>
        <w:rPr>
          <w:rFonts w:ascii="Arial" w:cs="Arial" w:eastAsia="Arial" w:hAnsi="Arial"/>
          <w:sz w:val="20"/>
          <w:szCs w:val="20"/>
          <w:b w:val="1"/>
          <w:bCs w:val="1"/>
          <w:color w:val="auto"/>
        </w:rPr>
      </w:pPr>
    </w:p>
    <w:p>
      <w:pPr>
        <w:ind w:left="660" w:hanging="328"/>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Income – Fiscal years 2017, 2016, and 2015</w:t>
      </w:r>
    </w:p>
    <w:p>
      <w:pPr>
        <w:ind w:left="660" w:hanging="328"/>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2017, 2016, and 2015</w:t>
      </w:r>
    </w:p>
    <w:p>
      <w:pPr>
        <w:ind w:left="660" w:hanging="328"/>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2017, 2016, and 2015</w:t>
      </w:r>
    </w:p>
    <w:p>
      <w:pPr>
        <w:ind w:left="660" w:hanging="328"/>
        <w:spacing w:after="0"/>
        <w:tabs>
          <w:tab w:leader="none" w:pos="6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6740" w:type="dxa"/>
            <w:vAlign w:val="bottom"/>
            <w:gridSpan w:val="2"/>
          </w:tcPr>
          <w:p>
            <w:pPr>
              <w:ind w:left="222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32" w:lineRule="exact"/>
        <w:rPr>
          <w:sz w:val="20"/>
          <w:szCs w:val="20"/>
          <w:color w:val="auto"/>
        </w:rPr>
      </w:pPr>
    </w:p>
    <w:p>
      <w:pPr>
        <w:sectPr>
          <w:pgSz w:w="11900" w:h="16838" w:orient="portrait"/>
          <w:cols w:equalWidth="0" w:num="1">
            <w:col w:w="11420"/>
          </w:cols>
          <w:pgMar w:left="240" w:top="122" w:right="239" w:bottom="1440" w:gutter="0" w:footer="0" w:header="0"/>
        </w:sectPr>
      </w:pPr>
    </w:p>
    <w:tbl>
      <w:tblPr>
        <w:tblLayout w:type="fixed"/>
        <w:tblInd w:w="400" w:type="dxa"/>
        <w:tblCellMar>
          <w:top w:w="0" w:type="dxa"/>
          <w:left w:w="0" w:type="dxa"/>
          <w:bottom w:w="0" w:type="dxa"/>
          <w:right w:w="0" w:type="dxa"/>
        </w:tblCellMar>
      </w:tblPr>
      <w:tr>
        <w:trPr>
          <w:trHeight w:val="250"/>
        </w:trPr>
        <w:tc>
          <w:tcPr>
            <w:tcW w:w="800" w:type="dxa"/>
            <w:vAlign w:val="bottom"/>
          </w:tcPr>
          <w:p>
            <w:pPr>
              <w:jc w:val="right"/>
              <w:ind w:right="441"/>
              <w:spacing w:after="0"/>
              <w:rPr>
                <w:sz w:val="20"/>
                <w:szCs w:val="20"/>
                <w:color w:val="auto"/>
              </w:rPr>
            </w:pPr>
            <w:r>
              <w:rPr>
                <w:rFonts w:ascii="Arial" w:cs="Arial" w:eastAsia="Arial" w:hAnsi="Arial"/>
                <w:sz w:val="20"/>
                <w:szCs w:val="20"/>
                <w:color w:val="auto"/>
                <w:w w:val="86"/>
              </w:rPr>
              <w:t>3.1</w:t>
            </w:r>
          </w:p>
        </w:tc>
        <w:tc>
          <w:tcPr>
            <w:tcW w:w="6380" w:type="dxa"/>
            <w:vAlign w:val="bottom"/>
            <w:gridSpan w:val="3"/>
            <w:vMerge w:val="restart"/>
          </w:tcPr>
          <w:p>
            <w:pPr>
              <w:spacing w:after="0"/>
              <w:rPr>
                <w:rFonts w:ascii="Arial" w:cs="Arial" w:eastAsia="Arial" w:hAnsi="Arial"/>
                <w:sz w:val="20"/>
                <w:szCs w:val="20"/>
                <w:color w:val="0000FF"/>
                <w:w w:val="90"/>
              </w:rPr>
            </w:pPr>
            <w:hyperlink r:id="rId68">
              <w:r>
                <w:rPr>
                  <w:rFonts w:ascii="Arial" w:cs="Arial" w:eastAsia="Arial" w:hAnsi="Arial"/>
                  <w:sz w:val="20"/>
                  <w:szCs w:val="20"/>
                  <w:color w:val="0000FF"/>
                  <w:w w:val="90"/>
                </w:rPr>
                <w:t>Second Amended and Restated Certificate of Incorporation of Bloomin’ Brands,</w:t>
              </w:r>
            </w:hyperlink>
          </w:p>
        </w:tc>
        <w:tc>
          <w:tcPr>
            <w:tcW w:w="0" w:type="dxa"/>
            <w:vAlign w:val="bottom"/>
          </w:tcPr>
          <w:p>
            <w:pPr>
              <w:spacing w:after="0"/>
              <w:rPr>
                <w:sz w:val="1"/>
                <w:szCs w:val="1"/>
                <w:color w:val="auto"/>
              </w:rPr>
            </w:pPr>
          </w:p>
        </w:tc>
      </w:tr>
      <w:tr>
        <w:trPr>
          <w:trHeight w:val="42"/>
        </w:trPr>
        <w:tc>
          <w:tcPr>
            <w:tcW w:w="800" w:type="dxa"/>
            <w:vAlign w:val="bottom"/>
          </w:tcPr>
          <w:p>
            <w:pPr>
              <w:spacing w:after="0"/>
              <w:rPr>
                <w:sz w:val="3"/>
                <w:szCs w:val="3"/>
                <w:color w:val="auto"/>
              </w:rPr>
            </w:pPr>
          </w:p>
        </w:tc>
        <w:tc>
          <w:tcPr>
            <w:tcW w:w="6380" w:type="dxa"/>
            <w:vAlign w:val="bottom"/>
            <w:tcBorders>
              <w:bottom w:val="single" w:sz="8" w:color="0000FF"/>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0" w:type="dxa"/>
            <w:vAlign w:val="bottom"/>
            <w:tcBorders>
              <w:bottom w:val="single" w:sz="8" w:color="0000FF"/>
            </w:tcBorders>
          </w:tcPr>
          <w:p>
            <w:pPr>
              <w:spacing w:after="0" w:line="209" w:lineRule="exact"/>
              <w:rPr>
                <w:rFonts w:ascii="Arial" w:cs="Arial" w:eastAsia="Arial" w:hAnsi="Arial"/>
                <w:sz w:val="20"/>
                <w:szCs w:val="20"/>
                <w:color w:val="0000FF"/>
                <w:w w:val="86"/>
              </w:rPr>
            </w:pPr>
            <w:hyperlink r:id="rId68">
              <w:r>
                <w:rPr>
                  <w:rFonts w:ascii="Arial" w:cs="Arial" w:eastAsia="Arial" w:hAnsi="Arial"/>
                  <w:sz w:val="20"/>
                  <w:szCs w:val="20"/>
                  <w:color w:val="0000FF"/>
                  <w:w w:val="86"/>
                </w:rPr>
                <w:t>Inc.</w:t>
              </w:r>
            </w:hyperlink>
          </w:p>
        </w:tc>
        <w:tc>
          <w:tcPr>
            <w:tcW w:w="6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800" w:type="dxa"/>
            <w:vAlign w:val="bottom"/>
          </w:tcPr>
          <w:p>
            <w:pPr>
              <w:jc w:val="right"/>
              <w:ind w:right="441"/>
              <w:spacing w:after="0"/>
              <w:rPr>
                <w:sz w:val="20"/>
                <w:szCs w:val="20"/>
                <w:color w:val="auto"/>
              </w:rPr>
            </w:pPr>
            <w:r>
              <w:rPr>
                <w:rFonts w:ascii="Arial" w:cs="Arial" w:eastAsia="Arial" w:hAnsi="Arial"/>
                <w:sz w:val="20"/>
                <w:szCs w:val="20"/>
                <w:color w:val="auto"/>
                <w:w w:val="86"/>
              </w:rPr>
              <w:t>3.2</w:t>
            </w:r>
          </w:p>
        </w:tc>
        <w:tc>
          <w:tcPr>
            <w:tcW w:w="6380" w:type="dxa"/>
            <w:vAlign w:val="bottom"/>
            <w:gridSpan w:val="3"/>
          </w:tcPr>
          <w:p>
            <w:pPr>
              <w:spacing w:after="0"/>
              <w:rPr>
                <w:rFonts w:ascii="Arial" w:cs="Arial" w:eastAsia="Arial" w:hAnsi="Arial"/>
                <w:sz w:val="20"/>
                <w:szCs w:val="20"/>
                <w:color w:val="0000FF"/>
              </w:rPr>
            </w:pPr>
            <w:hyperlink r:id="rId69">
              <w:r>
                <w:rPr>
                  <w:rFonts w:ascii="Arial" w:cs="Arial" w:eastAsia="Arial" w:hAnsi="Arial"/>
                  <w:sz w:val="20"/>
                  <w:szCs w:val="20"/>
                  <w:color w:val="0000FF"/>
                </w:rPr>
                <w:t>Second Amended and Restated Bylaws of Bloomin’ Brands, Inc.</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Registration Statement on Form S-8, File No. 333-183270, filed on August 13, 2012, Exhibit 4.1</w:t>
      </w:r>
    </w:p>
    <w:p>
      <w:pPr>
        <w:spacing w:after="0" w:line="308"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Registration Statement on Form S-8, File No. 333-183270, filed on August 13, 2012, Exhibit 4.2</w:t>
      </w:r>
    </w:p>
    <w:p>
      <w:pPr>
        <w:spacing w:after="0" w:line="200" w:lineRule="exact"/>
        <w:rPr>
          <w:sz w:val="20"/>
          <w:szCs w:val="20"/>
          <w:color w:val="auto"/>
        </w:rPr>
      </w:pPr>
    </w:p>
    <w:p>
      <w:pPr>
        <w:sectPr>
          <w:pgSz w:w="11900" w:h="16838" w:orient="portrait"/>
          <w:cols w:equalWidth="0" w:num="2">
            <w:col w:w="7580" w:space="340"/>
            <w:col w:w="3500"/>
          </w:cols>
          <w:pgMar w:left="240" w:top="122" w:right="239" w:bottom="1440" w:gutter="0" w:footer="0" w:header="0"/>
          <w:type w:val="continuous"/>
        </w:sectPr>
      </w:pPr>
    </w:p>
    <w:p>
      <w:pPr>
        <w:spacing w:after="0" w:line="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800" w:type="dxa"/>
            <w:vAlign w:val="bottom"/>
          </w:tcPr>
          <w:p>
            <w:pPr>
              <w:jc w:val="right"/>
              <w:ind w:right="441"/>
              <w:spacing w:after="0"/>
              <w:rPr>
                <w:sz w:val="20"/>
                <w:szCs w:val="20"/>
                <w:color w:val="auto"/>
              </w:rPr>
            </w:pPr>
            <w:r>
              <w:rPr>
                <w:rFonts w:ascii="Arial" w:cs="Arial" w:eastAsia="Arial" w:hAnsi="Arial"/>
                <w:sz w:val="20"/>
                <w:szCs w:val="20"/>
                <w:color w:val="auto"/>
                <w:w w:val="86"/>
              </w:rPr>
              <w:t>4.1</w:t>
            </w:r>
          </w:p>
        </w:tc>
        <w:tc>
          <w:tcPr>
            <w:tcW w:w="4760" w:type="dxa"/>
            <w:vAlign w:val="bottom"/>
            <w:gridSpan w:val="2"/>
          </w:tcPr>
          <w:p>
            <w:pPr>
              <w:spacing w:after="0"/>
              <w:rPr>
                <w:rFonts w:ascii="Arial" w:cs="Arial" w:eastAsia="Arial" w:hAnsi="Arial"/>
                <w:sz w:val="20"/>
                <w:szCs w:val="20"/>
                <w:color w:val="0000FF"/>
              </w:rPr>
            </w:pPr>
            <w:hyperlink r:id="rId70">
              <w:r>
                <w:rPr>
                  <w:rFonts w:ascii="Arial" w:cs="Arial" w:eastAsia="Arial" w:hAnsi="Arial"/>
                  <w:sz w:val="20"/>
                  <w:szCs w:val="20"/>
                  <w:color w:val="0000FF"/>
                </w:rPr>
                <w:t>Form of Common Stock Certificate</w:t>
              </w:r>
            </w:hyperlink>
          </w:p>
        </w:tc>
        <w:tc>
          <w:tcPr>
            <w:tcW w:w="5360" w:type="dxa"/>
            <w:vAlign w:val="bottom"/>
          </w:tcPr>
          <w:p>
            <w:pPr>
              <w:ind w:left="1960"/>
              <w:spacing w:after="0"/>
              <w:rPr>
                <w:sz w:val="20"/>
                <w:szCs w:val="20"/>
                <w:color w:val="auto"/>
              </w:rPr>
            </w:pPr>
            <w:r>
              <w:rPr>
                <w:rFonts w:ascii="Arial" w:cs="Arial" w:eastAsia="Arial" w:hAnsi="Arial"/>
                <w:sz w:val="20"/>
                <w:szCs w:val="20"/>
                <w:color w:val="auto"/>
              </w:rPr>
              <w:t>Amendment No. 4 to Registration</w:t>
            </w:r>
          </w:p>
        </w:tc>
      </w:tr>
      <w:tr>
        <w:trPr>
          <w:trHeight w:val="233"/>
        </w:trPr>
        <w:tc>
          <w:tcPr>
            <w:tcW w:w="800" w:type="dxa"/>
            <w:vAlign w:val="bottom"/>
          </w:tcPr>
          <w:p>
            <w:pPr>
              <w:spacing w:after="0"/>
              <w:rPr>
                <w:sz w:val="20"/>
                <w:szCs w:val="20"/>
                <w:color w:val="auto"/>
              </w:rPr>
            </w:pPr>
          </w:p>
        </w:tc>
        <w:tc>
          <w:tcPr>
            <w:tcW w:w="2820" w:type="dxa"/>
            <w:vAlign w:val="bottom"/>
            <w:tcBorders>
              <w:top w:val="single" w:sz="8" w:color="0000FF"/>
            </w:tcBorders>
          </w:tcPr>
          <w:p>
            <w:pPr>
              <w:spacing w:after="0"/>
              <w:rPr>
                <w:sz w:val="20"/>
                <w:szCs w:val="20"/>
                <w:color w:val="auto"/>
              </w:rPr>
            </w:pPr>
          </w:p>
        </w:tc>
        <w:tc>
          <w:tcPr>
            <w:tcW w:w="1940" w:type="dxa"/>
            <w:vAlign w:val="bottom"/>
          </w:tcPr>
          <w:p>
            <w:pPr>
              <w:spacing w:after="0"/>
              <w:rPr>
                <w:sz w:val="20"/>
                <w:szCs w:val="20"/>
                <w:color w:val="auto"/>
              </w:rPr>
            </w:pPr>
          </w:p>
        </w:tc>
        <w:tc>
          <w:tcPr>
            <w:tcW w:w="5360" w:type="dxa"/>
            <w:vAlign w:val="bottom"/>
          </w:tcPr>
          <w:p>
            <w:pPr>
              <w:ind w:left="1960"/>
              <w:spacing w:after="0"/>
              <w:rPr>
                <w:sz w:val="20"/>
                <w:szCs w:val="20"/>
                <w:color w:val="auto"/>
              </w:rPr>
            </w:pPr>
            <w:r>
              <w:rPr>
                <w:rFonts w:ascii="Arial" w:cs="Arial" w:eastAsia="Arial" w:hAnsi="Arial"/>
                <w:sz w:val="20"/>
                <w:szCs w:val="20"/>
                <w:color w:val="auto"/>
              </w:rPr>
              <w:t>Statement on Form S-1, File No. 333-</w:t>
            </w:r>
          </w:p>
        </w:tc>
      </w:tr>
      <w:tr>
        <w:trPr>
          <w:trHeight w:val="250"/>
        </w:trPr>
        <w:tc>
          <w:tcPr>
            <w:tcW w:w="8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360" w:type="dxa"/>
            <w:vAlign w:val="bottom"/>
          </w:tcPr>
          <w:p>
            <w:pPr>
              <w:ind w:left="1960"/>
              <w:spacing w:after="0"/>
              <w:rPr>
                <w:sz w:val="20"/>
                <w:szCs w:val="20"/>
                <w:color w:val="auto"/>
              </w:rPr>
            </w:pPr>
            <w:r>
              <w:rPr>
                <w:rFonts w:ascii="Arial" w:cs="Arial" w:eastAsia="Arial" w:hAnsi="Arial"/>
                <w:sz w:val="20"/>
                <w:szCs w:val="20"/>
                <w:color w:val="auto"/>
                <w:w w:val="91"/>
              </w:rPr>
              <w:t>180615, filed on July 18, 2012, Exhibit 4.1</w:t>
            </w:r>
          </w:p>
        </w:tc>
      </w:tr>
    </w:tbl>
    <w:p>
      <w:pPr>
        <w:spacing w:after="0" w:line="155"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841"/>
        <w:spacing w:after="0" w:line="273" w:lineRule="auto"/>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10.1</w:t>
      </w:r>
      <w:r>
        <w:rPr>
          <w:sz w:val="20"/>
          <w:szCs w:val="20"/>
          <w:color w:val="auto"/>
        </w:rPr>
        <w:tab/>
      </w:r>
      <w:hyperlink r:id="rId71">
        <w:r>
          <w:rPr>
            <w:rFonts w:ascii="Arial" w:cs="Arial" w:eastAsia="Arial" w:hAnsi="Arial"/>
            <w:sz w:val="18"/>
            <w:szCs w:val="18"/>
            <w:u w:val="single" w:color="auto"/>
            <w:color w:val="0000FF"/>
          </w:rPr>
          <w:t>Royalty Agreement dated April 1995 among Carrabba’s Italian Grill, Inc.,</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Outback Steakhouse, Inc., Mangia Beve, Inc., Carrabba, Inc., Carrabba Woodway,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Inc., John C. Carrabba, III, Damian C. Mandola, and John C. Carrabba, Jr., as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amended by First Amendment to Royalty Agreement dated January 1997 and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Second Amendment to Royalty Agreement made and entered into effective April</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7, 2010 by and among Carrabba’s Italian Grill, LLC, OSI Restaurant Partners,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LLC, Mangia Beve, Inc., Mangia Beve II, Inc., Original, Inc., Voss, Inc., John C.</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Carrabba, III, Damian C. Mandola, and John C. Carrabba, Jr.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10.6</w:t>
      </w:r>
    </w:p>
    <w:p>
      <w:pPr>
        <w:spacing w:after="0" w:line="1269" w:lineRule="exact"/>
        <w:rPr>
          <w:rFonts w:ascii="Arial" w:cs="Arial" w:eastAsia="Arial" w:hAnsi="Arial"/>
          <w:sz w:val="18"/>
          <w:szCs w:val="18"/>
          <w:u w:val="single" w:color="auto"/>
          <w:color w:val="0000FF"/>
        </w:rPr>
      </w:pPr>
    </w:p>
    <w:p>
      <w:pPr>
        <w:sectPr>
          <w:pgSz w:w="11900" w:h="16838" w:orient="portrait"/>
          <w:cols w:equalWidth="0" w:num="2">
            <w:col w:w="7720" w:space="200"/>
            <w:col w:w="3500"/>
          </w:cols>
          <w:pgMar w:left="240" w:top="122" w:right="239" w:bottom="1440" w:gutter="0" w:footer="0" w:header="0"/>
          <w:type w:val="continuous"/>
        </w:sectPr>
      </w:pPr>
    </w:p>
    <w:tbl>
      <w:tblPr>
        <w:tblLayout w:type="fixed"/>
        <w:tblInd w:w="360" w:type="dxa"/>
        <w:tblCellMar>
          <w:top w:w="0" w:type="dxa"/>
          <w:left w:w="0" w:type="dxa"/>
          <w:bottom w:w="0" w:type="dxa"/>
          <w:right w:w="0" w:type="dxa"/>
        </w:tblCellMar>
      </w:tblPr>
      <w:tr>
        <w:trPr>
          <w:trHeight w:val="230"/>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10.2</w:t>
            </w:r>
          </w:p>
        </w:tc>
        <w:tc>
          <w:tcPr>
            <w:tcW w:w="6620" w:type="dxa"/>
            <w:vAlign w:val="bottom"/>
            <w:gridSpan w:val="6"/>
          </w:tcPr>
          <w:p>
            <w:pPr>
              <w:spacing w:after="0"/>
              <w:rPr>
                <w:rFonts w:ascii="Arial" w:cs="Arial" w:eastAsia="Arial" w:hAnsi="Arial"/>
                <w:sz w:val="20"/>
                <w:szCs w:val="20"/>
                <w:color w:val="0000FF"/>
                <w:w w:val="92"/>
              </w:rPr>
            </w:pPr>
            <w:hyperlink r:id="rId72">
              <w:r>
                <w:rPr>
                  <w:rFonts w:ascii="Arial" w:cs="Arial" w:eastAsia="Arial" w:hAnsi="Arial"/>
                  <w:sz w:val="20"/>
                  <w:szCs w:val="20"/>
                  <w:color w:val="0000FF"/>
                  <w:w w:val="92"/>
                </w:rPr>
                <w:t>Third Amendment to Royalty Agreement made and entered into effective June 1,</w:t>
              </w:r>
            </w:hyperlink>
          </w:p>
        </w:tc>
        <w:tc>
          <w:tcPr>
            <w:tcW w:w="3220" w:type="dxa"/>
            <w:vAlign w:val="bottom"/>
          </w:tcPr>
          <w:p>
            <w:pPr>
              <w:ind w:left="100"/>
              <w:spacing w:after="0"/>
              <w:rPr>
                <w:sz w:val="20"/>
                <w:szCs w:val="20"/>
                <w:color w:val="auto"/>
              </w:rPr>
            </w:pPr>
            <w:r>
              <w:rPr>
                <w:rFonts w:ascii="Arial" w:cs="Arial" w:eastAsia="Arial" w:hAnsi="Arial"/>
                <w:sz w:val="20"/>
                <w:szCs w:val="20"/>
                <w:color w:val="auto"/>
                <w:w w:val="89"/>
              </w:rPr>
              <w:t>June 29, 2014 Form 10-Q, Exhibit 10.6</w:t>
            </w:r>
          </w:p>
        </w:tc>
      </w:tr>
      <w:tr>
        <w:trPr>
          <w:trHeight w:val="20"/>
        </w:trPr>
        <w:tc>
          <w:tcPr>
            <w:tcW w:w="8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6620" w:type="dxa"/>
            <w:vAlign w:val="bottom"/>
            <w:gridSpan w:val="6"/>
          </w:tcPr>
          <w:p>
            <w:pPr>
              <w:spacing w:after="0" w:line="209" w:lineRule="exact"/>
              <w:rPr>
                <w:rFonts w:ascii="Arial" w:cs="Arial" w:eastAsia="Arial" w:hAnsi="Arial"/>
                <w:sz w:val="20"/>
                <w:szCs w:val="20"/>
                <w:color w:val="0000FF"/>
                <w:w w:val="92"/>
              </w:rPr>
            </w:pPr>
            <w:hyperlink r:id="rId72">
              <w:r>
                <w:rPr>
                  <w:rFonts w:ascii="Arial" w:cs="Arial" w:eastAsia="Arial" w:hAnsi="Arial"/>
                  <w:sz w:val="20"/>
                  <w:szCs w:val="20"/>
                  <w:color w:val="0000FF"/>
                  <w:w w:val="92"/>
                </w:rPr>
                <w:t>2014, by and among Carrabba’s Italian Grill, LLC, OSI Restaurant Partners, LLC,</w:t>
              </w:r>
            </w:hyperlink>
          </w:p>
        </w:tc>
        <w:tc>
          <w:tcPr>
            <w:tcW w:w="32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72">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2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6620" w:type="dxa"/>
            <w:vAlign w:val="bottom"/>
            <w:gridSpan w:val="6"/>
          </w:tcPr>
          <w:p>
            <w:pPr>
              <w:spacing w:after="0" w:line="209" w:lineRule="exact"/>
              <w:rPr>
                <w:rFonts w:ascii="Arial" w:cs="Arial" w:eastAsia="Arial" w:hAnsi="Arial"/>
                <w:sz w:val="20"/>
                <w:szCs w:val="20"/>
                <w:color w:val="0000FF"/>
              </w:rPr>
            </w:pPr>
            <w:hyperlink r:id="rId72">
              <w:r>
                <w:rPr>
                  <w:rFonts w:ascii="Arial" w:cs="Arial" w:eastAsia="Arial" w:hAnsi="Arial"/>
                  <w:sz w:val="20"/>
                  <w:szCs w:val="20"/>
                  <w:color w:val="0000FF"/>
                </w:rPr>
                <w:t>Carrabba, III, Damian C. Mandola, and John C. Carrabba, Jr.</w:t>
              </w:r>
            </w:hyperlink>
          </w:p>
        </w:tc>
        <w:tc>
          <w:tcPr>
            <w:tcW w:w="322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385"/>
        </w:trPr>
        <w:tc>
          <w:tcPr>
            <w:tcW w:w="840" w:type="dxa"/>
            <w:vAlign w:val="bottom"/>
          </w:tcPr>
          <w:p>
            <w:pPr>
              <w:jc w:val="right"/>
              <w:ind w:right="401"/>
              <w:spacing w:after="0"/>
              <w:rPr>
                <w:sz w:val="20"/>
                <w:szCs w:val="20"/>
                <w:color w:val="auto"/>
              </w:rPr>
            </w:pPr>
            <w:r>
              <w:rPr>
                <w:rFonts w:ascii="Arial" w:cs="Arial" w:eastAsia="Arial" w:hAnsi="Arial"/>
                <w:sz w:val="20"/>
                <w:szCs w:val="20"/>
                <w:color w:val="auto"/>
                <w:w w:val="82"/>
              </w:rPr>
              <w:t>10.3</w:t>
            </w:r>
          </w:p>
        </w:tc>
        <w:tc>
          <w:tcPr>
            <w:tcW w:w="6520" w:type="dxa"/>
            <w:vAlign w:val="bottom"/>
            <w:tcBorders>
              <w:bottom w:val="single" w:sz="8" w:color="0000FF"/>
            </w:tcBorders>
            <w:gridSpan w:val="5"/>
          </w:tcPr>
          <w:p>
            <w:pPr>
              <w:spacing w:after="0"/>
              <w:rPr>
                <w:rFonts w:ascii="Arial" w:cs="Arial" w:eastAsia="Arial" w:hAnsi="Arial"/>
                <w:sz w:val="20"/>
                <w:szCs w:val="20"/>
                <w:color w:val="0000FF"/>
                <w:w w:val="90"/>
              </w:rPr>
            </w:pPr>
            <w:hyperlink r:id="rId73">
              <w:r>
                <w:rPr>
                  <w:rFonts w:ascii="Arial" w:cs="Arial" w:eastAsia="Arial" w:hAnsi="Arial"/>
                  <w:sz w:val="20"/>
                  <w:szCs w:val="20"/>
                  <w:color w:val="0000FF"/>
                  <w:w w:val="90"/>
                </w:rPr>
                <w:t>Fourth Amendment to Royalty Agreement made and entered into effective May 1,</w:t>
              </w:r>
            </w:hyperlink>
          </w:p>
        </w:tc>
        <w:tc>
          <w:tcPr>
            <w:tcW w:w="100" w:type="dxa"/>
            <w:vAlign w:val="bottom"/>
          </w:tcPr>
          <w:p>
            <w:pPr>
              <w:spacing w:after="0"/>
              <w:rPr>
                <w:sz w:val="24"/>
                <w:szCs w:val="24"/>
                <w:color w:val="auto"/>
              </w:rPr>
            </w:pPr>
          </w:p>
        </w:tc>
        <w:tc>
          <w:tcPr>
            <w:tcW w:w="3220" w:type="dxa"/>
            <w:vAlign w:val="bottom"/>
          </w:tcPr>
          <w:p>
            <w:pPr>
              <w:ind w:left="100"/>
              <w:spacing w:after="0"/>
              <w:rPr>
                <w:sz w:val="20"/>
                <w:szCs w:val="20"/>
                <w:color w:val="auto"/>
              </w:rPr>
            </w:pPr>
            <w:r>
              <w:rPr>
                <w:rFonts w:ascii="Arial" w:cs="Arial" w:eastAsia="Arial" w:hAnsi="Arial"/>
                <w:sz w:val="20"/>
                <w:szCs w:val="20"/>
                <w:color w:val="auto"/>
                <w:w w:val="89"/>
              </w:rPr>
              <w:t>June 25, 2017 Form 10-Q, Exhibit 10.1</w:t>
            </w:r>
          </w:p>
        </w:tc>
      </w:tr>
      <w:tr>
        <w:trPr>
          <w:trHeight w:val="210"/>
        </w:trPr>
        <w:tc>
          <w:tcPr>
            <w:tcW w:w="840" w:type="dxa"/>
            <w:vAlign w:val="bottom"/>
          </w:tcPr>
          <w:p>
            <w:pPr>
              <w:spacing w:after="0"/>
              <w:rPr>
                <w:sz w:val="18"/>
                <w:szCs w:val="18"/>
                <w:color w:val="auto"/>
              </w:rPr>
            </w:pPr>
          </w:p>
        </w:tc>
        <w:tc>
          <w:tcPr>
            <w:tcW w:w="6620" w:type="dxa"/>
            <w:vAlign w:val="bottom"/>
            <w:gridSpan w:val="6"/>
          </w:tcPr>
          <w:p>
            <w:pPr>
              <w:spacing w:after="0" w:line="209" w:lineRule="exact"/>
              <w:rPr>
                <w:rFonts w:ascii="Arial" w:cs="Arial" w:eastAsia="Arial" w:hAnsi="Arial"/>
                <w:sz w:val="20"/>
                <w:szCs w:val="20"/>
                <w:color w:val="0000FF"/>
                <w:w w:val="92"/>
              </w:rPr>
            </w:pPr>
            <w:hyperlink r:id="rId73">
              <w:r>
                <w:rPr>
                  <w:rFonts w:ascii="Arial" w:cs="Arial" w:eastAsia="Arial" w:hAnsi="Arial"/>
                  <w:sz w:val="20"/>
                  <w:szCs w:val="20"/>
                  <w:color w:val="0000FF"/>
                  <w:w w:val="92"/>
                </w:rPr>
                <w:t>2017, by and among Carrabba’s Italian Grill, LLC, OSI Restaurant Partners, LLC,</w:t>
              </w:r>
            </w:hyperlink>
          </w:p>
        </w:tc>
        <w:tc>
          <w:tcPr>
            <w:tcW w:w="32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59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73">
              <w:r>
                <w:rPr>
                  <w:rFonts w:ascii="Arial" w:cs="Arial" w:eastAsia="Arial" w:hAnsi="Arial"/>
                  <w:sz w:val="20"/>
                  <w:szCs w:val="20"/>
                  <w:color w:val="0000FF"/>
                  <w:w w:val="91"/>
                </w:rPr>
                <w:t>Mangia Beve, Inc., Mangia Beve II, Inc., Original, Inc., Voss, Inc., John C.</w:t>
              </w:r>
            </w:hyperlink>
          </w:p>
        </w:tc>
        <w:tc>
          <w:tcPr>
            <w:tcW w:w="560" w:type="dxa"/>
            <w:vAlign w:val="bottom"/>
            <w:tcBorders>
              <w:top w:val="single" w:sz="8" w:color="0000FF"/>
            </w:tcBorders>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322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6620" w:type="dxa"/>
            <w:vAlign w:val="bottom"/>
            <w:gridSpan w:val="6"/>
          </w:tcPr>
          <w:p>
            <w:pPr>
              <w:spacing w:after="0" w:line="209" w:lineRule="exact"/>
              <w:rPr>
                <w:rFonts w:ascii="Arial" w:cs="Arial" w:eastAsia="Arial" w:hAnsi="Arial"/>
                <w:sz w:val="20"/>
                <w:szCs w:val="20"/>
                <w:color w:val="0000FF"/>
              </w:rPr>
            </w:pPr>
            <w:hyperlink r:id="rId73">
              <w:r>
                <w:rPr>
                  <w:rFonts w:ascii="Arial" w:cs="Arial" w:eastAsia="Arial" w:hAnsi="Arial"/>
                  <w:sz w:val="20"/>
                  <w:szCs w:val="20"/>
                  <w:color w:val="0000FF"/>
                </w:rPr>
                <w:t>Carrabba, III, Damian C. Mandola, and John C. Carrabba, Jr.</w:t>
              </w:r>
            </w:hyperlink>
          </w:p>
        </w:tc>
        <w:tc>
          <w:tcPr>
            <w:tcW w:w="3220" w:type="dxa"/>
            <w:vAlign w:val="bottom"/>
          </w:tcPr>
          <w:p>
            <w:pPr>
              <w:spacing w:after="0"/>
              <w:rPr>
                <w:sz w:val="18"/>
                <w:szCs w:val="18"/>
                <w:color w:val="auto"/>
              </w:rPr>
            </w:pPr>
          </w:p>
        </w:tc>
      </w:tr>
      <w:tr>
        <w:trPr>
          <w:trHeight w:val="507"/>
        </w:trPr>
        <w:tc>
          <w:tcPr>
            <w:tcW w:w="840" w:type="dxa"/>
            <w:vAlign w:val="bottom"/>
          </w:tcPr>
          <w:p>
            <w:pPr>
              <w:spacing w:after="0"/>
              <w:rPr>
                <w:sz w:val="24"/>
                <w:szCs w:val="24"/>
                <w:color w:val="auto"/>
              </w:rPr>
            </w:pPr>
          </w:p>
        </w:tc>
        <w:tc>
          <w:tcPr>
            <w:tcW w:w="4820" w:type="dxa"/>
            <w:vAlign w:val="bottom"/>
            <w:tcBorders>
              <w:top w:val="single" w:sz="8" w:color="0000FF"/>
            </w:tcBorders>
          </w:tcPr>
          <w:p>
            <w:pPr>
              <w:ind w:left="4380"/>
              <w:spacing w:after="0"/>
              <w:rPr>
                <w:sz w:val="20"/>
                <w:szCs w:val="20"/>
                <w:color w:val="auto"/>
              </w:rPr>
            </w:pPr>
            <w:r>
              <w:rPr>
                <w:rFonts w:ascii="Arial" w:cs="Arial" w:eastAsia="Arial" w:hAnsi="Arial"/>
                <w:sz w:val="18"/>
                <w:szCs w:val="18"/>
                <w:color w:val="auto"/>
              </w:rPr>
              <w:t>114</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6740" w:type="dxa"/>
            <w:vAlign w:val="bottom"/>
            <w:gridSpan w:val="2"/>
          </w:tcPr>
          <w:p>
            <w:pPr>
              <w:ind w:left="222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bl>
    <w:p>
      <w:pPr>
        <w:spacing w:after="0" w:line="132" w:lineRule="exact"/>
        <w:rPr>
          <w:sz w:val="20"/>
          <w:szCs w:val="20"/>
          <w:color w:val="auto"/>
        </w:rPr>
      </w:pPr>
    </w:p>
    <w:p>
      <w:pPr>
        <w:sectPr>
          <w:pgSz w:w="11900" w:h="16838" w:orient="portrait"/>
          <w:cols w:equalWidth="0" w:num="1">
            <w:col w:w="11420"/>
          </w:cols>
          <w:pgMar w:left="240" w:top="122" w:right="239" w:bottom="1440" w:gutter="0" w:footer="0" w:header="0"/>
        </w:sectPr>
      </w:pPr>
    </w:p>
    <w:p>
      <w:pPr>
        <w:ind w:left="1200" w:hanging="841"/>
        <w:spacing w:after="0" w:line="246"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10.4</w:t>
      </w:r>
      <w:r>
        <w:rPr>
          <w:sz w:val="20"/>
          <w:szCs w:val="20"/>
          <w:color w:val="auto"/>
        </w:rPr>
        <w:tab/>
      </w:r>
      <w:hyperlink r:id="rId74">
        <w:r>
          <w:rPr>
            <w:rFonts w:ascii="Arial" w:cs="Arial" w:eastAsia="Arial" w:hAnsi="Arial"/>
            <w:sz w:val="20"/>
            <w:szCs w:val="20"/>
            <w:u w:val="single" w:color="auto"/>
            <w:color w:val="0000FF"/>
          </w:rPr>
          <w:t>Amended and Restated Operating Agreement for OSI/Fleming’s, LLC made as of</w:t>
        </w:r>
      </w:hyperlink>
      <w:r>
        <w:rPr>
          <w:rFonts w:ascii="Arial" w:cs="Arial" w:eastAsia="Arial" w:hAnsi="Arial"/>
          <w:sz w:val="20"/>
          <w:szCs w:val="20"/>
          <w:u w:val="single" w:color="auto"/>
          <w:color w:val="0000FF"/>
        </w:rPr>
        <w:t xml:space="preserve"> </w:t>
      </w:r>
      <w:hyperlink r:id="rId74">
        <w:r>
          <w:rPr>
            <w:rFonts w:ascii="Arial" w:cs="Arial" w:eastAsia="Arial" w:hAnsi="Arial"/>
            <w:sz w:val="20"/>
            <w:szCs w:val="20"/>
            <w:u w:val="single" w:color="auto"/>
            <w:color w:val="0000FF"/>
          </w:rPr>
          <w:t>June 4, 2010 by and among OS Prime, LLC, a wholly-owned subsidiary of OSI</w:t>
        </w:r>
      </w:hyperlink>
      <w:r>
        <w:rPr>
          <w:rFonts w:ascii="Arial" w:cs="Arial" w:eastAsia="Arial" w:hAnsi="Arial"/>
          <w:sz w:val="20"/>
          <w:szCs w:val="20"/>
          <w:u w:val="single" w:color="auto"/>
          <w:color w:val="0000FF"/>
        </w:rPr>
        <w:t xml:space="preserve"> </w:t>
      </w:r>
      <w:hyperlink r:id="rId74">
        <w:r>
          <w:rPr>
            <w:rFonts w:ascii="Arial" w:cs="Arial" w:eastAsia="Arial" w:hAnsi="Arial"/>
            <w:sz w:val="20"/>
            <w:szCs w:val="20"/>
            <w:u w:val="single" w:color="auto"/>
            <w:color w:val="0000FF"/>
          </w:rPr>
          <w:t>Restaurant Partners, LLC, FPSH Limited Partnership and AWA III Steakhouses,</w:t>
        </w:r>
      </w:hyperlink>
      <w:r>
        <w:rPr>
          <w:rFonts w:ascii="Arial" w:cs="Arial" w:eastAsia="Arial" w:hAnsi="Arial"/>
          <w:sz w:val="20"/>
          <w:szCs w:val="20"/>
          <w:u w:val="single" w:color="auto"/>
          <w:color w:val="0000FF"/>
        </w:rPr>
        <w:t xml:space="preserve"> </w:t>
      </w:r>
      <w:hyperlink r:id="rId74">
        <w:r>
          <w:rPr>
            <w:rFonts w:ascii="Arial" w:cs="Arial" w:eastAsia="Arial" w:hAnsi="Arial"/>
            <w:sz w:val="20"/>
            <w:szCs w:val="20"/>
            <w:u w:val="single" w:color="auto"/>
            <w:color w:val="0000FF"/>
          </w:rPr>
          <w:t>Inc.</w:t>
        </w:r>
      </w:hyperlink>
    </w:p>
    <w:p>
      <w:pPr>
        <w:spacing w:after="0" w:line="165" w:lineRule="exact"/>
        <w:rPr>
          <w:rFonts w:ascii="Arial" w:cs="Arial" w:eastAsia="Arial" w:hAnsi="Arial"/>
          <w:sz w:val="20"/>
          <w:szCs w:val="20"/>
          <w:u w:val="single" w:color="auto"/>
          <w:color w:val="0000FF"/>
        </w:rPr>
      </w:pPr>
    </w:p>
    <w:p>
      <w:pPr>
        <w:ind w:left="1200" w:right="40" w:hanging="841"/>
        <w:spacing w:after="0" w:line="316" w:lineRule="auto"/>
        <w:tabs>
          <w:tab w:leader="none" w:pos="1180" w:val="left"/>
        </w:tabs>
        <w:rPr>
          <w:rFonts w:ascii="Arial" w:cs="Arial" w:eastAsia="Arial" w:hAnsi="Arial"/>
          <w:sz w:val="18"/>
          <w:szCs w:val="18"/>
          <w:u w:val="single" w:color="auto"/>
          <w:color w:val="0000FF"/>
        </w:rPr>
      </w:pPr>
      <w:r>
        <w:rPr>
          <w:rFonts w:ascii="Arial" w:cs="Arial" w:eastAsia="Arial" w:hAnsi="Arial"/>
          <w:sz w:val="20"/>
          <w:szCs w:val="20"/>
          <w:color w:val="auto"/>
        </w:rPr>
        <w:t>10.5</w:t>
      </w:r>
      <w:r>
        <w:rPr>
          <w:sz w:val="20"/>
          <w:szCs w:val="20"/>
          <w:color w:val="auto"/>
        </w:rPr>
        <w:tab/>
      </w:r>
      <w:hyperlink r:id="rId75">
        <w:r>
          <w:rPr>
            <w:rFonts w:ascii="Arial" w:cs="Arial" w:eastAsia="Arial" w:hAnsi="Arial"/>
            <w:sz w:val="18"/>
            <w:szCs w:val="18"/>
            <w:u w:val="single" w:color="auto"/>
            <w:color w:val="0000FF"/>
          </w:rPr>
          <w:t>Lease, dated June 14, 2007, between OS Southern, LLC and Selmon’s/Florida-I,</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Limited Partnership (predecessor to MVP LRS, LLC), as amended May 27, 2010</w:t>
        </w:r>
      </w:hyperlink>
    </w:p>
    <w:p>
      <w:pPr>
        <w:spacing w:after="0" w:line="200" w:lineRule="exact"/>
        <w:rPr>
          <w:sz w:val="20"/>
          <w:szCs w:val="20"/>
          <w:color w:val="auto"/>
        </w:rPr>
      </w:pPr>
    </w:p>
    <w:p>
      <w:pPr>
        <w:spacing w:after="0" w:line="349" w:lineRule="exact"/>
        <w:rPr>
          <w:sz w:val="20"/>
          <w:szCs w:val="20"/>
          <w:color w:val="auto"/>
        </w:rPr>
      </w:pPr>
    </w:p>
    <w:p>
      <w:pPr>
        <w:ind w:left="360"/>
        <w:spacing w:after="0"/>
        <w:tabs>
          <w:tab w:leader="none" w:pos="1180" w:val="left"/>
        </w:tabs>
        <w:rPr>
          <w:rFonts w:ascii="Arial" w:cs="Arial" w:eastAsia="Arial" w:hAnsi="Arial"/>
          <w:sz w:val="16"/>
          <w:szCs w:val="16"/>
          <w:u w:val="single" w:color="auto"/>
          <w:color w:val="0000FF"/>
        </w:rPr>
      </w:pPr>
      <w:r>
        <w:rPr>
          <w:rFonts w:ascii="Arial" w:cs="Arial" w:eastAsia="Arial" w:hAnsi="Arial"/>
          <w:sz w:val="20"/>
          <w:szCs w:val="20"/>
          <w:color w:val="auto"/>
        </w:rPr>
        <w:t>10.6</w:t>
      </w:r>
      <w:r>
        <w:rPr>
          <w:sz w:val="20"/>
          <w:szCs w:val="20"/>
          <w:color w:val="auto"/>
        </w:rPr>
        <w:tab/>
      </w:r>
      <w:hyperlink r:id="rId76">
        <w:r>
          <w:rPr>
            <w:rFonts w:ascii="Arial" w:cs="Arial" w:eastAsia="Arial" w:hAnsi="Arial"/>
            <w:sz w:val="16"/>
            <w:szCs w:val="16"/>
            <w:u w:val="single" w:color="auto"/>
            <w:color w:val="0000FF"/>
          </w:rPr>
          <w:t>Lease, dated January 21, 2014, between OS Southern, LLC and MVP LRS, LLC</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10.8</w:t>
      </w:r>
    </w:p>
    <w:p>
      <w:pPr>
        <w:spacing w:after="0" w:line="389"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color w:val="auto"/>
        </w:rPr>
        <w:t>Amendment No. 1 to Registration Statement on Form S-1, File No. 333-180615, filed on May 17, 2012, Exhibit 10.52</w:t>
      </w:r>
    </w:p>
    <w:p>
      <w:pPr>
        <w:spacing w:after="0" w:line="151"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31, 2013 Form 10-K, Exhibit 10.28</w:t>
      </w:r>
    </w:p>
    <w:p>
      <w:pPr>
        <w:spacing w:after="0" w:line="136" w:lineRule="exact"/>
        <w:rPr>
          <w:sz w:val="20"/>
          <w:szCs w:val="20"/>
          <w:color w:val="auto"/>
        </w:rPr>
      </w:pPr>
    </w:p>
    <w:p>
      <w:pPr>
        <w:sectPr>
          <w:pgSz w:w="11900" w:h="16838" w:orient="portrait"/>
          <w:cols w:equalWidth="0" w:num="2">
            <w:col w:w="7680" w:space="240"/>
            <w:col w:w="3500"/>
          </w:cols>
          <w:pgMar w:left="240" w:top="122" w:right="239" w:bottom="1440" w:gutter="0" w:footer="0" w:header="0"/>
          <w:type w:val="continuous"/>
        </w:sectPr>
      </w:pPr>
    </w:p>
    <w:p>
      <w:pPr>
        <w:ind w:left="1200" w:right="8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10.7*</w:t>
      </w:r>
      <w:r>
        <w:rPr>
          <w:sz w:val="20"/>
          <w:szCs w:val="20"/>
          <w:color w:val="auto"/>
        </w:rPr>
        <w:tab/>
      </w:r>
      <w:hyperlink r:id="rId77">
        <w:r>
          <w:rPr>
            <w:rFonts w:ascii="Arial" w:cs="Arial" w:eastAsia="Arial" w:hAnsi="Arial"/>
            <w:sz w:val="20"/>
            <w:szCs w:val="20"/>
            <w:u w:val="single" w:color="auto"/>
            <w:color w:val="0000FF"/>
          </w:rPr>
          <w:t>OSI Restaurant Partners, LLC HCE Deferred Compensation Plan effective</w:t>
        </w:r>
      </w:hyperlink>
      <w:r>
        <w:rPr>
          <w:rFonts w:ascii="Arial" w:cs="Arial" w:eastAsia="Arial" w:hAnsi="Arial"/>
          <w:sz w:val="20"/>
          <w:szCs w:val="20"/>
          <w:u w:val="single" w:color="auto"/>
          <w:color w:val="0000FF"/>
        </w:rPr>
        <w:t xml:space="preserve"> </w:t>
      </w:r>
      <w:hyperlink r:id="rId77">
        <w:r>
          <w:rPr>
            <w:rFonts w:ascii="Arial" w:cs="Arial" w:eastAsia="Arial" w:hAnsi="Arial"/>
            <w:sz w:val="20"/>
            <w:szCs w:val="20"/>
            <w:u w:val="single" w:color="auto"/>
            <w:color w:val="0000FF"/>
          </w:rPr>
          <w:t>October 1, 2007</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10.46</w:t>
      </w:r>
    </w:p>
    <w:p>
      <w:pPr>
        <w:spacing w:after="0" w:line="122" w:lineRule="exact"/>
        <w:rPr>
          <w:sz w:val="20"/>
          <w:szCs w:val="20"/>
          <w:color w:val="auto"/>
        </w:rPr>
      </w:pPr>
    </w:p>
    <w:p>
      <w:pPr>
        <w:sectPr>
          <w:pgSz w:w="11900" w:h="16838" w:orient="portrait"/>
          <w:cols w:equalWidth="0" w:num="2">
            <w:col w:w="7200" w:space="720"/>
            <w:col w:w="3500"/>
          </w:cols>
          <w:pgMar w:left="240" w:top="122" w:right="239" w:bottom="1440" w:gutter="0" w:footer="0" w:header="0"/>
          <w:type w:val="continuous"/>
        </w:sectPr>
      </w:pPr>
    </w:p>
    <w:tbl>
      <w:tblPr>
        <w:tblLayout w:type="fixed"/>
        <w:tblInd w:w="300" w:type="dxa"/>
        <w:tblCellMar>
          <w:top w:w="0" w:type="dxa"/>
          <w:left w:w="0" w:type="dxa"/>
          <w:bottom w:w="0" w:type="dxa"/>
          <w:right w:w="0" w:type="dxa"/>
        </w:tblCellMar>
      </w:tblPr>
      <w:tr>
        <w:trPr>
          <w:trHeight w:val="230"/>
        </w:trPr>
        <w:tc>
          <w:tcPr>
            <w:tcW w:w="900" w:type="dxa"/>
            <w:vAlign w:val="bottom"/>
          </w:tcPr>
          <w:p>
            <w:pPr>
              <w:jc w:val="right"/>
              <w:ind w:right="341"/>
              <w:spacing w:after="0"/>
              <w:rPr>
                <w:sz w:val="20"/>
                <w:szCs w:val="20"/>
                <w:color w:val="auto"/>
              </w:rPr>
            </w:pPr>
            <w:r>
              <w:rPr>
                <w:rFonts w:ascii="Arial" w:cs="Arial" w:eastAsia="Arial" w:hAnsi="Arial"/>
                <w:sz w:val="20"/>
                <w:szCs w:val="20"/>
                <w:color w:val="auto"/>
                <w:w w:val="94"/>
              </w:rPr>
              <w:t>10.8*</w:t>
            </w:r>
          </w:p>
        </w:tc>
        <w:tc>
          <w:tcPr>
            <w:tcW w:w="5960" w:type="dxa"/>
            <w:vAlign w:val="bottom"/>
            <w:gridSpan w:val="2"/>
          </w:tcPr>
          <w:p>
            <w:pPr>
              <w:spacing w:after="0"/>
              <w:rPr>
                <w:rFonts w:ascii="Arial" w:cs="Arial" w:eastAsia="Arial" w:hAnsi="Arial"/>
                <w:sz w:val="20"/>
                <w:szCs w:val="20"/>
                <w:color w:val="0000FF"/>
              </w:rPr>
            </w:pPr>
            <w:hyperlink r:id="rId78">
              <w:r>
                <w:rPr>
                  <w:rFonts w:ascii="Arial" w:cs="Arial" w:eastAsia="Arial" w:hAnsi="Arial"/>
                  <w:sz w:val="20"/>
                  <w:szCs w:val="20"/>
                  <w:color w:val="0000FF"/>
                </w:rPr>
                <w:t>Kangaroo Holdings, Inc. 2007 Equity Incentive Plan, as amended</w:t>
              </w:r>
            </w:hyperlink>
          </w:p>
        </w:tc>
        <w:tc>
          <w:tcPr>
            <w:tcW w:w="4020" w:type="dxa"/>
            <w:vAlign w:val="bottom"/>
          </w:tcPr>
          <w:p>
            <w:pPr>
              <w:ind w:left="760"/>
              <w:spacing w:after="0"/>
              <w:rPr>
                <w:sz w:val="20"/>
                <w:szCs w:val="20"/>
                <w:color w:val="auto"/>
              </w:rPr>
            </w:pPr>
            <w:r>
              <w:rPr>
                <w:rFonts w:ascii="Arial" w:cs="Arial" w:eastAsia="Arial" w:hAnsi="Arial"/>
                <w:sz w:val="20"/>
                <w:szCs w:val="20"/>
                <w:color w:val="auto"/>
                <w:w w:val="89"/>
              </w:rPr>
              <w:t>Registration Statement on Form S-1, File</w:t>
            </w:r>
          </w:p>
        </w:tc>
      </w:tr>
      <w:tr>
        <w:trPr>
          <w:trHeight w:val="233"/>
        </w:trPr>
        <w:tc>
          <w:tcPr>
            <w:tcW w:w="900" w:type="dxa"/>
            <w:vAlign w:val="bottom"/>
          </w:tcPr>
          <w:p>
            <w:pPr>
              <w:spacing w:after="0"/>
              <w:rPr>
                <w:sz w:val="20"/>
                <w:szCs w:val="20"/>
                <w:color w:val="auto"/>
              </w:rPr>
            </w:pPr>
          </w:p>
        </w:tc>
        <w:tc>
          <w:tcPr>
            <w:tcW w:w="5200" w:type="dxa"/>
            <w:vAlign w:val="bottom"/>
            <w:tcBorders>
              <w:top w:val="single" w:sz="8" w:color="0000FF"/>
            </w:tcBorders>
          </w:tcPr>
          <w:p>
            <w:pPr>
              <w:spacing w:after="0"/>
              <w:rPr>
                <w:sz w:val="20"/>
                <w:szCs w:val="20"/>
                <w:color w:val="auto"/>
              </w:rPr>
            </w:pPr>
          </w:p>
        </w:tc>
        <w:tc>
          <w:tcPr>
            <w:tcW w:w="760" w:type="dxa"/>
            <w:vAlign w:val="bottom"/>
          </w:tcPr>
          <w:p>
            <w:pPr>
              <w:spacing w:after="0"/>
              <w:rPr>
                <w:sz w:val="20"/>
                <w:szCs w:val="20"/>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w w:val="94"/>
              </w:rPr>
              <w:t>No. 333-180615, filed on April 6, 2012,</w:t>
            </w:r>
          </w:p>
        </w:tc>
      </w:tr>
      <w:tr>
        <w:trPr>
          <w:trHeight w:val="250"/>
        </w:trPr>
        <w:tc>
          <w:tcPr>
            <w:tcW w:w="90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20" w:type="dxa"/>
            <w:vAlign w:val="bottom"/>
          </w:tcPr>
          <w:p>
            <w:pPr>
              <w:ind w:left="760"/>
              <w:spacing w:after="0"/>
              <w:rPr>
                <w:sz w:val="20"/>
                <w:szCs w:val="20"/>
                <w:color w:val="auto"/>
              </w:rPr>
            </w:pPr>
            <w:r>
              <w:rPr>
                <w:rFonts w:ascii="Arial" w:cs="Arial" w:eastAsia="Arial" w:hAnsi="Arial"/>
                <w:sz w:val="20"/>
                <w:szCs w:val="20"/>
                <w:color w:val="auto"/>
              </w:rPr>
              <w:t>Exhibit 10.1</w:t>
            </w:r>
          </w:p>
        </w:tc>
      </w:tr>
    </w:tbl>
    <w:p>
      <w:pPr>
        <w:spacing w:after="0" w:line="155"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89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10.9*</w:t>
      </w:r>
      <w:r>
        <w:rPr>
          <w:sz w:val="20"/>
          <w:szCs w:val="20"/>
          <w:color w:val="auto"/>
        </w:rPr>
        <w:tab/>
      </w:r>
      <w:hyperlink r:id="rId79">
        <w:r>
          <w:rPr>
            <w:rFonts w:ascii="Arial" w:cs="Arial" w:eastAsia="Arial" w:hAnsi="Arial"/>
            <w:sz w:val="20"/>
            <w:szCs w:val="20"/>
            <w:u w:val="single" w:color="auto"/>
            <w:color w:val="0000FF"/>
          </w:rPr>
          <w:t>Form of Option Agreement for Options under the Kangaroo Holdings, Inc. 2007</w:t>
        </w:r>
      </w:hyperlink>
      <w:r>
        <w:rPr>
          <w:rFonts w:ascii="Arial" w:cs="Arial" w:eastAsia="Arial" w:hAnsi="Arial"/>
          <w:sz w:val="20"/>
          <w:szCs w:val="20"/>
          <w:u w:val="single" w:color="auto"/>
          <w:color w:val="0000FF"/>
        </w:rPr>
        <w:t xml:space="preserve"> </w:t>
      </w:r>
      <w:hyperlink r:id="rId79">
        <w:r>
          <w:rPr>
            <w:rFonts w:ascii="Arial" w:cs="Arial" w:eastAsia="Arial" w:hAnsi="Arial"/>
            <w:sz w:val="20"/>
            <w:szCs w:val="20"/>
            <w:u w:val="single" w:color="auto"/>
            <w:color w:val="0000FF"/>
          </w:rPr>
          <w:t>Equity Incentive Plan</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10.42</w:t>
      </w:r>
    </w:p>
    <w:p>
      <w:pPr>
        <w:spacing w:after="0" w:line="122" w:lineRule="exact"/>
        <w:rPr>
          <w:sz w:val="20"/>
          <w:szCs w:val="20"/>
          <w:color w:val="auto"/>
        </w:rPr>
      </w:pPr>
    </w:p>
    <w:p>
      <w:pPr>
        <w:sectPr>
          <w:pgSz w:w="11900" w:h="16838" w:orient="portrait"/>
          <w:cols w:equalWidth="0" w:num="2">
            <w:col w:w="7560" w:space="360"/>
            <w:col w:w="3500"/>
          </w:cols>
          <w:pgMar w:left="240" w:top="122"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10.10*</w:t>
            </w:r>
          </w:p>
        </w:tc>
        <w:tc>
          <w:tcPr>
            <w:tcW w:w="5340" w:type="dxa"/>
            <w:vAlign w:val="bottom"/>
            <w:gridSpan w:val="2"/>
          </w:tcPr>
          <w:p>
            <w:pPr>
              <w:spacing w:after="0"/>
              <w:rPr>
                <w:rFonts w:ascii="Arial" w:cs="Arial" w:eastAsia="Arial" w:hAnsi="Arial"/>
                <w:sz w:val="20"/>
                <w:szCs w:val="20"/>
                <w:color w:val="0000FF"/>
              </w:rPr>
            </w:pPr>
            <w:hyperlink r:id="rId80">
              <w:r>
                <w:rPr>
                  <w:rFonts w:ascii="Arial" w:cs="Arial" w:eastAsia="Arial" w:hAnsi="Arial"/>
                  <w:sz w:val="20"/>
                  <w:szCs w:val="20"/>
                  <w:color w:val="0000FF"/>
                </w:rPr>
                <w:t>Bloomin’ Brands, Inc. 2012 Incentive Award Plan</w:t>
              </w:r>
            </w:hyperlink>
          </w:p>
        </w:tc>
        <w:tc>
          <w:tcPr>
            <w:tcW w:w="4380" w:type="dxa"/>
            <w:vAlign w:val="bottom"/>
          </w:tcPr>
          <w:p>
            <w:pPr>
              <w:ind w:left="1380"/>
              <w:spacing w:after="0"/>
              <w:rPr>
                <w:sz w:val="20"/>
                <w:szCs w:val="20"/>
                <w:color w:val="auto"/>
              </w:rPr>
            </w:pPr>
            <w:r>
              <w:rPr>
                <w:rFonts w:ascii="Arial" w:cs="Arial" w:eastAsia="Arial" w:hAnsi="Arial"/>
                <w:sz w:val="20"/>
                <w:szCs w:val="20"/>
                <w:color w:val="auto"/>
              </w:rPr>
              <w:t>Amendment No. 4 to Registration</w:t>
            </w:r>
          </w:p>
        </w:tc>
      </w:tr>
      <w:tr>
        <w:trPr>
          <w:trHeight w:val="249"/>
        </w:trPr>
        <w:tc>
          <w:tcPr>
            <w:tcW w:w="940" w:type="dxa"/>
            <w:vAlign w:val="bottom"/>
          </w:tcPr>
          <w:p>
            <w:pPr>
              <w:spacing w:after="0"/>
              <w:rPr>
                <w:sz w:val="21"/>
                <w:szCs w:val="21"/>
                <w:color w:val="auto"/>
              </w:rPr>
            </w:pPr>
          </w:p>
        </w:tc>
        <w:tc>
          <w:tcPr>
            <w:tcW w:w="3960" w:type="dxa"/>
            <w:vAlign w:val="bottom"/>
            <w:tcBorders>
              <w:top w:val="single" w:sz="8" w:color="0000FF"/>
            </w:tcBorders>
          </w:tcPr>
          <w:p>
            <w:pPr>
              <w:spacing w:after="0"/>
              <w:rPr>
                <w:sz w:val="21"/>
                <w:szCs w:val="21"/>
                <w:color w:val="auto"/>
              </w:rPr>
            </w:pPr>
          </w:p>
        </w:tc>
        <w:tc>
          <w:tcPr>
            <w:tcW w:w="1380" w:type="dxa"/>
            <w:vAlign w:val="bottom"/>
          </w:tcPr>
          <w:p>
            <w:pPr>
              <w:spacing w:after="0"/>
              <w:rPr>
                <w:sz w:val="21"/>
                <w:szCs w:val="21"/>
                <w:color w:val="auto"/>
              </w:rPr>
            </w:pPr>
          </w:p>
        </w:tc>
        <w:tc>
          <w:tcPr>
            <w:tcW w:w="4380" w:type="dxa"/>
            <w:vAlign w:val="bottom"/>
          </w:tcPr>
          <w:p>
            <w:pPr>
              <w:ind w:left="1380"/>
              <w:spacing w:after="0"/>
              <w:rPr>
                <w:sz w:val="20"/>
                <w:szCs w:val="20"/>
                <w:color w:val="auto"/>
              </w:rPr>
            </w:pPr>
            <w:r>
              <w:rPr>
                <w:rFonts w:ascii="Arial" w:cs="Arial" w:eastAsia="Arial" w:hAnsi="Arial"/>
                <w:sz w:val="20"/>
                <w:szCs w:val="20"/>
                <w:color w:val="auto"/>
                <w:w w:val="89"/>
              </w:rPr>
              <w:t>Statement on Form S-1, File No. 333-</w:t>
            </w:r>
          </w:p>
        </w:tc>
      </w:tr>
    </w:tbl>
    <w:p>
      <w:pPr>
        <w:ind w:left="7920"/>
        <w:spacing w:after="0"/>
        <w:rPr>
          <w:sz w:val="20"/>
          <w:szCs w:val="20"/>
          <w:color w:val="auto"/>
        </w:rPr>
      </w:pPr>
      <w:r>
        <w:rPr>
          <w:rFonts w:ascii="Arial" w:cs="Arial" w:eastAsia="Arial" w:hAnsi="Arial"/>
          <w:sz w:val="18"/>
          <w:szCs w:val="18"/>
          <w:color w:val="auto"/>
        </w:rPr>
        <w:t>180615, filed on July 18, 2012, Exhibit</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122" w:right="239" w:bottom="1440" w:gutter="0" w:footer="0" w:header="0"/>
          <w:type w:val="continuous"/>
        </w:sectPr>
      </w:pP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3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160"/>
        <w:spacing w:after="0" w:line="260" w:lineRule="auto"/>
        <w:rPr>
          <w:rFonts w:ascii="Arial" w:cs="Arial" w:eastAsia="Arial" w:hAnsi="Arial"/>
          <w:sz w:val="20"/>
          <w:szCs w:val="20"/>
          <w:u w:val="single" w:color="auto"/>
          <w:color w:val="0000FF"/>
        </w:rPr>
      </w:pPr>
      <w:hyperlink r:id="rId81">
        <w:r>
          <w:rPr>
            <w:rFonts w:ascii="Arial" w:cs="Arial" w:eastAsia="Arial" w:hAnsi="Arial"/>
            <w:sz w:val="20"/>
            <w:szCs w:val="20"/>
            <w:u w:val="single" w:color="auto"/>
            <w:color w:val="0000FF"/>
          </w:rPr>
          <w:t>Form of Nonqualified Stock Option Award Agreement for options granted under</w:t>
        </w:r>
      </w:hyperlink>
      <w:r>
        <w:rPr>
          <w:rFonts w:ascii="Arial" w:cs="Arial" w:eastAsia="Arial" w:hAnsi="Arial"/>
          <w:sz w:val="20"/>
          <w:szCs w:val="20"/>
          <w:u w:val="single" w:color="auto"/>
          <w:color w:val="0000FF"/>
        </w:rPr>
        <w:t xml:space="preserve"> </w:t>
      </w:r>
      <w:hyperlink r:id="rId81">
        <w:r>
          <w:rPr>
            <w:rFonts w:ascii="Arial" w:cs="Arial" w:eastAsia="Arial" w:hAnsi="Arial"/>
            <w:sz w:val="20"/>
            <w:szCs w:val="20"/>
            <w:u w:val="single" w:color="auto"/>
            <w:color w:val="0000FF"/>
          </w:rPr>
          <w:t>the Bloomin’ Brands, Inc. 2012 Incentive Award Plan</w:t>
        </w:r>
      </w:hyperlink>
    </w:p>
    <w:p>
      <w:pPr>
        <w:spacing w:after="0" w:line="217" w:lineRule="exact"/>
        <w:rPr>
          <w:sz w:val="20"/>
          <w:szCs w:val="20"/>
          <w:color w:val="auto"/>
        </w:rPr>
      </w:pPr>
    </w:p>
    <w:p>
      <w:pPr>
        <w:ind w:right="660"/>
        <w:spacing w:after="0" w:line="316" w:lineRule="auto"/>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Form of Restricted Stock Award Agreement for restricted stock granted to</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directors under the Bloomin’ Brands, Inc. 2012 Incentive Award Plan</w:t>
        </w:r>
      </w:hyperlink>
    </w:p>
    <w:p>
      <w:pPr>
        <w:spacing w:after="0" w:line="90" w:lineRule="exact"/>
        <w:rPr>
          <w:sz w:val="20"/>
          <w:szCs w:val="20"/>
          <w:color w:val="auto"/>
        </w:rPr>
      </w:pPr>
    </w:p>
    <w:p>
      <w:pPr>
        <w:spacing w:after="0" w:line="250" w:lineRule="auto"/>
        <w:rPr>
          <w:rFonts w:ascii="Arial" w:cs="Arial" w:eastAsia="Arial" w:hAnsi="Arial"/>
          <w:sz w:val="20"/>
          <w:szCs w:val="20"/>
          <w:u w:val="single" w:color="auto"/>
          <w:color w:val="0000FF"/>
        </w:rPr>
      </w:pPr>
      <w:hyperlink r:id="rId83">
        <w:r>
          <w:rPr>
            <w:rFonts w:ascii="Arial" w:cs="Arial" w:eastAsia="Arial" w:hAnsi="Arial"/>
            <w:sz w:val="20"/>
            <w:szCs w:val="20"/>
            <w:u w:val="single" w:color="auto"/>
            <w:color w:val="0000FF"/>
          </w:rPr>
          <w:t>Form of Restricted Stock Award Agreement for restricted stock granted to</w:t>
        </w:r>
      </w:hyperlink>
      <w:r>
        <w:rPr>
          <w:rFonts w:ascii="Arial" w:cs="Arial" w:eastAsia="Arial" w:hAnsi="Arial"/>
          <w:sz w:val="20"/>
          <w:szCs w:val="20"/>
          <w:u w:val="single" w:color="auto"/>
          <w:color w:val="0000FF"/>
        </w:rPr>
        <w:t xml:space="preserve"> </w:t>
      </w:r>
      <w:hyperlink r:id="rId83">
        <w:r>
          <w:rPr>
            <w:rFonts w:ascii="Arial" w:cs="Arial" w:eastAsia="Arial" w:hAnsi="Arial"/>
            <w:sz w:val="20"/>
            <w:szCs w:val="20"/>
            <w:u w:val="single" w:color="auto"/>
            <w:color w:val="0000FF"/>
          </w:rPr>
          <w:t>employees and consultants under the Bloomin’ Brands, Inc. 2012 Incentive Award</w:t>
        </w:r>
      </w:hyperlink>
      <w:r>
        <w:rPr>
          <w:rFonts w:ascii="Arial" w:cs="Arial" w:eastAsia="Arial" w:hAnsi="Arial"/>
          <w:sz w:val="20"/>
          <w:szCs w:val="20"/>
          <w:u w:val="single" w:color="auto"/>
          <w:color w:val="0000FF"/>
        </w:rPr>
        <w:t xml:space="preserve"> </w:t>
      </w:r>
      <w:hyperlink r:id="rId83">
        <w:r>
          <w:rPr>
            <w:rFonts w:ascii="Arial" w:cs="Arial" w:eastAsia="Arial" w:hAnsi="Arial"/>
            <w:sz w:val="20"/>
            <w:szCs w:val="20"/>
            <w:u w:val="single" w:color="auto"/>
            <w:color w:val="0000FF"/>
          </w:rPr>
          <w:t>Plan</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22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rFonts w:ascii="Arial" w:cs="Arial" w:eastAsia="Arial" w:hAnsi="Arial"/>
          <w:sz w:val="20"/>
          <w:szCs w:val="20"/>
          <w:u w:val="single" w:color="auto"/>
          <w:color w:val="0000FF"/>
        </w:rPr>
      </w:pPr>
    </w:p>
    <w:p>
      <w:pPr>
        <w:spacing w:after="0" w:line="390"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10.3</w:t>
      </w:r>
    </w:p>
    <w:p>
      <w:pPr>
        <w:spacing w:after="0" w:line="200" w:lineRule="exact"/>
        <w:rPr>
          <w:rFonts w:ascii="Arial" w:cs="Arial" w:eastAsia="Arial" w:hAnsi="Arial"/>
          <w:sz w:val="20"/>
          <w:szCs w:val="20"/>
          <w:u w:val="single" w:color="auto"/>
          <w:color w:val="0000FF"/>
        </w:rPr>
      </w:pPr>
    </w:p>
    <w:p>
      <w:pPr>
        <w:spacing w:after="0" w:line="228"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10.4</w:t>
      </w:r>
    </w:p>
    <w:p>
      <w:pPr>
        <w:spacing w:after="0" w:line="552" w:lineRule="exact"/>
        <w:rPr>
          <w:rFonts w:ascii="Arial" w:cs="Arial" w:eastAsia="Arial" w:hAnsi="Arial"/>
          <w:sz w:val="20"/>
          <w:szCs w:val="20"/>
          <w:u w:val="single" w:color="auto"/>
          <w:color w:val="0000FF"/>
        </w:rPr>
      </w:pPr>
    </w:p>
    <w:p>
      <w:pPr>
        <w:sectPr>
          <w:pgSz w:w="11900" w:h="16838" w:orient="portrait"/>
          <w:cols w:equalWidth="0" w:num="3">
            <w:col w:w="800" w:space="400"/>
            <w:col w:w="6540" w:space="180"/>
            <w:col w:w="3500"/>
          </w:cols>
          <w:pgMar w:left="240" w:top="122" w:right="239" w:bottom="1440" w:gutter="0" w:footer="0" w:header="0"/>
          <w:type w:val="continuous"/>
        </w:sectPr>
      </w:pPr>
    </w:p>
    <w:tbl>
      <w:tblPr>
        <w:tblLayout w:type="fixed"/>
        <w:tblInd w:w="260" w:type="dxa"/>
        <w:tblCellMar>
          <w:top w:w="0" w:type="dxa"/>
          <w:left w:w="0" w:type="dxa"/>
          <w:bottom w:w="0" w:type="dxa"/>
          <w:right w:w="0" w:type="dxa"/>
        </w:tblCellMar>
      </w:tblPr>
      <w:tr>
        <w:trPr>
          <w:trHeight w:val="230"/>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10.14*</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84">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84">
              <w:r>
                <w:rPr>
                  <w:rFonts w:ascii="Arial" w:cs="Arial" w:eastAsia="Arial" w:hAnsi="Arial"/>
                  <w:sz w:val="20"/>
                  <w:szCs w:val="20"/>
                  <w:color w:val="0000FF"/>
                </w:rPr>
                <w:t>directors under the Bloomin’ Brands, Inc. 2012 Incentive Award Plan</w:t>
              </w:r>
            </w:hyperlink>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10.1</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85"/>
        </w:trPr>
        <w:tc>
          <w:tcPr>
            <w:tcW w:w="940" w:type="dxa"/>
            <w:vAlign w:val="bottom"/>
          </w:tcPr>
          <w:p>
            <w:pPr>
              <w:jc w:val="right"/>
              <w:ind w:right="301"/>
              <w:spacing w:after="0"/>
              <w:rPr>
                <w:sz w:val="20"/>
                <w:szCs w:val="20"/>
                <w:color w:val="auto"/>
              </w:rPr>
            </w:pPr>
            <w:r>
              <w:rPr>
                <w:rFonts w:ascii="Arial" w:cs="Arial" w:eastAsia="Arial" w:hAnsi="Arial"/>
                <w:sz w:val="20"/>
                <w:szCs w:val="20"/>
                <w:color w:val="auto"/>
                <w:w w:val="89"/>
              </w:rPr>
              <w:t>10.15*</w:t>
            </w:r>
          </w:p>
        </w:tc>
        <w:tc>
          <w:tcPr>
            <w:tcW w:w="6280" w:type="dxa"/>
            <w:vAlign w:val="bottom"/>
            <w:tcBorders>
              <w:bottom w:val="single" w:sz="8" w:color="0000FF"/>
            </w:tcBorders>
            <w:gridSpan w:val="3"/>
          </w:tcPr>
          <w:p>
            <w:pPr>
              <w:spacing w:after="0"/>
              <w:rPr>
                <w:rFonts w:ascii="Arial" w:cs="Arial" w:eastAsia="Arial" w:hAnsi="Arial"/>
                <w:sz w:val="20"/>
                <w:szCs w:val="20"/>
                <w:color w:val="0000FF"/>
                <w:w w:val="90"/>
              </w:rPr>
            </w:pPr>
            <w:hyperlink r:id="rId85">
              <w:r>
                <w:rPr>
                  <w:rFonts w:ascii="Arial" w:cs="Arial" w:eastAsia="Arial" w:hAnsi="Arial"/>
                  <w:sz w:val="20"/>
                  <w:szCs w:val="20"/>
                  <w:color w:val="0000FF"/>
                  <w:w w:val="90"/>
                </w:rPr>
                <w:t>Form of Restricted Stock Unit Award Agreement for restricted stock granted to</w:t>
              </w:r>
            </w:hyperlink>
          </w:p>
        </w:tc>
        <w:tc>
          <w:tcPr>
            <w:tcW w:w="340" w:type="dxa"/>
            <w:vAlign w:val="bottom"/>
            <w:gridSpan w:val="2"/>
          </w:tcPr>
          <w:p>
            <w:pPr>
              <w:spacing w:after="0"/>
              <w:rPr>
                <w:sz w:val="24"/>
                <w:szCs w:val="24"/>
                <w:color w:val="auto"/>
              </w:rPr>
            </w:pPr>
          </w:p>
        </w:tc>
        <w:tc>
          <w:tcPr>
            <w:tcW w:w="3300" w:type="dxa"/>
            <w:vAlign w:val="bottom"/>
          </w:tcPr>
          <w:p>
            <w:pPr>
              <w:ind w:left="100"/>
              <w:spacing w:after="0"/>
              <w:rPr>
                <w:sz w:val="20"/>
                <w:szCs w:val="20"/>
                <w:color w:val="auto"/>
              </w:rPr>
            </w:pPr>
            <w:r>
              <w:rPr>
                <w:rFonts w:ascii="Arial" w:cs="Arial" w:eastAsia="Arial" w:hAnsi="Arial"/>
                <w:sz w:val="20"/>
                <w:szCs w:val="20"/>
                <w:color w:val="auto"/>
                <w:w w:val="89"/>
              </w:rPr>
              <w:t>September 30, 2013 Form 10-Q, Exhibit</w:t>
            </w:r>
          </w:p>
        </w:tc>
      </w:tr>
      <w:tr>
        <w:trPr>
          <w:trHeight w:val="210"/>
        </w:trPr>
        <w:tc>
          <w:tcPr>
            <w:tcW w:w="940" w:type="dxa"/>
            <w:vAlign w:val="bottom"/>
          </w:tcPr>
          <w:p>
            <w:pPr>
              <w:spacing w:after="0"/>
              <w:rPr>
                <w:sz w:val="18"/>
                <w:szCs w:val="18"/>
                <w:color w:val="auto"/>
              </w:rPr>
            </w:pPr>
          </w:p>
        </w:tc>
        <w:tc>
          <w:tcPr>
            <w:tcW w:w="654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r:id="rId85">
              <w:r>
                <w:rPr>
                  <w:rFonts w:ascii="Arial" w:cs="Arial" w:eastAsia="Arial" w:hAnsi="Arial"/>
                  <w:sz w:val="20"/>
                  <w:szCs w:val="20"/>
                  <w:color w:val="0000FF"/>
                  <w:w w:val="89"/>
                </w:rPr>
                <w:t>employees and consultants under the Bloomin’ Brands, Inc. 2012 Incentive Award</w:t>
              </w:r>
            </w:hyperlink>
          </w:p>
        </w:tc>
        <w:tc>
          <w:tcPr>
            <w:tcW w:w="80" w:type="dxa"/>
            <w:vAlign w:val="bottom"/>
          </w:tcPr>
          <w:p>
            <w:pPr>
              <w:spacing w:after="0"/>
              <w:rPr>
                <w:sz w:val="18"/>
                <w:szCs w:val="18"/>
                <w:color w:val="auto"/>
              </w:rPr>
            </w:pPr>
          </w:p>
        </w:tc>
        <w:tc>
          <w:tcPr>
            <w:tcW w:w="3300" w:type="dxa"/>
            <w:vAlign w:val="bottom"/>
          </w:tcPr>
          <w:p>
            <w:pPr>
              <w:ind w:left="100"/>
              <w:spacing w:after="0" w:line="209" w:lineRule="exact"/>
              <w:rPr>
                <w:sz w:val="20"/>
                <w:szCs w:val="20"/>
                <w:color w:val="auto"/>
              </w:rPr>
            </w:pPr>
            <w:r>
              <w:rPr>
                <w:rFonts w:ascii="Arial" w:cs="Arial" w:eastAsia="Arial" w:hAnsi="Arial"/>
                <w:sz w:val="20"/>
                <w:szCs w:val="20"/>
                <w:color w:val="auto"/>
              </w:rPr>
              <w:t>10.2</w:t>
            </w:r>
          </w:p>
        </w:tc>
      </w:tr>
      <w:tr>
        <w:trPr>
          <w:trHeight w:val="210"/>
        </w:trPr>
        <w:tc>
          <w:tcPr>
            <w:tcW w:w="940" w:type="dxa"/>
            <w:vAlign w:val="bottom"/>
          </w:tcPr>
          <w:p>
            <w:pPr>
              <w:spacing w:after="0"/>
              <w:rPr>
                <w:sz w:val="18"/>
                <w:szCs w:val="18"/>
                <w:color w:val="auto"/>
              </w:rPr>
            </w:pPr>
          </w:p>
        </w:tc>
        <w:tc>
          <w:tcPr>
            <w:tcW w:w="6620" w:type="dxa"/>
            <w:vAlign w:val="bottom"/>
            <w:gridSpan w:val="5"/>
          </w:tcPr>
          <w:p>
            <w:pPr>
              <w:spacing w:after="0" w:line="209" w:lineRule="exact"/>
              <w:rPr>
                <w:rFonts w:ascii="Arial" w:cs="Arial" w:eastAsia="Arial" w:hAnsi="Arial"/>
                <w:sz w:val="20"/>
                <w:szCs w:val="20"/>
                <w:color w:val="0000FF"/>
              </w:rPr>
            </w:pPr>
            <w:hyperlink r:id="rId85">
              <w:r>
                <w:rPr>
                  <w:rFonts w:ascii="Arial" w:cs="Arial" w:eastAsia="Arial" w:hAnsi="Arial"/>
                  <w:sz w:val="20"/>
                  <w:szCs w:val="20"/>
                  <w:color w:val="0000FF"/>
                </w:rPr>
                <w:t>Plan</w:t>
              </w:r>
            </w:hyperlink>
          </w:p>
        </w:tc>
        <w:tc>
          <w:tcPr>
            <w:tcW w:w="330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10.16*</w:t>
      </w:r>
      <w:r>
        <w:rPr>
          <w:sz w:val="20"/>
          <w:szCs w:val="20"/>
          <w:color w:val="auto"/>
        </w:rPr>
        <w:tab/>
      </w:r>
      <w:hyperlink r:id="rId86">
        <w:r>
          <w:rPr>
            <w:rFonts w:ascii="Arial" w:cs="Arial" w:eastAsia="Arial" w:hAnsi="Arial"/>
            <w:sz w:val="20"/>
            <w:szCs w:val="20"/>
            <w:u w:val="single" w:color="auto"/>
            <w:color w:val="0000FF"/>
          </w:rPr>
          <w:t>Form of Performance Unit Award Agreement for performance units granted under</w:t>
        </w:r>
      </w:hyperlink>
      <w:r>
        <w:rPr>
          <w:rFonts w:ascii="Arial" w:cs="Arial" w:eastAsia="Arial" w:hAnsi="Arial"/>
          <w:sz w:val="20"/>
          <w:szCs w:val="20"/>
          <w:u w:val="single" w:color="auto"/>
          <w:color w:val="0000FF"/>
        </w:rPr>
        <w:t xml:space="preserve"> </w:t>
      </w:r>
      <w:hyperlink r:id="rId86">
        <w:r>
          <w:rPr>
            <w:rFonts w:ascii="Arial" w:cs="Arial" w:eastAsia="Arial" w:hAnsi="Arial"/>
            <w:sz w:val="20"/>
            <w:szCs w:val="20"/>
            <w:u w:val="single" w:color="auto"/>
            <w:color w:val="0000FF"/>
          </w:rPr>
          <w:t>the Bloomin’ Brands, Inc. 2012 Incentive Award Plan</w:t>
        </w:r>
      </w:hyperlink>
    </w:p>
    <w:p>
      <w:pPr>
        <w:spacing w:after="0" w:line="136" w:lineRule="exact"/>
        <w:rPr>
          <w:sz w:val="20"/>
          <w:szCs w:val="20"/>
          <w:color w:val="auto"/>
        </w:rPr>
      </w:pPr>
    </w:p>
    <w:p>
      <w:pPr>
        <w:ind w:left="1200" w:right="100" w:hanging="940"/>
        <w:spacing w:after="0" w:line="25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10.17*</w:t>
      </w:r>
      <w:r>
        <w:rPr>
          <w:sz w:val="20"/>
          <w:szCs w:val="20"/>
          <w:color w:val="auto"/>
        </w:rPr>
        <w:tab/>
      </w:r>
      <w:hyperlink r:id="rId87">
        <w:r>
          <w:rPr>
            <w:rFonts w:ascii="Arial" w:cs="Arial" w:eastAsia="Arial" w:hAnsi="Arial"/>
            <w:sz w:val="20"/>
            <w:szCs w:val="20"/>
            <w:u w:val="single" w:color="auto"/>
            <w:color w:val="0000FF"/>
          </w:rPr>
          <w:t>Form of Bloomin’ Brands, Inc. Indemnification Agreement by and between</w:t>
        </w:r>
      </w:hyperlink>
      <w:r>
        <w:rPr>
          <w:rFonts w:ascii="Arial" w:cs="Arial" w:eastAsia="Arial" w:hAnsi="Arial"/>
          <w:sz w:val="20"/>
          <w:szCs w:val="20"/>
          <w:u w:val="single" w:color="auto"/>
          <w:color w:val="0000FF"/>
        </w:rPr>
        <w:t xml:space="preserve"> </w:t>
      </w:r>
      <w:hyperlink r:id="rId87">
        <w:r>
          <w:rPr>
            <w:rFonts w:ascii="Arial" w:cs="Arial" w:eastAsia="Arial" w:hAnsi="Arial"/>
            <w:sz w:val="20"/>
            <w:szCs w:val="20"/>
            <w:u w:val="single" w:color="auto"/>
            <w:color w:val="0000FF"/>
          </w:rPr>
          <w:t>Bloomin’ Brands, Inc. and each member of its Board of Directors and each of its</w:t>
        </w:r>
      </w:hyperlink>
      <w:r>
        <w:rPr>
          <w:rFonts w:ascii="Arial" w:cs="Arial" w:eastAsia="Arial" w:hAnsi="Arial"/>
          <w:sz w:val="20"/>
          <w:szCs w:val="20"/>
          <w:u w:val="single" w:color="auto"/>
          <w:color w:val="0000FF"/>
        </w:rPr>
        <w:t xml:space="preserve"> </w:t>
      </w:r>
      <w:hyperlink r:id="rId87">
        <w:r>
          <w:rPr>
            <w:rFonts w:ascii="Arial" w:cs="Arial" w:eastAsia="Arial" w:hAnsi="Arial"/>
            <w:sz w:val="20"/>
            <w:szCs w:val="20"/>
            <w:u w:val="single" w:color="auto"/>
            <w:color w:val="0000FF"/>
          </w:rPr>
          <w:t>executive officers</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61"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8"/>
          <w:szCs w:val="18"/>
          <w:color w:val="auto"/>
        </w:rPr>
        <w:t>December 7, 2012 Form 8-K, Exhibit 10.5</w:t>
      </w:r>
    </w:p>
    <w:p>
      <w:pPr>
        <w:spacing w:after="0" w:line="347" w:lineRule="exact"/>
        <w:rPr>
          <w:rFonts w:ascii="Arial" w:cs="Arial" w:eastAsia="Arial" w:hAnsi="Arial"/>
          <w:sz w:val="20"/>
          <w:szCs w:val="20"/>
          <w:u w:val="single" w:color="auto"/>
          <w:color w:val="0000FF"/>
        </w:rPr>
      </w:pPr>
    </w:p>
    <w:p>
      <w:pPr>
        <w:ind w:right="400"/>
        <w:spacing w:after="0" w:line="246"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10.39</w:t>
      </w:r>
    </w:p>
    <w:p>
      <w:pPr>
        <w:spacing w:after="0" w:line="151" w:lineRule="exact"/>
        <w:rPr>
          <w:rFonts w:ascii="Arial" w:cs="Arial" w:eastAsia="Arial" w:hAnsi="Arial"/>
          <w:sz w:val="20"/>
          <w:szCs w:val="20"/>
          <w:u w:val="single" w:color="auto"/>
          <w:color w:val="0000FF"/>
        </w:rPr>
      </w:pPr>
    </w:p>
    <w:p>
      <w:pPr>
        <w:sectPr>
          <w:pgSz w:w="11900" w:h="16838" w:orient="portrait"/>
          <w:cols w:equalWidth="0" w:num="2">
            <w:col w:w="7700" w:space="220"/>
            <w:col w:w="3500"/>
          </w:cols>
          <w:pgMar w:left="240" w:top="122" w:right="239" w:bottom="1440" w:gutter="0" w:footer="0" w:header="0"/>
          <w:type w:val="continuous"/>
        </w:sectPr>
      </w:pPr>
    </w:p>
    <w:p>
      <w:pPr>
        <w:ind w:left="260"/>
        <w:spacing w:after="0"/>
        <w:tabs>
          <w:tab w:leader="none" w:pos="1180" w:val="left"/>
          <w:tab w:leader="none" w:pos="7900" w:val="left"/>
        </w:tabs>
        <w:rPr>
          <w:rFonts w:ascii="Arial" w:cs="Arial" w:eastAsia="Arial" w:hAnsi="Arial"/>
          <w:sz w:val="20"/>
          <w:szCs w:val="20"/>
          <w:u w:val="single" w:color="auto"/>
          <w:color w:val="0000FF"/>
        </w:rPr>
      </w:pPr>
      <w:r>
        <w:rPr>
          <w:rFonts w:ascii="Arial" w:cs="Arial" w:eastAsia="Arial" w:hAnsi="Arial"/>
          <w:sz w:val="20"/>
          <w:szCs w:val="20"/>
          <w:color w:val="auto"/>
        </w:rPr>
        <w:t>10.18*</w:t>
      </w:r>
      <w:r>
        <w:rPr>
          <w:sz w:val="20"/>
          <w:szCs w:val="20"/>
          <w:color w:val="auto"/>
        </w:rPr>
        <w:tab/>
      </w:r>
      <w:hyperlink r:id="rId88">
        <w:r>
          <w:rPr>
            <w:rFonts w:ascii="Arial" w:cs="Arial" w:eastAsia="Arial" w:hAnsi="Arial"/>
            <w:sz w:val="20"/>
            <w:szCs w:val="20"/>
            <w:u w:val="single" w:color="auto"/>
            <w:color w:val="0000FF"/>
          </w:rPr>
          <w:t>Bloomin’ Brands, Inc. 2016 Omnibus Incentive Compensation Plan</w:t>
        </w:r>
      </w:hyperlink>
      <w:r>
        <w:rPr>
          <w:rFonts w:ascii="Arial" w:cs="Arial" w:eastAsia="Arial" w:hAnsi="Arial"/>
          <w:sz w:val="20"/>
          <w:szCs w:val="20"/>
          <w:u w:val="single" w:color="auto"/>
          <w:color w:val="0000FF"/>
        </w:rPr>
        <w:tab/>
      </w:r>
      <w:r>
        <w:rPr>
          <w:rFonts w:ascii="Arial" w:cs="Arial" w:eastAsia="Arial" w:hAnsi="Arial"/>
          <w:sz w:val="18"/>
          <w:szCs w:val="18"/>
          <w:u w:val="single" w:color="auto"/>
          <w:color w:val="0000FF"/>
        </w:rPr>
        <w:t>March 11, 2016 Definitive Proxy Statement</w:t>
      </w:r>
    </w:p>
    <w:p>
      <w:pPr>
        <w:sectPr>
          <w:pgSz w:w="11900" w:h="16838" w:orient="portrait"/>
          <w:cols w:equalWidth="0" w:num="1">
            <w:col w:w="11420"/>
          </w:cols>
          <w:pgMar w:left="240" w:top="122" w:right="239" w:bottom="1440" w:gutter="0" w:footer="0" w:header="0"/>
          <w:type w:val="continuous"/>
        </w:sectPr>
      </w:pPr>
    </w:p>
    <w:p>
      <w:pPr>
        <w:spacing w:after="0" w:line="200" w:lineRule="exact"/>
        <w:rPr>
          <w:rFonts w:ascii="Arial" w:cs="Arial" w:eastAsia="Arial" w:hAnsi="Arial"/>
          <w:sz w:val="20"/>
          <w:szCs w:val="20"/>
          <w:u w:val="single" w:color="auto"/>
          <w:color w:val="0000FF"/>
        </w:rPr>
      </w:pPr>
    </w:p>
    <w:p>
      <w:pPr>
        <w:spacing w:after="0" w:line="302"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2" w:right="239" w:bottom="1440" w:gutter="0" w:footer="0" w:header="0"/>
          <w:type w:val="continuous"/>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160" w:type="dxa"/>
            <w:vAlign w:val="bottom"/>
            <w:gridSpan w:val="9"/>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ind w:left="4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00" w:type="dxa"/>
            <w:vAlign w:val="bottom"/>
            <w:tcBorders>
              <w:bottom w:val="single" w:sz="8" w:color="0000FF"/>
            </w:tcBorders>
            <w:gridSpan w:val="4"/>
          </w:tcPr>
          <w:p>
            <w:pPr>
              <w:spacing w:after="0"/>
              <w:rPr>
                <w:rFonts w:ascii="Arial" w:cs="Arial" w:eastAsia="Arial" w:hAnsi="Arial"/>
                <w:sz w:val="20"/>
                <w:szCs w:val="20"/>
                <w:color w:val="0000FF"/>
                <w:w w:val="91"/>
              </w:rPr>
            </w:pPr>
            <w:hyperlink r:id="rId89">
              <w:r>
                <w:rPr>
                  <w:rFonts w:ascii="Arial" w:cs="Arial" w:eastAsia="Arial" w:hAnsi="Arial"/>
                  <w:sz w:val="20"/>
                  <w:szCs w:val="20"/>
                  <w:color w:val="0000FF"/>
                  <w:w w:val="91"/>
                </w:rPr>
                <w:t>Form of Nonqualified Stock Option Award Agreement for options granted to</w:t>
              </w:r>
            </w:hyperlink>
          </w:p>
        </w:tc>
        <w:tc>
          <w:tcPr>
            <w:tcW w:w="600" w:type="dxa"/>
            <w:vAlign w:val="bottom"/>
            <w:gridSpan w:val="7"/>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10.2</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89">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89">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6"/>
          </w:tcPr>
          <w:p>
            <w:pPr>
              <w:spacing w:after="0"/>
              <w:rPr>
                <w:rFonts w:ascii="Arial" w:cs="Arial" w:eastAsia="Arial" w:hAnsi="Arial"/>
                <w:sz w:val="20"/>
                <w:szCs w:val="20"/>
                <w:color w:val="0000FF"/>
                <w:w w:val="90"/>
              </w:rPr>
            </w:pPr>
            <w:hyperlink r:id="rId90">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10.3</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50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90">
              <w:r>
                <w:rPr>
                  <w:rFonts w:ascii="Arial" w:cs="Arial" w:eastAsia="Arial" w:hAnsi="Arial"/>
                  <w:sz w:val="20"/>
                  <w:szCs w:val="20"/>
                  <w:color w:val="0000FF"/>
                  <w:w w:val="90"/>
                </w:rPr>
                <w:t>directors under the Bloomin’ Brands, Inc. 2016 Omnibus Incentive Compensation</w:t>
              </w:r>
            </w:hyperlink>
          </w:p>
        </w:tc>
        <w:tc>
          <w:tcPr>
            <w:tcW w:w="20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90">
              <w:r>
                <w:rPr>
                  <w:rFonts w:ascii="Arial" w:cs="Arial" w:eastAsia="Arial" w:hAnsi="Arial"/>
                  <w:sz w:val="20"/>
                  <w:szCs w:val="20"/>
                  <w:color w:val="0000FF"/>
                </w:rPr>
                <w:t>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6"/>
          </w:tcPr>
          <w:p>
            <w:pPr>
              <w:spacing w:after="0"/>
              <w:rPr>
                <w:rFonts w:ascii="Arial" w:cs="Arial" w:eastAsia="Arial" w:hAnsi="Arial"/>
                <w:sz w:val="20"/>
                <w:szCs w:val="20"/>
                <w:color w:val="0000FF"/>
                <w:w w:val="90"/>
              </w:rPr>
            </w:pPr>
            <w:hyperlink r:id="rId91">
              <w:r>
                <w:rPr>
                  <w:rFonts w:ascii="Arial" w:cs="Arial" w:eastAsia="Arial" w:hAnsi="Arial"/>
                  <w:sz w:val="20"/>
                  <w:szCs w:val="20"/>
                  <w:color w:val="0000FF"/>
                  <w:w w:val="90"/>
                </w:rPr>
                <w:t>Form of Restricted Stock Unit Award Agreement for restricted stock granted to</w:t>
              </w:r>
            </w:hyperlink>
          </w:p>
        </w:tc>
        <w:tc>
          <w:tcPr>
            <w:tcW w:w="420" w:type="dxa"/>
            <w:vAlign w:val="bottom"/>
            <w:gridSpan w:val="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10.4</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91">
              <w:r>
                <w:rPr>
                  <w:rFonts w:ascii="Arial" w:cs="Arial" w:eastAsia="Arial" w:hAnsi="Arial"/>
                  <w:sz w:val="20"/>
                  <w:szCs w:val="20"/>
                  <w:color w:val="0000FF"/>
                  <w:w w:val="90"/>
                </w:rPr>
                <w:t>executive management under the Bloomin’ Brands, Inc. 2016 Omnibus Incentive</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91">
              <w:r>
                <w:rPr>
                  <w:rFonts w:ascii="Arial" w:cs="Arial" w:eastAsia="Arial" w:hAnsi="Arial"/>
                  <w:sz w:val="20"/>
                  <w:szCs w:val="20"/>
                  <w:color w:val="0000FF"/>
                </w:rPr>
                <w:t>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tcBorders>
              <w:bottom w:val="single" w:sz="8" w:color="0000FF"/>
            </w:tcBorders>
            <w:gridSpan w:val="7"/>
          </w:tcPr>
          <w:p>
            <w:pPr>
              <w:spacing w:after="0"/>
              <w:rPr>
                <w:rFonts w:ascii="Arial" w:cs="Arial" w:eastAsia="Arial" w:hAnsi="Arial"/>
                <w:sz w:val="20"/>
                <w:szCs w:val="20"/>
                <w:color w:val="0000FF"/>
                <w:w w:val="89"/>
              </w:rPr>
            </w:pPr>
            <w:hyperlink r:id="rId92">
              <w:r>
                <w:rPr>
                  <w:rFonts w:ascii="Arial" w:cs="Arial" w:eastAsia="Arial" w:hAnsi="Arial"/>
                  <w:sz w:val="20"/>
                  <w:szCs w:val="20"/>
                  <w:color w:val="0000FF"/>
                  <w:w w:val="89"/>
                </w:rPr>
                <w:t>Form of Performance Award Agreement for performance units granted under the</w:t>
              </w:r>
            </w:hyperlink>
          </w:p>
        </w:tc>
        <w:tc>
          <w:tcPr>
            <w:tcW w:w="30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June 26, 2016 Form 10-Q, Exhibit 10.5</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11"/>
          </w:tcPr>
          <w:p>
            <w:pPr>
              <w:spacing w:after="0" w:line="209" w:lineRule="exact"/>
              <w:rPr>
                <w:rFonts w:ascii="Arial" w:cs="Arial" w:eastAsia="Arial" w:hAnsi="Arial"/>
                <w:sz w:val="20"/>
                <w:szCs w:val="20"/>
                <w:color w:val="0000FF"/>
              </w:rPr>
            </w:pPr>
            <w:hyperlink r:id="rId92">
              <w:r>
                <w:rPr>
                  <w:rFonts w:ascii="Arial" w:cs="Arial" w:eastAsia="Arial" w:hAnsi="Arial"/>
                  <w:sz w:val="20"/>
                  <w:szCs w:val="20"/>
                  <w:color w:val="0000FF"/>
                </w:rPr>
                <w:t>Bloomin’ Brands, Inc. 2016 Omnibus Incentive Compensation Plan</w:t>
              </w:r>
            </w:hyperlink>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6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11"/>
          </w:tcPr>
          <w:p>
            <w:pPr>
              <w:spacing w:after="0"/>
              <w:rPr>
                <w:rFonts w:ascii="Arial" w:cs="Arial" w:eastAsia="Arial" w:hAnsi="Arial"/>
                <w:sz w:val="20"/>
                <w:szCs w:val="20"/>
                <w:color w:val="0000FF"/>
                <w:w w:val="96"/>
              </w:rPr>
            </w:pPr>
            <w:hyperlink r:id="rId93">
              <w:r>
                <w:rPr>
                  <w:rFonts w:ascii="Arial" w:cs="Arial" w:eastAsia="Arial" w:hAnsi="Arial"/>
                  <w:sz w:val="20"/>
                  <w:szCs w:val="20"/>
                  <w:color w:val="0000FF"/>
                  <w:w w:val="96"/>
                </w:rPr>
                <w:t>Form of Restricted Cash Award Agreement for cash awards granted under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26, 2017 Form 10-Q, Exhibit 10.1</w:t>
            </w: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tcBorders>
              <w:top w:val="single" w:sz="8" w:color="0000FF"/>
            </w:tcBorders>
            <w:gridSpan w:val="5"/>
          </w:tcPr>
          <w:p>
            <w:pPr>
              <w:spacing w:after="0" w:line="209" w:lineRule="exact"/>
              <w:rPr>
                <w:rFonts w:ascii="Arial" w:cs="Arial" w:eastAsia="Arial" w:hAnsi="Arial"/>
                <w:sz w:val="20"/>
                <w:szCs w:val="20"/>
                <w:color w:val="0000FF"/>
              </w:rPr>
            </w:pPr>
            <w:hyperlink r:id="rId93">
              <w:r>
                <w:rPr>
                  <w:rFonts w:ascii="Arial" w:cs="Arial" w:eastAsia="Arial" w:hAnsi="Arial"/>
                  <w:sz w:val="20"/>
                  <w:szCs w:val="20"/>
                  <w:color w:val="0000FF"/>
                </w:rPr>
                <w:t>Bloomin’ Brands, Inc. 2016 Omnibus Incentive Compensation Plan</w:t>
              </w:r>
            </w:hyperlink>
          </w:p>
        </w:tc>
        <w:tc>
          <w:tcPr>
            <w:tcW w:w="540" w:type="dxa"/>
            <w:vAlign w:val="bottom"/>
            <w:gridSpan w:val="6"/>
          </w:tcPr>
          <w:p>
            <w:pPr>
              <w:spacing w:after="0"/>
              <w:rPr>
                <w:sz w:val="18"/>
                <w:szCs w:val="18"/>
                <w:color w:val="auto"/>
              </w:rPr>
            </w:pPr>
          </w:p>
        </w:tc>
        <w:tc>
          <w:tcPr>
            <w:tcW w:w="35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1">
            <w:col w:w="11420"/>
          </w:cols>
          <w:pgMar w:left="240" w:top="121" w:right="239" w:bottom="1440" w:gutter="0" w:footer="0" w:header="0"/>
        </w:sectPr>
      </w:pPr>
    </w:p>
    <w:p>
      <w:pPr>
        <w:ind w:left="26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3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10.26*</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7"/>
          </w:tcPr>
          <w:p>
            <w:pPr>
              <w:spacing w:after="0"/>
              <w:rPr>
                <w:rFonts w:ascii="Arial" w:cs="Arial" w:eastAsia="Arial" w:hAnsi="Arial"/>
                <w:sz w:val="20"/>
                <w:szCs w:val="20"/>
                <w:color w:val="0000FF"/>
                <w:w w:val="94"/>
              </w:rPr>
            </w:pPr>
            <w:hyperlink r:id="rId94">
              <w:r>
                <w:rPr>
                  <w:rFonts w:ascii="Arial" w:cs="Arial" w:eastAsia="Arial" w:hAnsi="Arial"/>
                  <w:sz w:val="20"/>
                  <w:szCs w:val="20"/>
                  <w:color w:val="0000FF"/>
                  <w:w w:val="94"/>
                </w:rPr>
                <w:t>Bloomin’ Brands, Inc. Executive Change in Control Plan, effective December 6,</w:t>
              </w:r>
            </w:hyperlink>
          </w:p>
        </w:tc>
        <w:tc>
          <w:tcPr>
            <w:tcW w:w="3480" w:type="dxa"/>
            <w:vAlign w:val="bottom"/>
          </w:tcPr>
          <w:p>
            <w:pPr>
              <w:ind w:left="100"/>
              <w:spacing w:after="0"/>
              <w:rPr>
                <w:sz w:val="20"/>
                <w:szCs w:val="20"/>
                <w:color w:val="auto"/>
              </w:rPr>
            </w:pPr>
            <w:r>
              <w:rPr>
                <w:rFonts w:ascii="Arial" w:cs="Arial" w:eastAsia="Arial" w:hAnsi="Arial"/>
                <w:sz w:val="20"/>
                <w:szCs w:val="20"/>
                <w:color w:val="auto"/>
                <w:w w:val="91"/>
              </w:rPr>
              <w:t>December 7, 2012 Form 8-K, Exhibit 10.1</w:t>
            </w:r>
          </w:p>
        </w:tc>
      </w:tr>
      <w:tr>
        <w:trPr>
          <w:trHeight w:val="210"/>
        </w:trPr>
        <w:tc>
          <w:tcPr>
            <w:tcW w:w="4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5"/>
              </w:rPr>
            </w:pPr>
            <w:hyperlink r:id="rId94">
              <w:r>
                <w:rPr>
                  <w:rFonts w:ascii="Arial" w:cs="Arial" w:eastAsia="Arial" w:hAnsi="Arial"/>
                  <w:sz w:val="20"/>
                  <w:szCs w:val="20"/>
                  <w:color w:val="0000FF"/>
                  <w:w w:val="85"/>
                </w:rPr>
                <w:t>2012</w:t>
              </w:r>
            </w:hyperlink>
          </w:p>
        </w:tc>
        <w:tc>
          <w:tcPr>
            <w:tcW w:w="5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466"/>
        </w:trPr>
        <w:tc>
          <w:tcPr>
            <w:tcW w:w="6540" w:type="dxa"/>
            <w:vAlign w:val="bottom"/>
            <w:tcBorders>
              <w:bottom w:val="single" w:sz="8" w:color="0000FF"/>
            </w:tcBorders>
            <w:gridSpan w:val="6"/>
          </w:tcPr>
          <w:p>
            <w:pPr>
              <w:spacing w:after="0"/>
              <w:rPr>
                <w:rFonts w:ascii="Arial" w:cs="Arial" w:eastAsia="Arial" w:hAnsi="Arial"/>
                <w:sz w:val="20"/>
                <w:szCs w:val="20"/>
                <w:color w:val="0000FF"/>
                <w:w w:val="88"/>
              </w:rPr>
            </w:pPr>
            <w:hyperlink r:id="rId95">
              <w:r>
                <w:rPr>
                  <w:rFonts w:ascii="Arial" w:cs="Arial" w:eastAsia="Arial" w:hAnsi="Arial"/>
                  <w:sz w:val="20"/>
                  <w:szCs w:val="20"/>
                  <w:color w:val="0000FF"/>
                  <w:w w:val="88"/>
                </w:rPr>
                <w:t>Amended and Restated Employment Agreement made and entered into September</w:t>
              </w:r>
            </w:hyperlink>
          </w:p>
        </w:tc>
        <w:tc>
          <w:tcPr>
            <w:tcW w:w="80" w:type="dxa"/>
            <w:vAlign w:val="bottom"/>
          </w:tcPr>
          <w:p>
            <w:pPr>
              <w:spacing w:after="0"/>
              <w:rPr>
                <w:sz w:val="24"/>
                <w:szCs w:val="24"/>
                <w:color w:val="auto"/>
              </w:rPr>
            </w:pPr>
          </w:p>
        </w:tc>
        <w:tc>
          <w:tcPr>
            <w:tcW w:w="3480" w:type="dxa"/>
            <w:vAlign w:val="bottom"/>
          </w:tcPr>
          <w:p>
            <w:pPr>
              <w:ind w:left="100"/>
              <w:spacing w:after="0"/>
              <w:rPr>
                <w:sz w:val="20"/>
                <w:szCs w:val="20"/>
                <w:color w:val="auto"/>
              </w:rPr>
            </w:pPr>
            <w:r>
              <w:rPr>
                <w:rFonts w:ascii="Arial" w:cs="Arial" w:eastAsia="Arial" w:hAnsi="Arial"/>
                <w:sz w:val="20"/>
                <w:szCs w:val="20"/>
                <w:color w:val="auto"/>
                <w:w w:val="97"/>
              </w:rPr>
              <w:t>June 30, 2012 Form 10-Q, Exhibit 10.1</w:t>
            </w:r>
          </w:p>
        </w:tc>
      </w:tr>
      <w:tr>
        <w:trPr>
          <w:trHeight w:val="210"/>
        </w:trPr>
        <w:tc>
          <w:tcPr>
            <w:tcW w:w="5600" w:type="dxa"/>
            <w:vAlign w:val="bottom"/>
            <w:tcBorders>
              <w:bottom w:val="single" w:sz="8" w:color="0000FF"/>
            </w:tcBorders>
            <w:gridSpan w:val="2"/>
          </w:tcPr>
          <w:p>
            <w:pPr>
              <w:spacing w:after="0" w:line="209" w:lineRule="exact"/>
              <w:rPr>
                <w:rFonts w:ascii="Arial" w:cs="Arial" w:eastAsia="Arial" w:hAnsi="Arial"/>
                <w:sz w:val="20"/>
                <w:szCs w:val="20"/>
                <w:color w:val="0000FF"/>
                <w:w w:val="90"/>
              </w:rPr>
            </w:pPr>
            <w:hyperlink r:id="rId95">
              <w:r>
                <w:rPr>
                  <w:rFonts w:ascii="Arial" w:cs="Arial" w:eastAsia="Arial" w:hAnsi="Arial"/>
                  <w:sz w:val="20"/>
                  <w:szCs w:val="20"/>
                  <w:color w:val="0000FF"/>
                  <w:w w:val="90"/>
                </w:rPr>
                <w:t>4, 2012 by and between Elizabeth A. Smith and Bloomin’ Brands, Inc.</w:t>
              </w:r>
            </w:hyperlink>
          </w:p>
        </w:tc>
        <w:tc>
          <w:tcPr>
            <w:tcW w:w="1020" w:type="dxa"/>
            <w:vAlign w:val="bottom"/>
            <w:gridSpan w:val="5"/>
          </w:tcPr>
          <w:p>
            <w:pPr>
              <w:spacing w:after="0"/>
              <w:rPr>
                <w:sz w:val="18"/>
                <w:szCs w:val="18"/>
                <w:color w:val="auto"/>
              </w:rPr>
            </w:pPr>
          </w:p>
        </w:tc>
        <w:tc>
          <w:tcPr>
            <w:tcW w:w="3480" w:type="dxa"/>
            <w:vAlign w:val="bottom"/>
          </w:tcPr>
          <w:p>
            <w:pPr>
              <w:spacing w:after="0"/>
              <w:rPr>
                <w:sz w:val="18"/>
                <w:szCs w:val="18"/>
                <w:color w:val="auto"/>
              </w:rPr>
            </w:pPr>
          </w:p>
        </w:tc>
      </w:tr>
      <w:tr>
        <w:trPr>
          <w:trHeight w:val="385"/>
        </w:trPr>
        <w:tc>
          <w:tcPr>
            <w:tcW w:w="6620" w:type="dxa"/>
            <w:vAlign w:val="bottom"/>
            <w:gridSpan w:val="7"/>
          </w:tcPr>
          <w:p>
            <w:pPr>
              <w:spacing w:after="0"/>
              <w:rPr>
                <w:rFonts w:ascii="Arial" w:cs="Arial" w:eastAsia="Arial" w:hAnsi="Arial"/>
                <w:sz w:val="20"/>
                <w:szCs w:val="20"/>
                <w:color w:val="0000FF"/>
              </w:rPr>
            </w:pPr>
            <w:hyperlink r:id="rId96">
              <w:r>
                <w:rPr>
                  <w:rFonts w:ascii="Arial" w:cs="Arial" w:eastAsia="Arial" w:hAnsi="Arial"/>
                  <w:sz w:val="20"/>
                  <w:szCs w:val="20"/>
                  <w:color w:val="0000FF"/>
                </w:rPr>
                <w:t>Option Agreement, dated November 16, 2009, by and between Kangaroo</w:t>
              </w:r>
            </w:hyperlink>
          </w:p>
        </w:tc>
        <w:tc>
          <w:tcPr>
            <w:tcW w:w="3480" w:type="dxa"/>
            <w:vAlign w:val="bottom"/>
          </w:tcPr>
          <w:p>
            <w:pPr>
              <w:ind w:left="100"/>
              <w:spacing w:after="0"/>
              <w:rPr>
                <w:sz w:val="20"/>
                <w:szCs w:val="20"/>
                <w:color w:val="auto"/>
              </w:rPr>
            </w:pPr>
            <w:r>
              <w:rPr>
                <w:rFonts w:ascii="Arial" w:cs="Arial" w:eastAsia="Arial" w:hAnsi="Arial"/>
                <w:sz w:val="20"/>
                <w:szCs w:val="20"/>
                <w:color w:val="auto"/>
                <w:w w:val="92"/>
              </w:rPr>
              <w:t>Registration Statement on Form S-1, File</w:t>
            </w:r>
          </w:p>
        </w:tc>
      </w:tr>
      <w:tr>
        <w:trPr>
          <w:trHeight w:val="210"/>
        </w:trPr>
        <w:tc>
          <w:tcPr>
            <w:tcW w:w="5800" w:type="dxa"/>
            <w:vAlign w:val="bottom"/>
            <w:tcBorders>
              <w:top w:val="single" w:sz="8" w:color="0000FF"/>
            </w:tcBorders>
            <w:gridSpan w:val="4"/>
          </w:tcPr>
          <w:p>
            <w:pPr>
              <w:spacing w:after="0" w:line="209" w:lineRule="exact"/>
              <w:rPr>
                <w:rFonts w:ascii="Arial" w:cs="Arial" w:eastAsia="Arial" w:hAnsi="Arial"/>
                <w:sz w:val="20"/>
                <w:szCs w:val="20"/>
                <w:color w:val="0000FF"/>
                <w:w w:val="91"/>
              </w:rPr>
            </w:pPr>
            <w:hyperlink r:id="rId96">
              <w:r>
                <w:rPr>
                  <w:rFonts w:ascii="Arial" w:cs="Arial" w:eastAsia="Arial" w:hAnsi="Arial"/>
                  <w:sz w:val="20"/>
                  <w:szCs w:val="20"/>
                  <w:color w:val="0000FF"/>
                  <w:w w:val="91"/>
                </w:rPr>
                <w:t>Holdings, Inc. and Elizabeth A. Smith, as amended December 31, 2009</w:t>
              </w:r>
            </w:hyperlink>
          </w:p>
        </w:tc>
        <w:tc>
          <w:tcPr>
            <w:tcW w:w="820" w:type="dxa"/>
            <w:vAlign w:val="bottom"/>
            <w:gridSpan w:val="3"/>
          </w:tcPr>
          <w:p>
            <w:pPr>
              <w:spacing w:after="0"/>
              <w:rPr>
                <w:sz w:val="18"/>
                <w:szCs w:val="18"/>
                <w:color w:val="auto"/>
              </w:rPr>
            </w:pPr>
          </w:p>
        </w:tc>
        <w:tc>
          <w:tcPr>
            <w:tcW w:w="3480" w:type="dxa"/>
            <w:vAlign w:val="bottom"/>
          </w:tcPr>
          <w:p>
            <w:pPr>
              <w:ind w:left="100"/>
              <w:spacing w:after="0" w:line="209" w:lineRule="exact"/>
              <w:rPr>
                <w:sz w:val="20"/>
                <w:szCs w:val="20"/>
                <w:color w:val="auto"/>
              </w:rPr>
            </w:pPr>
            <w:r>
              <w:rPr>
                <w:rFonts w:ascii="Arial" w:cs="Arial" w:eastAsia="Arial" w:hAnsi="Arial"/>
                <w:sz w:val="20"/>
                <w:szCs w:val="20"/>
                <w:color w:val="auto"/>
                <w:w w:val="98"/>
              </w:rPr>
              <w:t>No. 333-180615, filed on April 6, 2012,</w:t>
            </w:r>
          </w:p>
        </w:tc>
      </w:tr>
      <w:tr>
        <w:trPr>
          <w:trHeight w:val="254"/>
        </w:trPr>
        <w:tc>
          <w:tcPr>
            <w:tcW w:w="400" w:type="dxa"/>
            <w:vAlign w:val="bottom"/>
            <w:tcBorders>
              <w:top w:val="single" w:sz="8" w:color="0000FF"/>
            </w:tcBorders>
          </w:tcPr>
          <w:p>
            <w:pPr>
              <w:spacing w:after="0"/>
              <w:rPr>
                <w:sz w:val="22"/>
                <w:szCs w:val="22"/>
                <w:color w:val="auto"/>
              </w:rPr>
            </w:pPr>
          </w:p>
        </w:tc>
        <w:tc>
          <w:tcPr>
            <w:tcW w:w="52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tcPr>
          <w:p>
            <w:pPr>
              <w:ind w:left="100"/>
              <w:spacing w:after="0"/>
              <w:rPr>
                <w:sz w:val="20"/>
                <w:szCs w:val="20"/>
                <w:color w:val="auto"/>
              </w:rPr>
            </w:pPr>
            <w:r>
              <w:rPr>
                <w:rFonts w:ascii="Arial" w:cs="Arial" w:eastAsia="Arial" w:hAnsi="Arial"/>
                <w:sz w:val="20"/>
                <w:szCs w:val="20"/>
                <w:color w:val="auto"/>
              </w:rPr>
              <w:t>Exhibit 10.40</w:t>
            </w:r>
          </w:p>
        </w:tc>
      </w:tr>
    </w:tbl>
    <w:p>
      <w:pPr>
        <w:spacing w:after="0" w:line="155" w:lineRule="exact"/>
        <w:rPr>
          <w:sz w:val="20"/>
          <w:szCs w:val="20"/>
          <w:color w:val="auto"/>
        </w:rPr>
      </w:pPr>
    </w:p>
    <w:p>
      <w:pPr>
        <w:sectPr>
          <w:pgSz w:w="11900" w:h="16838" w:orient="portrait"/>
          <w:cols w:equalWidth="0" w:num="2">
            <w:col w:w="800" w:space="400"/>
            <w:col w:w="10220"/>
          </w:cols>
          <w:pgMar w:left="240" w:top="121"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10.27*</w:t>
      </w:r>
      <w:r>
        <w:rPr>
          <w:sz w:val="20"/>
          <w:szCs w:val="20"/>
          <w:color w:val="auto"/>
        </w:rPr>
        <w:tab/>
      </w:r>
      <w:hyperlink r:id="rId97">
        <w:r>
          <w:rPr>
            <w:rFonts w:ascii="Arial" w:cs="Arial" w:eastAsia="Arial" w:hAnsi="Arial"/>
            <w:sz w:val="20"/>
            <w:szCs w:val="20"/>
            <w:u w:val="single" w:color="auto"/>
            <w:color w:val="0000FF"/>
          </w:rPr>
          <w:t>Option Agreement, dated July 1, 2011, by and between Kangaroo Holdings, Inc.</w:t>
        </w:r>
      </w:hyperlink>
      <w:r>
        <w:rPr>
          <w:rFonts w:ascii="Arial" w:cs="Arial" w:eastAsia="Arial" w:hAnsi="Arial"/>
          <w:sz w:val="20"/>
          <w:szCs w:val="20"/>
          <w:u w:val="single" w:color="auto"/>
          <w:color w:val="0000FF"/>
        </w:rPr>
        <w:t xml:space="preserve"> </w:t>
      </w:r>
      <w:hyperlink r:id="rId97">
        <w:r>
          <w:rPr>
            <w:rFonts w:ascii="Arial" w:cs="Arial" w:eastAsia="Arial" w:hAnsi="Arial"/>
            <w:sz w:val="20"/>
            <w:szCs w:val="20"/>
            <w:u w:val="single" w:color="auto"/>
            <w:color w:val="0000FF"/>
          </w:rPr>
          <w:t>and Elizabeth A. Smith</w:t>
        </w:r>
      </w:hyperlink>
    </w:p>
    <w:p>
      <w:pPr>
        <w:spacing w:after="0" w:line="20" w:lineRule="exact"/>
        <w:rPr>
          <w:sz w:val="20"/>
          <w:szCs w:val="20"/>
          <w:color w:val="auto"/>
        </w:rPr>
      </w:pPr>
      <w:r>
        <w:rPr>
          <w:sz w:val="20"/>
          <w:szCs w:val="20"/>
          <w:color w:val="auto"/>
        </w:rPr>
        <w:br w:type="column"/>
      </w: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10.41</w:t>
      </w:r>
    </w:p>
    <w:p>
      <w:pPr>
        <w:spacing w:after="0" w:line="146" w:lineRule="exact"/>
        <w:rPr>
          <w:sz w:val="20"/>
          <w:szCs w:val="20"/>
          <w:color w:val="auto"/>
        </w:rPr>
      </w:pPr>
    </w:p>
    <w:p>
      <w:pPr>
        <w:sectPr>
          <w:pgSz w:w="11900" w:h="16838" w:orient="portrait"/>
          <w:cols w:equalWidth="0" w:num="2">
            <w:col w:w="7560" w:space="360"/>
            <w:col w:w="3500"/>
          </w:cols>
          <w:pgMar w:left="240" w:top="121" w:right="239" w:bottom="1440" w:gutter="0" w:footer="0" w:header="0"/>
          <w:type w:val="continuous"/>
        </w:sect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10.28*</w:t>
      </w:r>
      <w:r>
        <w:rPr>
          <w:sz w:val="20"/>
          <w:szCs w:val="20"/>
          <w:color w:val="auto"/>
        </w:rPr>
        <w:tab/>
      </w:r>
      <w:hyperlink r:id="rId98">
        <w:r>
          <w:rPr>
            <w:rFonts w:ascii="Arial" w:cs="Arial" w:eastAsia="Arial" w:hAnsi="Arial"/>
            <w:sz w:val="20"/>
            <w:szCs w:val="20"/>
            <w:u w:val="single" w:color="auto"/>
            <w:color w:val="0000FF"/>
          </w:rPr>
          <w:t>Officer Employment Agreement, made and entered into effective May 7, 2012, by</w:t>
        </w:r>
      </w:hyperlink>
      <w:r>
        <w:rPr>
          <w:rFonts w:ascii="Arial" w:cs="Arial" w:eastAsia="Arial" w:hAnsi="Arial"/>
          <w:sz w:val="20"/>
          <w:szCs w:val="20"/>
          <w:u w:val="single" w:color="auto"/>
          <w:color w:val="0000FF"/>
        </w:rPr>
        <w:t xml:space="preserve"> </w:t>
      </w:r>
      <w:hyperlink r:id="rId98">
        <w:r>
          <w:rPr>
            <w:rFonts w:ascii="Arial" w:cs="Arial" w:eastAsia="Arial" w:hAnsi="Arial"/>
            <w:sz w:val="20"/>
            <w:szCs w:val="20"/>
            <w:u w:val="single" w:color="auto"/>
            <w:color w:val="0000FF"/>
          </w:rPr>
          <w:t>and among David Deno and OSI Restaurant Partners, LLC</w:t>
        </w:r>
      </w:hyperlink>
    </w:p>
    <w:p>
      <w:pPr>
        <w:spacing w:after="0" w:line="20" w:lineRule="exact"/>
        <w:rPr>
          <w:sz w:val="20"/>
          <w:szCs w:val="20"/>
          <w:color w:val="auto"/>
        </w:rPr>
      </w:pPr>
      <w:r>
        <w:rPr>
          <w:sz w:val="20"/>
          <w:szCs w:val="20"/>
          <w:color w:val="auto"/>
        </w:rPr>
        <w:br w:type="column"/>
      </w:r>
    </w:p>
    <w:p>
      <w:pPr>
        <w:ind w:right="360"/>
        <w:spacing w:after="0" w:line="246" w:lineRule="auto"/>
        <w:rPr>
          <w:sz w:val="20"/>
          <w:szCs w:val="20"/>
          <w:color w:val="auto"/>
        </w:rPr>
      </w:pPr>
      <w:r>
        <w:rPr>
          <w:rFonts w:ascii="Arial" w:cs="Arial" w:eastAsia="Arial" w:hAnsi="Arial"/>
          <w:sz w:val="20"/>
          <w:szCs w:val="20"/>
          <w:color w:val="auto"/>
        </w:rPr>
        <w:t>Amendment No. 1 to Registration Statement on Form S-1, File No. 333-180615, filed on May 17, 2012, Exhibit 10.53</w:t>
      </w:r>
    </w:p>
    <w:p>
      <w:pPr>
        <w:spacing w:after="0" w:line="151" w:lineRule="exact"/>
        <w:rPr>
          <w:sz w:val="20"/>
          <w:szCs w:val="20"/>
          <w:color w:val="auto"/>
        </w:rPr>
      </w:pPr>
    </w:p>
    <w:p>
      <w:pPr>
        <w:sectPr>
          <w:pgSz w:w="11900" w:h="16838" w:orient="portrait"/>
          <w:cols w:equalWidth="0" w:num="2">
            <w:col w:w="7700" w:space="220"/>
            <w:col w:w="3500"/>
          </w:cols>
          <w:pgMar w:left="240" w:top="121" w:right="239" w:bottom="1440" w:gutter="0" w:footer="0" w:header="0"/>
          <w:type w:val="continuous"/>
        </w:sectPr>
      </w:pPr>
    </w:p>
    <w:p>
      <w:pPr>
        <w:ind w:left="1200" w:right="380" w:hanging="940"/>
        <w:spacing w:after="0" w:line="247"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10.29*</w:t>
      </w:r>
      <w:r>
        <w:rPr>
          <w:sz w:val="20"/>
          <w:szCs w:val="20"/>
          <w:color w:val="auto"/>
        </w:rPr>
        <w:tab/>
      </w:r>
      <w:hyperlink r:id="rId99">
        <w:r>
          <w:rPr>
            <w:rFonts w:ascii="Arial" w:cs="Arial" w:eastAsia="Arial" w:hAnsi="Arial"/>
            <w:sz w:val="20"/>
            <w:szCs w:val="20"/>
            <w:u w:val="single" w:color="auto"/>
            <w:color w:val="0000FF"/>
          </w:rPr>
          <w:t xml:space="preserve">Amendment, dated July 16, 2014, to the Officer Employment Agreement, made </w:t>
        </w:r>
      </w:hyperlink>
      <w:r>
        <w:rPr>
          <w:rFonts w:ascii="Arial" w:cs="Arial" w:eastAsia="Arial" w:hAnsi="Arial"/>
          <w:sz w:val="20"/>
          <w:szCs w:val="20"/>
          <w:color w:val="000000"/>
        </w:rPr>
        <w:t>June</w:t>
      </w:r>
      <w:r>
        <w:rPr>
          <w:rFonts w:ascii="Arial" w:cs="Arial" w:eastAsia="Arial" w:hAnsi="Arial"/>
          <w:sz w:val="20"/>
          <w:szCs w:val="20"/>
          <w:u w:val="single" w:color="auto"/>
          <w:color w:val="0000FF"/>
        </w:rPr>
        <w:t xml:space="preserve"> </w:t>
      </w:r>
      <w:r>
        <w:rPr>
          <w:rFonts w:ascii="Arial" w:cs="Arial" w:eastAsia="Arial" w:hAnsi="Arial"/>
          <w:sz w:val="20"/>
          <w:szCs w:val="20"/>
          <w:color w:val="000000"/>
        </w:rPr>
        <w:t>29, 2014 Form 10-Q, Exhibit 10.7</w:t>
      </w:r>
      <w:r>
        <w:rPr>
          <w:rFonts w:ascii="Arial" w:cs="Arial" w:eastAsia="Arial" w:hAnsi="Arial"/>
          <w:sz w:val="20"/>
          <w:szCs w:val="20"/>
          <w:u w:val="single" w:color="auto"/>
          <w:color w:val="0000FF"/>
        </w:rPr>
        <w:t xml:space="preserve"> </w:t>
      </w:r>
      <w:hyperlink r:id="rId99">
        <w:r>
          <w:rPr>
            <w:rFonts w:ascii="Arial" w:cs="Arial" w:eastAsia="Arial" w:hAnsi="Arial"/>
            <w:sz w:val="20"/>
            <w:szCs w:val="20"/>
            <w:u w:val="single" w:color="auto"/>
            <w:color w:val="0000FF"/>
          </w:rPr>
          <w:t>and entered into effective May 7, 2012, by and among David Deno and OSI</w:t>
        </w:r>
      </w:hyperlink>
    </w:p>
    <w:p>
      <w:pPr>
        <w:spacing w:after="0" w:line="2" w:lineRule="exact"/>
        <w:rPr>
          <w:sz w:val="20"/>
          <w:szCs w:val="20"/>
          <w:color w:val="auto"/>
        </w:rPr>
      </w:pPr>
    </w:p>
    <w:p>
      <w:pPr>
        <w:ind w:left="1200"/>
        <w:spacing w:after="0"/>
        <w:rPr>
          <w:rFonts w:ascii="Arial" w:cs="Arial" w:eastAsia="Arial" w:hAnsi="Arial"/>
          <w:sz w:val="20"/>
          <w:szCs w:val="20"/>
          <w:u w:val="single" w:color="auto"/>
          <w:color w:val="0000FF"/>
        </w:rPr>
      </w:pPr>
      <w:hyperlink r:id="rId99">
        <w:r>
          <w:rPr>
            <w:rFonts w:ascii="Arial" w:cs="Arial" w:eastAsia="Arial" w:hAnsi="Arial"/>
            <w:sz w:val="20"/>
            <w:szCs w:val="20"/>
            <w:u w:val="single" w:color="auto"/>
            <w:color w:val="0000FF"/>
          </w:rPr>
          <w:t>Restaurant Partners, LLC</w:t>
        </w:r>
      </w:hyperlink>
    </w:p>
    <w:p>
      <w:pPr>
        <w:sectPr>
          <w:pgSz w:w="11900" w:h="16838" w:orient="portrait"/>
          <w:cols w:equalWidth="0" w:num="1">
            <w:col w:w="11420"/>
          </w:cols>
          <w:pgMar w:left="240" w:top="121" w:right="239" w:bottom="1440" w:gutter="0" w:footer="0" w:header="0"/>
          <w:type w:val="continuous"/>
        </w:sectPr>
      </w:pPr>
    </w:p>
    <w:p>
      <w:pPr>
        <w:spacing w:after="0" w:line="159" w:lineRule="exact"/>
        <w:rPr>
          <w:sz w:val="20"/>
          <w:szCs w:val="20"/>
          <w:color w:val="auto"/>
        </w:rPr>
      </w:pPr>
    </w:p>
    <w:p>
      <w:pPr>
        <w:jc w:val="both"/>
        <w:ind w:left="1200" w:right="280" w:hanging="940"/>
        <w:spacing w:after="0" w:line="342" w:lineRule="auto"/>
        <w:tabs>
          <w:tab w:leader="none" w:pos="1180" w:val="left"/>
        </w:tabs>
        <w:rPr>
          <w:rFonts w:ascii="Arial" w:cs="Arial" w:eastAsia="Arial" w:hAnsi="Arial"/>
          <w:sz w:val="16"/>
          <w:szCs w:val="16"/>
          <w:u w:val="single" w:color="auto"/>
          <w:color w:val="0000FF"/>
        </w:rPr>
      </w:pPr>
      <w:r>
        <w:rPr>
          <w:rFonts w:ascii="Arial" w:cs="Arial" w:eastAsia="Arial" w:hAnsi="Arial"/>
          <w:sz w:val="20"/>
          <w:szCs w:val="20"/>
          <w:color w:val="auto"/>
        </w:rPr>
        <w:t>10.30*</w:t>
      </w:r>
      <w:r>
        <w:rPr>
          <w:sz w:val="20"/>
          <w:szCs w:val="20"/>
          <w:color w:val="auto"/>
        </w:rPr>
        <w:tab/>
      </w:r>
      <w:hyperlink r:id="rId100">
        <w:r>
          <w:rPr>
            <w:rFonts w:ascii="Arial" w:cs="Arial" w:eastAsia="Arial" w:hAnsi="Arial"/>
            <w:sz w:val="16"/>
            <w:szCs w:val="16"/>
            <w:u w:val="single" w:color="auto"/>
            <w:color w:val="0000FF"/>
          </w:rPr>
          <w:t>Amended and Restated Employment Agreement dated June 14, 2007, between</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Joseph J. Kadow and OSI Restaurant Partners, LLC, as amended on January 1,</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2009, June 12, 2009, December 30, 2010 and December 16, 2011</w:t>
        </w:r>
      </w:hyperlink>
    </w:p>
    <w:p>
      <w:pPr>
        <w:spacing w:after="0" w:line="78" w:lineRule="exact"/>
        <w:rPr>
          <w:rFonts w:ascii="Arial" w:cs="Arial" w:eastAsia="Arial" w:hAnsi="Arial"/>
          <w:sz w:val="16"/>
          <w:szCs w:val="16"/>
          <w:u w:val="single" w:color="auto"/>
          <w:color w:val="0000FF"/>
        </w:rPr>
      </w:pPr>
    </w:p>
    <w:p>
      <w:pPr>
        <w:ind w:left="1200" w:right="120" w:hanging="940"/>
        <w:spacing w:after="0" w:line="25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10.31*</w:t>
      </w:r>
      <w:r>
        <w:rPr>
          <w:sz w:val="20"/>
          <w:szCs w:val="20"/>
          <w:color w:val="auto"/>
        </w:rPr>
        <w:tab/>
      </w:r>
      <w:hyperlink r:id="rId101">
        <w:r>
          <w:rPr>
            <w:rFonts w:ascii="Arial" w:cs="Arial" w:eastAsia="Arial" w:hAnsi="Arial"/>
            <w:sz w:val="20"/>
            <w:szCs w:val="20"/>
            <w:u w:val="single" w:color="auto"/>
            <w:color w:val="0000FF"/>
          </w:rPr>
          <w:t>Split-Dollar Agreement dated August 12, 2008 and effective March 30, 2006, by</w:t>
        </w:r>
      </w:hyperlink>
      <w:r>
        <w:rPr>
          <w:rFonts w:ascii="Arial" w:cs="Arial" w:eastAsia="Arial" w:hAnsi="Arial"/>
          <w:sz w:val="20"/>
          <w:szCs w:val="20"/>
          <w:u w:val="single" w:color="auto"/>
          <w:color w:val="0000FF"/>
        </w:rPr>
        <w:t xml:space="preserve"> </w:t>
      </w:r>
      <w:hyperlink r:id="rId101">
        <w:r>
          <w:rPr>
            <w:rFonts w:ascii="Arial" w:cs="Arial" w:eastAsia="Arial" w:hAnsi="Arial"/>
            <w:sz w:val="20"/>
            <w:szCs w:val="20"/>
            <w:u w:val="single" w:color="auto"/>
            <w:color w:val="0000FF"/>
          </w:rPr>
          <w:t>and between OSI Restaurant Partners, LLC (formerly known as Outback</w:t>
        </w:r>
      </w:hyperlink>
      <w:r>
        <w:rPr>
          <w:rFonts w:ascii="Arial" w:cs="Arial" w:eastAsia="Arial" w:hAnsi="Arial"/>
          <w:sz w:val="20"/>
          <w:szCs w:val="20"/>
          <w:u w:val="single" w:color="auto"/>
          <w:color w:val="0000FF"/>
        </w:rPr>
        <w:t xml:space="preserve"> </w:t>
      </w:r>
      <w:hyperlink r:id="rId101">
        <w:r>
          <w:rPr>
            <w:rFonts w:ascii="Arial" w:cs="Arial" w:eastAsia="Arial" w:hAnsi="Arial"/>
            <w:sz w:val="20"/>
            <w:szCs w:val="20"/>
            <w:u w:val="single" w:color="auto"/>
            <w:color w:val="0000FF"/>
          </w:rPr>
          <w:t>Steakhouse, Inc.) and Joseph J. Kadow</w:t>
        </w:r>
      </w:hyperlink>
    </w:p>
    <w:p>
      <w:pPr>
        <w:spacing w:after="0" w:line="146" w:lineRule="exact"/>
        <w:rPr>
          <w:rFonts w:ascii="Arial" w:cs="Arial" w:eastAsia="Arial" w:hAnsi="Arial"/>
          <w:sz w:val="20"/>
          <w:szCs w:val="20"/>
          <w:u w:val="single" w:color="auto"/>
          <w:color w:val="0000FF"/>
        </w:rPr>
      </w:pPr>
    </w:p>
    <w:p>
      <w:pPr>
        <w:ind w:left="1200" w:right="74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10.32*</w:t>
      </w:r>
      <w:r>
        <w:rPr>
          <w:sz w:val="20"/>
          <w:szCs w:val="20"/>
          <w:color w:val="auto"/>
        </w:rPr>
        <w:tab/>
      </w:r>
      <w:hyperlink r:id="rId102">
        <w:r>
          <w:rPr>
            <w:rFonts w:ascii="Arial" w:cs="Arial" w:eastAsia="Arial" w:hAnsi="Arial"/>
            <w:sz w:val="20"/>
            <w:szCs w:val="20"/>
            <w:u w:val="single" w:color="auto"/>
            <w:color w:val="0000FF"/>
          </w:rPr>
          <w:t>Employment Offer Letter Agreement, dated as of July 30, 2014, between</w:t>
        </w:r>
      </w:hyperlink>
      <w:r>
        <w:rPr>
          <w:rFonts w:ascii="Arial" w:cs="Arial" w:eastAsia="Arial" w:hAnsi="Arial"/>
          <w:sz w:val="20"/>
          <w:szCs w:val="20"/>
          <w:u w:val="single" w:color="auto"/>
          <w:color w:val="0000FF"/>
        </w:rPr>
        <w:t xml:space="preserve"> </w:t>
      </w:r>
      <w:hyperlink r:id="rId102">
        <w:r>
          <w:rPr>
            <w:rFonts w:ascii="Arial" w:cs="Arial" w:eastAsia="Arial" w:hAnsi="Arial"/>
            <w:sz w:val="20"/>
            <w:szCs w:val="20"/>
            <w:u w:val="single" w:color="auto"/>
            <w:color w:val="0000FF"/>
          </w:rPr>
          <w:t>Bloomin’ Brands, Inc. and Donagh Herlihy</w:t>
        </w:r>
      </w:hyperlink>
    </w:p>
    <w:p>
      <w:pPr>
        <w:spacing w:after="0" w:line="136" w:lineRule="exact"/>
        <w:rPr>
          <w:sz w:val="20"/>
          <w:szCs w:val="20"/>
          <w:color w:val="auto"/>
        </w:rPr>
      </w:pPr>
    </w:p>
    <w:p>
      <w:pPr>
        <w:ind w:left="1200" w:hanging="940"/>
        <w:spacing w:after="0" w:line="260" w:lineRule="auto"/>
        <w:tabs>
          <w:tab w:leader="none" w:pos="1180" w:val="left"/>
        </w:tabs>
        <w:rPr>
          <w:rFonts w:ascii="Arial" w:cs="Arial" w:eastAsia="Arial" w:hAnsi="Arial"/>
          <w:sz w:val="20"/>
          <w:szCs w:val="20"/>
          <w:u w:val="single" w:color="auto"/>
          <w:color w:val="0000FF"/>
        </w:rPr>
      </w:pPr>
      <w:r>
        <w:rPr>
          <w:rFonts w:ascii="Arial" w:cs="Arial" w:eastAsia="Arial" w:hAnsi="Arial"/>
          <w:sz w:val="20"/>
          <w:szCs w:val="20"/>
          <w:color w:val="auto"/>
        </w:rPr>
        <w:t>10.33*</w:t>
      </w:r>
      <w:r>
        <w:rPr>
          <w:sz w:val="20"/>
          <w:szCs w:val="20"/>
          <w:color w:val="auto"/>
        </w:rPr>
        <w:tab/>
      </w:r>
      <w:hyperlink r:id="rId103">
        <w:r>
          <w:rPr>
            <w:rFonts w:ascii="Arial" w:cs="Arial" w:eastAsia="Arial" w:hAnsi="Arial"/>
            <w:sz w:val="20"/>
            <w:szCs w:val="20"/>
            <w:u w:val="single" w:color="auto"/>
            <w:color w:val="0000FF"/>
          </w:rPr>
          <w:t>Employment Offer Letter Agreement, dated as of May 4, 2015, between Bloomin’</w:t>
        </w:r>
      </w:hyperlink>
      <w:r>
        <w:rPr>
          <w:rFonts w:ascii="Arial" w:cs="Arial" w:eastAsia="Arial" w:hAnsi="Arial"/>
          <w:sz w:val="20"/>
          <w:szCs w:val="20"/>
          <w:u w:val="single" w:color="auto"/>
          <w:color w:val="0000FF"/>
        </w:rPr>
        <w:t xml:space="preserve"> </w:t>
      </w:r>
      <w:hyperlink r:id="rId103">
        <w:r>
          <w:rPr>
            <w:rFonts w:ascii="Arial" w:cs="Arial" w:eastAsia="Arial" w:hAnsi="Arial"/>
            <w:sz w:val="20"/>
            <w:szCs w:val="20"/>
            <w:u w:val="single" w:color="auto"/>
            <w:color w:val="0000FF"/>
          </w:rPr>
          <w:t>Brands, Inc. and Sukhdev Singh</w:t>
        </w:r>
      </w:hyperlink>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10.29</w:t>
      </w:r>
    </w:p>
    <w:p>
      <w:pPr>
        <w:spacing w:after="0" w:line="146"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Registration Statement on Form S-1, File No. 333-180615, filed on April 6, 2012, Exhibit 10.48</w:t>
      </w:r>
    </w:p>
    <w:p>
      <w:pPr>
        <w:spacing w:after="0" w:line="14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28, 2014 Form 10-K, Exhibit 10.58</w:t>
      </w:r>
    </w:p>
    <w:p>
      <w:pPr>
        <w:spacing w:after="0" w:line="13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December 27, 2015 Form 10-K, Exhibit 10.57</w:t>
      </w:r>
    </w:p>
    <w:p>
      <w:pPr>
        <w:spacing w:after="0" w:line="200" w:lineRule="exact"/>
        <w:rPr>
          <w:sz w:val="20"/>
          <w:szCs w:val="20"/>
          <w:color w:val="auto"/>
        </w:rPr>
      </w:pPr>
    </w:p>
    <w:p>
      <w:pPr>
        <w:sectPr>
          <w:pgSz w:w="11900" w:h="16838" w:orient="portrait"/>
          <w:cols w:equalWidth="0" w:num="2">
            <w:col w:w="7720" w:space="200"/>
            <w:col w:w="3500"/>
          </w:cols>
          <w:pgMar w:left="240" w:top="121" w:right="23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10"/>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gridSpan w:val="20"/>
          </w:tcPr>
          <w:p>
            <w:pPr>
              <w:ind w:left="640"/>
              <w:spacing w:after="0"/>
              <w:rPr>
                <w:sz w:val="20"/>
                <w:szCs w:val="20"/>
                <w:color w:val="auto"/>
              </w:rPr>
            </w:pPr>
            <w:r>
              <w:rPr>
                <w:rFonts w:ascii="Arial" w:cs="Arial" w:eastAsia="Arial" w:hAnsi="Arial"/>
                <w:sz w:val="16"/>
                <w:szCs w:val="16"/>
                <w:b w:val="1"/>
                <w:bCs w:val="1"/>
                <w:color w:val="auto"/>
              </w:rPr>
              <w:t>DESCRIPTION OF EXHIBITS</w:t>
            </w:r>
          </w:p>
        </w:tc>
        <w:tc>
          <w:tcPr>
            <w:tcW w:w="3520" w:type="dxa"/>
            <w:vAlign w:val="bottom"/>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20"/>
                <w:szCs w:val="20"/>
                <w:color w:val="0000FF"/>
                <w:w w:val="97"/>
              </w:rPr>
            </w:pPr>
            <w:hyperlink r:id="rId104">
              <w:r>
                <w:rPr>
                  <w:rFonts w:ascii="Arial" w:cs="Arial" w:eastAsia="Arial" w:hAnsi="Arial"/>
                  <w:sz w:val="20"/>
                  <w:szCs w:val="20"/>
                  <w:color w:val="0000FF"/>
                  <w:w w:val="97"/>
                </w:rPr>
                <w:t>Employment Offer Letter Agreement, dated as of February 12,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7"/>
              </w:rPr>
              <w:t>March 27, 2016 Form 10-Q, Exhibit 10.3</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104">
              <w:r>
                <w:rPr>
                  <w:rFonts w:ascii="Arial" w:cs="Arial" w:eastAsia="Arial" w:hAnsi="Arial"/>
                  <w:sz w:val="20"/>
                  <w:szCs w:val="20"/>
                  <w:color w:val="0000FF"/>
                </w:rPr>
                <w:t>Bloomin’ Brands, Inc. and Michael Kappitt</w:t>
              </w:r>
            </w:hyperlink>
          </w:p>
        </w:tc>
        <w:tc>
          <w:tcPr>
            <w:tcW w:w="540" w:type="dxa"/>
            <w:vAlign w:val="bottom"/>
            <w:gridSpan w:val="9"/>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20"/>
                <w:szCs w:val="20"/>
                <w:color w:val="0000FF"/>
              </w:rPr>
            </w:pPr>
            <w:hyperlink r:id="rId105">
              <w:r>
                <w:rPr>
                  <w:rFonts w:ascii="Arial" w:cs="Arial" w:eastAsia="Arial" w:hAnsi="Arial"/>
                  <w:sz w:val="20"/>
                  <w:szCs w:val="20"/>
                  <w:color w:val="0000FF"/>
                </w:rPr>
                <w:t>Employment Offer Letter Agreement, dated as of July 29,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8"/>
              </w:rPr>
              <w:t>September 25, 2016 Form 10-Q,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tcBorders>
              <w:top w:val="single" w:sz="8" w:color="0000FF"/>
            </w:tcBorders>
            <w:gridSpan w:val="12"/>
          </w:tcPr>
          <w:p>
            <w:pPr>
              <w:spacing w:after="0" w:line="209" w:lineRule="exact"/>
              <w:rPr>
                <w:rFonts w:ascii="Arial" w:cs="Arial" w:eastAsia="Arial" w:hAnsi="Arial"/>
                <w:sz w:val="20"/>
                <w:szCs w:val="20"/>
                <w:color w:val="0000FF"/>
              </w:rPr>
            </w:pPr>
            <w:hyperlink r:id="rId105">
              <w:r>
                <w:rPr>
                  <w:rFonts w:ascii="Arial" w:cs="Arial" w:eastAsia="Arial" w:hAnsi="Arial"/>
                  <w:sz w:val="20"/>
                  <w:szCs w:val="20"/>
                  <w:color w:val="0000FF"/>
                </w:rPr>
                <w:t>Bloomin’ Brands, Inc. and Gregg Scarlett</w:t>
              </w:r>
            </w:hyperlink>
          </w:p>
        </w:tc>
        <w:tc>
          <w:tcPr>
            <w:tcW w:w="920" w:type="dxa"/>
            <w:vAlign w:val="bottom"/>
            <w:gridSpan w:val="11"/>
          </w:tcPr>
          <w:p>
            <w:pPr>
              <w:spacing w:after="0"/>
              <w:rPr>
                <w:sz w:val="18"/>
                <w:szCs w:val="18"/>
                <w:color w:val="auto"/>
              </w:rPr>
            </w:pPr>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20"/>
                <w:szCs w:val="20"/>
                <w:color w:val="0000FF"/>
              </w:rPr>
            </w:pPr>
            <w:hyperlink r:id="rId106">
              <w:r>
                <w:rPr>
                  <w:rFonts w:ascii="Arial" w:cs="Arial" w:eastAsia="Arial" w:hAnsi="Arial"/>
                  <w:sz w:val="20"/>
                  <w:szCs w:val="20"/>
                  <w:color w:val="0000FF"/>
                </w:rPr>
                <w:t>Employment Offer Letter Agreement, dated as of July 29, 2016, between</w:t>
              </w:r>
            </w:hyperlink>
          </w:p>
        </w:tc>
        <w:tc>
          <w:tcPr>
            <w:tcW w:w="3520" w:type="dxa"/>
            <w:vAlign w:val="bottom"/>
          </w:tcPr>
          <w:p>
            <w:pPr>
              <w:ind w:left="20"/>
              <w:spacing w:after="0"/>
              <w:rPr>
                <w:sz w:val="20"/>
                <w:szCs w:val="20"/>
                <w:color w:val="auto"/>
              </w:rPr>
            </w:pPr>
            <w:r>
              <w:rPr>
                <w:rFonts w:ascii="Arial" w:cs="Arial" w:eastAsia="Arial" w:hAnsi="Arial"/>
                <w:sz w:val="20"/>
                <w:szCs w:val="20"/>
                <w:color w:val="auto"/>
                <w:w w:val="98"/>
              </w:rPr>
              <w:t>September 25, 2016 Form 10-Q, Exhibit</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80" w:type="dxa"/>
            <w:vAlign w:val="bottom"/>
            <w:tcBorders>
              <w:top w:val="single" w:sz="8" w:color="0000FF"/>
            </w:tcBorders>
            <w:gridSpan w:val="12"/>
          </w:tcPr>
          <w:p>
            <w:pPr>
              <w:spacing w:after="0" w:line="209" w:lineRule="exact"/>
              <w:rPr>
                <w:rFonts w:ascii="Arial" w:cs="Arial" w:eastAsia="Arial" w:hAnsi="Arial"/>
                <w:sz w:val="20"/>
                <w:szCs w:val="20"/>
                <w:color w:val="0000FF"/>
              </w:rPr>
            </w:pPr>
            <w:hyperlink r:id="rId106">
              <w:r>
                <w:rPr>
                  <w:rFonts w:ascii="Arial" w:cs="Arial" w:eastAsia="Arial" w:hAnsi="Arial"/>
                  <w:sz w:val="20"/>
                  <w:szCs w:val="20"/>
                  <w:color w:val="0000FF"/>
                </w:rPr>
                <w:t>Bloomin’ Brands, Inc. and David Schmidt</w:t>
              </w:r>
            </w:hyperlink>
          </w:p>
        </w:tc>
        <w:tc>
          <w:tcPr>
            <w:tcW w:w="920" w:type="dxa"/>
            <w:vAlign w:val="bottom"/>
            <w:gridSpan w:val="11"/>
          </w:tcPr>
          <w:p>
            <w:pPr>
              <w:spacing w:after="0"/>
              <w:rPr>
                <w:sz w:val="18"/>
                <w:szCs w:val="18"/>
                <w:color w:val="auto"/>
              </w:rPr>
            </w:pPr>
          </w:p>
        </w:tc>
        <w:tc>
          <w:tcPr>
            <w:tcW w:w="3520" w:type="dxa"/>
            <w:vAlign w:val="bottom"/>
          </w:tcPr>
          <w:p>
            <w:pPr>
              <w:ind w:left="20"/>
              <w:spacing w:after="0" w:line="209" w:lineRule="exact"/>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0" w:type="dxa"/>
            <w:vAlign w:val="bottom"/>
            <w:tcBorders>
              <w:bottom w:val="single" w:sz="8" w:color="0000FF"/>
            </w:tcBorders>
            <w:gridSpan w:val="13"/>
          </w:tcPr>
          <w:p>
            <w:pPr>
              <w:spacing w:after="0"/>
              <w:rPr>
                <w:rFonts w:ascii="Arial" w:cs="Arial" w:eastAsia="Arial" w:hAnsi="Arial"/>
                <w:sz w:val="20"/>
                <w:szCs w:val="20"/>
                <w:color w:val="0000FF"/>
                <w:w w:val="90"/>
              </w:rPr>
            </w:pPr>
            <w:hyperlink r:id="rId107">
              <w:r>
                <w:rPr>
                  <w:rFonts w:ascii="Arial" w:cs="Arial" w:eastAsia="Arial" w:hAnsi="Arial"/>
                  <w:sz w:val="20"/>
                  <w:szCs w:val="20"/>
                  <w:color w:val="0000FF"/>
                  <w:w w:val="90"/>
                </w:rPr>
                <w:t>Registration Rights Agreement among Bloomin’ Brands, Inc. and certain</w:t>
              </w:r>
            </w:hyperlink>
          </w:p>
        </w:tc>
        <w:tc>
          <w:tcPr>
            <w:tcW w:w="900" w:type="dxa"/>
            <w:vAlign w:val="bottom"/>
            <w:gridSpan w:val="10"/>
          </w:tcPr>
          <w:p>
            <w:pPr>
              <w:spacing w:after="0"/>
              <w:rPr>
                <w:sz w:val="24"/>
                <w:szCs w:val="24"/>
                <w:color w:val="auto"/>
              </w:rPr>
            </w:pPr>
          </w:p>
        </w:tc>
        <w:tc>
          <w:tcPr>
            <w:tcW w:w="3520" w:type="dxa"/>
            <w:vAlign w:val="bottom"/>
            <w:vMerge w:val="restart"/>
          </w:tcPr>
          <w:p>
            <w:pPr>
              <w:ind w:left="20"/>
              <w:spacing w:after="0"/>
              <w:rPr>
                <w:sz w:val="20"/>
                <w:szCs w:val="20"/>
                <w:color w:val="auto"/>
              </w:rPr>
            </w:pPr>
            <w:r>
              <w:rPr>
                <w:rFonts w:ascii="Arial" w:cs="Arial" w:eastAsia="Arial" w:hAnsi="Arial"/>
                <w:sz w:val="20"/>
                <w:szCs w:val="20"/>
                <w:color w:val="auto"/>
              </w:rPr>
              <w:t>May 1, 2014 Form 8-K, Exhibit 10.3</w:t>
            </w: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700" w:type="dxa"/>
            <w:vAlign w:val="bottom"/>
            <w:gridSpan w:val="23"/>
            <w:vMerge w:val="restart"/>
          </w:tcPr>
          <w:p>
            <w:pPr>
              <w:spacing w:after="0" w:line="209" w:lineRule="exact"/>
              <w:rPr>
                <w:rFonts w:ascii="Arial" w:cs="Arial" w:eastAsia="Arial" w:hAnsi="Arial"/>
                <w:sz w:val="20"/>
                <w:szCs w:val="20"/>
                <w:color w:val="0000FF"/>
              </w:rPr>
            </w:pPr>
            <w:hyperlink r:id="rId107">
              <w:r>
                <w:rPr>
                  <w:rFonts w:ascii="Arial" w:cs="Arial" w:eastAsia="Arial" w:hAnsi="Arial"/>
                  <w:sz w:val="20"/>
                  <w:szCs w:val="20"/>
                  <w:color w:val="0000FF"/>
                </w:rPr>
                <w:t>stockholders of Bloomin’ Brands, Inc. made as of April 29, 2014</w:t>
              </w:r>
            </w:hyperlink>
          </w:p>
        </w:tc>
        <w:tc>
          <w:tcPr>
            <w:tcW w:w="3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700" w:type="dxa"/>
            <w:vAlign w:val="bottom"/>
            <w:gridSpan w:val="23"/>
            <w:vMerge w:val="continue"/>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20"/>
                <w:szCs w:val="20"/>
                <w:color w:val="0000FF"/>
                <w:w w:val="93"/>
              </w:rPr>
            </w:pPr>
            <w:hyperlink w:anchor="page120">
              <w:r>
                <w:rPr>
                  <w:rFonts w:ascii="Arial" w:cs="Arial" w:eastAsia="Arial" w:hAnsi="Arial"/>
                  <w:sz w:val="20"/>
                  <w:szCs w:val="20"/>
                  <w:color w:val="0000FF"/>
                  <w:w w:val="93"/>
                </w:rPr>
                <w:t>Credit Agreement dated as of November 30, 2017, among Bloomin’ Brands, Inc.,</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320" w:type="dxa"/>
            <w:vAlign w:val="bottom"/>
            <w:tcBorders>
              <w:top w:val="single" w:sz="8" w:color="0000FF"/>
              <w:bottom w:val="single" w:sz="8" w:color="0000FF"/>
            </w:tcBorders>
            <w:gridSpan w:val="18"/>
          </w:tcPr>
          <w:p>
            <w:pPr>
              <w:spacing w:after="0" w:line="209" w:lineRule="exact"/>
              <w:rPr>
                <w:rFonts w:ascii="Arial" w:cs="Arial" w:eastAsia="Arial" w:hAnsi="Arial"/>
                <w:sz w:val="20"/>
                <w:szCs w:val="20"/>
                <w:color w:val="0000FF"/>
                <w:w w:val="88"/>
              </w:rPr>
            </w:pPr>
            <w:hyperlink w:anchor="page120">
              <w:r>
                <w:rPr>
                  <w:rFonts w:ascii="Arial" w:cs="Arial" w:eastAsia="Arial" w:hAnsi="Arial"/>
                  <w:sz w:val="20"/>
                  <w:szCs w:val="20"/>
                  <w:color w:val="0000FF"/>
                  <w:w w:val="88"/>
                </w:rPr>
                <w:t>OSI Restaurant Partners, LLC, the lenders party thereto, and Wells Fargo Bank,</w:t>
              </w:r>
            </w:hyperlink>
          </w:p>
        </w:tc>
        <w:tc>
          <w:tcPr>
            <w:tcW w:w="140" w:type="dxa"/>
            <w:vAlign w:val="bottom"/>
            <w:tcBorders>
              <w:top w:val="single" w:sz="8" w:color="0000FF"/>
            </w:tcBorders>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3"/>
          </w:tcPr>
          <w:p>
            <w:pPr>
              <w:spacing w:after="0" w:line="209" w:lineRule="exact"/>
              <w:rPr>
                <w:rFonts w:ascii="Arial" w:cs="Arial" w:eastAsia="Arial" w:hAnsi="Arial"/>
                <w:sz w:val="20"/>
                <w:szCs w:val="20"/>
                <w:color w:val="0000FF"/>
              </w:rPr>
            </w:pPr>
            <w:hyperlink w:anchor="page120">
              <w:r>
                <w:rPr>
                  <w:rFonts w:ascii="Arial" w:cs="Arial" w:eastAsia="Arial" w:hAnsi="Arial"/>
                  <w:sz w:val="20"/>
                  <w:szCs w:val="20"/>
                  <w:color w:val="0000FF"/>
                </w:rPr>
                <w:t>National Association, as administrative agent</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Borders>
              <w:bottom w:val="single" w:sz="8" w:color="0000FF"/>
            </w:tcBorders>
            <w:gridSpan w:val="17"/>
          </w:tcPr>
          <w:p>
            <w:pPr>
              <w:spacing w:after="0"/>
              <w:rPr>
                <w:rFonts w:ascii="Arial" w:cs="Arial" w:eastAsia="Arial" w:hAnsi="Arial"/>
                <w:sz w:val="20"/>
                <w:szCs w:val="20"/>
                <w:color w:val="0000FF"/>
                <w:w w:val="87"/>
              </w:rPr>
            </w:pPr>
            <w:hyperlink w:anchor="page520">
              <w:r>
                <w:rPr>
                  <w:rFonts w:ascii="Arial" w:cs="Arial" w:eastAsia="Arial" w:hAnsi="Arial"/>
                  <w:sz w:val="20"/>
                  <w:szCs w:val="20"/>
                  <w:color w:val="0000FF"/>
                  <w:w w:val="87"/>
                </w:rPr>
                <w:t>Separation Agreement and General Release, dated as of December 31, 2017, by</w:t>
              </w:r>
            </w:hyperlink>
          </w:p>
        </w:tc>
        <w:tc>
          <w:tcPr>
            <w:tcW w:w="400" w:type="dxa"/>
            <w:vAlign w:val="bottom"/>
            <w:gridSpan w:val="6"/>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w:anchor="page520">
              <w:r>
                <w:rPr>
                  <w:rFonts w:ascii="Arial" w:cs="Arial" w:eastAsia="Arial" w:hAnsi="Arial"/>
                  <w:sz w:val="20"/>
                  <w:szCs w:val="20"/>
                  <w:color w:val="0000FF"/>
                  <w:w w:val="90"/>
                </w:rPr>
                <w:t>and between Christopher Brandt and Bloomin’ Brands, Inc.</w:t>
              </w:r>
            </w:hyperlink>
          </w:p>
        </w:tc>
        <w:tc>
          <w:tcPr>
            <w:tcW w:w="1980" w:type="dxa"/>
            <w:vAlign w:val="bottom"/>
            <w:gridSpan w:val="14"/>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tcBorders>
              <w:bottom w:val="single" w:sz="8" w:color="0000FF"/>
            </w:tcBorders>
            <w:gridSpan w:val="17"/>
          </w:tcPr>
          <w:p>
            <w:pPr>
              <w:spacing w:after="0"/>
              <w:rPr>
                <w:rFonts w:ascii="Arial" w:cs="Arial" w:eastAsia="Arial" w:hAnsi="Arial"/>
                <w:sz w:val="20"/>
                <w:szCs w:val="20"/>
                <w:color w:val="0000FF"/>
                <w:w w:val="87"/>
              </w:rPr>
            </w:pPr>
            <w:hyperlink w:anchor="page528">
              <w:r>
                <w:rPr>
                  <w:rFonts w:ascii="Arial" w:cs="Arial" w:eastAsia="Arial" w:hAnsi="Arial"/>
                  <w:sz w:val="20"/>
                  <w:szCs w:val="20"/>
                  <w:color w:val="0000FF"/>
                  <w:w w:val="87"/>
                </w:rPr>
                <w:t>Separation Agreement and General Release, dated as of December 31, 2017, by</w:t>
              </w:r>
            </w:hyperlink>
          </w:p>
        </w:tc>
        <w:tc>
          <w:tcPr>
            <w:tcW w:w="400" w:type="dxa"/>
            <w:vAlign w:val="bottom"/>
            <w:gridSpan w:val="6"/>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3"/>
          </w:tcPr>
          <w:p>
            <w:pPr>
              <w:spacing w:after="0" w:line="209" w:lineRule="exact"/>
              <w:rPr>
                <w:rFonts w:ascii="Arial" w:cs="Arial" w:eastAsia="Arial" w:hAnsi="Arial"/>
                <w:sz w:val="20"/>
                <w:szCs w:val="20"/>
                <w:color w:val="0000FF"/>
              </w:rPr>
            </w:pPr>
            <w:hyperlink w:anchor="page528">
              <w:r>
                <w:rPr>
                  <w:rFonts w:ascii="Arial" w:cs="Arial" w:eastAsia="Arial" w:hAnsi="Arial"/>
                  <w:sz w:val="20"/>
                  <w:szCs w:val="20"/>
                  <w:color w:val="0000FF"/>
                </w:rPr>
                <w:t>and between Patrick Murtha and Bloomin’ Brands, Inc.</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Borders>
              <w:top w:val="single" w:sz="8" w:color="0000FF"/>
              <w:bottom w:val="single" w:sz="8" w:color="0000FF"/>
            </w:tcBorders>
            <w:gridSpan w:val="3"/>
          </w:tcPr>
          <w:p>
            <w:pPr>
              <w:spacing w:after="0"/>
              <w:rPr>
                <w:rFonts w:ascii="Arial" w:cs="Arial" w:eastAsia="Arial" w:hAnsi="Arial"/>
                <w:sz w:val="20"/>
                <w:szCs w:val="20"/>
                <w:color w:val="0000FF"/>
                <w:w w:val="90"/>
              </w:rPr>
            </w:pPr>
            <w:hyperlink w:anchor="page538">
              <w:r>
                <w:rPr>
                  <w:rFonts w:ascii="Arial" w:cs="Arial" w:eastAsia="Arial" w:hAnsi="Arial"/>
                  <w:sz w:val="20"/>
                  <w:szCs w:val="20"/>
                  <w:color w:val="0000FF"/>
                  <w:w w:val="90"/>
                </w:rPr>
                <w:t>List of Subsidiaries</w:t>
              </w:r>
            </w:hyperlink>
          </w:p>
        </w:tc>
        <w:tc>
          <w:tcPr>
            <w:tcW w:w="2840" w:type="dxa"/>
            <w:vAlign w:val="bottom"/>
            <w:tcBorders>
              <w:top w:val="single" w:sz="8" w:color="0000FF"/>
            </w:tcBorders>
            <w:gridSpan w:val="5"/>
          </w:tcPr>
          <w:p>
            <w:pPr>
              <w:spacing w:after="0"/>
              <w:rPr>
                <w:sz w:val="24"/>
                <w:szCs w:val="24"/>
                <w:color w:val="auto"/>
              </w:rPr>
            </w:pPr>
          </w:p>
        </w:tc>
        <w:tc>
          <w:tcPr>
            <w:tcW w:w="2320" w:type="dxa"/>
            <w:vAlign w:val="bottom"/>
            <w:gridSpan w:val="15"/>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tcBorders>
              <w:bottom w:val="single" w:sz="8" w:color="0000FF"/>
            </w:tcBorders>
            <w:gridSpan w:val="5"/>
          </w:tcPr>
          <w:p>
            <w:pPr>
              <w:spacing w:after="0"/>
              <w:rPr>
                <w:rFonts w:ascii="Arial" w:cs="Arial" w:eastAsia="Arial" w:hAnsi="Arial"/>
                <w:sz w:val="20"/>
                <w:szCs w:val="20"/>
                <w:color w:val="0000FF"/>
                <w:w w:val="88"/>
              </w:rPr>
            </w:pPr>
            <w:hyperlink w:anchor="page541">
              <w:r>
                <w:rPr>
                  <w:rFonts w:ascii="Arial" w:cs="Arial" w:eastAsia="Arial" w:hAnsi="Arial"/>
                  <w:sz w:val="20"/>
                  <w:szCs w:val="20"/>
                  <w:color w:val="0000FF"/>
                  <w:w w:val="88"/>
                </w:rPr>
                <w:t>Consent of PricewaterhouseCoopers LLP</w:t>
              </w:r>
            </w:hyperlink>
          </w:p>
        </w:tc>
        <w:tc>
          <w:tcPr>
            <w:tcW w:w="3400" w:type="dxa"/>
            <w:vAlign w:val="bottom"/>
            <w:gridSpan w:val="18"/>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Borders>
              <w:bottom w:val="single" w:sz="8" w:color="0000FF"/>
            </w:tcBorders>
            <w:gridSpan w:val="19"/>
          </w:tcPr>
          <w:p>
            <w:pPr>
              <w:spacing w:after="0"/>
              <w:rPr>
                <w:rFonts w:ascii="Arial" w:cs="Arial" w:eastAsia="Arial" w:hAnsi="Arial"/>
                <w:sz w:val="20"/>
                <w:szCs w:val="20"/>
                <w:color w:val="0000FF"/>
                <w:w w:val="90"/>
              </w:rPr>
            </w:pPr>
            <w:hyperlink w:anchor="page542">
              <w:r>
                <w:rPr>
                  <w:rFonts w:ascii="Arial" w:cs="Arial" w:eastAsia="Arial" w:hAnsi="Arial"/>
                  <w:sz w:val="20"/>
                  <w:szCs w:val="20"/>
                  <w:color w:val="0000FF"/>
                  <w:w w:val="90"/>
                </w:rPr>
                <w:t>Certification of Chief Executive Officer pursuant to Section 302 of the Sarbanes-</w:t>
              </w:r>
            </w:hyperlink>
          </w:p>
        </w:tc>
        <w:tc>
          <w:tcPr>
            <w:tcW w:w="280" w:type="dxa"/>
            <w:vAlign w:val="bottom"/>
            <w:gridSpan w:val="4"/>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3"/>
          </w:tcPr>
          <w:p>
            <w:pPr>
              <w:spacing w:after="0" w:line="209" w:lineRule="exact"/>
              <w:rPr>
                <w:rFonts w:ascii="Arial" w:cs="Arial" w:eastAsia="Arial" w:hAnsi="Arial"/>
                <w:sz w:val="20"/>
                <w:szCs w:val="20"/>
                <w:color w:val="0000FF"/>
              </w:rPr>
            </w:pPr>
            <w:hyperlink w:anchor="page542">
              <w:r>
                <w:rPr>
                  <w:rFonts w:ascii="Arial" w:cs="Arial" w:eastAsia="Arial" w:hAnsi="Arial"/>
                  <w:sz w:val="20"/>
                  <w:szCs w:val="20"/>
                  <w:color w:val="0000FF"/>
                </w:rPr>
                <w:t>Oxley Act of 2002</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60" w:type="dxa"/>
            <w:vAlign w:val="bottom"/>
            <w:tcBorders>
              <w:bottom w:val="single" w:sz="8" w:color="0000FF"/>
            </w:tcBorders>
            <w:gridSpan w:val="15"/>
          </w:tcPr>
          <w:p>
            <w:pPr>
              <w:spacing w:after="0"/>
              <w:rPr>
                <w:rFonts w:ascii="Arial" w:cs="Arial" w:eastAsia="Arial" w:hAnsi="Arial"/>
                <w:sz w:val="20"/>
                <w:szCs w:val="20"/>
                <w:color w:val="0000FF"/>
                <w:w w:val="92"/>
              </w:rPr>
            </w:pPr>
            <w:hyperlink w:anchor="page543">
              <w:r>
                <w:rPr>
                  <w:rFonts w:ascii="Arial" w:cs="Arial" w:eastAsia="Arial" w:hAnsi="Arial"/>
                  <w:sz w:val="20"/>
                  <w:szCs w:val="20"/>
                  <w:color w:val="0000FF"/>
                  <w:w w:val="92"/>
                </w:rPr>
                <w:t>Certification of Chief Financial and Administrative Officer pursuant to Section</w:t>
              </w:r>
            </w:hyperlink>
          </w:p>
        </w:tc>
        <w:tc>
          <w:tcPr>
            <w:tcW w:w="440" w:type="dxa"/>
            <w:vAlign w:val="bottom"/>
            <w:gridSpan w:val="8"/>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w:anchor="page543">
              <w:r>
                <w:rPr>
                  <w:rFonts w:ascii="Arial" w:cs="Arial" w:eastAsia="Arial" w:hAnsi="Arial"/>
                  <w:sz w:val="20"/>
                  <w:szCs w:val="20"/>
                  <w:color w:val="0000FF"/>
                  <w:w w:val="89"/>
                </w:rPr>
                <w:t>302 of the Sarbanes-Oxley Act of 2002</w:t>
              </w:r>
            </w:hyperlink>
          </w:p>
        </w:tc>
        <w:tc>
          <w:tcPr>
            <w:tcW w:w="3600" w:type="dxa"/>
            <w:vAlign w:val="bottom"/>
            <w:gridSpan w:val="19"/>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80" w:type="dxa"/>
            <w:vAlign w:val="bottom"/>
            <w:tcBorders>
              <w:bottom w:val="single" w:sz="8" w:color="0000FF"/>
            </w:tcBorders>
            <w:gridSpan w:val="16"/>
          </w:tcPr>
          <w:p>
            <w:pPr>
              <w:spacing w:after="0"/>
              <w:rPr>
                <w:rFonts w:ascii="Arial" w:cs="Arial" w:eastAsia="Arial" w:hAnsi="Arial"/>
                <w:sz w:val="20"/>
                <w:szCs w:val="20"/>
                <w:color w:val="0000FF"/>
                <w:w w:val="90"/>
              </w:rPr>
            </w:pPr>
            <w:hyperlink w:anchor="page544">
              <w:r>
                <w:rPr>
                  <w:rFonts w:ascii="Arial" w:cs="Arial" w:eastAsia="Arial" w:hAnsi="Arial"/>
                  <w:sz w:val="20"/>
                  <w:szCs w:val="20"/>
                  <w:color w:val="0000FF"/>
                  <w:w w:val="90"/>
                </w:rPr>
                <w:t>Certification of Chief Executive Officer pursuant to 18 U.S.C. Section 1350, as</w:t>
              </w:r>
            </w:hyperlink>
          </w:p>
        </w:tc>
        <w:tc>
          <w:tcPr>
            <w:tcW w:w="420" w:type="dxa"/>
            <w:vAlign w:val="bottom"/>
            <w:gridSpan w:val="7"/>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00" w:type="dxa"/>
            <w:vAlign w:val="bottom"/>
            <w:gridSpan w:val="23"/>
          </w:tcPr>
          <w:p>
            <w:pPr>
              <w:spacing w:after="0" w:line="210" w:lineRule="exact"/>
              <w:rPr>
                <w:rFonts w:ascii="Arial" w:cs="Arial" w:eastAsia="Arial" w:hAnsi="Arial"/>
                <w:sz w:val="19"/>
                <w:szCs w:val="19"/>
                <w:color w:val="0000FF"/>
              </w:rPr>
            </w:pPr>
            <w:hyperlink w:anchor="page544">
              <w:r>
                <w:rPr>
                  <w:rFonts w:ascii="Arial" w:cs="Arial" w:eastAsia="Arial" w:hAnsi="Arial"/>
                  <w:sz w:val="19"/>
                  <w:szCs w:val="19"/>
                  <w:color w:val="0000FF"/>
                </w:rPr>
                <w:t>adopted pursuant to Section 906 of the Sarbanes-Oxley Act of 2002</w:t>
              </w:r>
              <w:r>
                <w:rPr>
                  <w:rFonts w:ascii="Arial" w:cs="Arial" w:eastAsia="Arial" w:hAnsi="Arial"/>
                  <w:sz w:val="24"/>
                  <w:szCs w:val="24"/>
                  <w:color w:val="006EBF"/>
                  <w:vertAlign w:val="superscript"/>
                </w:rPr>
                <w:t>1</w:t>
              </w:r>
            </w:hyperlink>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960" w:type="dxa"/>
            <w:vAlign w:val="bottom"/>
            <w:gridSpan w:val="10"/>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20"/>
                <w:szCs w:val="20"/>
                <w:color w:val="0000FF"/>
                <w:w w:val="95"/>
              </w:rPr>
            </w:pPr>
            <w:hyperlink w:anchor="page545">
              <w:r>
                <w:rPr>
                  <w:rFonts w:ascii="Arial" w:cs="Arial" w:eastAsia="Arial" w:hAnsi="Arial"/>
                  <w:sz w:val="20"/>
                  <w:szCs w:val="20"/>
                  <w:color w:val="0000FF"/>
                  <w:w w:val="95"/>
                </w:rPr>
                <w:t>Certification of Chief Financial and Administrative Officer pursuant to 18 U.S.C.</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Borders>
              <w:top w:val="single" w:sz="8" w:color="0000FF"/>
            </w:tcBorders>
            <w:gridSpan w:val="20"/>
          </w:tcPr>
          <w:p>
            <w:pPr>
              <w:spacing w:after="0" w:line="209" w:lineRule="exact"/>
              <w:rPr>
                <w:rFonts w:ascii="Arial" w:cs="Arial" w:eastAsia="Arial" w:hAnsi="Arial"/>
                <w:sz w:val="20"/>
                <w:szCs w:val="20"/>
                <w:color w:val="0000FF"/>
                <w:w w:val="91"/>
              </w:rPr>
            </w:pPr>
            <w:hyperlink w:anchor="page545">
              <w:r>
                <w:rPr>
                  <w:rFonts w:ascii="Arial" w:cs="Arial" w:eastAsia="Arial" w:hAnsi="Arial"/>
                  <w:sz w:val="20"/>
                  <w:szCs w:val="20"/>
                  <w:color w:val="0000FF"/>
                  <w:w w:val="91"/>
                </w:rPr>
                <w:t>Section 1350, as adopted pursuant to Section 906 of the Sarbanes-Oxley Act of</w:t>
              </w:r>
            </w:hyperlink>
          </w:p>
        </w:tc>
        <w:tc>
          <w:tcPr>
            <w:tcW w:w="260" w:type="dxa"/>
            <w:vAlign w:val="bottom"/>
            <w:gridSpan w:val="3"/>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ind w:left="40"/>
              <w:spacing w:after="0" w:line="210" w:lineRule="exact"/>
              <w:rPr>
                <w:rFonts w:ascii="Arial" w:cs="Arial" w:eastAsia="Arial" w:hAnsi="Arial"/>
                <w:sz w:val="19"/>
                <w:szCs w:val="19"/>
                <w:color w:val="0000FF"/>
              </w:rPr>
            </w:pPr>
            <w:hyperlink w:anchor="page545">
              <w:r>
                <w:rPr>
                  <w:rFonts w:ascii="Arial" w:cs="Arial" w:eastAsia="Arial" w:hAnsi="Arial"/>
                  <w:sz w:val="19"/>
                  <w:szCs w:val="19"/>
                  <w:color w:val="0000FF"/>
                </w:rPr>
                <w:t>2002</w:t>
              </w:r>
              <w:r>
                <w:rPr>
                  <w:rFonts w:ascii="Arial" w:cs="Arial" w:eastAsia="Arial" w:hAnsi="Arial"/>
                  <w:sz w:val="24"/>
                  <w:szCs w:val="24"/>
                  <w:color w:val="006EBF"/>
                  <w:vertAlign w:val="superscript"/>
                </w:rPr>
                <w:t>1</w:t>
              </w:r>
            </w:hyperlink>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00" w:type="dxa"/>
            <w:vAlign w:val="bottom"/>
            <w:gridSpan w:val="2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Instance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405"/>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4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Management contract or compensatory plan or arrangement required to be filed as an exhibit</w:t>
      </w:r>
    </w:p>
    <w:p>
      <w:pPr>
        <w:spacing w:after="0" w:line="229" w:lineRule="exact"/>
        <w:rPr>
          <w:sz w:val="20"/>
          <w:szCs w:val="20"/>
          <w:color w:val="auto"/>
        </w:rPr>
      </w:pPr>
    </w:p>
    <w:p>
      <w:pPr>
        <w:jc w:val="both"/>
        <w:spacing w:after="0" w:line="22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w:t>
      </w:r>
    </w:p>
    <w:p>
      <w:pPr>
        <w:sectPr>
          <w:pgSz w:w="11900" w:h="16838" w:orient="portrait"/>
          <w:cols w:equalWidth="0" w:num="1">
            <w:col w:w="11420"/>
          </w:cols>
          <w:pgMar w:left="240" w:top="121" w:right="239"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under the Securities Act or the Exchange Act, except to the extent that the registrant specifically incorporates them by reference.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9" w:lineRule="exact"/>
        <w:rPr>
          <w:sz w:val="20"/>
          <w:szCs w:val="20"/>
          <w:color w:val="auto"/>
        </w:rPr>
      </w:pPr>
    </w:p>
    <w:p>
      <w:pPr>
        <w:ind w:left="960"/>
        <w:spacing w:after="0"/>
        <w:tabs>
          <w:tab w:leader="none" w:pos="1680" w:val="left"/>
          <w:tab w:leader="none" w:pos="45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February 28, 2018</w:t>
      </w:r>
      <w:r>
        <w:rPr>
          <w:sz w:val="20"/>
          <w:szCs w:val="20"/>
          <w:color w:val="auto"/>
        </w:rPr>
        <w:tab/>
      </w:r>
      <w:r>
        <w:rPr>
          <w:rFonts w:ascii="Arial" w:cs="Arial" w:eastAsia="Arial" w:hAnsi="Arial"/>
          <w:sz w:val="18"/>
          <w:szCs w:val="18"/>
          <w:color w:val="auto"/>
        </w:rPr>
        <w:t>Bloomin’ Brands, Inc.</w:t>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By: /s/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27305</wp:posOffset>
            </wp:positionV>
            <wp:extent cx="3662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3662045" cy="17145"/>
                    </a:xfrm>
                    <a:prstGeom prst="rect">
                      <a:avLst/>
                    </a:prstGeom>
                    <a:noFill/>
                  </pic:spPr>
                </pic:pic>
              </a:graphicData>
            </a:graphic>
          </wp:anchor>
        </w:drawing>
      </w:r>
    </w:p>
    <w:p>
      <w:pPr>
        <w:spacing w:after="0" w:line="6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Elizabeth A. Smith</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Chief Executive Officer</w:t>
      </w:r>
    </w:p>
    <w:p>
      <w:pPr>
        <w:ind w:left="5400"/>
        <w:spacing w:after="0"/>
        <w:rPr>
          <w:sz w:val="20"/>
          <w:szCs w:val="20"/>
          <w:color w:val="auto"/>
        </w:rPr>
      </w:pPr>
      <w:r>
        <w:rPr>
          <w:rFonts w:ascii="Arial" w:cs="Arial" w:eastAsia="Arial" w:hAnsi="Arial"/>
          <w:sz w:val="20"/>
          <w:szCs w:val="20"/>
          <w:color w:val="auto"/>
        </w:rPr>
        <w:t>(Principal Executive Officer)</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100" w:type="dxa"/>
            <w:vAlign w:val="bottom"/>
          </w:tcPr>
          <w:p>
            <w:pPr>
              <w:ind w:left="1140"/>
              <w:spacing w:after="0"/>
              <w:rPr>
                <w:sz w:val="20"/>
                <w:szCs w:val="20"/>
                <w:color w:val="auto"/>
              </w:rPr>
            </w:pPr>
            <w:r>
              <w:rPr>
                <w:rFonts w:ascii="Arial" w:cs="Arial" w:eastAsia="Arial" w:hAnsi="Arial"/>
                <w:sz w:val="20"/>
                <w:szCs w:val="20"/>
                <w:b w:val="1"/>
                <w:bCs w:val="1"/>
                <w:color w:val="auto"/>
              </w:rPr>
              <w:t>Signature</w:t>
            </w:r>
          </w:p>
        </w:tc>
        <w:tc>
          <w:tcPr>
            <w:tcW w:w="340" w:type="dxa"/>
            <w:vAlign w:val="bottom"/>
          </w:tcPr>
          <w:p>
            <w:pPr>
              <w:spacing w:after="0"/>
              <w:rPr>
                <w:sz w:val="22"/>
                <w:szCs w:val="22"/>
                <w:color w:val="auto"/>
              </w:rPr>
            </w:pPr>
          </w:p>
        </w:tc>
        <w:tc>
          <w:tcPr>
            <w:tcW w:w="5920" w:type="dxa"/>
            <w:vAlign w:val="bottom"/>
            <w:gridSpan w:val="2"/>
          </w:tcPr>
          <w:p>
            <w:pPr>
              <w:ind w:left="2600"/>
              <w:spacing w:after="0"/>
              <w:rPr>
                <w:sz w:val="20"/>
                <w:szCs w:val="20"/>
                <w:color w:val="auto"/>
              </w:rPr>
            </w:pPr>
            <w:r>
              <w:rPr>
                <w:rFonts w:ascii="Arial" w:cs="Arial" w:eastAsia="Arial" w:hAnsi="Arial"/>
                <w:sz w:val="20"/>
                <w:szCs w:val="20"/>
                <w:b w:val="1"/>
                <w:bCs w:val="1"/>
                <w:color w:val="auto"/>
              </w:rPr>
              <w:t>Title</w:t>
            </w:r>
          </w:p>
        </w:tc>
        <w:tc>
          <w:tcPr>
            <w:tcW w:w="2060" w:type="dxa"/>
            <w:vAlign w:val="bottom"/>
          </w:tcPr>
          <w:p>
            <w:pPr>
              <w:ind w:left="840"/>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4"/>
        </w:trPr>
        <w:tc>
          <w:tcPr>
            <w:tcW w:w="3100" w:type="dxa"/>
            <w:vAlign w:val="bottom"/>
          </w:tcPr>
          <w:p>
            <w:pPr>
              <w:ind w:left="40"/>
              <w:spacing w:after="0"/>
              <w:rPr>
                <w:sz w:val="20"/>
                <w:szCs w:val="20"/>
                <w:color w:val="auto"/>
              </w:rPr>
            </w:pPr>
            <w:r>
              <w:rPr>
                <w:rFonts w:ascii="Arial" w:cs="Arial" w:eastAsia="Arial" w:hAnsi="Arial"/>
                <w:sz w:val="20"/>
                <w:szCs w:val="20"/>
                <w:color w:val="auto"/>
              </w:rPr>
              <w:t>/s/ Elizabeth A. Smith</w:t>
            </w:r>
          </w:p>
        </w:tc>
        <w:tc>
          <w:tcPr>
            <w:tcW w:w="340" w:type="dxa"/>
            <w:vAlign w:val="bottom"/>
          </w:tcPr>
          <w:p>
            <w:pPr>
              <w:spacing w:after="0"/>
              <w:rPr>
                <w:sz w:val="24"/>
                <w:szCs w:val="2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Chief Executive Officer and Director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Elizabeth A. Smith</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546"/>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/s/ David J. Deno</w:t>
            </w:r>
          </w:p>
        </w:tc>
        <w:tc>
          <w:tcPr>
            <w:tcW w:w="340" w:type="dxa"/>
            <w:vAlign w:val="bottom"/>
          </w:tcPr>
          <w:p>
            <w:pPr>
              <w:spacing w:after="0"/>
              <w:rPr>
                <w:sz w:val="24"/>
                <w:szCs w:val="24"/>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and Chief Financial and Administrative</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Officer</w:t>
            </w: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5920" w:type="dxa"/>
            <w:vAlign w:val="bottom"/>
            <w:gridSpan w:val="2"/>
            <w:vMerge w:val="continue"/>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3100" w:type="dxa"/>
            <w:vAlign w:val="bottom"/>
            <w:vMerge w:val="restart"/>
          </w:tcPr>
          <w:p>
            <w:pPr>
              <w:ind w:left="40"/>
              <w:spacing w:after="0"/>
              <w:rPr>
                <w:sz w:val="20"/>
                <w:szCs w:val="20"/>
                <w:color w:val="auto"/>
              </w:rPr>
            </w:pPr>
            <w:r>
              <w:rPr>
                <w:rFonts w:ascii="Arial" w:cs="Arial" w:eastAsia="Arial" w:hAnsi="Arial"/>
                <w:sz w:val="20"/>
                <w:szCs w:val="20"/>
                <w:color w:val="auto"/>
              </w:rPr>
              <w:t>David J. Deno</w:t>
            </w:r>
          </w:p>
        </w:tc>
        <w:tc>
          <w:tcPr>
            <w:tcW w:w="340" w:type="dxa"/>
            <w:vAlign w:val="bottom"/>
            <w:vMerge w:val="continue"/>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20"/>
                <w:szCs w:val="20"/>
                <w:color w:val="auto"/>
              </w:rPr>
              <w:t>(Principal Financial and Accounting Officer)</w:t>
            </w:r>
          </w:p>
        </w:tc>
        <w:tc>
          <w:tcPr>
            <w:tcW w:w="2060" w:type="dxa"/>
            <w:vAlign w:val="bottom"/>
            <w:vMerge w:val="restart"/>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81"/>
        </w:trPr>
        <w:tc>
          <w:tcPr>
            <w:tcW w:w="3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92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James R. Craigie</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James R. Craigie</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608"/>
        </w:trPr>
        <w:tc>
          <w:tcPr>
            <w:tcW w:w="3100" w:type="dxa"/>
            <w:vAlign w:val="bottom"/>
          </w:tcPr>
          <w:p>
            <w:pPr>
              <w:ind w:left="40"/>
              <w:spacing w:after="0"/>
              <w:rPr>
                <w:sz w:val="20"/>
                <w:szCs w:val="20"/>
                <w:color w:val="auto"/>
              </w:rPr>
            </w:pPr>
            <w:r>
              <w:rPr>
                <w:rFonts w:ascii="Arial" w:cs="Arial" w:eastAsia="Arial" w:hAnsi="Arial"/>
                <w:sz w:val="20"/>
                <w:szCs w:val="20"/>
                <w:color w:val="auto"/>
              </w:rPr>
              <w:t>/s/ David R. Fitzjohn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David R. Fitzjohn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Mindy Grossman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Mindy Grossman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Tara Walpert Levy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Tara Walpert Levy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567"/>
        </w:trPr>
        <w:tc>
          <w:tcPr>
            <w:tcW w:w="3100" w:type="dxa"/>
            <w:vAlign w:val="bottom"/>
          </w:tcPr>
          <w:p>
            <w:pPr>
              <w:ind w:left="40"/>
              <w:spacing w:after="0"/>
              <w:rPr>
                <w:sz w:val="20"/>
                <w:szCs w:val="20"/>
                <w:color w:val="auto"/>
              </w:rPr>
            </w:pPr>
            <w:r>
              <w:rPr>
                <w:rFonts w:ascii="Arial" w:cs="Arial" w:eastAsia="Arial" w:hAnsi="Arial"/>
                <w:sz w:val="20"/>
                <w:szCs w:val="20"/>
                <w:color w:val="auto"/>
              </w:rPr>
              <w:t>/s/ John J. Mahoney</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John J. Mahoney</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554"/>
        </w:trPr>
        <w:tc>
          <w:tcPr>
            <w:tcW w:w="3100" w:type="dxa"/>
            <w:vAlign w:val="bottom"/>
          </w:tcPr>
          <w:p>
            <w:pPr>
              <w:ind w:left="40"/>
              <w:spacing w:after="0"/>
              <w:rPr>
                <w:sz w:val="20"/>
                <w:szCs w:val="20"/>
                <w:color w:val="auto"/>
              </w:rPr>
            </w:pPr>
            <w:r>
              <w:rPr>
                <w:rFonts w:ascii="Arial" w:cs="Arial" w:eastAsia="Arial" w:hAnsi="Arial"/>
                <w:sz w:val="20"/>
                <w:szCs w:val="20"/>
                <w:color w:val="auto"/>
              </w:rPr>
              <w:t>/s/ R. Michael Mohan</w:t>
            </w: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R. Michael Mohan</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r>
        <w:trPr>
          <w:trHeight w:val="624"/>
        </w:trPr>
        <w:tc>
          <w:tcPr>
            <w:tcW w:w="31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100" w:type="dxa"/>
            <w:vAlign w:val="bottom"/>
          </w:tcPr>
          <w:p>
            <w:pPr>
              <w:ind w:left="40"/>
              <w:spacing w:after="0"/>
              <w:rPr>
                <w:sz w:val="20"/>
                <w:szCs w:val="20"/>
                <w:color w:val="auto"/>
              </w:rPr>
            </w:pPr>
            <w:r>
              <w:rPr>
                <w:rFonts w:ascii="Arial" w:cs="Arial" w:eastAsia="Arial" w:hAnsi="Arial"/>
                <w:sz w:val="20"/>
                <w:szCs w:val="20"/>
                <w:color w:val="auto"/>
              </w:rPr>
              <w:t>Wendy A. Beck</w:t>
            </w:r>
          </w:p>
        </w:tc>
        <w:tc>
          <w:tcPr>
            <w:tcW w:w="340" w:type="dxa"/>
            <w:vAlign w:val="bottom"/>
          </w:tcPr>
          <w:p>
            <w:pPr>
              <w:spacing w:after="0"/>
              <w:rPr>
                <w:sz w:val="22"/>
                <w:szCs w:val="22"/>
                <w:color w:val="auto"/>
              </w:rPr>
            </w:pPr>
          </w:p>
        </w:tc>
        <w:tc>
          <w:tcPr>
            <w:tcW w:w="592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60" w:type="dxa"/>
            <w:vAlign w:val="bottom"/>
          </w:tcPr>
          <w:p>
            <w:pPr>
              <w:ind w:left="580"/>
              <w:spacing w:after="0"/>
              <w:rPr>
                <w:sz w:val="20"/>
                <w:szCs w:val="20"/>
                <w:color w:val="auto"/>
              </w:rPr>
            </w:pPr>
            <w:r>
              <w:rPr>
                <w:rFonts w:ascii="Arial" w:cs="Arial" w:eastAsia="Arial" w:hAnsi="Arial"/>
                <w:sz w:val="20"/>
                <w:szCs w:val="20"/>
                <w:color w:val="auto"/>
                <w:w w:val="89"/>
              </w:rPr>
              <w:t>February 28,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0"/>
          <w:szCs w:val="20"/>
          <w:b w:val="1"/>
          <w:bCs w:val="1"/>
          <w:color w:val="auto"/>
        </w:rPr>
        <w:t>Exhibit 10.38</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w:t>
      </w:r>
      <w:r>
        <w:rPr>
          <w:rFonts w:ascii="Arial" w:cs="Arial" w:eastAsia="Arial" w:hAnsi="Arial"/>
          <w:sz w:val="16"/>
          <w:szCs w:val="16"/>
          <w:color w:val="auto"/>
        </w:rPr>
        <w:t>XECUTION</w:t>
      </w:r>
      <w:r>
        <w:rPr>
          <w:rFonts w:ascii="Arial" w:cs="Arial" w:eastAsia="Arial" w:hAnsi="Arial"/>
          <w:sz w:val="20"/>
          <w:szCs w:val="20"/>
          <w:color w:val="auto"/>
        </w:rPr>
        <w:t xml:space="preserve"> V</w:t>
      </w:r>
      <w:r>
        <w:rPr>
          <w:rFonts w:ascii="Arial" w:cs="Arial" w:eastAsia="Arial" w:hAnsi="Arial"/>
          <w:sz w:val="16"/>
          <w:szCs w:val="16"/>
          <w:color w:val="auto"/>
        </w:rPr>
        <w:t>ERSION</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 67105DAR5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Revolving Credit CUSIP Number: 67105DAS3</w:t>
      </w:r>
    </w:p>
    <w:p>
      <w:pPr>
        <w:jc w:val="right"/>
        <w:spacing w:after="0"/>
        <w:rPr>
          <w:sz w:val="20"/>
          <w:szCs w:val="20"/>
          <w:color w:val="auto"/>
        </w:rPr>
      </w:pPr>
      <w:r>
        <w:rPr>
          <w:rFonts w:ascii="Arial" w:cs="Arial" w:eastAsia="Arial" w:hAnsi="Arial"/>
          <w:sz w:val="20"/>
          <w:szCs w:val="20"/>
          <w:color w:val="auto"/>
        </w:rPr>
        <w:t>Term Loan CUSIP Number: 67105DAT1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30,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OSI RESTAURANT PARTNERS,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BLOOMIN’ BRANDS, INC.,</w:t>
      </w:r>
    </w:p>
    <w:p>
      <w:pPr>
        <w:jc w:val="center"/>
        <w:spacing w:after="0"/>
        <w:rPr>
          <w:sz w:val="20"/>
          <w:szCs w:val="20"/>
          <w:color w:val="auto"/>
        </w:rPr>
      </w:pPr>
      <w:r>
        <w:rPr>
          <w:rFonts w:ascii="Arial" w:cs="Arial" w:eastAsia="Arial" w:hAnsi="Arial"/>
          <w:sz w:val="20"/>
          <w:szCs w:val="20"/>
          <w:color w:val="auto"/>
        </w:rPr>
        <w:t>as Borrowers,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WELLS FARGO BANK, NATIONAL ASSOCIATION,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jc w:val="center"/>
        <w:spacing w:after="0"/>
        <w:rPr>
          <w:sz w:val="20"/>
          <w:szCs w:val="20"/>
          <w:color w:val="auto"/>
        </w:rPr>
      </w:pPr>
      <w:r>
        <w:rPr>
          <w:rFonts w:ascii="Arial" w:cs="Arial" w:eastAsia="Arial" w:hAnsi="Arial"/>
          <w:sz w:val="20"/>
          <w:szCs w:val="20"/>
          <w:color w:val="auto"/>
        </w:rPr>
        <w:t>Swing Line Lender and an L/C Issuer,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LENDERS PARTY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COÖPERATIEVE RABOBANK U.A., NEW YORK BRANCH,</w:t>
      </w:r>
    </w:p>
    <w:p>
      <w:pPr>
        <w:jc w:val="center"/>
        <w:spacing w:after="0"/>
        <w:rPr>
          <w:sz w:val="20"/>
          <w:szCs w:val="20"/>
          <w:color w:val="auto"/>
        </w:rPr>
      </w:pPr>
      <w:r>
        <w:rPr>
          <w:rFonts w:ascii="Arial" w:cs="Arial" w:eastAsia="Arial" w:hAnsi="Arial"/>
          <w:sz w:val="20"/>
          <w:szCs w:val="20"/>
          <w:color w:val="auto"/>
        </w:rPr>
        <w:t>as Co-Syndication Agents,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REGIONS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CITIZENS BANK, N.A.,</w:t>
      </w:r>
    </w:p>
    <w:p>
      <w:pPr>
        <w:jc w:val="center"/>
        <w:spacing w:after="0"/>
        <w:rPr>
          <w:sz w:val="20"/>
          <w:szCs w:val="20"/>
          <w:color w:val="auto"/>
        </w:rPr>
      </w:pPr>
      <w:r>
        <w:rPr>
          <w:rFonts w:ascii="Arial" w:cs="Arial" w:eastAsia="Arial" w:hAnsi="Arial"/>
          <w:sz w:val="20"/>
          <w:szCs w:val="20"/>
          <w:color w:val="auto"/>
        </w:rPr>
        <w:t>PNC BANK, NATIONAL ASSOCIATION,</w:t>
      </w:r>
    </w:p>
    <w:p>
      <w:pPr>
        <w:jc w:val="center"/>
        <w:spacing w:after="0"/>
        <w:rPr>
          <w:sz w:val="20"/>
          <w:szCs w:val="20"/>
          <w:color w:val="auto"/>
        </w:rPr>
      </w:pPr>
      <w:r>
        <w:rPr>
          <w:rFonts w:ascii="Arial" w:cs="Arial" w:eastAsia="Arial" w:hAnsi="Arial"/>
          <w:sz w:val="20"/>
          <w:szCs w:val="20"/>
          <w:color w:val="auto"/>
        </w:rPr>
        <w:t>U.S. BANK NATIONAL ASSOCIATION, and</w:t>
      </w:r>
    </w:p>
    <w:p>
      <w:pPr>
        <w:jc w:val="center"/>
        <w:spacing w:after="0"/>
        <w:rPr>
          <w:sz w:val="20"/>
          <w:szCs w:val="20"/>
          <w:color w:val="auto"/>
        </w:rPr>
      </w:pPr>
      <w:r>
        <w:rPr>
          <w:rFonts w:ascii="Arial" w:cs="Arial" w:eastAsia="Arial" w:hAnsi="Arial"/>
          <w:sz w:val="20"/>
          <w:szCs w:val="20"/>
          <w:color w:val="auto"/>
        </w:rPr>
        <w:t>HSBC BANK USA, NATIONAL ASSOCIATION,</w:t>
      </w:r>
    </w:p>
    <w:p>
      <w:pPr>
        <w:jc w:val="center"/>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WELLS FARGO SECURITIES,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MERRILL LYNCH, PIERCE, FENNER &amp; SMITH INCORPORATED,</w:t>
      </w:r>
    </w:p>
    <w:p>
      <w:pPr>
        <w:jc w:val="center"/>
        <w:spacing w:after="0"/>
        <w:rPr>
          <w:sz w:val="20"/>
          <w:szCs w:val="20"/>
          <w:color w:val="auto"/>
        </w:rPr>
      </w:pPr>
      <w:r>
        <w:rPr>
          <w:rFonts w:ascii="Arial" w:cs="Arial" w:eastAsia="Arial" w:hAnsi="Arial"/>
          <w:sz w:val="20"/>
          <w:szCs w:val="20"/>
          <w:color w:val="auto"/>
        </w:rPr>
        <w:t>JPMORGAN CHASE BANK, N.A.</w:t>
      </w: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COÖPERATIEVE RABOBANK U.A., NEW YORK BRANCH,</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Ref: CID# 000010817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118" w:right="239" w:bottom="1440" w:gutter="0" w:footer="0" w:header="0"/>
        </w:sectPr>
      </w:pPr>
    </w:p>
    <w:bookmarkStart w:id="120" w:name="page121"/>
    <w:bookmarkEnd w:id="120"/>
    <w:p>
      <w:pPr>
        <w:ind w:left="5560"/>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240" w:type="dxa"/>
            <w:vAlign w:val="bottom"/>
          </w:tcPr>
          <w:p>
            <w:pPr>
              <w:spacing w:after="0"/>
              <w:rPr>
                <w:sz w:val="17"/>
                <w:szCs w:val="17"/>
                <w:color w:val="auto"/>
              </w:rPr>
            </w:pPr>
          </w:p>
        </w:tc>
      </w:tr>
      <w:tr>
        <w:trPr>
          <w:trHeight w:val="736"/>
        </w:trPr>
        <w:tc>
          <w:tcPr>
            <w:tcW w:w="2160" w:type="dxa"/>
            <w:vAlign w:val="bottom"/>
          </w:tcPr>
          <w:p>
            <w:pPr>
              <w:spacing w:after="0"/>
              <w:rPr>
                <w:sz w:val="20"/>
                <w:szCs w:val="20"/>
                <w:color w:val="auto"/>
              </w:rPr>
            </w:pPr>
            <w:r>
              <w:rPr>
                <w:rFonts w:ascii="Arial" w:cs="Arial" w:eastAsia="Arial" w:hAnsi="Arial"/>
                <w:sz w:val="18"/>
                <w:szCs w:val="18"/>
                <w:color w:val="auto"/>
              </w:rPr>
              <w:t>ARTICLE I</w:t>
            </w:r>
          </w:p>
        </w:tc>
        <w:tc>
          <w:tcPr>
            <w:tcW w:w="7880" w:type="dxa"/>
            <w:vAlign w:val="bottom"/>
          </w:tcPr>
          <w:p>
            <w:pPr>
              <w:ind w:left="360"/>
              <w:spacing w:after="0"/>
              <w:rPr>
                <w:rFonts w:ascii="Arial" w:cs="Arial" w:eastAsia="Arial" w:hAnsi="Arial"/>
                <w:sz w:val="18"/>
                <w:szCs w:val="18"/>
                <w:color w:val="auto"/>
              </w:rPr>
            </w:pPr>
            <w:hyperlink w:anchor="page127">
              <w:r>
                <w:rPr>
                  <w:rFonts w:ascii="Arial" w:cs="Arial" w:eastAsia="Arial" w:hAnsi="Arial"/>
                  <w:sz w:val="18"/>
                  <w:szCs w:val="18"/>
                  <w:color w:val="auto"/>
                </w:rPr>
                <w:t>DEFINITIONS AND ACCOUNTING TERMS</w:t>
              </w:r>
            </w:hyperlink>
          </w:p>
        </w:tc>
        <w:tc>
          <w:tcPr>
            <w:tcW w:w="1320" w:type="dxa"/>
            <w:vAlign w:val="bottom"/>
            <w:gridSpan w:val="3"/>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1.01</w:t>
            </w:r>
          </w:p>
        </w:tc>
        <w:tc>
          <w:tcPr>
            <w:tcW w:w="7880" w:type="dxa"/>
            <w:vAlign w:val="bottom"/>
          </w:tcPr>
          <w:p>
            <w:pPr>
              <w:ind w:left="360"/>
              <w:spacing w:after="0"/>
              <w:rPr>
                <w:rFonts w:ascii="Arial" w:cs="Arial" w:eastAsia="Arial" w:hAnsi="Arial"/>
                <w:sz w:val="18"/>
                <w:szCs w:val="18"/>
                <w:color w:val="auto"/>
              </w:rPr>
            </w:pPr>
            <w:hyperlink w:anchor="page127">
              <w:r>
                <w:rPr>
                  <w:rFonts w:ascii="Arial" w:cs="Arial" w:eastAsia="Arial" w:hAnsi="Arial"/>
                  <w:sz w:val="18"/>
                  <w:szCs w:val="18"/>
                  <w:color w:val="auto"/>
                </w:rPr>
                <w:t>Defined Terms</w:t>
              </w:r>
            </w:hyperlink>
          </w:p>
        </w:tc>
        <w:tc>
          <w:tcPr>
            <w:tcW w:w="1320" w:type="dxa"/>
            <w:vAlign w:val="bottom"/>
            <w:gridSpan w:val="3"/>
          </w:tcPr>
          <w:p>
            <w:pPr>
              <w:jc w:val="right"/>
              <w:spacing w:after="0"/>
              <w:rPr>
                <w:rFonts w:ascii="Arial" w:cs="Arial" w:eastAsia="Arial" w:hAnsi="Arial"/>
                <w:sz w:val="18"/>
                <w:szCs w:val="18"/>
                <w:color w:val="auto"/>
              </w:rPr>
            </w:pPr>
            <w:hyperlink w:anchor="page127">
              <w:r>
                <w:rPr>
                  <w:rFonts w:ascii="Arial" w:cs="Arial" w:eastAsia="Arial" w:hAnsi="Arial"/>
                  <w:sz w:val="18"/>
                  <w:szCs w:val="18"/>
                  <w:color w:val="auto"/>
                </w:rPr>
                <w:t>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1.02</w:t>
            </w:r>
          </w:p>
        </w:tc>
        <w:tc>
          <w:tcPr>
            <w:tcW w:w="7880" w:type="dxa"/>
            <w:vAlign w:val="bottom"/>
          </w:tcPr>
          <w:p>
            <w:pPr>
              <w:ind w:left="360"/>
              <w:spacing w:after="0"/>
              <w:rPr>
                <w:rFonts w:ascii="Arial" w:cs="Arial" w:eastAsia="Arial" w:hAnsi="Arial"/>
                <w:sz w:val="18"/>
                <w:szCs w:val="18"/>
                <w:color w:val="auto"/>
              </w:rPr>
            </w:pPr>
            <w:hyperlink w:anchor="page173">
              <w:r>
                <w:rPr>
                  <w:rFonts w:ascii="Arial" w:cs="Arial" w:eastAsia="Arial" w:hAnsi="Arial"/>
                  <w:sz w:val="18"/>
                  <w:szCs w:val="18"/>
                  <w:color w:val="auto"/>
                </w:rPr>
                <w:t>Other Interpretive Provisions</w:t>
              </w:r>
            </w:hyperlink>
          </w:p>
        </w:tc>
        <w:tc>
          <w:tcPr>
            <w:tcW w:w="1320" w:type="dxa"/>
            <w:vAlign w:val="bottom"/>
            <w:gridSpan w:val="3"/>
          </w:tcPr>
          <w:p>
            <w:pPr>
              <w:jc w:val="right"/>
              <w:spacing w:after="0"/>
              <w:rPr>
                <w:rFonts w:ascii="Arial" w:cs="Arial" w:eastAsia="Arial" w:hAnsi="Arial"/>
                <w:sz w:val="18"/>
                <w:szCs w:val="18"/>
                <w:color w:val="auto"/>
              </w:rPr>
            </w:pPr>
            <w:hyperlink w:anchor="page173">
              <w:r>
                <w:rPr>
                  <w:rFonts w:ascii="Arial" w:cs="Arial" w:eastAsia="Arial" w:hAnsi="Arial"/>
                  <w:sz w:val="18"/>
                  <w:szCs w:val="18"/>
                  <w:color w:val="auto"/>
                </w:rPr>
                <w:t>47</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1.03</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Accounting Terms</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1.04</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Rounding</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1.05</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References to Agreements, Laws, Etc</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1.06</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Times of Day</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1.07</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Timing of Payment of Performance</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1.08</w:t>
            </w:r>
          </w:p>
        </w:tc>
        <w:tc>
          <w:tcPr>
            <w:tcW w:w="7880" w:type="dxa"/>
            <w:vAlign w:val="bottom"/>
          </w:tcPr>
          <w:p>
            <w:pPr>
              <w:ind w:left="360"/>
              <w:spacing w:after="0"/>
              <w:rPr>
                <w:rFonts w:ascii="Arial" w:cs="Arial" w:eastAsia="Arial" w:hAnsi="Arial"/>
                <w:sz w:val="18"/>
                <w:szCs w:val="18"/>
                <w:color w:val="auto"/>
              </w:rPr>
            </w:pPr>
            <w:hyperlink w:anchor="page174">
              <w:r>
                <w:rPr>
                  <w:rFonts w:ascii="Arial" w:cs="Arial" w:eastAsia="Arial" w:hAnsi="Arial"/>
                  <w:sz w:val="18"/>
                  <w:szCs w:val="18"/>
                  <w:color w:val="auto"/>
                </w:rPr>
                <w:t>Currency Equivalents Generally</w:t>
              </w:r>
            </w:hyperlink>
          </w:p>
        </w:tc>
        <w:tc>
          <w:tcPr>
            <w:tcW w:w="1320" w:type="dxa"/>
            <w:vAlign w:val="bottom"/>
            <w:gridSpan w:val="3"/>
          </w:tcPr>
          <w:p>
            <w:pPr>
              <w:jc w:val="right"/>
              <w:spacing w:after="0"/>
              <w:rPr>
                <w:rFonts w:ascii="Arial" w:cs="Arial" w:eastAsia="Arial" w:hAnsi="Arial"/>
                <w:sz w:val="18"/>
                <w:szCs w:val="18"/>
                <w:color w:val="auto"/>
              </w:rPr>
            </w:pPr>
            <w:hyperlink w:anchor="page174">
              <w:r>
                <w:rPr>
                  <w:rFonts w:ascii="Arial" w:cs="Arial" w:eastAsia="Arial" w:hAnsi="Arial"/>
                  <w:sz w:val="18"/>
                  <w:szCs w:val="18"/>
                  <w:color w:val="auto"/>
                </w:rPr>
                <w:t>48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1.09</w:t>
            </w:r>
          </w:p>
        </w:tc>
        <w:tc>
          <w:tcPr>
            <w:tcW w:w="7880" w:type="dxa"/>
            <w:vAlign w:val="bottom"/>
          </w:tcPr>
          <w:p>
            <w:pPr>
              <w:ind w:left="360"/>
              <w:spacing w:after="0"/>
              <w:rPr>
                <w:rFonts w:ascii="Arial" w:cs="Arial" w:eastAsia="Arial" w:hAnsi="Arial"/>
                <w:sz w:val="18"/>
                <w:szCs w:val="18"/>
                <w:color w:val="auto"/>
              </w:rPr>
            </w:pPr>
            <w:hyperlink w:anchor="page175">
              <w:r>
                <w:rPr>
                  <w:rFonts w:ascii="Arial" w:cs="Arial" w:eastAsia="Arial" w:hAnsi="Arial"/>
                  <w:sz w:val="18"/>
                  <w:szCs w:val="18"/>
                  <w:color w:val="auto"/>
                </w:rPr>
                <w:t>Change of Currency</w:t>
              </w:r>
            </w:hyperlink>
          </w:p>
        </w:tc>
        <w:tc>
          <w:tcPr>
            <w:tcW w:w="1320" w:type="dxa"/>
            <w:vAlign w:val="bottom"/>
            <w:gridSpan w:val="3"/>
          </w:tcPr>
          <w:p>
            <w:pPr>
              <w:jc w:val="right"/>
              <w:spacing w:after="0"/>
              <w:rPr>
                <w:rFonts w:ascii="Arial" w:cs="Arial" w:eastAsia="Arial" w:hAnsi="Arial"/>
                <w:sz w:val="18"/>
                <w:szCs w:val="18"/>
                <w:color w:val="auto"/>
              </w:rPr>
            </w:pPr>
            <w:hyperlink w:anchor="page175">
              <w:r>
                <w:rPr>
                  <w:rFonts w:ascii="Arial" w:cs="Arial" w:eastAsia="Arial" w:hAnsi="Arial"/>
                  <w:sz w:val="18"/>
                  <w:szCs w:val="18"/>
                  <w:color w:val="auto"/>
                </w:rPr>
                <w:t>49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1.10</w:t>
            </w:r>
          </w:p>
        </w:tc>
        <w:tc>
          <w:tcPr>
            <w:tcW w:w="7880" w:type="dxa"/>
            <w:vAlign w:val="bottom"/>
          </w:tcPr>
          <w:p>
            <w:pPr>
              <w:ind w:left="360"/>
              <w:spacing w:after="0"/>
              <w:rPr>
                <w:rFonts w:ascii="Arial" w:cs="Arial" w:eastAsia="Arial" w:hAnsi="Arial"/>
                <w:sz w:val="18"/>
                <w:szCs w:val="18"/>
                <w:color w:val="auto"/>
              </w:rPr>
            </w:pPr>
            <w:hyperlink w:anchor="page175">
              <w:r>
                <w:rPr>
                  <w:rFonts w:ascii="Arial" w:cs="Arial" w:eastAsia="Arial" w:hAnsi="Arial"/>
                  <w:sz w:val="18"/>
                  <w:szCs w:val="18"/>
                  <w:color w:val="auto"/>
                </w:rPr>
                <w:t>Cumulative Growth Amount Transactions</w:t>
              </w:r>
            </w:hyperlink>
          </w:p>
        </w:tc>
        <w:tc>
          <w:tcPr>
            <w:tcW w:w="1320" w:type="dxa"/>
            <w:vAlign w:val="bottom"/>
            <w:gridSpan w:val="3"/>
          </w:tcPr>
          <w:p>
            <w:pPr>
              <w:jc w:val="right"/>
              <w:spacing w:after="0"/>
              <w:rPr>
                <w:rFonts w:ascii="Arial" w:cs="Arial" w:eastAsia="Arial" w:hAnsi="Arial"/>
                <w:sz w:val="18"/>
                <w:szCs w:val="18"/>
                <w:color w:val="auto"/>
              </w:rPr>
            </w:pPr>
            <w:hyperlink w:anchor="page175">
              <w:r>
                <w:rPr>
                  <w:rFonts w:ascii="Arial" w:cs="Arial" w:eastAsia="Arial" w:hAnsi="Arial"/>
                  <w:sz w:val="18"/>
                  <w:szCs w:val="18"/>
                  <w:color w:val="auto"/>
                </w:rPr>
                <w:t>49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1.11</w:t>
            </w:r>
          </w:p>
        </w:tc>
        <w:tc>
          <w:tcPr>
            <w:tcW w:w="7880" w:type="dxa"/>
            <w:vAlign w:val="bottom"/>
          </w:tcPr>
          <w:p>
            <w:pPr>
              <w:ind w:left="360"/>
              <w:spacing w:after="0"/>
              <w:rPr>
                <w:rFonts w:ascii="Arial" w:cs="Arial" w:eastAsia="Arial" w:hAnsi="Arial"/>
                <w:sz w:val="18"/>
                <w:szCs w:val="18"/>
                <w:color w:val="auto"/>
              </w:rPr>
            </w:pPr>
            <w:hyperlink w:anchor="page175">
              <w:r>
                <w:rPr>
                  <w:rFonts w:ascii="Arial" w:cs="Arial" w:eastAsia="Arial" w:hAnsi="Arial"/>
                  <w:sz w:val="18"/>
                  <w:szCs w:val="18"/>
                  <w:color w:val="auto"/>
                </w:rPr>
                <w:t>Pro Forma and Other Calculations</w:t>
              </w:r>
            </w:hyperlink>
          </w:p>
        </w:tc>
        <w:tc>
          <w:tcPr>
            <w:tcW w:w="1320" w:type="dxa"/>
            <w:vAlign w:val="bottom"/>
            <w:gridSpan w:val="3"/>
          </w:tcPr>
          <w:p>
            <w:pPr>
              <w:jc w:val="right"/>
              <w:spacing w:after="0"/>
              <w:rPr>
                <w:rFonts w:ascii="Arial" w:cs="Arial" w:eastAsia="Arial" w:hAnsi="Arial"/>
                <w:sz w:val="18"/>
                <w:szCs w:val="18"/>
                <w:color w:val="auto"/>
              </w:rPr>
            </w:pPr>
            <w:hyperlink w:anchor="page175">
              <w:r>
                <w:rPr>
                  <w:rFonts w:ascii="Arial" w:cs="Arial" w:eastAsia="Arial" w:hAnsi="Arial"/>
                  <w:sz w:val="18"/>
                  <w:szCs w:val="18"/>
                  <w:color w:val="auto"/>
                </w:rPr>
                <w:t>49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1.12</w:t>
            </w:r>
          </w:p>
        </w:tc>
        <w:tc>
          <w:tcPr>
            <w:tcW w:w="7880" w:type="dxa"/>
            <w:vAlign w:val="bottom"/>
          </w:tcPr>
          <w:p>
            <w:pPr>
              <w:ind w:left="360"/>
              <w:spacing w:after="0"/>
              <w:rPr>
                <w:rFonts w:ascii="Arial" w:cs="Arial" w:eastAsia="Arial" w:hAnsi="Arial"/>
                <w:sz w:val="18"/>
                <w:szCs w:val="18"/>
                <w:color w:val="auto"/>
              </w:rPr>
            </w:pPr>
            <w:hyperlink w:anchor="page176">
              <w:r>
                <w:rPr>
                  <w:rFonts w:ascii="Arial" w:cs="Arial" w:eastAsia="Arial" w:hAnsi="Arial"/>
                  <w:sz w:val="18"/>
                  <w:szCs w:val="18"/>
                  <w:color w:val="auto"/>
                </w:rPr>
                <w:t>Limited Condition Acquisitions</w:t>
              </w:r>
            </w:hyperlink>
          </w:p>
        </w:tc>
        <w:tc>
          <w:tcPr>
            <w:tcW w:w="1320" w:type="dxa"/>
            <w:vAlign w:val="bottom"/>
            <w:gridSpan w:val="3"/>
          </w:tcPr>
          <w:p>
            <w:pPr>
              <w:jc w:val="right"/>
              <w:spacing w:after="0"/>
              <w:rPr>
                <w:rFonts w:ascii="Arial" w:cs="Arial" w:eastAsia="Arial" w:hAnsi="Arial"/>
                <w:sz w:val="18"/>
                <w:szCs w:val="18"/>
                <w:color w:val="auto"/>
              </w:rPr>
            </w:pPr>
            <w:hyperlink w:anchor="page176">
              <w:r>
                <w:rPr>
                  <w:rFonts w:ascii="Arial" w:cs="Arial" w:eastAsia="Arial" w:hAnsi="Arial"/>
                  <w:sz w:val="18"/>
                  <w:szCs w:val="18"/>
                  <w:color w:val="auto"/>
                </w:rPr>
                <w:t>50</w:t>
              </w:r>
            </w:hyperlink>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ARTICLE II</w:t>
            </w:r>
          </w:p>
        </w:tc>
        <w:tc>
          <w:tcPr>
            <w:tcW w:w="7880" w:type="dxa"/>
            <w:vAlign w:val="bottom"/>
          </w:tcPr>
          <w:p>
            <w:pPr>
              <w:ind w:left="360"/>
              <w:spacing w:after="0"/>
              <w:rPr>
                <w:rFonts w:ascii="Arial" w:cs="Arial" w:eastAsia="Arial" w:hAnsi="Arial"/>
                <w:sz w:val="18"/>
                <w:szCs w:val="18"/>
                <w:color w:val="auto"/>
              </w:rPr>
            </w:pPr>
            <w:hyperlink w:anchor="page178">
              <w:r>
                <w:rPr>
                  <w:rFonts w:ascii="Arial" w:cs="Arial" w:eastAsia="Arial" w:hAnsi="Arial"/>
                  <w:sz w:val="18"/>
                  <w:szCs w:val="18"/>
                  <w:color w:val="auto"/>
                </w:rPr>
                <w:t>THE COMMITMENTS AND CREDIT EXTENSIONS</w:t>
              </w:r>
            </w:hyperlink>
          </w:p>
        </w:tc>
        <w:tc>
          <w:tcPr>
            <w:tcW w:w="1320" w:type="dxa"/>
            <w:vAlign w:val="bottom"/>
            <w:gridSpan w:val="3"/>
          </w:tcPr>
          <w:p>
            <w:pPr>
              <w:jc w:val="right"/>
              <w:spacing w:after="0"/>
              <w:rPr>
                <w:rFonts w:ascii="Arial" w:cs="Arial" w:eastAsia="Arial" w:hAnsi="Arial"/>
                <w:sz w:val="18"/>
                <w:szCs w:val="18"/>
                <w:color w:val="auto"/>
              </w:rPr>
            </w:pPr>
            <w:hyperlink w:anchor="page178">
              <w:r>
                <w:rPr>
                  <w:rFonts w:ascii="Arial" w:cs="Arial" w:eastAsia="Arial" w:hAnsi="Arial"/>
                  <w:sz w:val="18"/>
                  <w:szCs w:val="18"/>
                  <w:color w:val="auto"/>
                </w:rPr>
                <w:t>52</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2.01</w:t>
            </w:r>
          </w:p>
        </w:tc>
        <w:tc>
          <w:tcPr>
            <w:tcW w:w="7880" w:type="dxa"/>
            <w:vAlign w:val="bottom"/>
          </w:tcPr>
          <w:p>
            <w:pPr>
              <w:ind w:left="360"/>
              <w:spacing w:after="0"/>
              <w:rPr>
                <w:rFonts w:ascii="Arial" w:cs="Arial" w:eastAsia="Arial" w:hAnsi="Arial"/>
                <w:sz w:val="18"/>
                <w:szCs w:val="18"/>
                <w:color w:val="auto"/>
              </w:rPr>
            </w:pPr>
            <w:hyperlink w:anchor="page178">
              <w:r>
                <w:rPr>
                  <w:rFonts w:ascii="Arial" w:cs="Arial" w:eastAsia="Arial" w:hAnsi="Arial"/>
                  <w:sz w:val="18"/>
                  <w:szCs w:val="18"/>
                  <w:color w:val="auto"/>
                </w:rPr>
                <w:t>The Loans</w:t>
              </w:r>
            </w:hyperlink>
          </w:p>
        </w:tc>
        <w:tc>
          <w:tcPr>
            <w:tcW w:w="1320" w:type="dxa"/>
            <w:vAlign w:val="bottom"/>
            <w:gridSpan w:val="3"/>
          </w:tcPr>
          <w:p>
            <w:pPr>
              <w:jc w:val="right"/>
              <w:spacing w:after="0"/>
              <w:rPr>
                <w:rFonts w:ascii="Arial" w:cs="Arial" w:eastAsia="Arial" w:hAnsi="Arial"/>
                <w:sz w:val="18"/>
                <w:szCs w:val="18"/>
                <w:color w:val="auto"/>
              </w:rPr>
            </w:pPr>
            <w:hyperlink w:anchor="page178">
              <w:r>
                <w:rPr>
                  <w:rFonts w:ascii="Arial" w:cs="Arial" w:eastAsia="Arial" w:hAnsi="Arial"/>
                  <w:sz w:val="18"/>
                  <w:szCs w:val="18"/>
                  <w:color w:val="auto"/>
                </w:rPr>
                <w:t>52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2.02</w:t>
            </w:r>
          </w:p>
        </w:tc>
        <w:tc>
          <w:tcPr>
            <w:tcW w:w="7880" w:type="dxa"/>
            <w:vAlign w:val="bottom"/>
          </w:tcPr>
          <w:p>
            <w:pPr>
              <w:ind w:left="360"/>
              <w:spacing w:after="0"/>
              <w:rPr>
                <w:rFonts w:ascii="Arial" w:cs="Arial" w:eastAsia="Arial" w:hAnsi="Arial"/>
                <w:sz w:val="18"/>
                <w:szCs w:val="18"/>
                <w:color w:val="auto"/>
              </w:rPr>
            </w:pPr>
            <w:hyperlink w:anchor="page178">
              <w:r>
                <w:rPr>
                  <w:rFonts w:ascii="Arial" w:cs="Arial" w:eastAsia="Arial" w:hAnsi="Arial"/>
                  <w:sz w:val="18"/>
                  <w:szCs w:val="18"/>
                  <w:color w:val="auto"/>
                </w:rPr>
                <w:t>Borrowings, Conversions and Continuations of Loans</w:t>
              </w:r>
            </w:hyperlink>
          </w:p>
        </w:tc>
        <w:tc>
          <w:tcPr>
            <w:tcW w:w="1320" w:type="dxa"/>
            <w:vAlign w:val="bottom"/>
            <w:gridSpan w:val="3"/>
          </w:tcPr>
          <w:p>
            <w:pPr>
              <w:jc w:val="right"/>
              <w:spacing w:after="0"/>
              <w:rPr>
                <w:rFonts w:ascii="Arial" w:cs="Arial" w:eastAsia="Arial" w:hAnsi="Arial"/>
                <w:sz w:val="18"/>
                <w:szCs w:val="18"/>
                <w:color w:val="auto"/>
              </w:rPr>
            </w:pPr>
            <w:hyperlink w:anchor="page178">
              <w:r>
                <w:rPr>
                  <w:rFonts w:ascii="Arial" w:cs="Arial" w:eastAsia="Arial" w:hAnsi="Arial"/>
                  <w:sz w:val="18"/>
                  <w:szCs w:val="18"/>
                  <w:color w:val="auto"/>
                </w:rPr>
                <w:t>52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2.03</w:t>
            </w:r>
          </w:p>
        </w:tc>
        <w:tc>
          <w:tcPr>
            <w:tcW w:w="7880" w:type="dxa"/>
            <w:vAlign w:val="bottom"/>
          </w:tcPr>
          <w:p>
            <w:pPr>
              <w:ind w:left="360"/>
              <w:spacing w:after="0"/>
              <w:rPr>
                <w:rFonts w:ascii="Arial" w:cs="Arial" w:eastAsia="Arial" w:hAnsi="Arial"/>
                <w:sz w:val="18"/>
                <w:szCs w:val="18"/>
                <w:color w:val="auto"/>
              </w:rPr>
            </w:pPr>
            <w:hyperlink w:anchor="page180">
              <w:r>
                <w:rPr>
                  <w:rFonts w:ascii="Arial" w:cs="Arial" w:eastAsia="Arial" w:hAnsi="Arial"/>
                  <w:sz w:val="18"/>
                  <w:szCs w:val="18"/>
                  <w:color w:val="auto"/>
                </w:rPr>
                <w:t>Letters of Credit</w:t>
              </w:r>
            </w:hyperlink>
          </w:p>
        </w:tc>
        <w:tc>
          <w:tcPr>
            <w:tcW w:w="1320" w:type="dxa"/>
            <w:vAlign w:val="bottom"/>
            <w:gridSpan w:val="3"/>
          </w:tcPr>
          <w:p>
            <w:pPr>
              <w:jc w:val="right"/>
              <w:spacing w:after="0"/>
              <w:rPr>
                <w:rFonts w:ascii="Arial" w:cs="Arial" w:eastAsia="Arial" w:hAnsi="Arial"/>
                <w:sz w:val="18"/>
                <w:szCs w:val="18"/>
                <w:color w:val="auto"/>
              </w:rPr>
            </w:pPr>
            <w:hyperlink w:anchor="page180">
              <w:r>
                <w:rPr>
                  <w:rFonts w:ascii="Arial" w:cs="Arial" w:eastAsia="Arial" w:hAnsi="Arial"/>
                  <w:sz w:val="18"/>
                  <w:szCs w:val="18"/>
                  <w:color w:val="auto"/>
                </w:rPr>
                <w:t>54</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2.04</w:t>
            </w:r>
          </w:p>
        </w:tc>
        <w:tc>
          <w:tcPr>
            <w:tcW w:w="7880" w:type="dxa"/>
            <w:vAlign w:val="bottom"/>
          </w:tcPr>
          <w:p>
            <w:pPr>
              <w:ind w:left="360"/>
              <w:spacing w:after="0"/>
              <w:rPr>
                <w:rFonts w:ascii="Arial" w:cs="Arial" w:eastAsia="Arial" w:hAnsi="Arial"/>
                <w:sz w:val="18"/>
                <w:szCs w:val="18"/>
                <w:color w:val="auto"/>
              </w:rPr>
            </w:pPr>
            <w:hyperlink w:anchor="page188">
              <w:r>
                <w:rPr>
                  <w:rFonts w:ascii="Arial" w:cs="Arial" w:eastAsia="Arial" w:hAnsi="Arial"/>
                  <w:sz w:val="18"/>
                  <w:szCs w:val="18"/>
                  <w:color w:val="auto"/>
                </w:rPr>
                <w:t>Swing Line Loans</w:t>
              </w:r>
            </w:hyperlink>
          </w:p>
        </w:tc>
        <w:tc>
          <w:tcPr>
            <w:tcW w:w="1320" w:type="dxa"/>
            <w:vAlign w:val="bottom"/>
            <w:gridSpan w:val="3"/>
          </w:tcPr>
          <w:p>
            <w:pPr>
              <w:jc w:val="right"/>
              <w:spacing w:after="0"/>
              <w:rPr>
                <w:rFonts w:ascii="Arial" w:cs="Arial" w:eastAsia="Arial" w:hAnsi="Arial"/>
                <w:sz w:val="18"/>
                <w:szCs w:val="18"/>
                <w:color w:val="auto"/>
              </w:rPr>
            </w:pPr>
            <w:hyperlink w:anchor="page188">
              <w:r>
                <w:rPr>
                  <w:rFonts w:ascii="Arial" w:cs="Arial" w:eastAsia="Arial" w:hAnsi="Arial"/>
                  <w:sz w:val="18"/>
                  <w:szCs w:val="18"/>
                  <w:color w:val="auto"/>
                </w:rPr>
                <w:t>62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2.05</w:t>
            </w:r>
          </w:p>
        </w:tc>
        <w:tc>
          <w:tcPr>
            <w:tcW w:w="7880" w:type="dxa"/>
            <w:vAlign w:val="bottom"/>
          </w:tcPr>
          <w:p>
            <w:pPr>
              <w:ind w:left="360"/>
              <w:spacing w:after="0"/>
              <w:rPr>
                <w:rFonts w:ascii="Arial" w:cs="Arial" w:eastAsia="Arial" w:hAnsi="Arial"/>
                <w:sz w:val="18"/>
                <w:szCs w:val="18"/>
                <w:color w:val="auto"/>
              </w:rPr>
            </w:pPr>
            <w:hyperlink w:anchor="page191">
              <w:r>
                <w:rPr>
                  <w:rFonts w:ascii="Arial" w:cs="Arial" w:eastAsia="Arial" w:hAnsi="Arial"/>
                  <w:sz w:val="18"/>
                  <w:szCs w:val="18"/>
                  <w:color w:val="auto"/>
                </w:rPr>
                <w:t>Prepayments</w:t>
              </w:r>
            </w:hyperlink>
          </w:p>
        </w:tc>
        <w:tc>
          <w:tcPr>
            <w:tcW w:w="1320" w:type="dxa"/>
            <w:vAlign w:val="bottom"/>
            <w:gridSpan w:val="3"/>
          </w:tcPr>
          <w:p>
            <w:pPr>
              <w:jc w:val="right"/>
              <w:spacing w:after="0"/>
              <w:rPr>
                <w:rFonts w:ascii="Arial" w:cs="Arial" w:eastAsia="Arial" w:hAnsi="Arial"/>
                <w:sz w:val="18"/>
                <w:szCs w:val="18"/>
                <w:color w:val="auto"/>
              </w:rPr>
            </w:pPr>
            <w:hyperlink w:anchor="page191">
              <w:r>
                <w:rPr>
                  <w:rFonts w:ascii="Arial" w:cs="Arial" w:eastAsia="Arial" w:hAnsi="Arial"/>
                  <w:sz w:val="18"/>
                  <w:szCs w:val="18"/>
                  <w:color w:val="auto"/>
                </w:rPr>
                <w:t>65</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2.06</w:t>
            </w:r>
          </w:p>
        </w:tc>
        <w:tc>
          <w:tcPr>
            <w:tcW w:w="7880" w:type="dxa"/>
            <w:vAlign w:val="bottom"/>
          </w:tcPr>
          <w:p>
            <w:pPr>
              <w:ind w:left="360"/>
              <w:spacing w:after="0"/>
              <w:rPr>
                <w:rFonts w:ascii="Arial" w:cs="Arial" w:eastAsia="Arial" w:hAnsi="Arial"/>
                <w:sz w:val="18"/>
                <w:szCs w:val="18"/>
                <w:color w:val="auto"/>
              </w:rPr>
            </w:pPr>
            <w:hyperlink w:anchor="page195">
              <w:r>
                <w:rPr>
                  <w:rFonts w:ascii="Arial" w:cs="Arial" w:eastAsia="Arial" w:hAnsi="Arial"/>
                  <w:sz w:val="18"/>
                  <w:szCs w:val="18"/>
                  <w:color w:val="auto"/>
                </w:rPr>
                <w:t>Termination or Reduction of Commitments</w:t>
              </w:r>
            </w:hyperlink>
          </w:p>
        </w:tc>
        <w:tc>
          <w:tcPr>
            <w:tcW w:w="1320" w:type="dxa"/>
            <w:vAlign w:val="bottom"/>
            <w:gridSpan w:val="3"/>
          </w:tcPr>
          <w:p>
            <w:pPr>
              <w:jc w:val="right"/>
              <w:spacing w:after="0"/>
              <w:rPr>
                <w:rFonts w:ascii="Arial" w:cs="Arial" w:eastAsia="Arial" w:hAnsi="Arial"/>
                <w:sz w:val="18"/>
                <w:szCs w:val="18"/>
                <w:color w:val="auto"/>
              </w:rPr>
            </w:pPr>
            <w:hyperlink w:anchor="page195">
              <w:r>
                <w:rPr>
                  <w:rFonts w:ascii="Arial" w:cs="Arial" w:eastAsia="Arial" w:hAnsi="Arial"/>
                  <w:sz w:val="18"/>
                  <w:szCs w:val="18"/>
                  <w:color w:val="auto"/>
                </w:rPr>
                <w:t>69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2.07</w:t>
            </w:r>
          </w:p>
        </w:tc>
        <w:tc>
          <w:tcPr>
            <w:tcW w:w="7880" w:type="dxa"/>
            <w:vAlign w:val="bottom"/>
          </w:tcPr>
          <w:p>
            <w:pPr>
              <w:ind w:left="360"/>
              <w:spacing w:after="0"/>
              <w:rPr>
                <w:rFonts w:ascii="Arial" w:cs="Arial" w:eastAsia="Arial" w:hAnsi="Arial"/>
                <w:sz w:val="18"/>
                <w:szCs w:val="18"/>
                <w:color w:val="auto"/>
              </w:rPr>
            </w:pPr>
            <w:hyperlink w:anchor="page196">
              <w:r>
                <w:rPr>
                  <w:rFonts w:ascii="Arial" w:cs="Arial" w:eastAsia="Arial" w:hAnsi="Arial"/>
                  <w:sz w:val="18"/>
                  <w:szCs w:val="18"/>
                  <w:color w:val="auto"/>
                </w:rPr>
                <w:t>Repayment of Loans</w:t>
              </w:r>
            </w:hyperlink>
          </w:p>
        </w:tc>
        <w:tc>
          <w:tcPr>
            <w:tcW w:w="1320" w:type="dxa"/>
            <w:vAlign w:val="bottom"/>
            <w:gridSpan w:val="3"/>
          </w:tcPr>
          <w:p>
            <w:pPr>
              <w:jc w:val="right"/>
              <w:spacing w:after="0"/>
              <w:rPr>
                <w:rFonts w:ascii="Arial" w:cs="Arial" w:eastAsia="Arial" w:hAnsi="Arial"/>
                <w:sz w:val="18"/>
                <w:szCs w:val="18"/>
                <w:color w:val="auto"/>
              </w:rPr>
            </w:pPr>
            <w:hyperlink w:anchor="page196">
              <w:r>
                <w:rPr>
                  <w:rFonts w:ascii="Arial" w:cs="Arial" w:eastAsia="Arial" w:hAnsi="Arial"/>
                  <w:sz w:val="18"/>
                  <w:szCs w:val="18"/>
                  <w:color w:val="auto"/>
                </w:rPr>
                <w:t>70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2.08</w:t>
            </w:r>
          </w:p>
        </w:tc>
        <w:tc>
          <w:tcPr>
            <w:tcW w:w="7880" w:type="dxa"/>
            <w:vAlign w:val="bottom"/>
          </w:tcPr>
          <w:p>
            <w:pPr>
              <w:ind w:left="360"/>
              <w:spacing w:after="0"/>
              <w:rPr>
                <w:rFonts w:ascii="Arial" w:cs="Arial" w:eastAsia="Arial" w:hAnsi="Arial"/>
                <w:sz w:val="18"/>
                <w:szCs w:val="18"/>
                <w:color w:val="auto"/>
              </w:rPr>
            </w:pPr>
            <w:hyperlink w:anchor="page197">
              <w:r>
                <w:rPr>
                  <w:rFonts w:ascii="Arial" w:cs="Arial" w:eastAsia="Arial" w:hAnsi="Arial"/>
                  <w:sz w:val="18"/>
                  <w:szCs w:val="18"/>
                  <w:color w:val="auto"/>
                </w:rPr>
                <w:t>Interest</w:t>
              </w:r>
            </w:hyperlink>
          </w:p>
        </w:tc>
        <w:tc>
          <w:tcPr>
            <w:tcW w:w="1320" w:type="dxa"/>
            <w:vAlign w:val="bottom"/>
            <w:gridSpan w:val="3"/>
          </w:tcPr>
          <w:p>
            <w:pPr>
              <w:jc w:val="right"/>
              <w:spacing w:after="0"/>
              <w:rPr>
                <w:rFonts w:ascii="Arial" w:cs="Arial" w:eastAsia="Arial" w:hAnsi="Arial"/>
                <w:sz w:val="18"/>
                <w:szCs w:val="18"/>
                <w:color w:val="auto"/>
              </w:rPr>
            </w:pPr>
            <w:hyperlink w:anchor="page197">
              <w:r>
                <w:rPr>
                  <w:rFonts w:ascii="Arial" w:cs="Arial" w:eastAsia="Arial" w:hAnsi="Arial"/>
                  <w:sz w:val="18"/>
                  <w:szCs w:val="18"/>
                  <w:color w:val="auto"/>
                </w:rPr>
                <w:t>71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2.09</w:t>
            </w:r>
          </w:p>
        </w:tc>
        <w:tc>
          <w:tcPr>
            <w:tcW w:w="7880" w:type="dxa"/>
            <w:vAlign w:val="bottom"/>
          </w:tcPr>
          <w:p>
            <w:pPr>
              <w:ind w:left="360"/>
              <w:spacing w:after="0"/>
              <w:rPr>
                <w:rFonts w:ascii="Arial" w:cs="Arial" w:eastAsia="Arial" w:hAnsi="Arial"/>
                <w:sz w:val="18"/>
                <w:szCs w:val="18"/>
                <w:color w:val="auto"/>
              </w:rPr>
            </w:pPr>
            <w:hyperlink w:anchor="page197">
              <w:r>
                <w:rPr>
                  <w:rFonts w:ascii="Arial" w:cs="Arial" w:eastAsia="Arial" w:hAnsi="Arial"/>
                  <w:sz w:val="18"/>
                  <w:szCs w:val="18"/>
                  <w:color w:val="auto"/>
                </w:rPr>
                <w:t>Fees</w:t>
              </w:r>
            </w:hyperlink>
          </w:p>
        </w:tc>
        <w:tc>
          <w:tcPr>
            <w:tcW w:w="1320" w:type="dxa"/>
            <w:vAlign w:val="bottom"/>
            <w:gridSpan w:val="3"/>
          </w:tcPr>
          <w:p>
            <w:pPr>
              <w:jc w:val="right"/>
              <w:spacing w:after="0"/>
              <w:rPr>
                <w:rFonts w:ascii="Arial" w:cs="Arial" w:eastAsia="Arial" w:hAnsi="Arial"/>
                <w:sz w:val="18"/>
                <w:szCs w:val="18"/>
                <w:color w:val="auto"/>
              </w:rPr>
            </w:pPr>
            <w:hyperlink w:anchor="page197">
              <w:r>
                <w:rPr>
                  <w:rFonts w:ascii="Arial" w:cs="Arial" w:eastAsia="Arial" w:hAnsi="Arial"/>
                  <w:sz w:val="18"/>
                  <w:szCs w:val="18"/>
                  <w:color w:val="auto"/>
                </w:rPr>
                <w:t>71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2.10</w:t>
            </w:r>
          </w:p>
        </w:tc>
        <w:tc>
          <w:tcPr>
            <w:tcW w:w="7880" w:type="dxa"/>
            <w:vAlign w:val="bottom"/>
          </w:tcPr>
          <w:p>
            <w:pPr>
              <w:ind w:left="360"/>
              <w:spacing w:after="0"/>
              <w:rPr>
                <w:rFonts w:ascii="Arial" w:cs="Arial" w:eastAsia="Arial" w:hAnsi="Arial"/>
                <w:sz w:val="18"/>
                <w:szCs w:val="18"/>
                <w:color w:val="auto"/>
              </w:rPr>
            </w:pPr>
            <w:hyperlink w:anchor="page198">
              <w:r>
                <w:rPr>
                  <w:rFonts w:ascii="Arial" w:cs="Arial" w:eastAsia="Arial" w:hAnsi="Arial"/>
                  <w:sz w:val="18"/>
                  <w:szCs w:val="18"/>
                  <w:color w:val="auto"/>
                </w:rPr>
                <w:t>Computation of Interest and Fees</w:t>
              </w:r>
            </w:hyperlink>
          </w:p>
        </w:tc>
        <w:tc>
          <w:tcPr>
            <w:tcW w:w="1320" w:type="dxa"/>
            <w:vAlign w:val="bottom"/>
            <w:gridSpan w:val="3"/>
          </w:tcPr>
          <w:p>
            <w:pPr>
              <w:jc w:val="right"/>
              <w:spacing w:after="0"/>
              <w:rPr>
                <w:rFonts w:ascii="Arial" w:cs="Arial" w:eastAsia="Arial" w:hAnsi="Arial"/>
                <w:sz w:val="18"/>
                <w:szCs w:val="18"/>
                <w:color w:val="auto"/>
              </w:rPr>
            </w:pPr>
            <w:hyperlink w:anchor="page198">
              <w:r>
                <w:rPr>
                  <w:rFonts w:ascii="Arial" w:cs="Arial" w:eastAsia="Arial" w:hAnsi="Arial"/>
                  <w:sz w:val="18"/>
                  <w:szCs w:val="18"/>
                  <w:color w:val="auto"/>
                </w:rPr>
                <w:t>72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2.11</w:t>
            </w:r>
          </w:p>
        </w:tc>
        <w:tc>
          <w:tcPr>
            <w:tcW w:w="7880" w:type="dxa"/>
            <w:vAlign w:val="bottom"/>
          </w:tcPr>
          <w:p>
            <w:pPr>
              <w:ind w:left="360"/>
              <w:spacing w:after="0"/>
              <w:rPr>
                <w:rFonts w:ascii="Arial" w:cs="Arial" w:eastAsia="Arial" w:hAnsi="Arial"/>
                <w:sz w:val="18"/>
                <w:szCs w:val="18"/>
                <w:color w:val="auto"/>
              </w:rPr>
            </w:pPr>
            <w:hyperlink w:anchor="page198">
              <w:r>
                <w:rPr>
                  <w:rFonts w:ascii="Arial" w:cs="Arial" w:eastAsia="Arial" w:hAnsi="Arial"/>
                  <w:sz w:val="18"/>
                  <w:szCs w:val="18"/>
                  <w:color w:val="auto"/>
                </w:rPr>
                <w:t>Evidence of Indebtedness</w:t>
              </w:r>
            </w:hyperlink>
          </w:p>
        </w:tc>
        <w:tc>
          <w:tcPr>
            <w:tcW w:w="1320" w:type="dxa"/>
            <w:vAlign w:val="bottom"/>
            <w:gridSpan w:val="3"/>
          </w:tcPr>
          <w:p>
            <w:pPr>
              <w:jc w:val="right"/>
              <w:spacing w:after="0"/>
              <w:rPr>
                <w:rFonts w:ascii="Arial" w:cs="Arial" w:eastAsia="Arial" w:hAnsi="Arial"/>
                <w:sz w:val="18"/>
                <w:szCs w:val="18"/>
                <w:color w:val="auto"/>
              </w:rPr>
            </w:pPr>
            <w:hyperlink w:anchor="page198">
              <w:r>
                <w:rPr>
                  <w:rFonts w:ascii="Arial" w:cs="Arial" w:eastAsia="Arial" w:hAnsi="Arial"/>
                  <w:sz w:val="18"/>
                  <w:szCs w:val="18"/>
                  <w:color w:val="auto"/>
                </w:rPr>
                <w:t>72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2.12</w:t>
            </w:r>
          </w:p>
        </w:tc>
        <w:tc>
          <w:tcPr>
            <w:tcW w:w="7880" w:type="dxa"/>
            <w:vAlign w:val="bottom"/>
          </w:tcPr>
          <w:p>
            <w:pPr>
              <w:ind w:left="360"/>
              <w:spacing w:after="0"/>
              <w:rPr>
                <w:rFonts w:ascii="Arial" w:cs="Arial" w:eastAsia="Arial" w:hAnsi="Arial"/>
                <w:sz w:val="18"/>
                <w:szCs w:val="18"/>
                <w:color w:val="auto"/>
              </w:rPr>
            </w:pPr>
            <w:hyperlink w:anchor="page199">
              <w:r>
                <w:rPr>
                  <w:rFonts w:ascii="Arial" w:cs="Arial" w:eastAsia="Arial" w:hAnsi="Arial"/>
                  <w:sz w:val="18"/>
                  <w:szCs w:val="18"/>
                  <w:color w:val="auto"/>
                </w:rPr>
                <w:t>Payments Generally</w:t>
              </w:r>
            </w:hyperlink>
          </w:p>
        </w:tc>
        <w:tc>
          <w:tcPr>
            <w:tcW w:w="1320" w:type="dxa"/>
            <w:vAlign w:val="bottom"/>
            <w:gridSpan w:val="3"/>
          </w:tcPr>
          <w:p>
            <w:pPr>
              <w:jc w:val="right"/>
              <w:spacing w:after="0"/>
              <w:rPr>
                <w:rFonts w:ascii="Arial" w:cs="Arial" w:eastAsia="Arial" w:hAnsi="Arial"/>
                <w:sz w:val="18"/>
                <w:szCs w:val="18"/>
                <w:color w:val="auto"/>
              </w:rPr>
            </w:pPr>
            <w:hyperlink w:anchor="page199">
              <w:r>
                <w:rPr>
                  <w:rFonts w:ascii="Arial" w:cs="Arial" w:eastAsia="Arial" w:hAnsi="Arial"/>
                  <w:sz w:val="18"/>
                  <w:szCs w:val="18"/>
                  <w:color w:val="auto"/>
                </w:rPr>
                <w:t>73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2.13</w:t>
            </w:r>
          </w:p>
        </w:tc>
        <w:tc>
          <w:tcPr>
            <w:tcW w:w="7880" w:type="dxa"/>
            <w:vAlign w:val="bottom"/>
          </w:tcPr>
          <w:p>
            <w:pPr>
              <w:ind w:left="360"/>
              <w:spacing w:after="0"/>
              <w:rPr>
                <w:rFonts w:ascii="Arial" w:cs="Arial" w:eastAsia="Arial" w:hAnsi="Arial"/>
                <w:sz w:val="18"/>
                <w:szCs w:val="18"/>
                <w:color w:val="auto"/>
              </w:rPr>
            </w:pPr>
            <w:hyperlink w:anchor="page201">
              <w:r>
                <w:rPr>
                  <w:rFonts w:ascii="Arial" w:cs="Arial" w:eastAsia="Arial" w:hAnsi="Arial"/>
                  <w:sz w:val="18"/>
                  <w:szCs w:val="18"/>
                  <w:color w:val="auto"/>
                </w:rPr>
                <w:t>Sharing of Payments</w:t>
              </w:r>
            </w:hyperlink>
          </w:p>
        </w:tc>
        <w:tc>
          <w:tcPr>
            <w:tcW w:w="1320" w:type="dxa"/>
            <w:vAlign w:val="bottom"/>
            <w:gridSpan w:val="3"/>
          </w:tcPr>
          <w:p>
            <w:pPr>
              <w:jc w:val="right"/>
              <w:spacing w:after="0"/>
              <w:rPr>
                <w:rFonts w:ascii="Arial" w:cs="Arial" w:eastAsia="Arial" w:hAnsi="Arial"/>
                <w:sz w:val="18"/>
                <w:szCs w:val="18"/>
                <w:color w:val="auto"/>
              </w:rPr>
            </w:pPr>
            <w:hyperlink w:anchor="page201">
              <w:r>
                <w:rPr>
                  <w:rFonts w:ascii="Arial" w:cs="Arial" w:eastAsia="Arial" w:hAnsi="Arial"/>
                  <w:sz w:val="18"/>
                  <w:szCs w:val="18"/>
                  <w:color w:val="auto"/>
                </w:rPr>
                <w:t>75</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2.14</w:t>
            </w:r>
          </w:p>
        </w:tc>
        <w:tc>
          <w:tcPr>
            <w:tcW w:w="7880" w:type="dxa"/>
            <w:vAlign w:val="bottom"/>
          </w:tcPr>
          <w:p>
            <w:pPr>
              <w:ind w:left="360"/>
              <w:spacing w:after="0"/>
              <w:rPr>
                <w:rFonts w:ascii="Arial" w:cs="Arial" w:eastAsia="Arial" w:hAnsi="Arial"/>
                <w:sz w:val="18"/>
                <w:szCs w:val="18"/>
                <w:color w:val="auto"/>
              </w:rPr>
            </w:pPr>
            <w:hyperlink w:anchor="page201">
              <w:r>
                <w:rPr>
                  <w:rFonts w:ascii="Arial" w:cs="Arial" w:eastAsia="Arial" w:hAnsi="Arial"/>
                  <w:sz w:val="18"/>
                  <w:szCs w:val="18"/>
                  <w:color w:val="auto"/>
                </w:rPr>
                <w:t>Extension of Term Loans; Extension of Revolving Credit Loans</w:t>
              </w:r>
            </w:hyperlink>
          </w:p>
        </w:tc>
        <w:tc>
          <w:tcPr>
            <w:tcW w:w="1320" w:type="dxa"/>
            <w:vAlign w:val="bottom"/>
            <w:gridSpan w:val="3"/>
          </w:tcPr>
          <w:p>
            <w:pPr>
              <w:jc w:val="right"/>
              <w:spacing w:after="0"/>
              <w:rPr>
                <w:rFonts w:ascii="Arial" w:cs="Arial" w:eastAsia="Arial" w:hAnsi="Arial"/>
                <w:sz w:val="18"/>
                <w:szCs w:val="18"/>
                <w:color w:val="auto"/>
              </w:rPr>
            </w:pPr>
            <w:hyperlink w:anchor="page201">
              <w:r>
                <w:rPr>
                  <w:rFonts w:ascii="Arial" w:cs="Arial" w:eastAsia="Arial" w:hAnsi="Arial"/>
                  <w:sz w:val="18"/>
                  <w:szCs w:val="18"/>
                  <w:color w:val="auto"/>
                </w:rPr>
                <w:t>75</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2.15</w:t>
            </w:r>
          </w:p>
        </w:tc>
        <w:tc>
          <w:tcPr>
            <w:tcW w:w="7880" w:type="dxa"/>
            <w:vAlign w:val="bottom"/>
          </w:tcPr>
          <w:p>
            <w:pPr>
              <w:ind w:left="360"/>
              <w:spacing w:after="0"/>
              <w:rPr>
                <w:rFonts w:ascii="Arial" w:cs="Arial" w:eastAsia="Arial" w:hAnsi="Arial"/>
                <w:sz w:val="18"/>
                <w:szCs w:val="18"/>
                <w:color w:val="auto"/>
              </w:rPr>
            </w:pPr>
            <w:hyperlink w:anchor="page205">
              <w:r>
                <w:rPr>
                  <w:rFonts w:ascii="Arial" w:cs="Arial" w:eastAsia="Arial" w:hAnsi="Arial"/>
                  <w:sz w:val="18"/>
                  <w:szCs w:val="18"/>
                  <w:color w:val="auto"/>
                </w:rPr>
                <w:t>Incremental Borrowings</w:t>
              </w:r>
            </w:hyperlink>
          </w:p>
        </w:tc>
        <w:tc>
          <w:tcPr>
            <w:tcW w:w="1320" w:type="dxa"/>
            <w:vAlign w:val="bottom"/>
            <w:gridSpan w:val="3"/>
          </w:tcPr>
          <w:p>
            <w:pPr>
              <w:jc w:val="right"/>
              <w:spacing w:after="0"/>
              <w:rPr>
                <w:rFonts w:ascii="Arial" w:cs="Arial" w:eastAsia="Arial" w:hAnsi="Arial"/>
                <w:sz w:val="18"/>
                <w:szCs w:val="18"/>
                <w:color w:val="auto"/>
              </w:rPr>
            </w:pPr>
            <w:hyperlink w:anchor="page205">
              <w:r>
                <w:rPr>
                  <w:rFonts w:ascii="Arial" w:cs="Arial" w:eastAsia="Arial" w:hAnsi="Arial"/>
                  <w:sz w:val="18"/>
                  <w:szCs w:val="18"/>
                  <w:color w:val="auto"/>
                </w:rPr>
                <w:t>79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2.16</w:t>
            </w:r>
          </w:p>
        </w:tc>
        <w:tc>
          <w:tcPr>
            <w:tcW w:w="7880" w:type="dxa"/>
            <w:vAlign w:val="bottom"/>
          </w:tcPr>
          <w:p>
            <w:pPr>
              <w:ind w:left="360"/>
              <w:spacing w:after="0"/>
              <w:rPr>
                <w:rFonts w:ascii="Arial" w:cs="Arial" w:eastAsia="Arial" w:hAnsi="Arial"/>
                <w:sz w:val="18"/>
                <w:szCs w:val="18"/>
                <w:color w:val="auto"/>
              </w:rPr>
            </w:pPr>
            <w:hyperlink w:anchor="page209">
              <w:r>
                <w:rPr>
                  <w:rFonts w:ascii="Arial" w:cs="Arial" w:eastAsia="Arial" w:hAnsi="Arial"/>
                  <w:sz w:val="18"/>
                  <w:szCs w:val="18"/>
                  <w:color w:val="auto"/>
                </w:rPr>
                <w:t>Refinancing Amendments</w:t>
              </w:r>
            </w:hyperlink>
          </w:p>
        </w:tc>
        <w:tc>
          <w:tcPr>
            <w:tcW w:w="1320" w:type="dxa"/>
            <w:vAlign w:val="bottom"/>
            <w:gridSpan w:val="3"/>
          </w:tcPr>
          <w:p>
            <w:pPr>
              <w:jc w:val="right"/>
              <w:spacing w:after="0"/>
              <w:rPr>
                <w:rFonts w:ascii="Arial" w:cs="Arial" w:eastAsia="Arial" w:hAnsi="Arial"/>
                <w:sz w:val="18"/>
                <w:szCs w:val="18"/>
                <w:color w:val="auto"/>
              </w:rPr>
            </w:pPr>
            <w:hyperlink w:anchor="page209">
              <w:r>
                <w:rPr>
                  <w:rFonts w:ascii="Arial" w:cs="Arial" w:eastAsia="Arial" w:hAnsi="Arial"/>
                  <w:sz w:val="18"/>
                  <w:szCs w:val="18"/>
                  <w:color w:val="auto"/>
                </w:rPr>
                <w:t>83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2.17</w:t>
            </w:r>
          </w:p>
        </w:tc>
        <w:tc>
          <w:tcPr>
            <w:tcW w:w="7880" w:type="dxa"/>
            <w:vAlign w:val="bottom"/>
          </w:tcPr>
          <w:p>
            <w:pPr>
              <w:ind w:left="360"/>
              <w:spacing w:after="0"/>
              <w:rPr>
                <w:rFonts w:ascii="Arial" w:cs="Arial" w:eastAsia="Arial" w:hAnsi="Arial"/>
                <w:sz w:val="18"/>
                <w:szCs w:val="18"/>
                <w:color w:val="auto"/>
              </w:rPr>
            </w:pPr>
            <w:hyperlink w:anchor="page210">
              <w:r>
                <w:rPr>
                  <w:rFonts w:ascii="Arial" w:cs="Arial" w:eastAsia="Arial" w:hAnsi="Arial"/>
                  <w:sz w:val="18"/>
                  <w:szCs w:val="18"/>
                  <w:color w:val="auto"/>
                </w:rPr>
                <w:t>Defaulting Lenders</w:t>
              </w:r>
            </w:hyperlink>
          </w:p>
        </w:tc>
        <w:tc>
          <w:tcPr>
            <w:tcW w:w="1320" w:type="dxa"/>
            <w:vAlign w:val="bottom"/>
            <w:gridSpan w:val="3"/>
          </w:tcPr>
          <w:p>
            <w:pPr>
              <w:jc w:val="right"/>
              <w:spacing w:after="0"/>
              <w:rPr>
                <w:rFonts w:ascii="Arial" w:cs="Arial" w:eastAsia="Arial" w:hAnsi="Arial"/>
                <w:sz w:val="18"/>
                <w:szCs w:val="18"/>
                <w:color w:val="auto"/>
              </w:rPr>
            </w:pPr>
            <w:hyperlink w:anchor="page210">
              <w:r>
                <w:rPr>
                  <w:rFonts w:ascii="Arial" w:cs="Arial" w:eastAsia="Arial" w:hAnsi="Arial"/>
                  <w:sz w:val="18"/>
                  <w:szCs w:val="18"/>
                  <w:color w:val="auto"/>
                </w:rPr>
                <w:t>84</w:t>
              </w:r>
            </w:hyperlink>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ARTICLE III</w:t>
            </w:r>
          </w:p>
        </w:tc>
        <w:tc>
          <w:tcPr>
            <w:tcW w:w="7880" w:type="dxa"/>
            <w:vAlign w:val="bottom"/>
          </w:tcPr>
          <w:p>
            <w:pPr>
              <w:ind w:left="360"/>
              <w:spacing w:after="0"/>
              <w:rPr>
                <w:rFonts w:ascii="Arial" w:cs="Arial" w:eastAsia="Arial" w:hAnsi="Arial"/>
                <w:sz w:val="18"/>
                <w:szCs w:val="18"/>
                <w:color w:val="auto"/>
              </w:rPr>
            </w:pPr>
            <w:hyperlink w:anchor="page212">
              <w:r>
                <w:rPr>
                  <w:rFonts w:ascii="Arial" w:cs="Arial" w:eastAsia="Arial" w:hAnsi="Arial"/>
                  <w:sz w:val="18"/>
                  <w:szCs w:val="18"/>
                  <w:color w:val="auto"/>
                </w:rPr>
                <w:t>TAXES, INCREASED COSTS PROTECTION AND ILLEGALITY</w:t>
              </w:r>
            </w:hyperlink>
          </w:p>
        </w:tc>
        <w:tc>
          <w:tcPr>
            <w:tcW w:w="1320" w:type="dxa"/>
            <w:vAlign w:val="bottom"/>
            <w:gridSpan w:val="3"/>
          </w:tcPr>
          <w:p>
            <w:pPr>
              <w:jc w:val="right"/>
              <w:spacing w:after="0"/>
              <w:rPr>
                <w:rFonts w:ascii="Arial" w:cs="Arial" w:eastAsia="Arial" w:hAnsi="Arial"/>
                <w:sz w:val="18"/>
                <w:szCs w:val="18"/>
                <w:color w:val="auto"/>
              </w:rPr>
            </w:pPr>
            <w:hyperlink w:anchor="page212">
              <w:r>
                <w:rPr>
                  <w:rFonts w:ascii="Arial" w:cs="Arial" w:eastAsia="Arial" w:hAnsi="Arial"/>
                  <w:sz w:val="18"/>
                  <w:szCs w:val="18"/>
                  <w:color w:val="auto"/>
                </w:rPr>
                <w:t>86</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3.01</w:t>
            </w:r>
          </w:p>
        </w:tc>
        <w:tc>
          <w:tcPr>
            <w:tcW w:w="7880" w:type="dxa"/>
            <w:vAlign w:val="bottom"/>
          </w:tcPr>
          <w:p>
            <w:pPr>
              <w:ind w:left="360"/>
              <w:spacing w:after="0"/>
              <w:rPr>
                <w:rFonts w:ascii="Arial" w:cs="Arial" w:eastAsia="Arial" w:hAnsi="Arial"/>
                <w:sz w:val="18"/>
                <w:szCs w:val="18"/>
                <w:color w:val="auto"/>
              </w:rPr>
            </w:pPr>
            <w:hyperlink w:anchor="page212">
              <w:r>
                <w:rPr>
                  <w:rFonts w:ascii="Arial" w:cs="Arial" w:eastAsia="Arial" w:hAnsi="Arial"/>
                  <w:sz w:val="18"/>
                  <w:szCs w:val="18"/>
                  <w:color w:val="auto"/>
                </w:rPr>
                <w:t>Taxes</w:t>
              </w:r>
            </w:hyperlink>
          </w:p>
        </w:tc>
        <w:tc>
          <w:tcPr>
            <w:tcW w:w="1320" w:type="dxa"/>
            <w:vAlign w:val="bottom"/>
            <w:gridSpan w:val="3"/>
          </w:tcPr>
          <w:p>
            <w:pPr>
              <w:jc w:val="right"/>
              <w:spacing w:after="0"/>
              <w:rPr>
                <w:rFonts w:ascii="Arial" w:cs="Arial" w:eastAsia="Arial" w:hAnsi="Arial"/>
                <w:sz w:val="18"/>
                <w:szCs w:val="18"/>
                <w:color w:val="auto"/>
              </w:rPr>
            </w:pPr>
            <w:hyperlink w:anchor="page212">
              <w:r>
                <w:rPr>
                  <w:rFonts w:ascii="Arial" w:cs="Arial" w:eastAsia="Arial" w:hAnsi="Arial"/>
                  <w:sz w:val="18"/>
                  <w:szCs w:val="18"/>
                  <w:color w:val="auto"/>
                </w:rPr>
                <w:t>86</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3.02</w:t>
            </w:r>
          </w:p>
        </w:tc>
        <w:tc>
          <w:tcPr>
            <w:tcW w:w="7880" w:type="dxa"/>
            <w:vAlign w:val="bottom"/>
          </w:tcPr>
          <w:p>
            <w:pPr>
              <w:ind w:left="360"/>
              <w:spacing w:after="0"/>
              <w:rPr>
                <w:rFonts w:ascii="Arial" w:cs="Arial" w:eastAsia="Arial" w:hAnsi="Arial"/>
                <w:sz w:val="18"/>
                <w:szCs w:val="18"/>
                <w:color w:val="auto"/>
              </w:rPr>
            </w:pPr>
            <w:hyperlink w:anchor="page216">
              <w:r>
                <w:rPr>
                  <w:rFonts w:ascii="Arial" w:cs="Arial" w:eastAsia="Arial" w:hAnsi="Arial"/>
                  <w:sz w:val="18"/>
                  <w:szCs w:val="18"/>
                  <w:color w:val="auto"/>
                </w:rPr>
                <w:t>Illegality</w:t>
              </w:r>
            </w:hyperlink>
          </w:p>
        </w:tc>
        <w:tc>
          <w:tcPr>
            <w:tcW w:w="1320" w:type="dxa"/>
            <w:vAlign w:val="bottom"/>
            <w:gridSpan w:val="3"/>
          </w:tcPr>
          <w:p>
            <w:pPr>
              <w:jc w:val="right"/>
              <w:spacing w:after="0"/>
              <w:rPr>
                <w:rFonts w:ascii="Arial" w:cs="Arial" w:eastAsia="Arial" w:hAnsi="Arial"/>
                <w:sz w:val="18"/>
                <w:szCs w:val="18"/>
                <w:color w:val="auto"/>
              </w:rPr>
            </w:pPr>
            <w:hyperlink w:anchor="page216">
              <w:r>
                <w:rPr>
                  <w:rFonts w:ascii="Arial" w:cs="Arial" w:eastAsia="Arial" w:hAnsi="Arial"/>
                  <w:sz w:val="18"/>
                  <w:szCs w:val="18"/>
                  <w:color w:val="auto"/>
                </w:rPr>
                <w:t>90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3.03</w:t>
            </w:r>
          </w:p>
        </w:tc>
        <w:tc>
          <w:tcPr>
            <w:tcW w:w="7880" w:type="dxa"/>
            <w:vAlign w:val="bottom"/>
          </w:tcPr>
          <w:p>
            <w:pPr>
              <w:ind w:left="360"/>
              <w:spacing w:after="0"/>
              <w:rPr>
                <w:rFonts w:ascii="Arial" w:cs="Arial" w:eastAsia="Arial" w:hAnsi="Arial"/>
                <w:sz w:val="18"/>
                <w:szCs w:val="18"/>
                <w:color w:val="auto"/>
              </w:rPr>
            </w:pPr>
            <w:hyperlink w:anchor="page216">
              <w:r>
                <w:rPr>
                  <w:rFonts w:ascii="Arial" w:cs="Arial" w:eastAsia="Arial" w:hAnsi="Arial"/>
                  <w:sz w:val="18"/>
                  <w:szCs w:val="18"/>
                  <w:color w:val="auto"/>
                </w:rPr>
                <w:t>Inability to Determine Rates</w:t>
              </w:r>
            </w:hyperlink>
          </w:p>
        </w:tc>
        <w:tc>
          <w:tcPr>
            <w:tcW w:w="1320" w:type="dxa"/>
            <w:vAlign w:val="bottom"/>
            <w:gridSpan w:val="3"/>
          </w:tcPr>
          <w:p>
            <w:pPr>
              <w:jc w:val="right"/>
              <w:spacing w:after="0"/>
              <w:rPr>
                <w:rFonts w:ascii="Arial" w:cs="Arial" w:eastAsia="Arial" w:hAnsi="Arial"/>
                <w:sz w:val="18"/>
                <w:szCs w:val="18"/>
                <w:color w:val="auto"/>
              </w:rPr>
            </w:pPr>
            <w:hyperlink w:anchor="page216">
              <w:r>
                <w:rPr>
                  <w:rFonts w:ascii="Arial" w:cs="Arial" w:eastAsia="Arial" w:hAnsi="Arial"/>
                  <w:sz w:val="18"/>
                  <w:szCs w:val="18"/>
                  <w:color w:val="auto"/>
                </w:rPr>
                <w:t>90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3.04</w:t>
            </w:r>
          </w:p>
        </w:tc>
        <w:tc>
          <w:tcPr>
            <w:tcW w:w="7880" w:type="dxa"/>
            <w:vAlign w:val="bottom"/>
          </w:tcPr>
          <w:p>
            <w:pPr>
              <w:ind w:left="360"/>
              <w:spacing w:after="0"/>
              <w:rPr>
                <w:rFonts w:ascii="Arial" w:cs="Arial" w:eastAsia="Arial" w:hAnsi="Arial"/>
                <w:sz w:val="18"/>
                <w:szCs w:val="18"/>
                <w:color w:val="auto"/>
                <w:w w:val="98"/>
              </w:rPr>
            </w:pPr>
            <w:hyperlink w:anchor="page217">
              <w:r>
                <w:rPr>
                  <w:rFonts w:ascii="Arial" w:cs="Arial" w:eastAsia="Arial" w:hAnsi="Arial"/>
                  <w:sz w:val="18"/>
                  <w:szCs w:val="18"/>
                  <w:color w:val="auto"/>
                  <w:w w:val="98"/>
                </w:rPr>
                <w:t>Increased Cost and Reduced Return; Capital Adequacy; Reserves on Eurocurrency Rate Loans</w:t>
              </w:r>
            </w:hyperlink>
          </w:p>
        </w:tc>
        <w:tc>
          <w:tcPr>
            <w:tcW w:w="1320" w:type="dxa"/>
            <w:vAlign w:val="bottom"/>
            <w:gridSpan w:val="3"/>
          </w:tcPr>
          <w:p>
            <w:pPr>
              <w:jc w:val="right"/>
              <w:spacing w:after="0"/>
              <w:rPr>
                <w:rFonts w:ascii="Arial" w:cs="Arial" w:eastAsia="Arial" w:hAnsi="Arial"/>
                <w:sz w:val="18"/>
                <w:szCs w:val="18"/>
                <w:color w:val="auto"/>
              </w:rPr>
            </w:pPr>
            <w:hyperlink w:anchor="page217">
              <w:r>
                <w:rPr>
                  <w:rFonts w:ascii="Arial" w:cs="Arial" w:eastAsia="Arial" w:hAnsi="Arial"/>
                  <w:sz w:val="18"/>
                  <w:szCs w:val="18"/>
                  <w:color w:val="auto"/>
                </w:rPr>
                <w:t>91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3.05</w:t>
            </w:r>
          </w:p>
        </w:tc>
        <w:tc>
          <w:tcPr>
            <w:tcW w:w="7880" w:type="dxa"/>
            <w:vAlign w:val="bottom"/>
          </w:tcPr>
          <w:p>
            <w:pPr>
              <w:ind w:left="360"/>
              <w:spacing w:after="0"/>
              <w:rPr>
                <w:rFonts w:ascii="Arial" w:cs="Arial" w:eastAsia="Arial" w:hAnsi="Arial"/>
                <w:sz w:val="18"/>
                <w:szCs w:val="18"/>
                <w:color w:val="auto"/>
              </w:rPr>
            </w:pPr>
            <w:hyperlink w:anchor="page218">
              <w:r>
                <w:rPr>
                  <w:rFonts w:ascii="Arial" w:cs="Arial" w:eastAsia="Arial" w:hAnsi="Arial"/>
                  <w:sz w:val="18"/>
                  <w:szCs w:val="18"/>
                  <w:color w:val="auto"/>
                </w:rPr>
                <w:t>Funding Losses</w:t>
              </w:r>
            </w:hyperlink>
          </w:p>
        </w:tc>
        <w:tc>
          <w:tcPr>
            <w:tcW w:w="1320" w:type="dxa"/>
            <w:vAlign w:val="bottom"/>
            <w:gridSpan w:val="3"/>
          </w:tcPr>
          <w:p>
            <w:pPr>
              <w:jc w:val="right"/>
              <w:spacing w:after="0"/>
              <w:rPr>
                <w:rFonts w:ascii="Arial" w:cs="Arial" w:eastAsia="Arial" w:hAnsi="Arial"/>
                <w:sz w:val="18"/>
                <w:szCs w:val="18"/>
                <w:color w:val="auto"/>
              </w:rPr>
            </w:pPr>
            <w:hyperlink w:anchor="page218">
              <w:r>
                <w:rPr>
                  <w:rFonts w:ascii="Arial" w:cs="Arial" w:eastAsia="Arial" w:hAnsi="Arial"/>
                  <w:sz w:val="18"/>
                  <w:szCs w:val="18"/>
                  <w:color w:val="auto"/>
                </w:rPr>
                <w:t>92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3.06</w:t>
            </w:r>
          </w:p>
        </w:tc>
        <w:tc>
          <w:tcPr>
            <w:tcW w:w="7880" w:type="dxa"/>
            <w:vAlign w:val="bottom"/>
          </w:tcPr>
          <w:p>
            <w:pPr>
              <w:ind w:left="360"/>
              <w:spacing w:after="0"/>
              <w:rPr>
                <w:rFonts w:ascii="Arial" w:cs="Arial" w:eastAsia="Arial" w:hAnsi="Arial"/>
                <w:sz w:val="18"/>
                <w:szCs w:val="18"/>
                <w:color w:val="auto"/>
              </w:rPr>
            </w:pPr>
            <w:hyperlink w:anchor="page219">
              <w:r>
                <w:rPr>
                  <w:rFonts w:ascii="Arial" w:cs="Arial" w:eastAsia="Arial" w:hAnsi="Arial"/>
                  <w:sz w:val="18"/>
                  <w:szCs w:val="18"/>
                  <w:color w:val="auto"/>
                </w:rPr>
                <w:t>Matters Applicable to All Requests for Compensation</w:t>
              </w:r>
            </w:hyperlink>
          </w:p>
        </w:tc>
        <w:tc>
          <w:tcPr>
            <w:tcW w:w="1320" w:type="dxa"/>
            <w:vAlign w:val="bottom"/>
            <w:gridSpan w:val="3"/>
          </w:tcPr>
          <w:p>
            <w:pPr>
              <w:jc w:val="right"/>
              <w:spacing w:after="0"/>
              <w:rPr>
                <w:rFonts w:ascii="Arial" w:cs="Arial" w:eastAsia="Arial" w:hAnsi="Arial"/>
                <w:sz w:val="18"/>
                <w:szCs w:val="18"/>
                <w:color w:val="auto"/>
              </w:rPr>
            </w:pPr>
            <w:hyperlink w:anchor="page219">
              <w:r>
                <w:rPr>
                  <w:rFonts w:ascii="Arial" w:cs="Arial" w:eastAsia="Arial" w:hAnsi="Arial"/>
                  <w:sz w:val="18"/>
                  <w:szCs w:val="18"/>
                  <w:color w:val="auto"/>
                </w:rPr>
                <w:t>93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3.07</w:t>
            </w:r>
          </w:p>
        </w:tc>
        <w:tc>
          <w:tcPr>
            <w:tcW w:w="7880" w:type="dxa"/>
            <w:vAlign w:val="bottom"/>
          </w:tcPr>
          <w:p>
            <w:pPr>
              <w:ind w:left="360"/>
              <w:spacing w:after="0"/>
              <w:rPr>
                <w:rFonts w:ascii="Arial" w:cs="Arial" w:eastAsia="Arial" w:hAnsi="Arial"/>
                <w:sz w:val="18"/>
                <w:szCs w:val="18"/>
                <w:color w:val="auto"/>
              </w:rPr>
            </w:pPr>
            <w:hyperlink w:anchor="page220">
              <w:r>
                <w:rPr>
                  <w:rFonts w:ascii="Arial" w:cs="Arial" w:eastAsia="Arial" w:hAnsi="Arial"/>
                  <w:sz w:val="18"/>
                  <w:szCs w:val="18"/>
                  <w:color w:val="auto"/>
                </w:rPr>
                <w:t>Replacement of Lenders under Certain Circumstances</w:t>
              </w:r>
            </w:hyperlink>
          </w:p>
        </w:tc>
        <w:tc>
          <w:tcPr>
            <w:tcW w:w="1320" w:type="dxa"/>
            <w:vAlign w:val="bottom"/>
            <w:gridSpan w:val="3"/>
          </w:tcPr>
          <w:p>
            <w:pPr>
              <w:jc w:val="right"/>
              <w:spacing w:after="0"/>
              <w:rPr>
                <w:rFonts w:ascii="Arial" w:cs="Arial" w:eastAsia="Arial" w:hAnsi="Arial"/>
                <w:sz w:val="18"/>
                <w:szCs w:val="18"/>
                <w:color w:val="auto"/>
              </w:rPr>
            </w:pPr>
            <w:hyperlink w:anchor="page220">
              <w:r>
                <w:rPr>
                  <w:rFonts w:ascii="Arial" w:cs="Arial" w:eastAsia="Arial" w:hAnsi="Arial"/>
                  <w:sz w:val="18"/>
                  <w:szCs w:val="18"/>
                  <w:color w:val="auto"/>
                </w:rPr>
                <w:t>94</w:t>
              </w:r>
            </w:hyperlink>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00"/>
          </w:cols>
          <w:pgMar w:left="240" w:top="526" w:right="259" w:bottom="1440" w:gutter="0" w:footer="0" w:header="0"/>
        </w:sectPr>
      </w:pPr>
    </w:p>
    <w:bookmarkStart w:id="121" w:name="page122"/>
    <w:bookmarkEnd w:id="121"/>
    <w:tbl>
      <w:tblPr>
        <w:tblLayout w:type="fixed"/>
        <w:tblInd w:w="40" w:type="dxa"/>
        <w:tblCellMar>
          <w:top w:w="0" w:type="dxa"/>
          <w:left w:w="0" w:type="dxa"/>
          <w:bottom w:w="0" w:type="dxa"/>
          <w:right w:w="0" w:type="dxa"/>
        </w:tblCellMar>
      </w:tblPr>
      <w:tr>
        <w:trPr>
          <w:trHeight w:val="230"/>
        </w:trPr>
        <w:tc>
          <w:tcPr>
            <w:tcW w:w="2160" w:type="dxa"/>
            <w:vAlign w:val="bottom"/>
          </w:tcPr>
          <w:p>
            <w:pPr>
              <w:ind w:left="920"/>
              <w:spacing w:after="0"/>
              <w:rPr>
                <w:sz w:val="20"/>
                <w:szCs w:val="20"/>
                <w:color w:val="auto"/>
              </w:rPr>
            </w:pPr>
            <w:r>
              <w:rPr>
                <w:rFonts w:ascii="Arial" w:cs="Arial" w:eastAsia="Arial" w:hAnsi="Arial"/>
                <w:sz w:val="18"/>
                <w:szCs w:val="18"/>
                <w:color w:val="auto"/>
              </w:rPr>
              <w:t>Section 3.08</w:t>
            </w:r>
          </w:p>
        </w:tc>
        <w:tc>
          <w:tcPr>
            <w:tcW w:w="7760" w:type="dxa"/>
            <w:vAlign w:val="bottom"/>
          </w:tcPr>
          <w:p>
            <w:pPr>
              <w:ind w:left="360"/>
              <w:spacing w:after="0"/>
              <w:rPr>
                <w:rFonts w:ascii="Arial" w:cs="Arial" w:eastAsia="Arial" w:hAnsi="Arial"/>
                <w:sz w:val="18"/>
                <w:szCs w:val="18"/>
                <w:color w:val="auto"/>
              </w:rPr>
            </w:pPr>
            <w:hyperlink w:anchor="page221">
              <w:r>
                <w:rPr>
                  <w:rFonts w:ascii="Arial" w:cs="Arial" w:eastAsia="Arial" w:hAnsi="Arial"/>
                  <w:sz w:val="18"/>
                  <w:szCs w:val="18"/>
                  <w:color w:val="auto"/>
                </w:rPr>
                <w:t>Survival</w:t>
              </w:r>
            </w:hyperlink>
          </w:p>
        </w:tc>
        <w:tc>
          <w:tcPr>
            <w:tcW w:w="1440" w:type="dxa"/>
            <w:vAlign w:val="bottom"/>
          </w:tcPr>
          <w:p>
            <w:pPr>
              <w:jc w:val="right"/>
              <w:spacing w:after="0"/>
              <w:rPr>
                <w:rFonts w:ascii="Arial" w:cs="Arial" w:eastAsia="Arial" w:hAnsi="Arial"/>
                <w:sz w:val="18"/>
                <w:szCs w:val="18"/>
                <w:color w:val="auto"/>
              </w:rPr>
            </w:pPr>
            <w:hyperlink w:anchor="page221">
              <w:r>
                <w:rPr>
                  <w:rFonts w:ascii="Arial" w:cs="Arial" w:eastAsia="Arial" w:hAnsi="Arial"/>
                  <w:sz w:val="18"/>
                  <w:szCs w:val="18"/>
                  <w:color w:val="auto"/>
                </w:rPr>
                <w:t>95</w:t>
              </w:r>
            </w:hyperlink>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ARTICLE IV</w:t>
            </w:r>
          </w:p>
        </w:tc>
        <w:tc>
          <w:tcPr>
            <w:tcW w:w="7760" w:type="dxa"/>
            <w:vAlign w:val="bottom"/>
          </w:tcPr>
          <w:p>
            <w:pPr>
              <w:ind w:left="360"/>
              <w:spacing w:after="0"/>
              <w:rPr>
                <w:rFonts w:ascii="Arial" w:cs="Arial" w:eastAsia="Arial" w:hAnsi="Arial"/>
                <w:sz w:val="18"/>
                <w:szCs w:val="18"/>
                <w:color w:val="auto"/>
              </w:rPr>
            </w:pPr>
            <w:hyperlink w:anchor="page221">
              <w:r>
                <w:rPr>
                  <w:rFonts w:ascii="Arial" w:cs="Arial" w:eastAsia="Arial" w:hAnsi="Arial"/>
                  <w:sz w:val="18"/>
                  <w:szCs w:val="18"/>
                  <w:color w:val="auto"/>
                </w:rPr>
                <w:t>CONDITIONS PRECEDENT TO CREDIT EXTENSIONS</w:t>
              </w:r>
            </w:hyperlink>
          </w:p>
        </w:tc>
        <w:tc>
          <w:tcPr>
            <w:tcW w:w="1440" w:type="dxa"/>
            <w:vAlign w:val="bottom"/>
          </w:tcPr>
          <w:p>
            <w:pPr>
              <w:jc w:val="right"/>
              <w:spacing w:after="0"/>
              <w:rPr>
                <w:rFonts w:ascii="Arial" w:cs="Arial" w:eastAsia="Arial" w:hAnsi="Arial"/>
                <w:sz w:val="18"/>
                <w:szCs w:val="18"/>
                <w:color w:val="auto"/>
              </w:rPr>
            </w:pPr>
            <w:hyperlink w:anchor="page221">
              <w:r>
                <w:rPr>
                  <w:rFonts w:ascii="Arial" w:cs="Arial" w:eastAsia="Arial" w:hAnsi="Arial"/>
                  <w:sz w:val="18"/>
                  <w:szCs w:val="18"/>
                  <w:color w:val="auto"/>
                </w:rPr>
                <w:t>95</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4.01</w:t>
            </w:r>
          </w:p>
        </w:tc>
        <w:tc>
          <w:tcPr>
            <w:tcW w:w="7760" w:type="dxa"/>
            <w:vAlign w:val="bottom"/>
          </w:tcPr>
          <w:p>
            <w:pPr>
              <w:ind w:left="360"/>
              <w:spacing w:after="0"/>
              <w:rPr>
                <w:rFonts w:ascii="Arial" w:cs="Arial" w:eastAsia="Arial" w:hAnsi="Arial"/>
                <w:sz w:val="18"/>
                <w:szCs w:val="18"/>
                <w:color w:val="auto"/>
              </w:rPr>
            </w:pPr>
            <w:hyperlink w:anchor="page221">
              <w:r>
                <w:rPr>
                  <w:rFonts w:ascii="Arial" w:cs="Arial" w:eastAsia="Arial" w:hAnsi="Arial"/>
                  <w:sz w:val="18"/>
                  <w:szCs w:val="18"/>
                  <w:color w:val="auto"/>
                </w:rPr>
                <w:t>Conditions of Initial Credit Extension</w:t>
              </w:r>
            </w:hyperlink>
          </w:p>
        </w:tc>
        <w:tc>
          <w:tcPr>
            <w:tcW w:w="1440" w:type="dxa"/>
            <w:vAlign w:val="bottom"/>
          </w:tcPr>
          <w:p>
            <w:pPr>
              <w:jc w:val="right"/>
              <w:spacing w:after="0"/>
              <w:rPr>
                <w:rFonts w:ascii="Arial" w:cs="Arial" w:eastAsia="Arial" w:hAnsi="Arial"/>
                <w:sz w:val="18"/>
                <w:szCs w:val="18"/>
                <w:color w:val="auto"/>
              </w:rPr>
            </w:pPr>
            <w:hyperlink w:anchor="page221">
              <w:r>
                <w:rPr>
                  <w:rFonts w:ascii="Arial" w:cs="Arial" w:eastAsia="Arial" w:hAnsi="Arial"/>
                  <w:sz w:val="18"/>
                  <w:szCs w:val="18"/>
                  <w:color w:val="auto"/>
                </w:rPr>
                <w:t>95</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4.02</w:t>
            </w:r>
          </w:p>
        </w:tc>
        <w:tc>
          <w:tcPr>
            <w:tcW w:w="7760" w:type="dxa"/>
            <w:vAlign w:val="bottom"/>
          </w:tcPr>
          <w:p>
            <w:pPr>
              <w:ind w:left="360"/>
              <w:spacing w:after="0"/>
              <w:rPr>
                <w:rFonts w:ascii="Arial" w:cs="Arial" w:eastAsia="Arial" w:hAnsi="Arial"/>
                <w:sz w:val="18"/>
                <w:szCs w:val="18"/>
                <w:color w:val="auto"/>
              </w:rPr>
            </w:pPr>
            <w:hyperlink w:anchor="page224">
              <w:r>
                <w:rPr>
                  <w:rFonts w:ascii="Arial" w:cs="Arial" w:eastAsia="Arial" w:hAnsi="Arial"/>
                  <w:sz w:val="18"/>
                  <w:szCs w:val="18"/>
                  <w:color w:val="auto"/>
                </w:rPr>
                <w:t>Conditions to All Credit Extensions</w:t>
              </w:r>
            </w:hyperlink>
          </w:p>
        </w:tc>
        <w:tc>
          <w:tcPr>
            <w:tcW w:w="1440" w:type="dxa"/>
            <w:vAlign w:val="bottom"/>
          </w:tcPr>
          <w:p>
            <w:pPr>
              <w:jc w:val="right"/>
              <w:spacing w:after="0"/>
              <w:rPr>
                <w:rFonts w:ascii="Arial" w:cs="Arial" w:eastAsia="Arial" w:hAnsi="Arial"/>
                <w:sz w:val="18"/>
                <w:szCs w:val="18"/>
                <w:color w:val="auto"/>
              </w:rPr>
            </w:pPr>
            <w:hyperlink w:anchor="page224">
              <w:r>
                <w:rPr>
                  <w:rFonts w:ascii="Arial" w:cs="Arial" w:eastAsia="Arial" w:hAnsi="Arial"/>
                  <w:sz w:val="18"/>
                  <w:szCs w:val="18"/>
                  <w:color w:val="auto"/>
                </w:rPr>
                <w:t>98</w:t>
              </w:r>
            </w:hyperlink>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ARTICLE V</w:t>
            </w:r>
          </w:p>
        </w:tc>
        <w:tc>
          <w:tcPr>
            <w:tcW w:w="7760" w:type="dxa"/>
            <w:vAlign w:val="bottom"/>
          </w:tcPr>
          <w:p>
            <w:pPr>
              <w:ind w:left="360"/>
              <w:spacing w:after="0"/>
              <w:rPr>
                <w:rFonts w:ascii="Arial" w:cs="Arial" w:eastAsia="Arial" w:hAnsi="Arial"/>
                <w:sz w:val="18"/>
                <w:szCs w:val="18"/>
                <w:color w:val="auto"/>
              </w:rPr>
            </w:pPr>
            <w:hyperlink w:anchor="page225">
              <w:r>
                <w:rPr>
                  <w:rFonts w:ascii="Arial" w:cs="Arial" w:eastAsia="Arial" w:hAnsi="Arial"/>
                  <w:sz w:val="18"/>
                  <w:szCs w:val="18"/>
                  <w:color w:val="auto"/>
                </w:rPr>
                <w:t>REPRESENTATIONS AND WARRANTIES</w:t>
              </w:r>
            </w:hyperlink>
          </w:p>
        </w:tc>
        <w:tc>
          <w:tcPr>
            <w:tcW w:w="1440" w:type="dxa"/>
            <w:vAlign w:val="bottom"/>
          </w:tcPr>
          <w:p>
            <w:pPr>
              <w:jc w:val="right"/>
              <w:spacing w:after="0"/>
              <w:rPr>
                <w:rFonts w:ascii="Arial" w:cs="Arial" w:eastAsia="Arial" w:hAnsi="Arial"/>
                <w:sz w:val="18"/>
                <w:szCs w:val="18"/>
                <w:color w:val="auto"/>
              </w:rPr>
            </w:pPr>
            <w:hyperlink w:anchor="page225">
              <w:r>
                <w:rPr>
                  <w:rFonts w:ascii="Arial" w:cs="Arial" w:eastAsia="Arial" w:hAnsi="Arial"/>
                  <w:sz w:val="18"/>
                  <w:szCs w:val="18"/>
                  <w:color w:val="auto"/>
                </w:rPr>
                <w:t>99</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5.01</w:t>
            </w:r>
          </w:p>
        </w:tc>
        <w:tc>
          <w:tcPr>
            <w:tcW w:w="7760" w:type="dxa"/>
            <w:vAlign w:val="bottom"/>
          </w:tcPr>
          <w:p>
            <w:pPr>
              <w:ind w:left="360"/>
              <w:spacing w:after="0"/>
              <w:rPr>
                <w:rFonts w:ascii="Arial" w:cs="Arial" w:eastAsia="Arial" w:hAnsi="Arial"/>
                <w:sz w:val="18"/>
                <w:szCs w:val="18"/>
                <w:color w:val="auto"/>
              </w:rPr>
            </w:pPr>
            <w:hyperlink w:anchor="page225">
              <w:r>
                <w:rPr>
                  <w:rFonts w:ascii="Arial" w:cs="Arial" w:eastAsia="Arial" w:hAnsi="Arial"/>
                  <w:sz w:val="18"/>
                  <w:szCs w:val="18"/>
                  <w:color w:val="auto"/>
                </w:rPr>
                <w:t>Existence, Qualification and Power; Compliance with Laws</w:t>
              </w:r>
            </w:hyperlink>
          </w:p>
        </w:tc>
        <w:tc>
          <w:tcPr>
            <w:tcW w:w="1440" w:type="dxa"/>
            <w:vAlign w:val="bottom"/>
          </w:tcPr>
          <w:p>
            <w:pPr>
              <w:jc w:val="right"/>
              <w:spacing w:after="0"/>
              <w:rPr>
                <w:rFonts w:ascii="Arial" w:cs="Arial" w:eastAsia="Arial" w:hAnsi="Arial"/>
                <w:sz w:val="18"/>
                <w:szCs w:val="18"/>
                <w:color w:val="auto"/>
              </w:rPr>
            </w:pPr>
            <w:hyperlink w:anchor="page225">
              <w:r>
                <w:rPr>
                  <w:rFonts w:ascii="Arial" w:cs="Arial" w:eastAsia="Arial" w:hAnsi="Arial"/>
                  <w:sz w:val="18"/>
                  <w:szCs w:val="18"/>
                  <w:color w:val="auto"/>
                </w:rPr>
                <w:t>99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5.02</w:t>
            </w:r>
          </w:p>
        </w:tc>
        <w:tc>
          <w:tcPr>
            <w:tcW w:w="7760" w:type="dxa"/>
            <w:vAlign w:val="bottom"/>
          </w:tcPr>
          <w:p>
            <w:pPr>
              <w:ind w:left="360"/>
              <w:spacing w:after="0"/>
              <w:rPr>
                <w:rFonts w:ascii="Arial" w:cs="Arial" w:eastAsia="Arial" w:hAnsi="Arial"/>
                <w:sz w:val="18"/>
                <w:szCs w:val="18"/>
                <w:color w:val="auto"/>
              </w:rPr>
            </w:pPr>
            <w:hyperlink w:anchor="page225">
              <w:r>
                <w:rPr>
                  <w:rFonts w:ascii="Arial" w:cs="Arial" w:eastAsia="Arial" w:hAnsi="Arial"/>
                  <w:sz w:val="18"/>
                  <w:szCs w:val="18"/>
                  <w:color w:val="auto"/>
                </w:rPr>
                <w:t>Authorization; No Contravention</w:t>
              </w:r>
            </w:hyperlink>
          </w:p>
        </w:tc>
        <w:tc>
          <w:tcPr>
            <w:tcW w:w="1440" w:type="dxa"/>
            <w:vAlign w:val="bottom"/>
          </w:tcPr>
          <w:p>
            <w:pPr>
              <w:jc w:val="right"/>
              <w:spacing w:after="0"/>
              <w:rPr>
                <w:rFonts w:ascii="Arial" w:cs="Arial" w:eastAsia="Arial" w:hAnsi="Arial"/>
                <w:sz w:val="18"/>
                <w:szCs w:val="18"/>
                <w:color w:val="auto"/>
              </w:rPr>
            </w:pPr>
            <w:hyperlink w:anchor="page225">
              <w:r>
                <w:rPr>
                  <w:rFonts w:ascii="Arial" w:cs="Arial" w:eastAsia="Arial" w:hAnsi="Arial"/>
                  <w:sz w:val="18"/>
                  <w:szCs w:val="18"/>
                  <w:color w:val="auto"/>
                </w:rPr>
                <w:t>99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5.03</w:t>
            </w:r>
          </w:p>
        </w:tc>
        <w:tc>
          <w:tcPr>
            <w:tcW w:w="7760" w:type="dxa"/>
            <w:vAlign w:val="bottom"/>
          </w:tcPr>
          <w:p>
            <w:pPr>
              <w:ind w:left="360"/>
              <w:spacing w:after="0"/>
              <w:rPr>
                <w:rFonts w:ascii="Arial" w:cs="Arial" w:eastAsia="Arial" w:hAnsi="Arial"/>
                <w:sz w:val="18"/>
                <w:szCs w:val="18"/>
                <w:color w:val="auto"/>
              </w:rPr>
            </w:pPr>
            <w:hyperlink w:anchor="page226">
              <w:r>
                <w:rPr>
                  <w:rFonts w:ascii="Arial" w:cs="Arial" w:eastAsia="Arial" w:hAnsi="Arial"/>
                  <w:sz w:val="18"/>
                  <w:szCs w:val="18"/>
                  <w:color w:val="auto"/>
                </w:rPr>
                <w:t>Governmental Authorization; Other Consents</w:t>
              </w:r>
            </w:hyperlink>
          </w:p>
        </w:tc>
        <w:tc>
          <w:tcPr>
            <w:tcW w:w="1440" w:type="dxa"/>
            <w:vAlign w:val="bottom"/>
          </w:tcPr>
          <w:p>
            <w:pPr>
              <w:jc w:val="right"/>
              <w:spacing w:after="0"/>
              <w:rPr>
                <w:rFonts w:ascii="Arial" w:cs="Arial" w:eastAsia="Arial" w:hAnsi="Arial"/>
                <w:sz w:val="18"/>
                <w:szCs w:val="18"/>
                <w:color w:val="auto"/>
              </w:rPr>
            </w:pPr>
            <w:hyperlink w:anchor="page226">
              <w:r>
                <w:rPr>
                  <w:rFonts w:ascii="Arial" w:cs="Arial" w:eastAsia="Arial" w:hAnsi="Arial"/>
                  <w:sz w:val="18"/>
                  <w:szCs w:val="18"/>
                  <w:color w:val="auto"/>
                </w:rPr>
                <w:t>100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5.04</w:t>
            </w:r>
          </w:p>
        </w:tc>
        <w:tc>
          <w:tcPr>
            <w:tcW w:w="7760" w:type="dxa"/>
            <w:vAlign w:val="bottom"/>
          </w:tcPr>
          <w:p>
            <w:pPr>
              <w:ind w:left="360"/>
              <w:spacing w:after="0"/>
              <w:rPr>
                <w:rFonts w:ascii="Arial" w:cs="Arial" w:eastAsia="Arial" w:hAnsi="Arial"/>
                <w:sz w:val="18"/>
                <w:szCs w:val="18"/>
                <w:color w:val="auto"/>
              </w:rPr>
            </w:pPr>
            <w:hyperlink w:anchor="page226">
              <w:r>
                <w:rPr>
                  <w:rFonts w:ascii="Arial" w:cs="Arial" w:eastAsia="Arial" w:hAnsi="Arial"/>
                  <w:sz w:val="18"/>
                  <w:szCs w:val="18"/>
                  <w:color w:val="auto"/>
                </w:rPr>
                <w:t>Binding Effect</w:t>
              </w:r>
            </w:hyperlink>
          </w:p>
        </w:tc>
        <w:tc>
          <w:tcPr>
            <w:tcW w:w="1440" w:type="dxa"/>
            <w:vAlign w:val="bottom"/>
          </w:tcPr>
          <w:p>
            <w:pPr>
              <w:jc w:val="right"/>
              <w:spacing w:after="0"/>
              <w:rPr>
                <w:rFonts w:ascii="Arial" w:cs="Arial" w:eastAsia="Arial" w:hAnsi="Arial"/>
                <w:sz w:val="18"/>
                <w:szCs w:val="18"/>
                <w:color w:val="auto"/>
              </w:rPr>
            </w:pPr>
            <w:hyperlink w:anchor="page226">
              <w:r>
                <w:rPr>
                  <w:rFonts w:ascii="Arial" w:cs="Arial" w:eastAsia="Arial" w:hAnsi="Arial"/>
                  <w:sz w:val="18"/>
                  <w:szCs w:val="18"/>
                  <w:color w:val="auto"/>
                </w:rPr>
                <w:t>100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5.05</w:t>
            </w:r>
          </w:p>
        </w:tc>
        <w:tc>
          <w:tcPr>
            <w:tcW w:w="7760" w:type="dxa"/>
            <w:vAlign w:val="bottom"/>
          </w:tcPr>
          <w:p>
            <w:pPr>
              <w:ind w:left="360"/>
              <w:spacing w:after="0"/>
              <w:rPr>
                <w:rFonts w:ascii="Arial" w:cs="Arial" w:eastAsia="Arial" w:hAnsi="Arial"/>
                <w:sz w:val="18"/>
                <w:szCs w:val="18"/>
                <w:color w:val="auto"/>
              </w:rPr>
            </w:pPr>
            <w:hyperlink w:anchor="page226">
              <w:r>
                <w:rPr>
                  <w:rFonts w:ascii="Arial" w:cs="Arial" w:eastAsia="Arial" w:hAnsi="Arial"/>
                  <w:sz w:val="18"/>
                  <w:szCs w:val="18"/>
                  <w:color w:val="auto"/>
                </w:rPr>
                <w:t>Financial Statements; No Material Adverse Effect</w:t>
              </w:r>
            </w:hyperlink>
          </w:p>
        </w:tc>
        <w:tc>
          <w:tcPr>
            <w:tcW w:w="1440" w:type="dxa"/>
            <w:vAlign w:val="bottom"/>
          </w:tcPr>
          <w:p>
            <w:pPr>
              <w:jc w:val="right"/>
              <w:spacing w:after="0"/>
              <w:rPr>
                <w:rFonts w:ascii="Arial" w:cs="Arial" w:eastAsia="Arial" w:hAnsi="Arial"/>
                <w:sz w:val="18"/>
                <w:szCs w:val="18"/>
                <w:color w:val="auto"/>
              </w:rPr>
            </w:pPr>
            <w:hyperlink w:anchor="page226">
              <w:r>
                <w:rPr>
                  <w:rFonts w:ascii="Arial" w:cs="Arial" w:eastAsia="Arial" w:hAnsi="Arial"/>
                  <w:sz w:val="18"/>
                  <w:szCs w:val="18"/>
                  <w:color w:val="auto"/>
                </w:rPr>
                <w:t>100</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5.06</w:t>
            </w:r>
          </w:p>
        </w:tc>
        <w:tc>
          <w:tcPr>
            <w:tcW w:w="7760" w:type="dxa"/>
            <w:vAlign w:val="bottom"/>
          </w:tcPr>
          <w:p>
            <w:pPr>
              <w:ind w:left="360"/>
              <w:spacing w:after="0"/>
              <w:rPr>
                <w:rFonts w:ascii="Arial" w:cs="Arial" w:eastAsia="Arial" w:hAnsi="Arial"/>
                <w:sz w:val="18"/>
                <w:szCs w:val="18"/>
                <w:color w:val="auto"/>
              </w:rPr>
            </w:pPr>
            <w:hyperlink w:anchor="page227">
              <w:r>
                <w:rPr>
                  <w:rFonts w:ascii="Arial" w:cs="Arial" w:eastAsia="Arial" w:hAnsi="Arial"/>
                  <w:sz w:val="18"/>
                  <w:szCs w:val="18"/>
                  <w:color w:val="auto"/>
                </w:rPr>
                <w:t>Litigation</w:t>
              </w:r>
            </w:hyperlink>
          </w:p>
        </w:tc>
        <w:tc>
          <w:tcPr>
            <w:tcW w:w="1440" w:type="dxa"/>
            <w:vAlign w:val="bottom"/>
          </w:tcPr>
          <w:p>
            <w:pPr>
              <w:jc w:val="right"/>
              <w:spacing w:after="0"/>
              <w:rPr>
                <w:rFonts w:ascii="Arial" w:cs="Arial" w:eastAsia="Arial" w:hAnsi="Arial"/>
                <w:sz w:val="18"/>
                <w:szCs w:val="18"/>
                <w:color w:val="auto"/>
              </w:rPr>
            </w:pPr>
            <w:hyperlink w:anchor="page227">
              <w:r>
                <w:rPr>
                  <w:rFonts w:ascii="Arial" w:cs="Arial" w:eastAsia="Arial" w:hAnsi="Arial"/>
                  <w:sz w:val="18"/>
                  <w:szCs w:val="18"/>
                  <w:color w:val="auto"/>
                </w:rPr>
                <w:t>101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5.07</w:t>
            </w:r>
          </w:p>
        </w:tc>
        <w:tc>
          <w:tcPr>
            <w:tcW w:w="7760" w:type="dxa"/>
            <w:vAlign w:val="bottom"/>
          </w:tcPr>
          <w:p>
            <w:pPr>
              <w:ind w:left="360"/>
              <w:spacing w:after="0"/>
              <w:rPr>
                <w:rFonts w:ascii="Arial" w:cs="Arial" w:eastAsia="Arial" w:hAnsi="Arial"/>
                <w:sz w:val="18"/>
                <w:szCs w:val="18"/>
                <w:color w:val="auto"/>
              </w:rPr>
            </w:pPr>
            <w:hyperlink w:anchor="page227">
              <w:r>
                <w:rPr>
                  <w:rFonts w:ascii="Arial" w:cs="Arial" w:eastAsia="Arial" w:hAnsi="Arial"/>
                  <w:sz w:val="18"/>
                  <w:szCs w:val="18"/>
                  <w:color w:val="auto"/>
                </w:rPr>
                <w:t>No Default</w:t>
              </w:r>
            </w:hyperlink>
          </w:p>
        </w:tc>
        <w:tc>
          <w:tcPr>
            <w:tcW w:w="1440" w:type="dxa"/>
            <w:vAlign w:val="bottom"/>
          </w:tcPr>
          <w:p>
            <w:pPr>
              <w:jc w:val="right"/>
              <w:spacing w:after="0"/>
              <w:rPr>
                <w:rFonts w:ascii="Arial" w:cs="Arial" w:eastAsia="Arial" w:hAnsi="Arial"/>
                <w:sz w:val="18"/>
                <w:szCs w:val="18"/>
                <w:color w:val="auto"/>
              </w:rPr>
            </w:pPr>
            <w:hyperlink w:anchor="page227">
              <w:r>
                <w:rPr>
                  <w:rFonts w:ascii="Arial" w:cs="Arial" w:eastAsia="Arial" w:hAnsi="Arial"/>
                  <w:sz w:val="18"/>
                  <w:szCs w:val="18"/>
                  <w:color w:val="auto"/>
                </w:rPr>
                <w:t>101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5.08</w:t>
            </w:r>
          </w:p>
        </w:tc>
        <w:tc>
          <w:tcPr>
            <w:tcW w:w="7760" w:type="dxa"/>
            <w:vAlign w:val="bottom"/>
          </w:tcPr>
          <w:p>
            <w:pPr>
              <w:ind w:left="360"/>
              <w:spacing w:after="0"/>
              <w:rPr>
                <w:rFonts w:ascii="Arial" w:cs="Arial" w:eastAsia="Arial" w:hAnsi="Arial"/>
                <w:sz w:val="18"/>
                <w:szCs w:val="18"/>
                <w:color w:val="auto"/>
              </w:rPr>
            </w:pPr>
            <w:hyperlink w:anchor="page227">
              <w:r>
                <w:rPr>
                  <w:rFonts w:ascii="Arial" w:cs="Arial" w:eastAsia="Arial" w:hAnsi="Arial"/>
                  <w:sz w:val="18"/>
                  <w:szCs w:val="18"/>
                  <w:color w:val="auto"/>
                </w:rPr>
                <w:t>Ownership of Property; Liens</w:t>
              </w:r>
            </w:hyperlink>
          </w:p>
        </w:tc>
        <w:tc>
          <w:tcPr>
            <w:tcW w:w="1440" w:type="dxa"/>
            <w:vAlign w:val="bottom"/>
          </w:tcPr>
          <w:p>
            <w:pPr>
              <w:jc w:val="right"/>
              <w:spacing w:after="0"/>
              <w:rPr>
                <w:rFonts w:ascii="Arial" w:cs="Arial" w:eastAsia="Arial" w:hAnsi="Arial"/>
                <w:sz w:val="18"/>
                <w:szCs w:val="18"/>
                <w:color w:val="auto"/>
              </w:rPr>
            </w:pPr>
            <w:hyperlink w:anchor="page227">
              <w:r>
                <w:rPr>
                  <w:rFonts w:ascii="Arial" w:cs="Arial" w:eastAsia="Arial" w:hAnsi="Arial"/>
                  <w:sz w:val="18"/>
                  <w:szCs w:val="18"/>
                  <w:color w:val="auto"/>
                </w:rPr>
                <w:t>101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5.09</w:t>
            </w:r>
          </w:p>
        </w:tc>
        <w:tc>
          <w:tcPr>
            <w:tcW w:w="7760" w:type="dxa"/>
            <w:vAlign w:val="bottom"/>
          </w:tcPr>
          <w:p>
            <w:pPr>
              <w:ind w:left="360"/>
              <w:spacing w:after="0"/>
              <w:rPr>
                <w:rFonts w:ascii="Arial" w:cs="Arial" w:eastAsia="Arial" w:hAnsi="Arial"/>
                <w:sz w:val="18"/>
                <w:szCs w:val="18"/>
                <w:color w:val="auto"/>
              </w:rPr>
            </w:pPr>
            <w:hyperlink w:anchor="page227">
              <w:r>
                <w:rPr>
                  <w:rFonts w:ascii="Arial" w:cs="Arial" w:eastAsia="Arial" w:hAnsi="Arial"/>
                  <w:sz w:val="18"/>
                  <w:szCs w:val="18"/>
                  <w:color w:val="auto"/>
                </w:rPr>
                <w:t>Environmental Compliance</w:t>
              </w:r>
            </w:hyperlink>
          </w:p>
        </w:tc>
        <w:tc>
          <w:tcPr>
            <w:tcW w:w="1440" w:type="dxa"/>
            <w:vAlign w:val="bottom"/>
          </w:tcPr>
          <w:p>
            <w:pPr>
              <w:jc w:val="right"/>
              <w:spacing w:after="0"/>
              <w:rPr>
                <w:rFonts w:ascii="Arial" w:cs="Arial" w:eastAsia="Arial" w:hAnsi="Arial"/>
                <w:sz w:val="18"/>
                <w:szCs w:val="18"/>
                <w:color w:val="auto"/>
              </w:rPr>
            </w:pPr>
            <w:hyperlink w:anchor="page227">
              <w:r>
                <w:rPr>
                  <w:rFonts w:ascii="Arial" w:cs="Arial" w:eastAsia="Arial" w:hAnsi="Arial"/>
                  <w:sz w:val="18"/>
                  <w:szCs w:val="18"/>
                  <w:color w:val="auto"/>
                </w:rPr>
                <w:t>101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5.10</w:t>
            </w:r>
          </w:p>
        </w:tc>
        <w:tc>
          <w:tcPr>
            <w:tcW w:w="7760" w:type="dxa"/>
            <w:vAlign w:val="bottom"/>
          </w:tcPr>
          <w:p>
            <w:pPr>
              <w:ind w:left="360"/>
              <w:spacing w:after="0"/>
              <w:rPr>
                <w:rFonts w:ascii="Arial" w:cs="Arial" w:eastAsia="Arial" w:hAnsi="Arial"/>
                <w:sz w:val="18"/>
                <w:szCs w:val="18"/>
                <w:color w:val="auto"/>
              </w:rPr>
            </w:pPr>
            <w:hyperlink w:anchor="page228">
              <w:r>
                <w:rPr>
                  <w:rFonts w:ascii="Arial" w:cs="Arial" w:eastAsia="Arial" w:hAnsi="Arial"/>
                  <w:sz w:val="18"/>
                  <w:szCs w:val="18"/>
                  <w:color w:val="auto"/>
                </w:rPr>
                <w:t>Taxes</w:t>
              </w:r>
            </w:hyperlink>
          </w:p>
        </w:tc>
        <w:tc>
          <w:tcPr>
            <w:tcW w:w="1440" w:type="dxa"/>
            <w:vAlign w:val="bottom"/>
          </w:tcPr>
          <w:p>
            <w:pPr>
              <w:jc w:val="right"/>
              <w:spacing w:after="0"/>
              <w:rPr>
                <w:rFonts w:ascii="Arial" w:cs="Arial" w:eastAsia="Arial" w:hAnsi="Arial"/>
                <w:sz w:val="18"/>
                <w:szCs w:val="18"/>
                <w:color w:val="auto"/>
              </w:rPr>
            </w:pPr>
            <w:hyperlink w:anchor="page228">
              <w:r>
                <w:rPr>
                  <w:rFonts w:ascii="Arial" w:cs="Arial" w:eastAsia="Arial" w:hAnsi="Arial"/>
                  <w:sz w:val="18"/>
                  <w:szCs w:val="18"/>
                  <w:color w:val="auto"/>
                </w:rPr>
                <w:t>102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5.11</w:t>
            </w:r>
          </w:p>
        </w:tc>
        <w:tc>
          <w:tcPr>
            <w:tcW w:w="7760" w:type="dxa"/>
            <w:vAlign w:val="bottom"/>
          </w:tcPr>
          <w:p>
            <w:pPr>
              <w:ind w:left="360"/>
              <w:spacing w:after="0"/>
              <w:rPr>
                <w:rFonts w:ascii="Arial" w:cs="Arial" w:eastAsia="Arial" w:hAnsi="Arial"/>
                <w:sz w:val="18"/>
                <w:szCs w:val="18"/>
                <w:color w:val="auto"/>
              </w:rPr>
            </w:pPr>
            <w:hyperlink w:anchor="page228">
              <w:r>
                <w:rPr>
                  <w:rFonts w:ascii="Arial" w:cs="Arial" w:eastAsia="Arial" w:hAnsi="Arial"/>
                  <w:sz w:val="18"/>
                  <w:szCs w:val="18"/>
                  <w:color w:val="auto"/>
                </w:rPr>
                <w:t>ERISA Compliance</w:t>
              </w:r>
            </w:hyperlink>
          </w:p>
        </w:tc>
        <w:tc>
          <w:tcPr>
            <w:tcW w:w="1440" w:type="dxa"/>
            <w:vAlign w:val="bottom"/>
          </w:tcPr>
          <w:p>
            <w:pPr>
              <w:jc w:val="right"/>
              <w:spacing w:after="0"/>
              <w:rPr>
                <w:rFonts w:ascii="Arial" w:cs="Arial" w:eastAsia="Arial" w:hAnsi="Arial"/>
                <w:sz w:val="18"/>
                <w:szCs w:val="18"/>
                <w:color w:val="auto"/>
              </w:rPr>
            </w:pPr>
            <w:hyperlink w:anchor="page228">
              <w:r>
                <w:rPr>
                  <w:rFonts w:ascii="Arial" w:cs="Arial" w:eastAsia="Arial" w:hAnsi="Arial"/>
                  <w:sz w:val="18"/>
                  <w:szCs w:val="18"/>
                  <w:color w:val="auto"/>
                </w:rPr>
                <w:t>102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5.12</w:t>
            </w:r>
          </w:p>
        </w:tc>
        <w:tc>
          <w:tcPr>
            <w:tcW w:w="7760" w:type="dxa"/>
            <w:vAlign w:val="bottom"/>
          </w:tcPr>
          <w:p>
            <w:pPr>
              <w:ind w:left="360"/>
              <w:spacing w:after="0"/>
              <w:rPr>
                <w:rFonts w:ascii="Arial" w:cs="Arial" w:eastAsia="Arial" w:hAnsi="Arial"/>
                <w:sz w:val="18"/>
                <w:szCs w:val="18"/>
                <w:color w:val="auto"/>
              </w:rPr>
            </w:pPr>
            <w:hyperlink w:anchor="page228">
              <w:r>
                <w:rPr>
                  <w:rFonts w:ascii="Arial" w:cs="Arial" w:eastAsia="Arial" w:hAnsi="Arial"/>
                  <w:sz w:val="18"/>
                  <w:szCs w:val="18"/>
                  <w:color w:val="auto"/>
                </w:rPr>
                <w:t>Subsidiaries; Equity Interests</w:t>
              </w:r>
            </w:hyperlink>
          </w:p>
        </w:tc>
        <w:tc>
          <w:tcPr>
            <w:tcW w:w="1440" w:type="dxa"/>
            <w:vAlign w:val="bottom"/>
          </w:tcPr>
          <w:p>
            <w:pPr>
              <w:jc w:val="right"/>
              <w:spacing w:after="0"/>
              <w:rPr>
                <w:rFonts w:ascii="Arial" w:cs="Arial" w:eastAsia="Arial" w:hAnsi="Arial"/>
                <w:sz w:val="18"/>
                <w:szCs w:val="18"/>
                <w:color w:val="auto"/>
              </w:rPr>
            </w:pPr>
            <w:hyperlink w:anchor="page228">
              <w:r>
                <w:rPr>
                  <w:rFonts w:ascii="Arial" w:cs="Arial" w:eastAsia="Arial" w:hAnsi="Arial"/>
                  <w:sz w:val="18"/>
                  <w:szCs w:val="18"/>
                  <w:color w:val="auto"/>
                </w:rPr>
                <w:t>102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5.13</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Margin Regulations; Investment Company Act</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5.14</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Disclosure</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5.15</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Intellectual Property; Licenses, Etc</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5.16</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Solvency</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5.17</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Subordination of Junior Financing</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5.18</w:t>
            </w:r>
          </w:p>
        </w:tc>
        <w:tc>
          <w:tcPr>
            <w:tcW w:w="7760" w:type="dxa"/>
            <w:vAlign w:val="bottom"/>
          </w:tcPr>
          <w:p>
            <w:pPr>
              <w:ind w:left="360"/>
              <w:spacing w:after="0"/>
              <w:rPr>
                <w:rFonts w:ascii="Arial" w:cs="Arial" w:eastAsia="Arial" w:hAnsi="Arial"/>
                <w:sz w:val="18"/>
                <w:szCs w:val="18"/>
                <w:color w:val="auto"/>
              </w:rPr>
            </w:pPr>
            <w:hyperlink w:anchor="page229">
              <w:r>
                <w:rPr>
                  <w:rFonts w:ascii="Arial" w:cs="Arial" w:eastAsia="Arial" w:hAnsi="Arial"/>
                  <w:sz w:val="18"/>
                  <w:szCs w:val="18"/>
                  <w:color w:val="auto"/>
                </w:rPr>
                <w:t>Labor Matters</w:t>
              </w:r>
            </w:hyperlink>
          </w:p>
        </w:tc>
        <w:tc>
          <w:tcPr>
            <w:tcW w:w="1440" w:type="dxa"/>
            <w:vAlign w:val="bottom"/>
          </w:tcPr>
          <w:p>
            <w:pPr>
              <w:jc w:val="right"/>
              <w:spacing w:after="0"/>
              <w:rPr>
                <w:rFonts w:ascii="Arial" w:cs="Arial" w:eastAsia="Arial" w:hAnsi="Arial"/>
                <w:sz w:val="18"/>
                <w:szCs w:val="18"/>
                <w:color w:val="auto"/>
              </w:rPr>
            </w:pPr>
            <w:hyperlink w:anchor="page229">
              <w:r>
                <w:rPr>
                  <w:rFonts w:ascii="Arial" w:cs="Arial" w:eastAsia="Arial" w:hAnsi="Arial"/>
                  <w:sz w:val="18"/>
                  <w:szCs w:val="18"/>
                  <w:color w:val="auto"/>
                </w:rPr>
                <w:t>103</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5.19</w:t>
            </w:r>
          </w:p>
        </w:tc>
        <w:tc>
          <w:tcPr>
            <w:tcW w:w="7760" w:type="dxa"/>
            <w:vAlign w:val="bottom"/>
          </w:tcPr>
          <w:p>
            <w:pPr>
              <w:ind w:left="360"/>
              <w:spacing w:after="0"/>
              <w:rPr>
                <w:rFonts w:ascii="Arial" w:cs="Arial" w:eastAsia="Arial" w:hAnsi="Arial"/>
                <w:sz w:val="18"/>
                <w:szCs w:val="18"/>
                <w:color w:val="auto"/>
              </w:rPr>
            </w:pPr>
            <w:hyperlink w:anchor="page230">
              <w:r>
                <w:rPr>
                  <w:rFonts w:ascii="Arial" w:cs="Arial" w:eastAsia="Arial" w:hAnsi="Arial"/>
                  <w:sz w:val="18"/>
                  <w:szCs w:val="18"/>
                  <w:color w:val="auto"/>
                </w:rPr>
                <w:t>Perfection, Etc</w:t>
              </w:r>
            </w:hyperlink>
          </w:p>
        </w:tc>
        <w:tc>
          <w:tcPr>
            <w:tcW w:w="1440" w:type="dxa"/>
            <w:vAlign w:val="bottom"/>
          </w:tcPr>
          <w:p>
            <w:pPr>
              <w:jc w:val="right"/>
              <w:spacing w:after="0"/>
              <w:rPr>
                <w:rFonts w:ascii="Arial" w:cs="Arial" w:eastAsia="Arial" w:hAnsi="Arial"/>
                <w:sz w:val="18"/>
                <w:szCs w:val="18"/>
                <w:color w:val="auto"/>
              </w:rPr>
            </w:pPr>
            <w:hyperlink w:anchor="page230">
              <w:r>
                <w:rPr>
                  <w:rFonts w:ascii="Arial" w:cs="Arial" w:eastAsia="Arial" w:hAnsi="Arial"/>
                  <w:sz w:val="18"/>
                  <w:szCs w:val="18"/>
                  <w:color w:val="auto"/>
                </w:rPr>
                <w:t>104</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5.20</w:t>
            </w:r>
          </w:p>
        </w:tc>
        <w:tc>
          <w:tcPr>
            <w:tcW w:w="7760" w:type="dxa"/>
            <w:vAlign w:val="bottom"/>
          </w:tcPr>
          <w:p>
            <w:pPr>
              <w:ind w:left="360"/>
              <w:spacing w:after="0"/>
              <w:rPr>
                <w:rFonts w:ascii="Arial" w:cs="Arial" w:eastAsia="Arial" w:hAnsi="Arial"/>
                <w:sz w:val="18"/>
                <w:szCs w:val="18"/>
                <w:color w:val="auto"/>
              </w:rPr>
            </w:pPr>
            <w:hyperlink w:anchor="page230">
              <w:r>
                <w:rPr>
                  <w:rFonts w:ascii="Arial" w:cs="Arial" w:eastAsia="Arial" w:hAnsi="Arial"/>
                  <w:sz w:val="18"/>
                  <w:szCs w:val="18"/>
                  <w:color w:val="auto"/>
                </w:rPr>
                <w:t>Anti-Money Laundering Laws, Anti-Corruption Laws and Sanctions</w:t>
              </w:r>
            </w:hyperlink>
          </w:p>
        </w:tc>
        <w:tc>
          <w:tcPr>
            <w:tcW w:w="1440" w:type="dxa"/>
            <w:vAlign w:val="bottom"/>
          </w:tcPr>
          <w:p>
            <w:pPr>
              <w:jc w:val="right"/>
              <w:spacing w:after="0"/>
              <w:rPr>
                <w:rFonts w:ascii="Arial" w:cs="Arial" w:eastAsia="Arial" w:hAnsi="Arial"/>
                <w:sz w:val="18"/>
                <w:szCs w:val="18"/>
                <w:color w:val="auto"/>
              </w:rPr>
            </w:pPr>
            <w:hyperlink w:anchor="page230">
              <w:r>
                <w:rPr>
                  <w:rFonts w:ascii="Arial" w:cs="Arial" w:eastAsia="Arial" w:hAnsi="Arial"/>
                  <w:sz w:val="18"/>
                  <w:szCs w:val="18"/>
                  <w:color w:val="auto"/>
                </w:rPr>
                <w:t>104</w:t>
              </w:r>
            </w:hyperlink>
          </w:p>
        </w:tc>
      </w:tr>
      <w:tr>
        <w:trPr>
          <w:trHeight w:val="392"/>
        </w:trPr>
        <w:tc>
          <w:tcPr>
            <w:tcW w:w="2160" w:type="dxa"/>
            <w:vAlign w:val="bottom"/>
          </w:tcPr>
          <w:p>
            <w:pPr>
              <w:spacing w:after="0"/>
              <w:rPr>
                <w:sz w:val="20"/>
                <w:szCs w:val="20"/>
                <w:color w:val="auto"/>
              </w:rPr>
            </w:pPr>
            <w:r>
              <w:rPr>
                <w:rFonts w:ascii="Arial" w:cs="Arial" w:eastAsia="Arial" w:hAnsi="Arial"/>
                <w:sz w:val="18"/>
                <w:szCs w:val="18"/>
                <w:color w:val="auto"/>
              </w:rPr>
              <w:t>ARTICLE VI</w:t>
            </w:r>
          </w:p>
        </w:tc>
        <w:tc>
          <w:tcPr>
            <w:tcW w:w="7760" w:type="dxa"/>
            <w:vAlign w:val="bottom"/>
          </w:tcPr>
          <w:p>
            <w:pPr>
              <w:ind w:left="360"/>
              <w:spacing w:after="0"/>
              <w:rPr>
                <w:rFonts w:ascii="Arial" w:cs="Arial" w:eastAsia="Arial" w:hAnsi="Arial"/>
                <w:sz w:val="18"/>
                <w:szCs w:val="18"/>
                <w:color w:val="auto"/>
              </w:rPr>
            </w:pPr>
            <w:hyperlink w:anchor="page231">
              <w:r>
                <w:rPr>
                  <w:rFonts w:ascii="Arial" w:cs="Arial" w:eastAsia="Arial" w:hAnsi="Arial"/>
                  <w:sz w:val="18"/>
                  <w:szCs w:val="18"/>
                  <w:color w:val="auto"/>
                </w:rPr>
                <w:t>AFFIRMATIVE COVENANTS</w:t>
              </w:r>
            </w:hyperlink>
          </w:p>
        </w:tc>
        <w:tc>
          <w:tcPr>
            <w:tcW w:w="1440" w:type="dxa"/>
            <w:vAlign w:val="bottom"/>
          </w:tcPr>
          <w:p>
            <w:pPr>
              <w:jc w:val="right"/>
              <w:spacing w:after="0"/>
              <w:rPr>
                <w:rFonts w:ascii="Arial" w:cs="Arial" w:eastAsia="Arial" w:hAnsi="Arial"/>
                <w:sz w:val="18"/>
                <w:szCs w:val="18"/>
                <w:color w:val="auto"/>
              </w:rPr>
            </w:pPr>
            <w:hyperlink w:anchor="page231">
              <w:r>
                <w:rPr>
                  <w:rFonts w:ascii="Arial" w:cs="Arial" w:eastAsia="Arial" w:hAnsi="Arial"/>
                  <w:sz w:val="18"/>
                  <w:szCs w:val="18"/>
                  <w:color w:val="auto"/>
                </w:rPr>
                <w:t>105</w:t>
              </w:r>
            </w:hyperlink>
          </w:p>
        </w:tc>
      </w:tr>
      <w:tr>
        <w:trPr>
          <w:trHeight w:val="392"/>
        </w:trPr>
        <w:tc>
          <w:tcPr>
            <w:tcW w:w="2160" w:type="dxa"/>
            <w:vAlign w:val="bottom"/>
          </w:tcPr>
          <w:p>
            <w:pPr>
              <w:ind w:left="920"/>
              <w:spacing w:after="0"/>
              <w:rPr>
                <w:sz w:val="20"/>
                <w:szCs w:val="20"/>
                <w:color w:val="auto"/>
              </w:rPr>
            </w:pPr>
            <w:r>
              <w:rPr>
                <w:rFonts w:ascii="Arial" w:cs="Arial" w:eastAsia="Arial" w:hAnsi="Arial"/>
                <w:sz w:val="18"/>
                <w:szCs w:val="18"/>
                <w:color w:val="auto"/>
              </w:rPr>
              <w:t>Section 6.01</w:t>
            </w:r>
          </w:p>
        </w:tc>
        <w:tc>
          <w:tcPr>
            <w:tcW w:w="7760" w:type="dxa"/>
            <w:vAlign w:val="bottom"/>
          </w:tcPr>
          <w:p>
            <w:pPr>
              <w:ind w:left="360"/>
              <w:spacing w:after="0"/>
              <w:rPr>
                <w:rFonts w:ascii="Arial" w:cs="Arial" w:eastAsia="Arial" w:hAnsi="Arial"/>
                <w:sz w:val="18"/>
                <w:szCs w:val="18"/>
                <w:color w:val="auto"/>
              </w:rPr>
            </w:pPr>
            <w:hyperlink w:anchor="page231">
              <w:r>
                <w:rPr>
                  <w:rFonts w:ascii="Arial" w:cs="Arial" w:eastAsia="Arial" w:hAnsi="Arial"/>
                  <w:sz w:val="18"/>
                  <w:szCs w:val="18"/>
                  <w:color w:val="auto"/>
                </w:rPr>
                <w:t>Financial Statements</w:t>
              </w:r>
            </w:hyperlink>
          </w:p>
        </w:tc>
        <w:tc>
          <w:tcPr>
            <w:tcW w:w="1440" w:type="dxa"/>
            <w:vAlign w:val="bottom"/>
          </w:tcPr>
          <w:p>
            <w:pPr>
              <w:jc w:val="right"/>
              <w:spacing w:after="0"/>
              <w:rPr>
                <w:rFonts w:ascii="Arial" w:cs="Arial" w:eastAsia="Arial" w:hAnsi="Arial"/>
                <w:sz w:val="18"/>
                <w:szCs w:val="18"/>
                <w:color w:val="auto"/>
              </w:rPr>
            </w:pPr>
            <w:hyperlink w:anchor="page231">
              <w:r>
                <w:rPr>
                  <w:rFonts w:ascii="Arial" w:cs="Arial" w:eastAsia="Arial" w:hAnsi="Arial"/>
                  <w:sz w:val="18"/>
                  <w:szCs w:val="18"/>
                  <w:color w:val="auto"/>
                </w:rPr>
                <w:t>105</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6.02</w:t>
            </w:r>
          </w:p>
        </w:tc>
        <w:tc>
          <w:tcPr>
            <w:tcW w:w="7760" w:type="dxa"/>
            <w:vAlign w:val="bottom"/>
          </w:tcPr>
          <w:p>
            <w:pPr>
              <w:ind w:left="360"/>
              <w:spacing w:after="0"/>
              <w:rPr>
                <w:rFonts w:ascii="Arial" w:cs="Arial" w:eastAsia="Arial" w:hAnsi="Arial"/>
                <w:sz w:val="18"/>
                <w:szCs w:val="18"/>
                <w:color w:val="auto"/>
              </w:rPr>
            </w:pPr>
            <w:hyperlink w:anchor="page232">
              <w:r>
                <w:rPr>
                  <w:rFonts w:ascii="Arial" w:cs="Arial" w:eastAsia="Arial" w:hAnsi="Arial"/>
                  <w:sz w:val="18"/>
                  <w:szCs w:val="18"/>
                  <w:color w:val="auto"/>
                </w:rPr>
                <w:t>Certificates; Other Information</w:t>
              </w:r>
            </w:hyperlink>
          </w:p>
        </w:tc>
        <w:tc>
          <w:tcPr>
            <w:tcW w:w="1440" w:type="dxa"/>
            <w:vAlign w:val="bottom"/>
          </w:tcPr>
          <w:p>
            <w:pPr>
              <w:jc w:val="right"/>
              <w:spacing w:after="0"/>
              <w:rPr>
                <w:rFonts w:ascii="Arial" w:cs="Arial" w:eastAsia="Arial" w:hAnsi="Arial"/>
                <w:sz w:val="18"/>
                <w:szCs w:val="18"/>
                <w:color w:val="auto"/>
              </w:rPr>
            </w:pPr>
            <w:hyperlink w:anchor="page232">
              <w:r>
                <w:rPr>
                  <w:rFonts w:ascii="Arial" w:cs="Arial" w:eastAsia="Arial" w:hAnsi="Arial"/>
                  <w:sz w:val="18"/>
                  <w:szCs w:val="18"/>
                  <w:color w:val="auto"/>
                </w:rPr>
                <w:t>106</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6.03</w:t>
            </w:r>
          </w:p>
        </w:tc>
        <w:tc>
          <w:tcPr>
            <w:tcW w:w="7760" w:type="dxa"/>
            <w:vAlign w:val="bottom"/>
          </w:tcPr>
          <w:p>
            <w:pPr>
              <w:ind w:left="360"/>
              <w:spacing w:after="0"/>
              <w:rPr>
                <w:rFonts w:ascii="Arial" w:cs="Arial" w:eastAsia="Arial" w:hAnsi="Arial"/>
                <w:sz w:val="18"/>
                <w:szCs w:val="18"/>
                <w:color w:val="auto"/>
              </w:rPr>
            </w:pPr>
            <w:hyperlink w:anchor="page233">
              <w:r>
                <w:rPr>
                  <w:rFonts w:ascii="Arial" w:cs="Arial" w:eastAsia="Arial" w:hAnsi="Arial"/>
                  <w:sz w:val="18"/>
                  <w:szCs w:val="18"/>
                  <w:color w:val="auto"/>
                </w:rPr>
                <w:t>Notices</w:t>
              </w:r>
            </w:hyperlink>
          </w:p>
        </w:tc>
        <w:tc>
          <w:tcPr>
            <w:tcW w:w="1440" w:type="dxa"/>
            <w:vAlign w:val="bottom"/>
          </w:tcPr>
          <w:p>
            <w:pPr>
              <w:jc w:val="right"/>
              <w:spacing w:after="0"/>
              <w:rPr>
                <w:rFonts w:ascii="Arial" w:cs="Arial" w:eastAsia="Arial" w:hAnsi="Arial"/>
                <w:sz w:val="18"/>
                <w:szCs w:val="18"/>
                <w:color w:val="auto"/>
              </w:rPr>
            </w:pPr>
            <w:hyperlink w:anchor="page233">
              <w:r>
                <w:rPr>
                  <w:rFonts w:ascii="Arial" w:cs="Arial" w:eastAsia="Arial" w:hAnsi="Arial"/>
                  <w:sz w:val="18"/>
                  <w:szCs w:val="18"/>
                  <w:color w:val="auto"/>
                </w:rPr>
                <w:t>107</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6.04</w:t>
            </w:r>
          </w:p>
        </w:tc>
        <w:tc>
          <w:tcPr>
            <w:tcW w:w="7760" w:type="dxa"/>
            <w:vAlign w:val="bottom"/>
          </w:tcPr>
          <w:p>
            <w:pPr>
              <w:ind w:left="360"/>
              <w:spacing w:after="0"/>
              <w:rPr>
                <w:rFonts w:ascii="Arial" w:cs="Arial" w:eastAsia="Arial" w:hAnsi="Arial"/>
                <w:sz w:val="18"/>
                <w:szCs w:val="18"/>
                <w:color w:val="auto"/>
              </w:rPr>
            </w:pPr>
            <w:hyperlink w:anchor="page233">
              <w:r>
                <w:rPr>
                  <w:rFonts w:ascii="Arial" w:cs="Arial" w:eastAsia="Arial" w:hAnsi="Arial"/>
                  <w:sz w:val="18"/>
                  <w:szCs w:val="18"/>
                  <w:color w:val="auto"/>
                </w:rPr>
                <w:t>Payment of Taxes</w:t>
              </w:r>
            </w:hyperlink>
          </w:p>
        </w:tc>
        <w:tc>
          <w:tcPr>
            <w:tcW w:w="1440" w:type="dxa"/>
            <w:vAlign w:val="bottom"/>
          </w:tcPr>
          <w:p>
            <w:pPr>
              <w:jc w:val="right"/>
              <w:spacing w:after="0"/>
              <w:rPr>
                <w:rFonts w:ascii="Arial" w:cs="Arial" w:eastAsia="Arial" w:hAnsi="Arial"/>
                <w:sz w:val="18"/>
                <w:szCs w:val="18"/>
                <w:color w:val="auto"/>
              </w:rPr>
            </w:pPr>
            <w:hyperlink w:anchor="page233">
              <w:r>
                <w:rPr>
                  <w:rFonts w:ascii="Arial" w:cs="Arial" w:eastAsia="Arial" w:hAnsi="Arial"/>
                  <w:sz w:val="18"/>
                  <w:szCs w:val="18"/>
                  <w:color w:val="auto"/>
                </w:rPr>
                <w:t>107</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6.05</w:t>
            </w:r>
          </w:p>
        </w:tc>
        <w:tc>
          <w:tcPr>
            <w:tcW w:w="7760" w:type="dxa"/>
            <w:vAlign w:val="bottom"/>
          </w:tcPr>
          <w:p>
            <w:pPr>
              <w:ind w:left="360"/>
              <w:spacing w:after="0"/>
              <w:rPr>
                <w:rFonts w:ascii="Arial" w:cs="Arial" w:eastAsia="Arial" w:hAnsi="Arial"/>
                <w:sz w:val="18"/>
                <w:szCs w:val="18"/>
                <w:color w:val="auto"/>
              </w:rPr>
            </w:pPr>
            <w:hyperlink w:anchor="page234">
              <w:r>
                <w:rPr>
                  <w:rFonts w:ascii="Arial" w:cs="Arial" w:eastAsia="Arial" w:hAnsi="Arial"/>
                  <w:sz w:val="18"/>
                  <w:szCs w:val="18"/>
                  <w:color w:val="auto"/>
                </w:rPr>
                <w:t>Preservation of Existence, Etc</w:t>
              </w:r>
            </w:hyperlink>
          </w:p>
        </w:tc>
        <w:tc>
          <w:tcPr>
            <w:tcW w:w="1440" w:type="dxa"/>
            <w:vAlign w:val="bottom"/>
          </w:tcPr>
          <w:p>
            <w:pPr>
              <w:jc w:val="right"/>
              <w:spacing w:after="0"/>
              <w:rPr>
                <w:rFonts w:ascii="Arial" w:cs="Arial" w:eastAsia="Arial" w:hAnsi="Arial"/>
                <w:sz w:val="18"/>
                <w:szCs w:val="18"/>
                <w:color w:val="auto"/>
              </w:rPr>
            </w:pPr>
            <w:hyperlink w:anchor="page234">
              <w:r>
                <w:rPr>
                  <w:rFonts w:ascii="Arial" w:cs="Arial" w:eastAsia="Arial" w:hAnsi="Arial"/>
                  <w:sz w:val="18"/>
                  <w:szCs w:val="18"/>
                  <w:color w:val="auto"/>
                </w:rPr>
                <w:t>108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6.06</w:t>
            </w:r>
          </w:p>
        </w:tc>
        <w:tc>
          <w:tcPr>
            <w:tcW w:w="7760" w:type="dxa"/>
            <w:vAlign w:val="bottom"/>
          </w:tcPr>
          <w:p>
            <w:pPr>
              <w:ind w:left="360"/>
              <w:spacing w:after="0"/>
              <w:rPr>
                <w:rFonts w:ascii="Arial" w:cs="Arial" w:eastAsia="Arial" w:hAnsi="Arial"/>
                <w:sz w:val="18"/>
                <w:szCs w:val="18"/>
                <w:color w:val="auto"/>
              </w:rPr>
            </w:pPr>
            <w:hyperlink w:anchor="page234">
              <w:r>
                <w:rPr>
                  <w:rFonts w:ascii="Arial" w:cs="Arial" w:eastAsia="Arial" w:hAnsi="Arial"/>
                  <w:sz w:val="18"/>
                  <w:szCs w:val="18"/>
                  <w:color w:val="auto"/>
                </w:rPr>
                <w:t>Maintenance of Properties</w:t>
              </w:r>
            </w:hyperlink>
          </w:p>
        </w:tc>
        <w:tc>
          <w:tcPr>
            <w:tcW w:w="1440" w:type="dxa"/>
            <w:vAlign w:val="bottom"/>
          </w:tcPr>
          <w:p>
            <w:pPr>
              <w:jc w:val="right"/>
              <w:spacing w:after="0"/>
              <w:rPr>
                <w:rFonts w:ascii="Arial" w:cs="Arial" w:eastAsia="Arial" w:hAnsi="Arial"/>
                <w:sz w:val="18"/>
                <w:szCs w:val="18"/>
                <w:color w:val="auto"/>
              </w:rPr>
            </w:pPr>
            <w:hyperlink w:anchor="page234">
              <w:r>
                <w:rPr>
                  <w:rFonts w:ascii="Arial" w:cs="Arial" w:eastAsia="Arial" w:hAnsi="Arial"/>
                  <w:sz w:val="18"/>
                  <w:szCs w:val="18"/>
                  <w:color w:val="auto"/>
                </w:rPr>
                <w:t>108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6.07</w:t>
            </w:r>
          </w:p>
        </w:tc>
        <w:tc>
          <w:tcPr>
            <w:tcW w:w="7760" w:type="dxa"/>
            <w:vAlign w:val="bottom"/>
          </w:tcPr>
          <w:p>
            <w:pPr>
              <w:ind w:left="360"/>
              <w:spacing w:after="0"/>
              <w:rPr>
                <w:rFonts w:ascii="Arial" w:cs="Arial" w:eastAsia="Arial" w:hAnsi="Arial"/>
                <w:sz w:val="18"/>
                <w:szCs w:val="18"/>
                <w:color w:val="auto"/>
              </w:rPr>
            </w:pPr>
            <w:hyperlink w:anchor="page234">
              <w:r>
                <w:rPr>
                  <w:rFonts w:ascii="Arial" w:cs="Arial" w:eastAsia="Arial" w:hAnsi="Arial"/>
                  <w:sz w:val="18"/>
                  <w:szCs w:val="18"/>
                  <w:color w:val="auto"/>
                </w:rPr>
                <w:t>Maintenance of Insurance</w:t>
              </w:r>
            </w:hyperlink>
          </w:p>
        </w:tc>
        <w:tc>
          <w:tcPr>
            <w:tcW w:w="1440" w:type="dxa"/>
            <w:vAlign w:val="bottom"/>
          </w:tcPr>
          <w:p>
            <w:pPr>
              <w:jc w:val="right"/>
              <w:spacing w:after="0"/>
              <w:rPr>
                <w:rFonts w:ascii="Arial" w:cs="Arial" w:eastAsia="Arial" w:hAnsi="Arial"/>
                <w:sz w:val="18"/>
                <w:szCs w:val="18"/>
                <w:color w:val="auto"/>
              </w:rPr>
            </w:pPr>
            <w:hyperlink w:anchor="page234">
              <w:r>
                <w:rPr>
                  <w:rFonts w:ascii="Arial" w:cs="Arial" w:eastAsia="Arial" w:hAnsi="Arial"/>
                  <w:sz w:val="18"/>
                  <w:szCs w:val="18"/>
                  <w:color w:val="auto"/>
                </w:rPr>
                <w:t>108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6.08</w:t>
            </w:r>
          </w:p>
        </w:tc>
        <w:tc>
          <w:tcPr>
            <w:tcW w:w="7760" w:type="dxa"/>
            <w:vAlign w:val="bottom"/>
          </w:tcPr>
          <w:p>
            <w:pPr>
              <w:ind w:left="360"/>
              <w:spacing w:after="0"/>
              <w:rPr>
                <w:rFonts w:ascii="Arial" w:cs="Arial" w:eastAsia="Arial" w:hAnsi="Arial"/>
                <w:sz w:val="18"/>
                <w:szCs w:val="18"/>
                <w:color w:val="auto"/>
              </w:rPr>
            </w:pPr>
            <w:hyperlink w:anchor="page234">
              <w:r>
                <w:rPr>
                  <w:rFonts w:ascii="Arial" w:cs="Arial" w:eastAsia="Arial" w:hAnsi="Arial"/>
                  <w:sz w:val="18"/>
                  <w:szCs w:val="18"/>
                  <w:color w:val="auto"/>
                </w:rPr>
                <w:t>Compliance with Laws</w:t>
              </w:r>
            </w:hyperlink>
          </w:p>
        </w:tc>
        <w:tc>
          <w:tcPr>
            <w:tcW w:w="1440" w:type="dxa"/>
            <w:vAlign w:val="bottom"/>
          </w:tcPr>
          <w:p>
            <w:pPr>
              <w:jc w:val="right"/>
              <w:spacing w:after="0"/>
              <w:rPr>
                <w:rFonts w:ascii="Arial" w:cs="Arial" w:eastAsia="Arial" w:hAnsi="Arial"/>
                <w:sz w:val="18"/>
                <w:szCs w:val="18"/>
                <w:color w:val="auto"/>
              </w:rPr>
            </w:pPr>
            <w:hyperlink w:anchor="page234">
              <w:r>
                <w:rPr>
                  <w:rFonts w:ascii="Arial" w:cs="Arial" w:eastAsia="Arial" w:hAnsi="Arial"/>
                  <w:sz w:val="18"/>
                  <w:szCs w:val="18"/>
                  <w:color w:val="auto"/>
                </w:rPr>
                <w:t>108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6.09</w:t>
            </w:r>
          </w:p>
        </w:tc>
        <w:tc>
          <w:tcPr>
            <w:tcW w:w="7760" w:type="dxa"/>
            <w:vAlign w:val="bottom"/>
          </w:tcPr>
          <w:p>
            <w:pPr>
              <w:ind w:left="360"/>
              <w:spacing w:after="0"/>
              <w:rPr>
                <w:rFonts w:ascii="Arial" w:cs="Arial" w:eastAsia="Arial" w:hAnsi="Arial"/>
                <w:sz w:val="18"/>
                <w:szCs w:val="18"/>
                <w:color w:val="auto"/>
              </w:rPr>
            </w:pPr>
            <w:hyperlink w:anchor="page234">
              <w:r>
                <w:rPr>
                  <w:rFonts w:ascii="Arial" w:cs="Arial" w:eastAsia="Arial" w:hAnsi="Arial"/>
                  <w:sz w:val="18"/>
                  <w:szCs w:val="18"/>
                  <w:color w:val="auto"/>
                </w:rPr>
                <w:t>Books and Records</w:t>
              </w:r>
            </w:hyperlink>
          </w:p>
        </w:tc>
        <w:tc>
          <w:tcPr>
            <w:tcW w:w="1440" w:type="dxa"/>
            <w:vAlign w:val="bottom"/>
          </w:tcPr>
          <w:p>
            <w:pPr>
              <w:jc w:val="right"/>
              <w:spacing w:after="0"/>
              <w:rPr>
                <w:rFonts w:ascii="Arial" w:cs="Arial" w:eastAsia="Arial" w:hAnsi="Arial"/>
                <w:sz w:val="18"/>
                <w:szCs w:val="18"/>
                <w:color w:val="auto"/>
              </w:rPr>
            </w:pPr>
            <w:hyperlink w:anchor="page234">
              <w:r>
                <w:rPr>
                  <w:rFonts w:ascii="Arial" w:cs="Arial" w:eastAsia="Arial" w:hAnsi="Arial"/>
                  <w:sz w:val="18"/>
                  <w:szCs w:val="18"/>
                  <w:color w:val="auto"/>
                </w:rPr>
                <w:t>108</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6.10</w:t>
            </w:r>
          </w:p>
        </w:tc>
        <w:tc>
          <w:tcPr>
            <w:tcW w:w="7760" w:type="dxa"/>
            <w:vAlign w:val="bottom"/>
          </w:tcPr>
          <w:p>
            <w:pPr>
              <w:ind w:left="360"/>
              <w:spacing w:after="0"/>
              <w:rPr>
                <w:rFonts w:ascii="Arial" w:cs="Arial" w:eastAsia="Arial" w:hAnsi="Arial"/>
                <w:sz w:val="18"/>
                <w:szCs w:val="18"/>
                <w:color w:val="auto"/>
              </w:rPr>
            </w:pPr>
            <w:hyperlink w:anchor="page235">
              <w:r>
                <w:rPr>
                  <w:rFonts w:ascii="Arial" w:cs="Arial" w:eastAsia="Arial" w:hAnsi="Arial"/>
                  <w:sz w:val="18"/>
                  <w:szCs w:val="18"/>
                  <w:color w:val="auto"/>
                </w:rPr>
                <w:t>Inspection Rights</w:t>
              </w:r>
            </w:hyperlink>
          </w:p>
        </w:tc>
        <w:tc>
          <w:tcPr>
            <w:tcW w:w="1440" w:type="dxa"/>
            <w:vAlign w:val="bottom"/>
          </w:tcPr>
          <w:p>
            <w:pPr>
              <w:jc w:val="right"/>
              <w:spacing w:after="0"/>
              <w:rPr>
                <w:rFonts w:ascii="Arial" w:cs="Arial" w:eastAsia="Arial" w:hAnsi="Arial"/>
                <w:sz w:val="18"/>
                <w:szCs w:val="18"/>
                <w:color w:val="auto"/>
              </w:rPr>
            </w:pPr>
            <w:hyperlink w:anchor="page235">
              <w:r>
                <w:rPr>
                  <w:rFonts w:ascii="Arial" w:cs="Arial" w:eastAsia="Arial" w:hAnsi="Arial"/>
                  <w:sz w:val="18"/>
                  <w:szCs w:val="18"/>
                  <w:color w:val="auto"/>
                </w:rPr>
                <w:t>109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6.11</w:t>
            </w:r>
          </w:p>
        </w:tc>
        <w:tc>
          <w:tcPr>
            <w:tcW w:w="7760" w:type="dxa"/>
            <w:vAlign w:val="bottom"/>
          </w:tcPr>
          <w:p>
            <w:pPr>
              <w:ind w:left="360"/>
              <w:spacing w:after="0"/>
              <w:rPr>
                <w:rFonts w:ascii="Arial" w:cs="Arial" w:eastAsia="Arial" w:hAnsi="Arial"/>
                <w:sz w:val="18"/>
                <w:szCs w:val="18"/>
                <w:color w:val="auto"/>
              </w:rPr>
            </w:pPr>
            <w:hyperlink w:anchor="page235">
              <w:r>
                <w:rPr>
                  <w:rFonts w:ascii="Arial" w:cs="Arial" w:eastAsia="Arial" w:hAnsi="Arial"/>
                  <w:sz w:val="18"/>
                  <w:szCs w:val="18"/>
                  <w:color w:val="auto"/>
                </w:rPr>
                <w:t>Covenant to Guarantee Obligations and Give Security</w:t>
              </w:r>
            </w:hyperlink>
          </w:p>
        </w:tc>
        <w:tc>
          <w:tcPr>
            <w:tcW w:w="1440" w:type="dxa"/>
            <w:vAlign w:val="bottom"/>
          </w:tcPr>
          <w:p>
            <w:pPr>
              <w:jc w:val="right"/>
              <w:spacing w:after="0"/>
              <w:rPr>
                <w:rFonts w:ascii="Arial" w:cs="Arial" w:eastAsia="Arial" w:hAnsi="Arial"/>
                <w:sz w:val="18"/>
                <w:szCs w:val="18"/>
                <w:color w:val="auto"/>
              </w:rPr>
            </w:pPr>
            <w:hyperlink w:anchor="page235">
              <w:r>
                <w:rPr>
                  <w:rFonts w:ascii="Arial" w:cs="Arial" w:eastAsia="Arial" w:hAnsi="Arial"/>
                  <w:sz w:val="18"/>
                  <w:szCs w:val="18"/>
                  <w:color w:val="auto"/>
                </w:rPr>
                <w:t>109</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6.12</w:t>
            </w:r>
          </w:p>
        </w:tc>
        <w:tc>
          <w:tcPr>
            <w:tcW w:w="7760" w:type="dxa"/>
            <w:vAlign w:val="bottom"/>
          </w:tcPr>
          <w:p>
            <w:pPr>
              <w:ind w:left="360"/>
              <w:spacing w:after="0"/>
              <w:rPr>
                <w:rFonts w:ascii="Arial" w:cs="Arial" w:eastAsia="Arial" w:hAnsi="Arial"/>
                <w:sz w:val="18"/>
                <w:szCs w:val="18"/>
                <w:color w:val="auto"/>
              </w:rPr>
            </w:pPr>
            <w:hyperlink w:anchor="page237">
              <w:r>
                <w:rPr>
                  <w:rFonts w:ascii="Arial" w:cs="Arial" w:eastAsia="Arial" w:hAnsi="Arial"/>
                  <w:sz w:val="18"/>
                  <w:szCs w:val="18"/>
                  <w:color w:val="auto"/>
                </w:rPr>
                <w:t>Compliance with Environmental Laws</w:t>
              </w:r>
            </w:hyperlink>
          </w:p>
        </w:tc>
        <w:tc>
          <w:tcPr>
            <w:tcW w:w="1440" w:type="dxa"/>
            <w:vAlign w:val="bottom"/>
          </w:tcPr>
          <w:p>
            <w:pPr>
              <w:jc w:val="right"/>
              <w:spacing w:after="0"/>
              <w:rPr>
                <w:rFonts w:ascii="Arial" w:cs="Arial" w:eastAsia="Arial" w:hAnsi="Arial"/>
                <w:sz w:val="18"/>
                <w:szCs w:val="18"/>
                <w:color w:val="auto"/>
              </w:rPr>
            </w:pPr>
            <w:hyperlink w:anchor="page237">
              <w:r>
                <w:rPr>
                  <w:rFonts w:ascii="Arial" w:cs="Arial" w:eastAsia="Arial" w:hAnsi="Arial"/>
                  <w:sz w:val="18"/>
                  <w:szCs w:val="18"/>
                  <w:color w:val="auto"/>
                </w:rPr>
                <w:t>111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6.13</w:t>
            </w:r>
          </w:p>
        </w:tc>
        <w:tc>
          <w:tcPr>
            <w:tcW w:w="7760" w:type="dxa"/>
            <w:vAlign w:val="bottom"/>
          </w:tcPr>
          <w:p>
            <w:pPr>
              <w:ind w:left="360"/>
              <w:spacing w:after="0"/>
              <w:rPr>
                <w:rFonts w:ascii="Arial" w:cs="Arial" w:eastAsia="Arial" w:hAnsi="Arial"/>
                <w:sz w:val="18"/>
                <w:szCs w:val="18"/>
                <w:color w:val="auto"/>
              </w:rPr>
            </w:pPr>
            <w:hyperlink w:anchor="page237">
              <w:r>
                <w:rPr>
                  <w:rFonts w:ascii="Arial" w:cs="Arial" w:eastAsia="Arial" w:hAnsi="Arial"/>
                  <w:sz w:val="18"/>
                  <w:szCs w:val="18"/>
                  <w:color w:val="auto"/>
                </w:rPr>
                <w:t>Further Assurances</w:t>
              </w:r>
            </w:hyperlink>
          </w:p>
        </w:tc>
        <w:tc>
          <w:tcPr>
            <w:tcW w:w="1440" w:type="dxa"/>
            <w:vAlign w:val="bottom"/>
          </w:tcPr>
          <w:p>
            <w:pPr>
              <w:jc w:val="right"/>
              <w:spacing w:after="0"/>
              <w:rPr>
                <w:rFonts w:ascii="Arial" w:cs="Arial" w:eastAsia="Arial" w:hAnsi="Arial"/>
                <w:sz w:val="18"/>
                <w:szCs w:val="18"/>
                <w:color w:val="auto"/>
              </w:rPr>
            </w:pPr>
            <w:hyperlink w:anchor="page237">
              <w:r>
                <w:rPr>
                  <w:rFonts w:ascii="Arial" w:cs="Arial" w:eastAsia="Arial" w:hAnsi="Arial"/>
                  <w:sz w:val="18"/>
                  <w:szCs w:val="18"/>
                  <w:color w:val="auto"/>
                </w:rPr>
                <w:t>111</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6.14</w:t>
            </w:r>
          </w:p>
        </w:tc>
        <w:tc>
          <w:tcPr>
            <w:tcW w:w="7760" w:type="dxa"/>
            <w:vAlign w:val="bottom"/>
          </w:tcPr>
          <w:p>
            <w:pPr>
              <w:ind w:left="360"/>
              <w:spacing w:after="0"/>
              <w:rPr>
                <w:rFonts w:ascii="Arial" w:cs="Arial" w:eastAsia="Arial" w:hAnsi="Arial"/>
                <w:sz w:val="18"/>
                <w:szCs w:val="18"/>
                <w:color w:val="auto"/>
              </w:rPr>
            </w:pPr>
            <w:hyperlink w:anchor="page238">
              <w:r>
                <w:rPr>
                  <w:rFonts w:ascii="Arial" w:cs="Arial" w:eastAsia="Arial" w:hAnsi="Arial"/>
                  <w:sz w:val="18"/>
                  <w:szCs w:val="18"/>
                  <w:color w:val="auto"/>
                </w:rPr>
                <w:t>Use of Proceeds</w:t>
              </w:r>
            </w:hyperlink>
          </w:p>
        </w:tc>
        <w:tc>
          <w:tcPr>
            <w:tcW w:w="1440" w:type="dxa"/>
            <w:vAlign w:val="bottom"/>
          </w:tcPr>
          <w:p>
            <w:pPr>
              <w:jc w:val="right"/>
              <w:spacing w:after="0"/>
              <w:rPr>
                <w:rFonts w:ascii="Arial" w:cs="Arial" w:eastAsia="Arial" w:hAnsi="Arial"/>
                <w:sz w:val="18"/>
                <w:szCs w:val="18"/>
                <w:color w:val="auto"/>
              </w:rPr>
            </w:pPr>
            <w:hyperlink w:anchor="page238">
              <w:r>
                <w:rPr>
                  <w:rFonts w:ascii="Arial" w:cs="Arial" w:eastAsia="Arial" w:hAnsi="Arial"/>
                  <w:sz w:val="18"/>
                  <w:szCs w:val="18"/>
                  <w:color w:val="auto"/>
                </w:rPr>
                <w:t>112</w:t>
              </w:r>
            </w:hyperlink>
          </w:p>
        </w:tc>
      </w:tr>
      <w:tr>
        <w:trPr>
          <w:trHeight w:val="270"/>
        </w:trPr>
        <w:tc>
          <w:tcPr>
            <w:tcW w:w="2160" w:type="dxa"/>
            <w:vAlign w:val="bottom"/>
          </w:tcPr>
          <w:p>
            <w:pPr>
              <w:ind w:left="920"/>
              <w:spacing w:after="0"/>
              <w:rPr>
                <w:sz w:val="20"/>
                <w:szCs w:val="20"/>
                <w:color w:val="auto"/>
              </w:rPr>
            </w:pPr>
            <w:r>
              <w:rPr>
                <w:rFonts w:ascii="Arial" w:cs="Arial" w:eastAsia="Arial" w:hAnsi="Arial"/>
                <w:sz w:val="18"/>
                <w:szCs w:val="18"/>
                <w:color w:val="auto"/>
              </w:rPr>
              <w:t>Section 6.15</w:t>
            </w:r>
          </w:p>
        </w:tc>
        <w:tc>
          <w:tcPr>
            <w:tcW w:w="7760" w:type="dxa"/>
            <w:vAlign w:val="bottom"/>
          </w:tcPr>
          <w:p>
            <w:pPr>
              <w:ind w:left="360"/>
              <w:spacing w:after="0"/>
              <w:rPr>
                <w:rFonts w:ascii="Arial" w:cs="Arial" w:eastAsia="Arial" w:hAnsi="Arial"/>
                <w:sz w:val="18"/>
                <w:szCs w:val="18"/>
                <w:color w:val="auto"/>
              </w:rPr>
            </w:pPr>
            <w:hyperlink w:anchor="page238">
              <w:r>
                <w:rPr>
                  <w:rFonts w:ascii="Arial" w:cs="Arial" w:eastAsia="Arial" w:hAnsi="Arial"/>
                  <w:sz w:val="18"/>
                  <w:szCs w:val="18"/>
                  <w:color w:val="auto"/>
                </w:rPr>
                <w:t>Compliance with Anti-Corruption Laws, Anti-Money Laundering Laws and Sanctions</w:t>
              </w:r>
            </w:hyperlink>
          </w:p>
        </w:tc>
        <w:tc>
          <w:tcPr>
            <w:tcW w:w="1440" w:type="dxa"/>
            <w:vAlign w:val="bottom"/>
          </w:tcPr>
          <w:p>
            <w:pPr>
              <w:jc w:val="right"/>
              <w:spacing w:after="0"/>
              <w:rPr>
                <w:rFonts w:ascii="Arial" w:cs="Arial" w:eastAsia="Arial" w:hAnsi="Arial"/>
                <w:sz w:val="18"/>
                <w:szCs w:val="18"/>
                <w:color w:val="auto"/>
              </w:rPr>
            </w:pPr>
            <w:hyperlink w:anchor="page238">
              <w:r>
                <w:rPr>
                  <w:rFonts w:ascii="Arial" w:cs="Arial" w:eastAsia="Arial" w:hAnsi="Arial"/>
                  <w:sz w:val="18"/>
                  <w:szCs w:val="18"/>
                  <w:color w:val="auto"/>
                </w:rPr>
                <w:t>112</w:t>
              </w:r>
            </w:hyperlink>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00"/>
          </w:cols>
          <w:pgMar w:left="240" w:top="530" w:right="259" w:bottom="1440" w:gutter="0" w:footer="0" w:header="0"/>
        </w:sectPr>
      </w:pPr>
    </w:p>
    <w:bookmarkStart w:id="122" w:name="page123"/>
    <w:bookmarkEnd w:id="122"/>
    <w:tbl>
      <w:tblPr>
        <w:tblLayout w:type="fixed"/>
        <w:tblInd w:w="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ARTICLE VII</w:t>
            </w:r>
          </w:p>
        </w:tc>
        <w:tc>
          <w:tcPr>
            <w:tcW w:w="6580" w:type="dxa"/>
            <w:vAlign w:val="bottom"/>
          </w:tcPr>
          <w:p>
            <w:pPr>
              <w:ind w:left="300"/>
              <w:spacing w:after="0"/>
              <w:rPr>
                <w:rFonts w:ascii="Arial" w:cs="Arial" w:eastAsia="Arial" w:hAnsi="Arial"/>
                <w:sz w:val="18"/>
                <w:szCs w:val="18"/>
                <w:color w:val="auto"/>
              </w:rPr>
            </w:pPr>
            <w:hyperlink w:anchor="page239">
              <w:r>
                <w:rPr>
                  <w:rFonts w:ascii="Arial" w:cs="Arial" w:eastAsia="Arial" w:hAnsi="Arial"/>
                  <w:sz w:val="18"/>
                  <w:szCs w:val="18"/>
                  <w:color w:val="auto"/>
                </w:rPr>
                <w:t>NEGATIVE COVENANTS</w:t>
              </w:r>
            </w:hyperlink>
          </w:p>
        </w:tc>
        <w:tc>
          <w:tcPr>
            <w:tcW w:w="2560" w:type="dxa"/>
            <w:vAlign w:val="bottom"/>
          </w:tcPr>
          <w:p>
            <w:pPr>
              <w:jc w:val="right"/>
              <w:spacing w:after="0"/>
              <w:rPr>
                <w:rFonts w:ascii="Arial" w:cs="Arial" w:eastAsia="Arial" w:hAnsi="Arial"/>
                <w:sz w:val="18"/>
                <w:szCs w:val="18"/>
                <w:color w:val="auto"/>
              </w:rPr>
            </w:pPr>
            <w:hyperlink w:anchor="page239">
              <w:r>
                <w:rPr>
                  <w:rFonts w:ascii="Arial" w:cs="Arial" w:eastAsia="Arial" w:hAnsi="Arial"/>
                  <w:sz w:val="18"/>
                  <w:szCs w:val="18"/>
                  <w:color w:val="auto"/>
                </w:rPr>
                <w:t>113</w:t>
              </w:r>
            </w:hyperlink>
          </w:p>
        </w:tc>
      </w:tr>
      <w:tr>
        <w:trPr>
          <w:trHeight w:val="392"/>
        </w:trPr>
        <w:tc>
          <w:tcPr>
            <w:tcW w:w="2220" w:type="dxa"/>
            <w:vAlign w:val="bottom"/>
          </w:tcPr>
          <w:p>
            <w:pPr>
              <w:ind w:left="920"/>
              <w:spacing w:after="0"/>
              <w:rPr>
                <w:sz w:val="20"/>
                <w:szCs w:val="20"/>
                <w:color w:val="auto"/>
              </w:rPr>
            </w:pPr>
            <w:r>
              <w:rPr>
                <w:rFonts w:ascii="Arial" w:cs="Arial" w:eastAsia="Arial" w:hAnsi="Arial"/>
                <w:sz w:val="18"/>
                <w:szCs w:val="18"/>
                <w:color w:val="auto"/>
              </w:rPr>
              <w:t>Section 7.01</w:t>
            </w:r>
          </w:p>
        </w:tc>
        <w:tc>
          <w:tcPr>
            <w:tcW w:w="6580" w:type="dxa"/>
            <w:vAlign w:val="bottom"/>
          </w:tcPr>
          <w:p>
            <w:pPr>
              <w:ind w:left="300"/>
              <w:spacing w:after="0"/>
              <w:rPr>
                <w:rFonts w:ascii="Arial" w:cs="Arial" w:eastAsia="Arial" w:hAnsi="Arial"/>
                <w:sz w:val="18"/>
                <w:szCs w:val="18"/>
                <w:color w:val="auto"/>
              </w:rPr>
            </w:pPr>
            <w:hyperlink w:anchor="page239">
              <w:r>
                <w:rPr>
                  <w:rFonts w:ascii="Arial" w:cs="Arial" w:eastAsia="Arial" w:hAnsi="Arial"/>
                  <w:sz w:val="18"/>
                  <w:szCs w:val="18"/>
                  <w:color w:val="auto"/>
                </w:rPr>
                <w:t>Liens</w:t>
              </w:r>
            </w:hyperlink>
          </w:p>
        </w:tc>
        <w:tc>
          <w:tcPr>
            <w:tcW w:w="2560" w:type="dxa"/>
            <w:vAlign w:val="bottom"/>
          </w:tcPr>
          <w:p>
            <w:pPr>
              <w:jc w:val="right"/>
              <w:spacing w:after="0"/>
              <w:rPr>
                <w:rFonts w:ascii="Arial" w:cs="Arial" w:eastAsia="Arial" w:hAnsi="Arial"/>
                <w:sz w:val="18"/>
                <w:szCs w:val="18"/>
                <w:color w:val="auto"/>
              </w:rPr>
            </w:pPr>
            <w:hyperlink w:anchor="page239">
              <w:r>
                <w:rPr>
                  <w:rFonts w:ascii="Arial" w:cs="Arial" w:eastAsia="Arial" w:hAnsi="Arial"/>
                  <w:sz w:val="18"/>
                  <w:szCs w:val="18"/>
                  <w:color w:val="auto"/>
                </w:rPr>
                <w:t>113</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7.02</w:t>
            </w:r>
          </w:p>
        </w:tc>
        <w:tc>
          <w:tcPr>
            <w:tcW w:w="6580" w:type="dxa"/>
            <w:vAlign w:val="bottom"/>
          </w:tcPr>
          <w:p>
            <w:pPr>
              <w:ind w:left="300"/>
              <w:spacing w:after="0"/>
              <w:rPr>
                <w:rFonts w:ascii="Arial" w:cs="Arial" w:eastAsia="Arial" w:hAnsi="Arial"/>
                <w:sz w:val="18"/>
                <w:szCs w:val="18"/>
                <w:color w:val="auto"/>
              </w:rPr>
            </w:pPr>
            <w:hyperlink w:anchor="page242">
              <w:r>
                <w:rPr>
                  <w:rFonts w:ascii="Arial" w:cs="Arial" w:eastAsia="Arial" w:hAnsi="Arial"/>
                  <w:sz w:val="18"/>
                  <w:szCs w:val="18"/>
                  <w:color w:val="auto"/>
                </w:rPr>
                <w:t>Investments</w:t>
              </w:r>
            </w:hyperlink>
          </w:p>
        </w:tc>
        <w:tc>
          <w:tcPr>
            <w:tcW w:w="2560" w:type="dxa"/>
            <w:vAlign w:val="bottom"/>
          </w:tcPr>
          <w:p>
            <w:pPr>
              <w:jc w:val="right"/>
              <w:spacing w:after="0"/>
              <w:rPr>
                <w:rFonts w:ascii="Arial" w:cs="Arial" w:eastAsia="Arial" w:hAnsi="Arial"/>
                <w:sz w:val="18"/>
                <w:szCs w:val="18"/>
                <w:color w:val="auto"/>
              </w:rPr>
            </w:pPr>
            <w:hyperlink w:anchor="page242">
              <w:r>
                <w:rPr>
                  <w:rFonts w:ascii="Arial" w:cs="Arial" w:eastAsia="Arial" w:hAnsi="Arial"/>
                  <w:sz w:val="18"/>
                  <w:szCs w:val="18"/>
                  <w:color w:val="auto"/>
                </w:rPr>
                <w:t>116</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7.03</w:t>
            </w:r>
          </w:p>
        </w:tc>
        <w:tc>
          <w:tcPr>
            <w:tcW w:w="6580" w:type="dxa"/>
            <w:vAlign w:val="bottom"/>
          </w:tcPr>
          <w:p>
            <w:pPr>
              <w:ind w:left="300"/>
              <w:spacing w:after="0"/>
              <w:rPr>
                <w:rFonts w:ascii="Arial" w:cs="Arial" w:eastAsia="Arial" w:hAnsi="Arial"/>
                <w:sz w:val="18"/>
                <w:szCs w:val="18"/>
                <w:color w:val="auto"/>
              </w:rPr>
            </w:pPr>
            <w:hyperlink w:anchor="page246">
              <w:r>
                <w:rPr>
                  <w:rFonts w:ascii="Arial" w:cs="Arial" w:eastAsia="Arial" w:hAnsi="Arial"/>
                  <w:sz w:val="18"/>
                  <w:szCs w:val="18"/>
                  <w:color w:val="auto"/>
                </w:rPr>
                <w:t>Indebtedness</w:t>
              </w:r>
            </w:hyperlink>
          </w:p>
        </w:tc>
        <w:tc>
          <w:tcPr>
            <w:tcW w:w="2560" w:type="dxa"/>
            <w:vAlign w:val="bottom"/>
          </w:tcPr>
          <w:p>
            <w:pPr>
              <w:jc w:val="right"/>
              <w:spacing w:after="0"/>
              <w:rPr>
                <w:rFonts w:ascii="Arial" w:cs="Arial" w:eastAsia="Arial" w:hAnsi="Arial"/>
                <w:sz w:val="18"/>
                <w:szCs w:val="18"/>
                <w:color w:val="auto"/>
              </w:rPr>
            </w:pPr>
            <w:hyperlink w:anchor="page246">
              <w:r>
                <w:rPr>
                  <w:rFonts w:ascii="Arial" w:cs="Arial" w:eastAsia="Arial" w:hAnsi="Arial"/>
                  <w:sz w:val="18"/>
                  <w:szCs w:val="18"/>
                  <w:color w:val="auto"/>
                </w:rPr>
                <w:t>120</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7.04</w:t>
            </w:r>
          </w:p>
        </w:tc>
        <w:tc>
          <w:tcPr>
            <w:tcW w:w="6580" w:type="dxa"/>
            <w:vAlign w:val="bottom"/>
          </w:tcPr>
          <w:p>
            <w:pPr>
              <w:ind w:left="300"/>
              <w:spacing w:after="0"/>
              <w:rPr>
                <w:rFonts w:ascii="Arial" w:cs="Arial" w:eastAsia="Arial" w:hAnsi="Arial"/>
                <w:sz w:val="18"/>
                <w:szCs w:val="18"/>
                <w:color w:val="auto"/>
              </w:rPr>
            </w:pPr>
            <w:hyperlink w:anchor="page250">
              <w:r>
                <w:rPr>
                  <w:rFonts w:ascii="Arial" w:cs="Arial" w:eastAsia="Arial" w:hAnsi="Arial"/>
                  <w:sz w:val="18"/>
                  <w:szCs w:val="18"/>
                  <w:color w:val="auto"/>
                </w:rPr>
                <w:t>Fundamental Changes</w:t>
              </w:r>
            </w:hyperlink>
          </w:p>
        </w:tc>
        <w:tc>
          <w:tcPr>
            <w:tcW w:w="2560" w:type="dxa"/>
            <w:vAlign w:val="bottom"/>
          </w:tcPr>
          <w:p>
            <w:pPr>
              <w:jc w:val="right"/>
              <w:spacing w:after="0"/>
              <w:rPr>
                <w:rFonts w:ascii="Arial" w:cs="Arial" w:eastAsia="Arial" w:hAnsi="Arial"/>
                <w:sz w:val="18"/>
                <w:szCs w:val="18"/>
                <w:color w:val="auto"/>
              </w:rPr>
            </w:pPr>
            <w:hyperlink w:anchor="page250">
              <w:r>
                <w:rPr>
                  <w:rFonts w:ascii="Arial" w:cs="Arial" w:eastAsia="Arial" w:hAnsi="Arial"/>
                  <w:sz w:val="18"/>
                  <w:szCs w:val="18"/>
                  <w:color w:val="auto"/>
                </w:rPr>
                <w:t>124</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7.05</w:t>
            </w:r>
          </w:p>
        </w:tc>
        <w:tc>
          <w:tcPr>
            <w:tcW w:w="6580" w:type="dxa"/>
            <w:vAlign w:val="bottom"/>
          </w:tcPr>
          <w:p>
            <w:pPr>
              <w:ind w:left="300"/>
              <w:spacing w:after="0"/>
              <w:rPr>
                <w:rFonts w:ascii="Arial" w:cs="Arial" w:eastAsia="Arial" w:hAnsi="Arial"/>
                <w:sz w:val="18"/>
                <w:szCs w:val="18"/>
                <w:color w:val="auto"/>
              </w:rPr>
            </w:pPr>
            <w:hyperlink w:anchor="page252">
              <w:r>
                <w:rPr>
                  <w:rFonts w:ascii="Arial" w:cs="Arial" w:eastAsia="Arial" w:hAnsi="Arial"/>
                  <w:sz w:val="18"/>
                  <w:szCs w:val="18"/>
                  <w:color w:val="auto"/>
                </w:rPr>
                <w:t>Dispositions</w:t>
              </w:r>
            </w:hyperlink>
          </w:p>
        </w:tc>
        <w:tc>
          <w:tcPr>
            <w:tcW w:w="2560" w:type="dxa"/>
            <w:vAlign w:val="bottom"/>
          </w:tcPr>
          <w:p>
            <w:pPr>
              <w:jc w:val="right"/>
              <w:spacing w:after="0"/>
              <w:rPr>
                <w:rFonts w:ascii="Arial" w:cs="Arial" w:eastAsia="Arial" w:hAnsi="Arial"/>
                <w:sz w:val="18"/>
                <w:szCs w:val="18"/>
                <w:color w:val="auto"/>
              </w:rPr>
            </w:pPr>
            <w:hyperlink w:anchor="page252">
              <w:r>
                <w:rPr>
                  <w:rFonts w:ascii="Arial" w:cs="Arial" w:eastAsia="Arial" w:hAnsi="Arial"/>
                  <w:sz w:val="18"/>
                  <w:szCs w:val="18"/>
                  <w:color w:val="auto"/>
                </w:rPr>
                <w:t>126</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7.06</w:t>
            </w:r>
          </w:p>
        </w:tc>
        <w:tc>
          <w:tcPr>
            <w:tcW w:w="6580" w:type="dxa"/>
            <w:vAlign w:val="bottom"/>
          </w:tcPr>
          <w:p>
            <w:pPr>
              <w:ind w:left="300"/>
              <w:spacing w:after="0"/>
              <w:rPr>
                <w:rFonts w:ascii="Arial" w:cs="Arial" w:eastAsia="Arial" w:hAnsi="Arial"/>
                <w:sz w:val="18"/>
                <w:szCs w:val="18"/>
                <w:color w:val="auto"/>
              </w:rPr>
            </w:pPr>
            <w:hyperlink w:anchor="page254">
              <w:r>
                <w:rPr>
                  <w:rFonts w:ascii="Arial" w:cs="Arial" w:eastAsia="Arial" w:hAnsi="Arial"/>
                  <w:sz w:val="18"/>
                  <w:szCs w:val="18"/>
                  <w:color w:val="auto"/>
                </w:rPr>
                <w:t>Restricted Payments</w:t>
              </w:r>
            </w:hyperlink>
          </w:p>
        </w:tc>
        <w:tc>
          <w:tcPr>
            <w:tcW w:w="2560" w:type="dxa"/>
            <w:vAlign w:val="bottom"/>
          </w:tcPr>
          <w:p>
            <w:pPr>
              <w:jc w:val="right"/>
              <w:spacing w:after="0"/>
              <w:rPr>
                <w:rFonts w:ascii="Arial" w:cs="Arial" w:eastAsia="Arial" w:hAnsi="Arial"/>
                <w:sz w:val="18"/>
                <w:szCs w:val="18"/>
                <w:color w:val="auto"/>
              </w:rPr>
            </w:pPr>
            <w:hyperlink w:anchor="page254">
              <w:r>
                <w:rPr>
                  <w:rFonts w:ascii="Arial" w:cs="Arial" w:eastAsia="Arial" w:hAnsi="Arial"/>
                  <w:sz w:val="18"/>
                  <w:szCs w:val="18"/>
                  <w:color w:val="auto"/>
                </w:rPr>
                <w:t>128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7.07</w:t>
            </w:r>
          </w:p>
        </w:tc>
        <w:tc>
          <w:tcPr>
            <w:tcW w:w="6580" w:type="dxa"/>
            <w:vAlign w:val="bottom"/>
          </w:tcPr>
          <w:p>
            <w:pPr>
              <w:ind w:left="300"/>
              <w:spacing w:after="0"/>
              <w:rPr>
                <w:rFonts w:ascii="Arial" w:cs="Arial" w:eastAsia="Arial" w:hAnsi="Arial"/>
                <w:sz w:val="18"/>
                <w:szCs w:val="18"/>
                <w:color w:val="auto"/>
              </w:rPr>
            </w:pPr>
            <w:hyperlink w:anchor="page255">
              <w:r>
                <w:rPr>
                  <w:rFonts w:ascii="Arial" w:cs="Arial" w:eastAsia="Arial" w:hAnsi="Arial"/>
                  <w:sz w:val="18"/>
                  <w:szCs w:val="18"/>
                  <w:color w:val="auto"/>
                </w:rPr>
                <w:t>Change in Nature of Business</w:t>
              </w:r>
            </w:hyperlink>
          </w:p>
        </w:tc>
        <w:tc>
          <w:tcPr>
            <w:tcW w:w="2560" w:type="dxa"/>
            <w:vAlign w:val="bottom"/>
          </w:tcPr>
          <w:p>
            <w:pPr>
              <w:jc w:val="right"/>
              <w:spacing w:after="0"/>
              <w:rPr>
                <w:rFonts w:ascii="Arial" w:cs="Arial" w:eastAsia="Arial" w:hAnsi="Arial"/>
                <w:sz w:val="18"/>
                <w:szCs w:val="18"/>
                <w:color w:val="auto"/>
              </w:rPr>
            </w:pPr>
            <w:hyperlink w:anchor="page255">
              <w:r>
                <w:rPr>
                  <w:rFonts w:ascii="Arial" w:cs="Arial" w:eastAsia="Arial" w:hAnsi="Arial"/>
                  <w:sz w:val="18"/>
                  <w:szCs w:val="18"/>
                  <w:color w:val="auto"/>
                </w:rPr>
                <w:t>129</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7.08</w:t>
            </w:r>
          </w:p>
        </w:tc>
        <w:tc>
          <w:tcPr>
            <w:tcW w:w="6580" w:type="dxa"/>
            <w:vAlign w:val="bottom"/>
          </w:tcPr>
          <w:p>
            <w:pPr>
              <w:ind w:left="300"/>
              <w:spacing w:after="0"/>
              <w:rPr>
                <w:rFonts w:ascii="Arial" w:cs="Arial" w:eastAsia="Arial" w:hAnsi="Arial"/>
                <w:sz w:val="18"/>
                <w:szCs w:val="18"/>
                <w:color w:val="auto"/>
              </w:rPr>
            </w:pPr>
            <w:hyperlink w:anchor="page255">
              <w:r>
                <w:rPr>
                  <w:rFonts w:ascii="Arial" w:cs="Arial" w:eastAsia="Arial" w:hAnsi="Arial"/>
                  <w:sz w:val="18"/>
                  <w:szCs w:val="18"/>
                  <w:color w:val="auto"/>
                </w:rPr>
                <w:t>Transactions with Affiliates</w:t>
              </w:r>
            </w:hyperlink>
          </w:p>
        </w:tc>
        <w:tc>
          <w:tcPr>
            <w:tcW w:w="2560" w:type="dxa"/>
            <w:vAlign w:val="bottom"/>
          </w:tcPr>
          <w:p>
            <w:pPr>
              <w:jc w:val="right"/>
              <w:spacing w:after="0"/>
              <w:rPr>
                <w:rFonts w:ascii="Arial" w:cs="Arial" w:eastAsia="Arial" w:hAnsi="Arial"/>
                <w:sz w:val="18"/>
                <w:szCs w:val="18"/>
                <w:color w:val="auto"/>
              </w:rPr>
            </w:pPr>
            <w:hyperlink w:anchor="page255">
              <w:r>
                <w:rPr>
                  <w:rFonts w:ascii="Arial" w:cs="Arial" w:eastAsia="Arial" w:hAnsi="Arial"/>
                  <w:sz w:val="18"/>
                  <w:szCs w:val="18"/>
                  <w:color w:val="auto"/>
                </w:rPr>
                <w:t>129</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7.09</w:t>
            </w:r>
          </w:p>
        </w:tc>
        <w:tc>
          <w:tcPr>
            <w:tcW w:w="6580" w:type="dxa"/>
            <w:vAlign w:val="bottom"/>
          </w:tcPr>
          <w:p>
            <w:pPr>
              <w:ind w:left="300"/>
              <w:spacing w:after="0"/>
              <w:rPr>
                <w:rFonts w:ascii="Arial" w:cs="Arial" w:eastAsia="Arial" w:hAnsi="Arial"/>
                <w:sz w:val="18"/>
                <w:szCs w:val="18"/>
                <w:color w:val="auto"/>
              </w:rPr>
            </w:pPr>
            <w:hyperlink w:anchor="page256">
              <w:r>
                <w:rPr>
                  <w:rFonts w:ascii="Arial" w:cs="Arial" w:eastAsia="Arial" w:hAnsi="Arial"/>
                  <w:sz w:val="18"/>
                  <w:szCs w:val="18"/>
                  <w:color w:val="auto"/>
                </w:rPr>
                <w:t>Burdensome Agreements</w:t>
              </w:r>
            </w:hyperlink>
          </w:p>
        </w:tc>
        <w:tc>
          <w:tcPr>
            <w:tcW w:w="2560" w:type="dxa"/>
            <w:vAlign w:val="bottom"/>
          </w:tcPr>
          <w:p>
            <w:pPr>
              <w:jc w:val="right"/>
              <w:spacing w:after="0"/>
              <w:rPr>
                <w:rFonts w:ascii="Arial" w:cs="Arial" w:eastAsia="Arial" w:hAnsi="Arial"/>
                <w:sz w:val="18"/>
                <w:szCs w:val="18"/>
                <w:color w:val="auto"/>
              </w:rPr>
            </w:pPr>
            <w:hyperlink w:anchor="page256">
              <w:r>
                <w:rPr>
                  <w:rFonts w:ascii="Arial" w:cs="Arial" w:eastAsia="Arial" w:hAnsi="Arial"/>
                  <w:sz w:val="18"/>
                  <w:szCs w:val="18"/>
                  <w:color w:val="auto"/>
                </w:rPr>
                <w:t>130</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7.10</w:t>
            </w:r>
          </w:p>
        </w:tc>
        <w:tc>
          <w:tcPr>
            <w:tcW w:w="6580" w:type="dxa"/>
            <w:vAlign w:val="bottom"/>
          </w:tcPr>
          <w:p>
            <w:pPr>
              <w:ind w:left="300"/>
              <w:spacing w:after="0"/>
              <w:rPr>
                <w:rFonts w:ascii="Arial" w:cs="Arial" w:eastAsia="Arial" w:hAnsi="Arial"/>
                <w:sz w:val="18"/>
                <w:szCs w:val="18"/>
                <w:color w:val="auto"/>
              </w:rPr>
            </w:pPr>
            <w:hyperlink w:anchor="page257">
              <w:r>
                <w:rPr>
                  <w:rFonts w:ascii="Arial" w:cs="Arial" w:eastAsia="Arial" w:hAnsi="Arial"/>
                  <w:sz w:val="18"/>
                  <w:szCs w:val="18"/>
                  <w:color w:val="auto"/>
                </w:rPr>
                <w:t>Financial Covenant</w:t>
              </w:r>
            </w:hyperlink>
          </w:p>
        </w:tc>
        <w:tc>
          <w:tcPr>
            <w:tcW w:w="2560" w:type="dxa"/>
            <w:vAlign w:val="bottom"/>
          </w:tcPr>
          <w:p>
            <w:pPr>
              <w:jc w:val="right"/>
              <w:spacing w:after="0"/>
              <w:rPr>
                <w:rFonts w:ascii="Arial" w:cs="Arial" w:eastAsia="Arial" w:hAnsi="Arial"/>
                <w:sz w:val="18"/>
                <w:szCs w:val="18"/>
                <w:color w:val="auto"/>
              </w:rPr>
            </w:pPr>
            <w:hyperlink w:anchor="page257">
              <w:r>
                <w:rPr>
                  <w:rFonts w:ascii="Arial" w:cs="Arial" w:eastAsia="Arial" w:hAnsi="Arial"/>
                  <w:sz w:val="18"/>
                  <w:szCs w:val="18"/>
                  <w:color w:val="auto"/>
                </w:rPr>
                <w:t>131</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7.11</w:t>
            </w:r>
          </w:p>
        </w:tc>
        <w:tc>
          <w:tcPr>
            <w:tcW w:w="6580" w:type="dxa"/>
            <w:vAlign w:val="bottom"/>
          </w:tcPr>
          <w:p>
            <w:pPr>
              <w:ind w:left="300"/>
              <w:spacing w:after="0"/>
              <w:rPr>
                <w:rFonts w:ascii="Arial" w:cs="Arial" w:eastAsia="Arial" w:hAnsi="Arial"/>
                <w:sz w:val="18"/>
                <w:szCs w:val="18"/>
                <w:color w:val="auto"/>
              </w:rPr>
            </w:pPr>
            <w:hyperlink w:anchor="page257">
              <w:r>
                <w:rPr>
                  <w:rFonts w:ascii="Arial" w:cs="Arial" w:eastAsia="Arial" w:hAnsi="Arial"/>
                  <w:sz w:val="18"/>
                  <w:szCs w:val="18"/>
                  <w:color w:val="auto"/>
                </w:rPr>
                <w:t>Accounting Changes</w:t>
              </w:r>
            </w:hyperlink>
          </w:p>
        </w:tc>
        <w:tc>
          <w:tcPr>
            <w:tcW w:w="2560" w:type="dxa"/>
            <w:vAlign w:val="bottom"/>
          </w:tcPr>
          <w:p>
            <w:pPr>
              <w:jc w:val="right"/>
              <w:spacing w:after="0"/>
              <w:rPr>
                <w:rFonts w:ascii="Arial" w:cs="Arial" w:eastAsia="Arial" w:hAnsi="Arial"/>
                <w:sz w:val="18"/>
                <w:szCs w:val="18"/>
                <w:color w:val="auto"/>
              </w:rPr>
            </w:pPr>
            <w:hyperlink w:anchor="page257">
              <w:r>
                <w:rPr>
                  <w:rFonts w:ascii="Arial" w:cs="Arial" w:eastAsia="Arial" w:hAnsi="Arial"/>
                  <w:sz w:val="18"/>
                  <w:szCs w:val="18"/>
                  <w:color w:val="auto"/>
                </w:rPr>
                <w:t>131</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7.12</w:t>
            </w:r>
          </w:p>
        </w:tc>
        <w:tc>
          <w:tcPr>
            <w:tcW w:w="6580" w:type="dxa"/>
            <w:vAlign w:val="bottom"/>
          </w:tcPr>
          <w:p>
            <w:pPr>
              <w:ind w:left="300"/>
              <w:spacing w:after="0"/>
              <w:rPr>
                <w:rFonts w:ascii="Arial" w:cs="Arial" w:eastAsia="Arial" w:hAnsi="Arial"/>
                <w:sz w:val="18"/>
                <w:szCs w:val="18"/>
                <w:color w:val="auto"/>
              </w:rPr>
            </w:pPr>
            <w:hyperlink w:anchor="page257">
              <w:r>
                <w:rPr>
                  <w:rFonts w:ascii="Arial" w:cs="Arial" w:eastAsia="Arial" w:hAnsi="Arial"/>
                  <w:sz w:val="18"/>
                  <w:szCs w:val="18"/>
                  <w:color w:val="auto"/>
                </w:rPr>
                <w:t>Prepayments, Etc</w:t>
              </w:r>
            </w:hyperlink>
          </w:p>
        </w:tc>
        <w:tc>
          <w:tcPr>
            <w:tcW w:w="2560" w:type="dxa"/>
            <w:vAlign w:val="bottom"/>
          </w:tcPr>
          <w:p>
            <w:pPr>
              <w:jc w:val="right"/>
              <w:spacing w:after="0"/>
              <w:rPr>
                <w:rFonts w:ascii="Arial" w:cs="Arial" w:eastAsia="Arial" w:hAnsi="Arial"/>
                <w:sz w:val="18"/>
                <w:szCs w:val="18"/>
                <w:color w:val="auto"/>
              </w:rPr>
            </w:pPr>
            <w:hyperlink w:anchor="page257">
              <w:r>
                <w:rPr>
                  <w:rFonts w:ascii="Arial" w:cs="Arial" w:eastAsia="Arial" w:hAnsi="Arial"/>
                  <w:sz w:val="18"/>
                  <w:szCs w:val="18"/>
                  <w:color w:val="auto"/>
                </w:rPr>
                <w:t>131</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7.13</w:t>
            </w:r>
          </w:p>
        </w:tc>
        <w:tc>
          <w:tcPr>
            <w:tcW w:w="6580" w:type="dxa"/>
            <w:vAlign w:val="bottom"/>
          </w:tcPr>
          <w:p>
            <w:pPr>
              <w:ind w:left="300"/>
              <w:spacing w:after="0"/>
              <w:rPr>
                <w:rFonts w:ascii="Arial" w:cs="Arial" w:eastAsia="Arial" w:hAnsi="Arial"/>
                <w:sz w:val="18"/>
                <w:szCs w:val="18"/>
                <w:color w:val="auto"/>
              </w:rPr>
            </w:pPr>
            <w:hyperlink w:anchor="page258">
              <w:r>
                <w:rPr>
                  <w:rFonts w:ascii="Arial" w:cs="Arial" w:eastAsia="Arial" w:hAnsi="Arial"/>
                  <w:sz w:val="18"/>
                  <w:szCs w:val="18"/>
                  <w:color w:val="auto"/>
                </w:rPr>
                <w:t>Sanctions; Anti-Corruption Laws</w:t>
              </w:r>
            </w:hyperlink>
          </w:p>
        </w:tc>
        <w:tc>
          <w:tcPr>
            <w:tcW w:w="2560" w:type="dxa"/>
            <w:vAlign w:val="bottom"/>
          </w:tcPr>
          <w:p>
            <w:pPr>
              <w:jc w:val="right"/>
              <w:spacing w:after="0"/>
              <w:rPr>
                <w:rFonts w:ascii="Arial" w:cs="Arial" w:eastAsia="Arial" w:hAnsi="Arial"/>
                <w:sz w:val="18"/>
                <w:szCs w:val="18"/>
                <w:color w:val="auto"/>
              </w:rPr>
            </w:pPr>
            <w:hyperlink w:anchor="page258">
              <w:r>
                <w:rPr>
                  <w:rFonts w:ascii="Arial" w:cs="Arial" w:eastAsia="Arial" w:hAnsi="Arial"/>
                  <w:sz w:val="18"/>
                  <w:szCs w:val="18"/>
                  <w:color w:val="auto"/>
                </w:rPr>
                <w:t>132</w:t>
              </w:r>
            </w:hyperlink>
          </w:p>
        </w:tc>
      </w:tr>
      <w:tr>
        <w:trPr>
          <w:trHeight w:val="392"/>
        </w:trPr>
        <w:tc>
          <w:tcPr>
            <w:tcW w:w="2220" w:type="dxa"/>
            <w:vAlign w:val="bottom"/>
          </w:tcPr>
          <w:p>
            <w:pPr>
              <w:spacing w:after="0"/>
              <w:rPr>
                <w:sz w:val="20"/>
                <w:szCs w:val="20"/>
                <w:color w:val="auto"/>
              </w:rPr>
            </w:pPr>
            <w:r>
              <w:rPr>
                <w:rFonts w:ascii="Arial" w:cs="Arial" w:eastAsia="Arial" w:hAnsi="Arial"/>
                <w:sz w:val="18"/>
                <w:szCs w:val="18"/>
                <w:color w:val="auto"/>
              </w:rPr>
              <w:t>ARTICLE VIII</w:t>
            </w:r>
          </w:p>
        </w:tc>
        <w:tc>
          <w:tcPr>
            <w:tcW w:w="6580" w:type="dxa"/>
            <w:vAlign w:val="bottom"/>
          </w:tcPr>
          <w:p>
            <w:pPr>
              <w:ind w:left="300"/>
              <w:spacing w:after="0"/>
              <w:rPr>
                <w:rFonts w:ascii="Arial" w:cs="Arial" w:eastAsia="Arial" w:hAnsi="Arial"/>
                <w:sz w:val="18"/>
                <w:szCs w:val="18"/>
                <w:color w:val="auto"/>
              </w:rPr>
            </w:pPr>
            <w:hyperlink w:anchor="page258">
              <w:r>
                <w:rPr>
                  <w:rFonts w:ascii="Arial" w:cs="Arial" w:eastAsia="Arial" w:hAnsi="Arial"/>
                  <w:sz w:val="18"/>
                  <w:szCs w:val="18"/>
                  <w:color w:val="auto"/>
                </w:rPr>
                <w:t>EVENTS OF DEFAULT AND REMEDIES</w:t>
              </w:r>
            </w:hyperlink>
          </w:p>
        </w:tc>
        <w:tc>
          <w:tcPr>
            <w:tcW w:w="2560" w:type="dxa"/>
            <w:vAlign w:val="bottom"/>
          </w:tcPr>
          <w:p>
            <w:pPr>
              <w:jc w:val="right"/>
              <w:spacing w:after="0"/>
              <w:rPr>
                <w:rFonts w:ascii="Arial" w:cs="Arial" w:eastAsia="Arial" w:hAnsi="Arial"/>
                <w:sz w:val="18"/>
                <w:szCs w:val="18"/>
                <w:color w:val="auto"/>
              </w:rPr>
            </w:pPr>
            <w:hyperlink w:anchor="page258">
              <w:r>
                <w:rPr>
                  <w:rFonts w:ascii="Arial" w:cs="Arial" w:eastAsia="Arial" w:hAnsi="Arial"/>
                  <w:sz w:val="18"/>
                  <w:szCs w:val="18"/>
                  <w:color w:val="auto"/>
                </w:rPr>
                <w:t>132</w:t>
              </w:r>
            </w:hyperlink>
          </w:p>
        </w:tc>
      </w:tr>
      <w:tr>
        <w:trPr>
          <w:trHeight w:val="392"/>
        </w:trPr>
        <w:tc>
          <w:tcPr>
            <w:tcW w:w="2220" w:type="dxa"/>
            <w:vAlign w:val="bottom"/>
          </w:tcPr>
          <w:p>
            <w:pPr>
              <w:ind w:left="920"/>
              <w:spacing w:after="0"/>
              <w:rPr>
                <w:sz w:val="20"/>
                <w:szCs w:val="20"/>
                <w:color w:val="auto"/>
              </w:rPr>
            </w:pPr>
            <w:r>
              <w:rPr>
                <w:rFonts w:ascii="Arial" w:cs="Arial" w:eastAsia="Arial" w:hAnsi="Arial"/>
                <w:sz w:val="18"/>
                <w:szCs w:val="18"/>
                <w:color w:val="auto"/>
              </w:rPr>
              <w:t>Section 8.01</w:t>
            </w:r>
          </w:p>
        </w:tc>
        <w:tc>
          <w:tcPr>
            <w:tcW w:w="6580" w:type="dxa"/>
            <w:vAlign w:val="bottom"/>
          </w:tcPr>
          <w:p>
            <w:pPr>
              <w:ind w:left="300"/>
              <w:spacing w:after="0"/>
              <w:rPr>
                <w:rFonts w:ascii="Arial" w:cs="Arial" w:eastAsia="Arial" w:hAnsi="Arial"/>
                <w:sz w:val="18"/>
                <w:szCs w:val="18"/>
                <w:color w:val="auto"/>
              </w:rPr>
            </w:pPr>
            <w:hyperlink w:anchor="page258">
              <w:r>
                <w:rPr>
                  <w:rFonts w:ascii="Arial" w:cs="Arial" w:eastAsia="Arial" w:hAnsi="Arial"/>
                  <w:sz w:val="18"/>
                  <w:szCs w:val="18"/>
                  <w:color w:val="auto"/>
                </w:rPr>
                <w:t>Events of Default</w:t>
              </w:r>
            </w:hyperlink>
          </w:p>
        </w:tc>
        <w:tc>
          <w:tcPr>
            <w:tcW w:w="2560" w:type="dxa"/>
            <w:vAlign w:val="bottom"/>
          </w:tcPr>
          <w:p>
            <w:pPr>
              <w:jc w:val="right"/>
              <w:spacing w:after="0"/>
              <w:rPr>
                <w:rFonts w:ascii="Arial" w:cs="Arial" w:eastAsia="Arial" w:hAnsi="Arial"/>
                <w:sz w:val="18"/>
                <w:szCs w:val="18"/>
                <w:color w:val="auto"/>
              </w:rPr>
            </w:pPr>
            <w:hyperlink w:anchor="page258">
              <w:r>
                <w:rPr>
                  <w:rFonts w:ascii="Arial" w:cs="Arial" w:eastAsia="Arial" w:hAnsi="Arial"/>
                  <w:sz w:val="18"/>
                  <w:szCs w:val="18"/>
                  <w:color w:val="auto"/>
                </w:rPr>
                <w:t>132</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8.02</w:t>
            </w:r>
          </w:p>
        </w:tc>
        <w:tc>
          <w:tcPr>
            <w:tcW w:w="6580" w:type="dxa"/>
            <w:vAlign w:val="bottom"/>
          </w:tcPr>
          <w:p>
            <w:pPr>
              <w:ind w:left="300"/>
              <w:spacing w:after="0"/>
              <w:rPr>
                <w:rFonts w:ascii="Arial" w:cs="Arial" w:eastAsia="Arial" w:hAnsi="Arial"/>
                <w:sz w:val="18"/>
                <w:szCs w:val="18"/>
                <w:color w:val="auto"/>
              </w:rPr>
            </w:pPr>
            <w:hyperlink w:anchor="page260">
              <w:r>
                <w:rPr>
                  <w:rFonts w:ascii="Arial" w:cs="Arial" w:eastAsia="Arial" w:hAnsi="Arial"/>
                  <w:sz w:val="18"/>
                  <w:szCs w:val="18"/>
                  <w:color w:val="auto"/>
                </w:rPr>
                <w:t>Remedies Upon Event of Default</w:t>
              </w:r>
            </w:hyperlink>
          </w:p>
        </w:tc>
        <w:tc>
          <w:tcPr>
            <w:tcW w:w="2560" w:type="dxa"/>
            <w:vAlign w:val="bottom"/>
          </w:tcPr>
          <w:p>
            <w:pPr>
              <w:jc w:val="right"/>
              <w:spacing w:after="0"/>
              <w:rPr>
                <w:rFonts w:ascii="Arial" w:cs="Arial" w:eastAsia="Arial" w:hAnsi="Arial"/>
                <w:sz w:val="18"/>
                <w:szCs w:val="18"/>
                <w:color w:val="auto"/>
              </w:rPr>
            </w:pPr>
            <w:hyperlink w:anchor="page260">
              <w:r>
                <w:rPr>
                  <w:rFonts w:ascii="Arial" w:cs="Arial" w:eastAsia="Arial" w:hAnsi="Arial"/>
                  <w:sz w:val="18"/>
                  <w:szCs w:val="18"/>
                  <w:color w:val="auto"/>
                </w:rPr>
                <w:t>134</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8.03</w:t>
            </w:r>
          </w:p>
        </w:tc>
        <w:tc>
          <w:tcPr>
            <w:tcW w:w="6580" w:type="dxa"/>
            <w:vAlign w:val="bottom"/>
          </w:tcPr>
          <w:p>
            <w:pPr>
              <w:ind w:left="300"/>
              <w:spacing w:after="0"/>
              <w:rPr>
                <w:rFonts w:ascii="Arial" w:cs="Arial" w:eastAsia="Arial" w:hAnsi="Arial"/>
                <w:sz w:val="18"/>
                <w:szCs w:val="18"/>
                <w:color w:val="auto"/>
              </w:rPr>
            </w:pPr>
            <w:hyperlink w:anchor="page261">
              <w:r>
                <w:rPr>
                  <w:rFonts w:ascii="Arial" w:cs="Arial" w:eastAsia="Arial" w:hAnsi="Arial"/>
                  <w:sz w:val="18"/>
                  <w:szCs w:val="18"/>
                  <w:color w:val="auto"/>
                </w:rPr>
                <w:t>Exclusion of Immaterial Subsidiaries</w:t>
              </w:r>
            </w:hyperlink>
          </w:p>
        </w:tc>
        <w:tc>
          <w:tcPr>
            <w:tcW w:w="2560" w:type="dxa"/>
            <w:vAlign w:val="bottom"/>
          </w:tcPr>
          <w:p>
            <w:pPr>
              <w:jc w:val="right"/>
              <w:spacing w:after="0"/>
              <w:rPr>
                <w:rFonts w:ascii="Arial" w:cs="Arial" w:eastAsia="Arial" w:hAnsi="Arial"/>
                <w:sz w:val="18"/>
                <w:szCs w:val="18"/>
                <w:color w:val="auto"/>
              </w:rPr>
            </w:pPr>
            <w:hyperlink w:anchor="page261">
              <w:r>
                <w:rPr>
                  <w:rFonts w:ascii="Arial" w:cs="Arial" w:eastAsia="Arial" w:hAnsi="Arial"/>
                  <w:sz w:val="18"/>
                  <w:szCs w:val="18"/>
                  <w:color w:val="auto"/>
                </w:rPr>
                <w:t>135</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8.04</w:t>
            </w:r>
          </w:p>
        </w:tc>
        <w:tc>
          <w:tcPr>
            <w:tcW w:w="6580" w:type="dxa"/>
            <w:vAlign w:val="bottom"/>
          </w:tcPr>
          <w:p>
            <w:pPr>
              <w:ind w:left="300"/>
              <w:spacing w:after="0"/>
              <w:rPr>
                <w:rFonts w:ascii="Arial" w:cs="Arial" w:eastAsia="Arial" w:hAnsi="Arial"/>
                <w:sz w:val="18"/>
                <w:szCs w:val="18"/>
                <w:color w:val="auto"/>
              </w:rPr>
            </w:pPr>
            <w:hyperlink w:anchor="page261">
              <w:r>
                <w:rPr>
                  <w:rFonts w:ascii="Arial" w:cs="Arial" w:eastAsia="Arial" w:hAnsi="Arial"/>
                  <w:sz w:val="18"/>
                  <w:szCs w:val="18"/>
                  <w:color w:val="auto"/>
                </w:rPr>
                <w:t>Application of Funds</w:t>
              </w:r>
            </w:hyperlink>
          </w:p>
        </w:tc>
        <w:tc>
          <w:tcPr>
            <w:tcW w:w="2560" w:type="dxa"/>
            <w:vAlign w:val="bottom"/>
          </w:tcPr>
          <w:p>
            <w:pPr>
              <w:jc w:val="right"/>
              <w:spacing w:after="0"/>
              <w:rPr>
                <w:rFonts w:ascii="Arial" w:cs="Arial" w:eastAsia="Arial" w:hAnsi="Arial"/>
                <w:sz w:val="18"/>
                <w:szCs w:val="18"/>
                <w:color w:val="auto"/>
              </w:rPr>
            </w:pPr>
            <w:hyperlink w:anchor="page261">
              <w:r>
                <w:rPr>
                  <w:rFonts w:ascii="Arial" w:cs="Arial" w:eastAsia="Arial" w:hAnsi="Arial"/>
                  <w:sz w:val="18"/>
                  <w:szCs w:val="18"/>
                  <w:color w:val="auto"/>
                </w:rPr>
                <w:t>135</w:t>
              </w:r>
            </w:hyperlink>
          </w:p>
        </w:tc>
      </w:tr>
      <w:tr>
        <w:trPr>
          <w:trHeight w:val="392"/>
        </w:trPr>
        <w:tc>
          <w:tcPr>
            <w:tcW w:w="2220" w:type="dxa"/>
            <w:vAlign w:val="bottom"/>
          </w:tcPr>
          <w:p>
            <w:pPr>
              <w:spacing w:after="0"/>
              <w:rPr>
                <w:sz w:val="20"/>
                <w:szCs w:val="20"/>
                <w:color w:val="auto"/>
              </w:rPr>
            </w:pPr>
            <w:r>
              <w:rPr>
                <w:rFonts w:ascii="Arial" w:cs="Arial" w:eastAsia="Arial" w:hAnsi="Arial"/>
                <w:sz w:val="18"/>
                <w:szCs w:val="18"/>
                <w:color w:val="auto"/>
              </w:rPr>
              <w:t>ARTICLE IX</w:t>
            </w:r>
          </w:p>
        </w:tc>
        <w:tc>
          <w:tcPr>
            <w:tcW w:w="6580" w:type="dxa"/>
            <w:vAlign w:val="bottom"/>
          </w:tcPr>
          <w:p>
            <w:pPr>
              <w:ind w:left="300"/>
              <w:spacing w:after="0"/>
              <w:rPr>
                <w:rFonts w:ascii="Arial" w:cs="Arial" w:eastAsia="Arial" w:hAnsi="Arial"/>
                <w:sz w:val="18"/>
                <w:szCs w:val="18"/>
                <w:color w:val="auto"/>
              </w:rPr>
            </w:pPr>
            <w:hyperlink w:anchor="page262">
              <w:r>
                <w:rPr>
                  <w:rFonts w:ascii="Arial" w:cs="Arial" w:eastAsia="Arial" w:hAnsi="Arial"/>
                  <w:sz w:val="18"/>
                  <w:szCs w:val="18"/>
                  <w:color w:val="auto"/>
                </w:rPr>
                <w:t>ADMINISTRATIVE AGENT AND OTHER AGENTS</w:t>
              </w:r>
            </w:hyperlink>
          </w:p>
        </w:tc>
        <w:tc>
          <w:tcPr>
            <w:tcW w:w="2560" w:type="dxa"/>
            <w:vAlign w:val="bottom"/>
          </w:tcPr>
          <w:p>
            <w:pPr>
              <w:jc w:val="right"/>
              <w:spacing w:after="0"/>
              <w:rPr>
                <w:rFonts w:ascii="Arial" w:cs="Arial" w:eastAsia="Arial" w:hAnsi="Arial"/>
                <w:sz w:val="18"/>
                <w:szCs w:val="18"/>
                <w:color w:val="auto"/>
              </w:rPr>
            </w:pPr>
            <w:hyperlink w:anchor="page262">
              <w:r>
                <w:rPr>
                  <w:rFonts w:ascii="Arial" w:cs="Arial" w:eastAsia="Arial" w:hAnsi="Arial"/>
                  <w:sz w:val="18"/>
                  <w:szCs w:val="18"/>
                  <w:color w:val="auto"/>
                </w:rPr>
                <w:t>136</w:t>
              </w:r>
            </w:hyperlink>
          </w:p>
        </w:tc>
      </w:tr>
      <w:tr>
        <w:trPr>
          <w:trHeight w:val="392"/>
        </w:trPr>
        <w:tc>
          <w:tcPr>
            <w:tcW w:w="2220" w:type="dxa"/>
            <w:vAlign w:val="bottom"/>
          </w:tcPr>
          <w:p>
            <w:pPr>
              <w:ind w:left="920"/>
              <w:spacing w:after="0"/>
              <w:rPr>
                <w:sz w:val="20"/>
                <w:szCs w:val="20"/>
                <w:color w:val="auto"/>
              </w:rPr>
            </w:pPr>
            <w:r>
              <w:rPr>
                <w:rFonts w:ascii="Arial" w:cs="Arial" w:eastAsia="Arial" w:hAnsi="Arial"/>
                <w:sz w:val="18"/>
                <w:szCs w:val="18"/>
                <w:color w:val="auto"/>
              </w:rPr>
              <w:t>Section 9.01</w:t>
            </w:r>
          </w:p>
        </w:tc>
        <w:tc>
          <w:tcPr>
            <w:tcW w:w="6580" w:type="dxa"/>
            <w:vAlign w:val="bottom"/>
          </w:tcPr>
          <w:p>
            <w:pPr>
              <w:ind w:left="300"/>
              <w:spacing w:after="0"/>
              <w:rPr>
                <w:rFonts w:ascii="Arial" w:cs="Arial" w:eastAsia="Arial" w:hAnsi="Arial"/>
                <w:sz w:val="18"/>
                <w:szCs w:val="18"/>
                <w:color w:val="auto"/>
              </w:rPr>
            </w:pPr>
            <w:hyperlink w:anchor="page262">
              <w:r>
                <w:rPr>
                  <w:rFonts w:ascii="Arial" w:cs="Arial" w:eastAsia="Arial" w:hAnsi="Arial"/>
                  <w:sz w:val="18"/>
                  <w:szCs w:val="18"/>
                  <w:color w:val="auto"/>
                </w:rPr>
                <w:t>Appointment and Authorization of Agents</w:t>
              </w:r>
            </w:hyperlink>
          </w:p>
        </w:tc>
        <w:tc>
          <w:tcPr>
            <w:tcW w:w="2560" w:type="dxa"/>
            <w:vAlign w:val="bottom"/>
          </w:tcPr>
          <w:p>
            <w:pPr>
              <w:jc w:val="right"/>
              <w:spacing w:after="0"/>
              <w:rPr>
                <w:rFonts w:ascii="Arial" w:cs="Arial" w:eastAsia="Arial" w:hAnsi="Arial"/>
                <w:sz w:val="18"/>
                <w:szCs w:val="18"/>
                <w:color w:val="auto"/>
              </w:rPr>
            </w:pPr>
            <w:hyperlink w:anchor="page262">
              <w:r>
                <w:rPr>
                  <w:rFonts w:ascii="Arial" w:cs="Arial" w:eastAsia="Arial" w:hAnsi="Arial"/>
                  <w:sz w:val="18"/>
                  <w:szCs w:val="18"/>
                  <w:color w:val="auto"/>
                </w:rPr>
                <w:t>136</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9.02</w:t>
            </w:r>
          </w:p>
        </w:tc>
        <w:tc>
          <w:tcPr>
            <w:tcW w:w="6580" w:type="dxa"/>
            <w:vAlign w:val="bottom"/>
          </w:tcPr>
          <w:p>
            <w:pPr>
              <w:ind w:left="300"/>
              <w:spacing w:after="0"/>
              <w:rPr>
                <w:rFonts w:ascii="Arial" w:cs="Arial" w:eastAsia="Arial" w:hAnsi="Arial"/>
                <w:sz w:val="18"/>
                <w:szCs w:val="18"/>
                <w:color w:val="auto"/>
              </w:rPr>
            </w:pPr>
            <w:hyperlink w:anchor="page263">
              <w:r>
                <w:rPr>
                  <w:rFonts w:ascii="Arial" w:cs="Arial" w:eastAsia="Arial" w:hAnsi="Arial"/>
                  <w:sz w:val="18"/>
                  <w:szCs w:val="18"/>
                  <w:color w:val="auto"/>
                </w:rPr>
                <w:t>Delegation of Duties</w:t>
              </w:r>
            </w:hyperlink>
          </w:p>
        </w:tc>
        <w:tc>
          <w:tcPr>
            <w:tcW w:w="2560" w:type="dxa"/>
            <w:vAlign w:val="bottom"/>
          </w:tcPr>
          <w:p>
            <w:pPr>
              <w:jc w:val="right"/>
              <w:spacing w:after="0"/>
              <w:rPr>
                <w:rFonts w:ascii="Arial" w:cs="Arial" w:eastAsia="Arial" w:hAnsi="Arial"/>
                <w:sz w:val="18"/>
                <w:szCs w:val="18"/>
                <w:color w:val="auto"/>
              </w:rPr>
            </w:pPr>
            <w:hyperlink w:anchor="page263">
              <w:r>
                <w:rPr>
                  <w:rFonts w:ascii="Arial" w:cs="Arial" w:eastAsia="Arial" w:hAnsi="Arial"/>
                  <w:sz w:val="18"/>
                  <w:szCs w:val="18"/>
                  <w:color w:val="auto"/>
                </w:rPr>
                <w:t>137</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9.03</w:t>
            </w:r>
          </w:p>
        </w:tc>
        <w:tc>
          <w:tcPr>
            <w:tcW w:w="6580" w:type="dxa"/>
            <w:vAlign w:val="bottom"/>
          </w:tcPr>
          <w:p>
            <w:pPr>
              <w:ind w:left="300"/>
              <w:spacing w:after="0"/>
              <w:rPr>
                <w:rFonts w:ascii="Arial" w:cs="Arial" w:eastAsia="Arial" w:hAnsi="Arial"/>
                <w:sz w:val="18"/>
                <w:szCs w:val="18"/>
                <w:color w:val="auto"/>
              </w:rPr>
            </w:pPr>
            <w:hyperlink w:anchor="page263">
              <w:r>
                <w:rPr>
                  <w:rFonts w:ascii="Arial" w:cs="Arial" w:eastAsia="Arial" w:hAnsi="Arial"/>
                  <w:sz w:val="18"/>
                  <w:szCs w:val="18"/>
                  <w:color w:val="auto"/>
                </w:rPr>
                <w:t>Liability of Agents</w:t>
              </w:r>
            </w:hyperlink>
          </w:p>
        </w:tc>
        <w:tc>
          <w:tcPr>
            <w:tcW w:w="2560" w:type="dxa"/>
            <w:vAlign w:val="bottom"/>
          </w:tcPr>
          <w:p>
            <w:pPr>
              <w:jc w:val="right"/>
              <w:spacing w:after="0"/>
              <w:rPr>
                <w:rFonts w:ascii="Arial" w:cs="Arial" w:eastAsia="Arial" w:hAnsi="Arial"/>
                <w:sz w:val="18"/>
                <w:szCs w:val="18"/>
                <w:color w:val="auto"/>
              </w:rPr>
            </w:pPr>
            <w:hyperlink w:anchor="page263">
              <w:r>
                <w:rPr>
                  <w:rFonts w:ascii="Arial" w:cs="Arial" w:eastAsia="Arial" w:hAnsi="Arial"/>
                  <w:sz w:val="18"/>
                  <w:szCs w:val="18"/>
                  <w:color w:val="auto"/>
                </w:rPr>
                <w:t>137</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9.04</w:t>
            </w:r>
          </w:p>
        </w:tc>
        <w:tc>
          <w:tcPr>
            <w:tcW w:w="6580" w:type="dxa"/>
            <w:vAlign w:val="bottom"/>
          </w:tcPr>
          <w:p>
            <w:pPr>
              <w:ind w:left="300"/>
              <w:spacing w:after="0"/>
              <w:rPr>
                <w:rFonts w:ascii="Arial" w:cs="Arial" w:eastAsia="Arial" w:hAnsi="Arial"/>
                <w:sz w:val="18"/>
                <w:szCs w:val="18"/>
                <w:color w:val="auto"/>
              </w:rPr>
            </w:pPr>
            <w:hyperlink w:anchor="page263">
              <w:r>
                <w:rPr>
                  <w:rFonts w:ascii="Arial" w:cs="Arial" w:eastAsia="Arial" w:hAnsi="Arial"/>
                  <w:sz w:val="18"/>
                  <w:szCs w:val="18"/>
                  <w:color w:val="auto"/>
                </w:rPr>
                <w:t>Reliance by Agents</w:t>
              </w:r>
            </w:hyperlink>
          </w:p>
        </w:tc>
        <w:tc>
          <w:tcPr>
            <w:tcW w:w="2560" w:type="dxa"/>
            <w:vAlign w:val="bottom"/>
          </w:tcPr>
          <w:p>
            <w:pPr>
              <w:jc w:val="right"/>
              <w:spacing w:after="0"/>
              <w:rPr>
                <w:rFonts w:ascii="Arial" w:cs="Arial" w:eastAsia="Arial" w:hAnsi="Arial"/>
                <w:sz w:val="18"/>
                <w:szCs w:val="18"/>
                <w:color w:val="auto"/>
              </w:rPr>
            </w:pPr>
            <w:hyperlink w:anchor="page263">
              <w:r>
                <w:rPr>
                  <w:rFonts w:ascii="Arial" w:cs="Arial" w:eastAsia="Arial" w:hAnsi="Arial"/>
                  <w:sz w:val="18"/>
                  <w:szCs w:val="18"/>
                  <w:color w:val="auto"/>
                </w:rPr>
                <w:t>137</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9.05</w:t>
            </w:r>
          </w:p>
        </w:tc>
        <w:tc>
          <w:tcPr>
            <w:tcW w:w="6580" w:type="dxa"/>
            <w:vAlign w:val="bottom"/>
          </w:tcPr>
          <w:p>
            <w:pPr>
              <w:ind w:left="300"/>
              <w:spacing w:after="0"/>
              <w:rPr>
                <w:rFonts w:ascii="Arial" w:cs="Arial" w:eastAsia="Arial" w:hAnsi="Arial"/>
                <w:sz w:val="18"/>
                <w:szCs w:val="18"/>
                <w:color w:val="auto"/>
              </w:rPr>
            </w:pPr>
            <w:hyperlink w:anchor="page264">
              <w:r>
                <w:rPr>
                  <w:rFonts w:ascii="Arial" w:cs="Arial" w:eastAsia="Arial" w:hAnsi="Arial"/>
                  <w:sz w:val="18"/>
                  <w:szCs w:val="18"/>
                  <w:color w:val="auto"/>
                </w:rPr>
                <w:t>Notice of Default</w:t>
              </w:r>
            </w:hyperlink>
          </w:p>
        </w:tc>
        <w:tc>
          <w:tcPr>
            <w:tcW w:w="2560" w:type="dxa"/>
            <w:vAlign w:val="bottom"/>
          </w:tcPr>
          <w:p>
            <w:pPr>
              <w:jc w:val="right"/>
              <w:spacing w:after="0"/>
              <w:rPr>
                <w:rFonts w:ascii="Arial" w:cs="Arial" w:eastAsia="Arial" w:hAnsi="Arial"/>
                <w:sz w:val="18"/>
                <w:szCs w:val="18"/>
                <w:color w:val="auto"/>
              </w:rPr>
            </w:pPr>
            <w:hyperlink w:anchor="page264">
              <w:r>
                <w:rPr>
                  <w:rFonts w:ascii="Arial" w:cs="Arial" w:eastAsia="Arial" w:hAnsi="Arial"/>
                  <w:sz w:val="18"/>
                  <w:szCs w:val="18"/>
                  <w:color w:val="auto"/>
                </w:rPr>
                <w:t>138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9.06</w:t>
            </w:r>
          </w:p>
        </w:tc>
        <w:tc>
          <w:tcPr>
            <w:tcW w:w="6580" w:type="dxa"/>
            <w:vAlign w:val="bottom"/>
          </w:tcPr>
          <w:p>
            <w:pPr>
              <w:ind w:left="300"/>
              <w:spacing w:after="0"/>
              <w:rPr>
                <w:rFonts w:ascii="Arial" w:cs="Arial" w:eastAsia="Arial" w:hAnsi="Arial"/>
                <w:sz w:val="18"/>
                <w:szCs w:val="18"/>
                <w:color w:val="auto"/>
              </w:rPr>
            </w:pPr>
            <w:hyperlink w:anchor="page264">
              <w:r>
                <w:rPr>
                  <w:rFonts w:ascii="Arial" w:cs="Arial" w:eastAsia="Arial" w:hAnsi="Arial"/>
                  <w:sz w:val="18"/>
                  <w:szCs w:val="18"/>
                  <w:color w:val="auto"/>
                </w:rPr>
                <w:t>Credit Decision; Disclosure of Information by Agents</w:t>
              </w:r>
            </w:hyperlink>
          </w:p>
        </w:tc>
        <w:tc>
          <w:tcPr>
            <w:tcW w:w="2560" w:type="dxa"/>
            <w:vAlign w:val="bottom"/>
          </w:tcPr>
          <w:p>
            <w:pPr>
              <w:jc w:val="right"/>
              <w:spacing w:after="0"/>
              <w:rPr>
                <w:rFonts w:ascii="Arial" w:cs="Arial" w:eastAsia="Arial" w:hAnsi="Arial"/>
                <w:sz w:val="18"/>
                <w:szCs w:val="18"/>
                <w:color w:val="auto"/>
              </w:rPr>
            </w:pPr>
            <w:hyperlink w:anchor="page264">
              <w:r>
                <w:rPr>
                  <w:rFonts w:ascii="Arial" w:cs="Arial" w:eastAsia="Arial" w:hAnsi="Arial"/>
                  <w:sz w:val="18"/>
                  <w:szCs w:val="18"/>
                  <w:color w:val="auto"/>
                </w:rPr>
                <w:t>138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9.07</w:t>
            </w:r>
          </w:p>
        </w:tc>
        <w:tc>
          <w:tcPr>
            <w:tcW w:w="6580" w:type="dxa"/>
            <w:vAlign w:val="bottom"/>
          </w:tcPr>
          <w:p>
            <w:pPr>
              <w:ind w:left="300"/>
              <w:spacing w:after="0"/>
              <w:rPr>
                <w:rFonts w:ascii="Arial" w:cs="Arial" w:eastAsia="Arial" w:hAnsi="Arial"/>
                <w:sz w:val="18"/>
                <w:szCs w:val="18"/>
                <w:color w:val="auto"/>
              </w:rPr>
            </w:pPr>
            <w:hyperlink w:anchor="page264">
              <w:r>
                <w:rPr>
                  <w:rFonts w:ascii="Arial" w:cs="Arial" w:eastAsia="Arial" w:hAnsi="Arial"/>
                  <w:sz w:val="18"/>
                  <w:szCs w:val="18"/>
                  <w:color w:val="auto"/>
                </w:rPr>
                <w:t>Indemnification of Agents</w:t>
              </w:r>
            </w:hyperlink>
          </w:p>
        </w:tc>
        <w:tc>
          <w:tcPr>
            <w:tcW w:w="2560" w:type="dxa"/>
            <w:vAlign w:val="bottom"/>
          </w:tcPr>
          <w:p>
            <w:pPr>
              <w:jc w:val="right"/>
              <w:spacing w:after="0"/>
              <w:rPr>
                <w:rFonts w:ascii="Arial" w:cs="Arial" w:eastAsia="Arial" w:hAnsi="Arial"/>
                <w:sz w:val="18"/>
                <w:szCs w:val="18"/>
                <w:color w:val="auto"/>
              </w:rPr>
            </w:pPr>
            <w:hyperlink w:anchor="page264">
              <w:r>
                <w:rPr>
                  <w:rFonts w:ascii="Arial" w:cs="Arial" w:eastAsia="Arial" w:hAnsi="Arial"/>
                  <w:sz w:val="18"/>
                  <w:szCs w:val="18"/>
                  <w:color w:val="auto"/>
                </w:rPr>
                <w:t>138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9.08</w:t>
            </w:r>
          </w:p>
        </w:tc>
        <w:tc>
          <w:tcPr>
            <w:tcW w:w="6580" w:type="dxa"/>
            <w:vAlign w:val="bottom"/>
          </w:tcPr>
          <w:p>
            <w:pPr>
              <w:ind w:left="300"/>
              <w:spacing w:after="0"/>
              <w:rPr>
                <w:rFonts w:ascii="Arial" w:cs="Arial" w:eastAsia="Arial" w:hAnsi="Arial"/>
                <w:sz w:val="18"/>
                <w:szCs w:val="18"/>
                <w:color w:val="auto"/>
              </w:rPr>
            </w:pPr>
            <w:hyperlink w:anchor="page265">
              <w:r>
                <w:rPr>
                  <w:rFonts w:ascii="Arial" w:cs="Arial" w:eastAsia="Arial" w:hAnsi="Arial"/>
                  <w:sz w:val="18"/>
                  <w:szCs w:val="18"/>
                  <w:color w:val="auto"/>
                </w:rPr>
                <w:t>Agents in their Individual Capacities</w:t>
              </w:r>
            </w:hyperlink>
          </w:p>
        </w:tc>
        <w:tc>
          <w:tcPr>
            <w:tcW w:w="2560" w:type="dxa"/>
            <w:vAlign w:val="bottom"/>
          </w:tcPr>
          <w:p>
            <w:pPr>
              <w:jc w:val="right"/>
              <w:spacing w:after="0"/>
              <w:rPr>
                <w:rFonts w:ascii="Arial" w:cs="Arial" w:eastAsia="Arial" w:hAnsi="Arial"/>
                <w:sz w:val="18"/>
                <w:szCs w:val="18"/>
                <w:color w:val="auto"/>
              </w:rPr>
            </w:pPr>
            <w:hyperlink w:anchor="page265">
              <w:r>
                <w:rPr>
                  <w:rFonts w:ascii="Arial" w:cs="Arial" w:eastAsia="Arial" w:hAnsi="Arial"/>
                  <w:sz w:val="18"/>
                  <w:szCs w:val="18"/>
                  <w:color w:val="auto"/>
                </w:rPr>
                <w:t>139</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9.09</w:t>
            </w:r>
          </w:p>
        </w:tc>
        <w:tc>
          <w:tcPr>
            <w:tcW w:w="6580" w:type="dxa"/>
            <w:vAlign w:val="bottom"/>
          </w:tcPr>
          <w:p>
            <w:pPr>
              <w:ind w:left="300"/>
              <w:spacing w:after="0"/>
              <w:rPr>
                <w:rFonts w:ascii="Arial" w:cs="Arial" w:eastAsia="Arial" w:hAnsi="Arial"/>
                <w:sz w:val="18"/>
                <w:szCs w:val="18"/>
                <w:color w:val="auto"/>
              </w:rPr>
            </w:pPr>
            <w:hyperlink w:anchor="page265">
              <w:r>
                <w:rPr>
                  <w:rFonts w:ascii="Arial" w:cs="Arial" w:eastAsia="Arial" w:hAnsi="Arial"/>
                  <w:sz w:val="18"/>
                  <w:szCs w:val="18"/>
                  <w:color w:val="auto"/>
                </w:rPr>
                <w:t>Successor Agents</w:t>
              </w:r>
            </w:hyperlink>
          </w:p>
        </w:tc>
        <w:tc>
          <w:tcPr>
            <w:tcW w:w="2560" w:type="dxa"/>
            <w:vAlign w:val="bottom"/>
          </w:tcPr>
          <w:p>
            <w:pPr>
              <w:jc w:val="right"/>
              <w:spacing w:after="0"/>
              <w:rPr>
                <w:rFonts w:ascii="Arial" w:cs="Arial" w:eastAsia="Arial" w:hAnsi="Arial"/>
                <w:sz w:val="18"/>
                <w:szCs w:val="18"/>
                <w:color w:val="auto"/>
              </w:rPr>
            </w:pPr>
            <w:hyperlink w:anchor="page265">
              <w:r>
                <w:rPr>
                  <w:rFonts w:ascii="Arial" w:cs="Arial" w:eastAsia="Arial" w:hAnsi="Arial"/>
                  <w:sz w:val="18"/>
                  <w:szCs w:val="18"/>
                  <w:color w:val="auto"/>
                </w:rPr>
                <w:t>139</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9.10</w:t>
            </w:r>
          </w:p>
        </w:tc>
        <w:tc>
          <w:tcPr>
            <w:tcW w:w="6580" w:type="dxa"/>
            <w:vAlign w:val="bottom"/>
          </w:tcPr>
          <w:p>
            <w:pPr>
              <w:ind w:left="300"/>
              <w:spacing w:after="0"/>
              <w:rPr>
                <w:rFonts w:ascii="Arial" w:cs="Arial" w:eastAsia="Arial" w:hAnsi="Arial"/>
                <w:sz w:val="18"/>
                <w:szCs w:val="18"/>
                <w:color w:val="auto"/>
              </w:rPr>
            </w:pPr>
            <w:hyperlink w:anchor="page266">
              <w:r>
                <w:rPr>
                  <w:rFonts w:ascii="Arial" w:cs="Arial" w:eastAsia="Arial" w:hAnsi="Arial"/>
                  <w:sz w:val="18"/>
                  <w:szCs w:val="18"/>
                  <w:color w:val="auto"/>
                </w:rPr>
                <w:t>Administrative Agent May File Proofs of Claim</w:t>
              </w:r>
            </w:hyperlink>
          </w:p>
        </w:tc>
        <w:tc>
          <w:tcPr>
            <w:tcW w:w="2560" w:type="dxa"/>
            <w:vAlign w:val="bottom"/>
          </w:tcPr>
          <w:p>
            <w:pPr>
              <w:jc w:val="right"/>
              <w:spacing w:after="0"/>
              <w:rPr>
                <w:rFonts w:ascii="Arial" w:cs="Arial" w:eastAsia="Arial" w:hAnsi="Arial"/>
                <w:sz w:val="18"/>
                <w:szCs w:val="18"/>
                <w:color w:val="auto"/>
              </w:rPr>
            </w:pPr>
            <w:hyperlink w:anchor="page266">
              <w:r>
                <w:rPr>
                  <w:rFonts w:ascii="Arial" w:cs="Arial" w:eastAsia="Arial" w:hAnsi="Arial"/>
                  <w:sz w:val="18"/>
                  <w:szCs w:val="18"/>
                  <w:color w:val="auto"/>
                </w:rPr>
                <w:t>140</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9.11</w:t>
            </w:r>
          </w:p>
        </w:tc>
        <w:tc>
          <w:tcPr>
            <w:tcW w:w="6580" w:type="dxa"/>
            <w:vAlign w:val="bottom"/>
          </w:tcPr>
          <w:p>
            <w:pPr>
              <w:ind w:left="300"/>
              <w:spacing w:after="0"/>
              <w:rPr>
                <w:rFonts w:ascii="Arial" w:cs="Arial" w:eastAsia="Arial" w:hAnsi="Arial"/>
                <w:sz w:val="18"/>
                <w:szCs w:val="18"/>
                <w:color w:val="auto"/>
              </w:rPr>
            </w:pPr>
            <w:hyperlink w:anchor="page266">
              <w:r>
                <w:rPr>
                  <w:rFonts w:ascii="Arial" w:cs="Arial" w:eastAsia="Arial" w:hAnsi="Arial"/>
                  <w:sz w:val="18"/>
                  <w:szCs w:val="18"/>
                  <w:color w:val="auto"/>
                </w:rPr>
                <w:t>Collateral and Guaranty Matters</w:t>
              </w:r>
            </w:hyperlink>
          </w:p>
        </w:tc>
        <w:tc>
          <w:tcPr>
            <w:tcW w:w="2560" w:type="dxa"/>
            <w:vAlign w:val="bottom"/>
          </w:tcPr>
          <w:p>
            <w:pPr>
              <w:jc w:val="right"/>
              <w:spacing w:after="0"/>
              <w:rPr>
                <w:rFonts w:ascii="Arial" w:cs="Arial" w:eastAsia="Arial" w:hAnsi="Arial"/>
                <w:sz w:val="18"/>
                <w:szCs w:val="18"/>
                <w:color w:val="auto"/>
              </w:rPr>
            </w:pPr>
            <w:hyperlink w:anchor="page266">
              <w:r>
                <w:rPr>
                  <w:rFonts w:ascii="Arial" w:cs="Arial" w:eastAsia="Arial" w:hAnsi="Arial"/>
                  <w:sz w:val="18"/>
                  <w:szCs w:val="18"/>
                  <w:color w:val="auto"/>
                </w:rPr>
                <w:t>140</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9.12</w:t>
            </w:r>
          </w:p>
        </w:tc>
        <w:tc>
          <w:tcPr>
            <w:tcW w:w="6580" w:type="dxa"/>
            <w:vAlign w:val="bottom"/>
          </w:tcPr>
          <w:p>
            <w:pPr>
              <w:ind w:left="300"/>
              <w:spacing w:after="0"/>
              <w:rPr>
                <w:rFonts w:ascii="Arial" w:cs="Arial" w:eastAsia="Arial" w:hAnsi="Arial"/>
                <w:sz w:val="18"/>
                <w:szCs w:val="18"/>
                <w:color w:val="auto"/>
              </w:rPr>
            </w:pPr>
            <w:hyperlink w:anchor="page267">
              <w:r>
                <w:rPr>
                  <w:rFonts w:ascii="Arial" w:cs="Arial" w:eastAsia="Arial" w:hAnsi="Arial"/>
                  <w:sz w:val="18"/>
                  <w:szCs w:val="18"/>
                  <w:color w:val="auto"/>
                </w:rPr>
                <w:t>Other Agents; Arrangers and Managers</w:t>
              </w:r>
            </w:hyperlink>
          </w:p>
        </w:tc>
        <w:tc>
          <w:tcPr>
            <w:tcW w:w="2560" w:type="dxa"/>
            <w:vAlign w:val="bottom"/>
          </w:tcPr>
          <w:p>
            <w:pPr>
              <w:jc w:val="right"/>
              <w:spacing w:after="0"/>
              <w:rPr>
                <w:rFonts w:ascii="Arial" w:cs="Arial" w:eastAsia="Arial" w:hAnsi="Arial"/>
                <w:sz w:val="18"/>
                <w:szCs w:val="18"/>
                <w:color w:val="auto"/>
              </w:rPr>
            </w:pPr>
            <w:hyperlink w:anchor="page267">
              <w:r>
                <w:rPr>
                  <w:rFonts w:ascii="Arial" w:cs="Arial" w:eastAsia="Arial" w:hAnsi="Arial"/>
                  <w:sz w:val="18"/>
                  <w:szCs w:val="18"/>
                  <w:color w:val="auto"/>
                </w:rPr>
                <w:t>141</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9.13</w:t>
            </w:r>
          </w:p>
        </w:tc>
        <w:tc>
          <w:tcPr>
            <w:tcW w:w="6580" w:type="dxa"/>
            <w:vAlign w:val="bottom"/>
          </w:tcPr>
          <w:p>
            <w:pPr>
              <w:ind w:left="300"/>
              <w:spacing w:after="0"/>
              <w:rPr>
                <w:rFonts w:ascii="Arial" w:cs="Arial" w:eastAsia="Arial" w:hAnsi="Arial"/>
                <w:sz w:val="18"/>
                <w:szCs w:val="18"/>
                <w:color w:val="auto"/>
              </w:rPr>
            </w:pPr>
            <w:hyperlink w:anchor="page267">
              <w:r>
                <w:rPr>
                  <w:rFonts w:ascii="Arial" w:cs="Arial" w:eastAsia="Arial" w:hAnsi="Arial"/>
                  <w:sz w:val="18"/>
                  <w:szCs w:val="18"/>
                  <w:color w:val="auto"/>
                </w:rPr>
                <w:t>Appointment of Supplemental Administrative Agents</w:t>
              </w:r>
            </w:hyperlink>
          </w:p>
        </w:tc>
        <w:tc>
          <w:tcPr>
            <w:tcW w:w="2560" w:type="dxa"/>
            <w:vAlign w:val="bottom"/>
          </w:tcPr>
          <w:p>
            <w:pPr>
              <w:jc w:val="right"/>
              <w:spacing w:after="0"/>
              <w:rPr>
                <w:rFonts w:ascii="Arial" w:cs="Arial" w:eastAsia="Arial" w:hAnsi="Arial"/>
                <w:sz w:val="18"/>
                <w:szCs w:val="18"/>
                <w:color w:val="auto"/>
              </w:rPr>
            </w:pPr>
            <w:hyperlink w:anchor="page267">
              <w:r>
                <w:rPr>
                  <w:rFonts w:ascii="Arial" w:cs="Arial" w:eastAsia="Arial" w:hAnsi="Arial"/>
                  <w:sz w:val="18"/>
                  <w:szCs w:val="18"/>
                  <w:color w:val="auto"/>
                </w:rPr>
                <w:t>141</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9.14</w:t>
            </w:r>
          </w:p>
        </w:tc>
        <w:tc>
          <w:tcPr>
            <w:tcW w:w="6580" w:type="dxa"/>
            <w:vAlign w:val="bottom"/>
          </w:tcPr>
          <w:p>
            <w:pPr>
              <w:ind w:left="300"/>
              <w:spacing w:after="0"/>
              <w:rPr>
                <w:rFonts w:ascii="Arial" w:cs="Arial" w:eastAsia="Arial" w:hAnsi="Arial"/>
                <w:sz w:val="18"/>
                <w:szCs w:val="18"/>
                <w:color w:val="auto"/>
              </w:rPr>
            </w:pPr>
            <w:hyperlink w:anchor="page268">
              <w:r>
                <w:rPr>
                  <w:rFonts w:ascii="Arial" w:cs="Arial" w:eastAsia="Arial" w:hAnsi="Arial"/>
                  <w:sz w:val="18"/>
                  <w:szCs w:val="18"/>
                  <w:color w:val="auto"/>
                </w:rPr>
                <w:t>Lender Representation</w:t>
              </w:r>
            </w:hyperlink>
          </w:p>
        </w:tc>
        <w:tc>
          <w:tcPr>
            <w:tcW w:w="2560" w:type="dxa"/>
            <w:vAlign w:val="bottom"/>
          </w:tcPr>
          <w:p>
            <w:pPr>
              <w:jc w:val="right"/>
              <w:spacing w:after="0"/>
              <w:rPr>
                <w:rFonts w:ascii="Arial" w:cs="Arial" w:eastAsia="Arial" w:hAnsi="Arial"/>
                <w:sz w:val="18"/>
                <w:szCs w:val="18"/>
                <w:color w:val="auto"/>
              </w:rPr>
            </w:pPr>
            <w:hyperlink w:anchor="page268">
              <w:r>
                <w:rPr>
                  <w:rFonts w:ascii="Arial" w:cs="Arial" w:eastAsia="Arial" w:hAnsi="Arial"/>
                  <w:sz w:val="18"/>
                  <w:szCs w:val="18"/>
                  <w:color w:val="auto"/>
                </w:rPr>
                <w:t>142</w:t>
              </w:r>
            </w:hyperlink>
          </w:p>
        </w:tc>
      </w:tr>
      <w:tr>
        <w:trPr>
          <w:trHeight w:val="392"/>
        </w:trPr>
        <w:tc>
          <w:tcPr>
            <w:tcW w:w="2220" w:type="dxa"/>
            <w:vAlign w:val="bottom"/>
          </w:tcPr>
          <w:p>
            <w:pPr>
              <w:spacing w:after="0"/>
              <w:rPr>
                <w:sz w:val="20"/>
                <w:szCs w:val="20"/>
                <w:color w:val="auto"/>
              </w:rPr>
            </w:pPr>
            <w:r>
              <w:rPr>
                <w:rFonts w:ascii="Arial" w:cs="Arial" w:eastAsia="Arial" w:hAnsi="Arial"/>
                <w:sz w:val="18"/>
                <w:szCs w:val="18"/>
                <w:color w:val="auto"/>
              </w:rPr>
              <w:t>ARTICLE X</w:t>
            </w:r>
          </w:p>
        </w:tc>
        <w:tc>
          <w:tcPr>
            <w:tcW w:w="6580" w:type="dxa"/>
            <w:vAlign w:val="bottom"/>
          </w:tcPr>
          <w:p>
            <w:pPr>
              <w:ind w:left="300"/>
              <w:spacing w:after="0"/>
              <w:rPr>
                <w:rFonts w:ascii="Arial" w:cs="Arial" w:eastAsia="Arial" w:hAnsi="Arial"/>
                <w:sz w:val="18"/>
                <w:szCs w:val="18"/>
                <w:color w:val="auto"/>
              </w:rPr>
            </w:pPr>
            <w:hyperlink w:anchor="page270">
              <w:r>
                <w:rPr>
                  <w:rFonts w:ascii="Arial" w:cs="Arial" w:eastAsia="Arial" w:hAnsi="Arial"/>
                  <w:sz w:val="18"/>
                  <w:szCs w:val="18"/>
                  <w:color w:val="auto"/>
                </w:rPr>
                <w:t>MISCELLANEOUS</w:t>
              </w:r>
            </w:hyperlink>
          </w:p>
        </w:tc>
        <w:tc>
          <w:tcPr>
            <w:tcW w:w="2560" w:type="dxa"/>
            <w:vAlign w:val="bottom"/>
          </w:tcPr>
          <w:p>
            <w:pPr>
              <w:jc w:val="right"/>
              <w:spacing w:after="0"/>
              <w:rPr>
                <w:rFonts w:ascii="Arial" w:cs="Arial" w:eastAsia="Arial" w:hAnsi="Arial"/>
                <w:sz w:val="18"/>
                <w:szCs w:val="18"/>
                <w:color w:val="auto"/>
              </w:rPr>
            </w:pPr>
            <w:hyperlink w:anchor="page270">
              <w:r>
                <w:rPr>
                  <w:rFonts w:ascii="Arial" w:cs="Arial" w:eastAsia="Arial" w:hAnsi="Arial"/>
                  <w:sz w:val="18"/>
                  <w:szCs w:val="18"/>
                  <w:color w:val="auto"/>
                </w:rPr>
                <w:t>144</w:t>
              </w:r>
            </w:hyperlink>
          </w:p>
        </w:tc>
      </w:tr>
      <w:tr>
        <w:trPr>
          <w:trHeight w:val="392"/>
        </w:trPr>
        <w:tc>
          <w:tcPr>
            <w:tcW w:w="2220" w:type="dxa"/>
            <w:vAlign w:val="bottom"/>
          </w:tcPr>
          <w:p>
            <w:pPr>
              <w:ind w:left="920"/>
              <w:spacing w:after="0"/>
              <w:rPr>
                <w:sz w:val="20"/>
                <w:szCs w:val="20"/>
                <w:color w:val="auto"/>
              </w:rPr>
            </w:pPr>
            <w:r>
              <w:rPr>
                <w:rFonts w:ascii="Arial" w:cs="Arial" w:eastAsia="Arial" w:hAnsi="Arial"/>
                <w:sz w:val="18"/>
                <w:szCs w:val="18"/>
                <w:color w:val="auto"/>
              </w:rPr>
              <w:t>Section 10.01</w:t>
            </w:r>
          </w:p>
        </w:tc>
        <w:tc>
          <w:tcPr>
            <w:tcW w:w="6580" w:type="dxa"/>
            <w:vAlign w:val="bottom"/>
          </w:tcPr>
          <w:p>
            <w:pPr>
              <w:ind w:left="300"/>
              <w:spacing w:after="0"/>
              <w:rPr>
                <w:rFonts w:ascii="Arial" w:cs="Arial" w:eastAsia="Arial" w:hAnsi="Arial"/>
                <w:sz w:val="18"/>
                <w:szCs w:val="18"/>
                <w:color w:val="auto"/>
              </w:rPr>
            </w:pPr>
            <w:hyperlink w:anchor="page270">
              <w:r>
                <w:rPr>
                  <w:rFonts w:ascii="Arial" w:cs="Arial" w:eastAsia="Arial" w:hAnsi="Arial"/>
                  <w:sz w:val="18"/>
                  <w:szCs w:val="18"/>
                  <w:color w:val="auto"/>
                </w:rPr>
                <w:t>Amendments, Etc</w:t>
              </w:r>
            </w:hyperlink>
          </w:p>
        </w:tc>
        <w:tc>
          <w:tcPr>
            <w:tcW w:w="2560" w:type="dxa"/>
            <w:vAlign w:val="bottom"/>
          </w:tcPr>
          <w:p>
            <w:pPr>
              <w:jc w:val="right"/>
              <w:spacing w:after="0"/>
              <w:rPr>
                <w:rFonts w:ascii="Arial" w:cs="Arial" w:eastAsia="Arial" w:hAnsi="Arial"/>
                <w:sz w:val="18"/>
                <w:szCs w:val="18"/>
                <w:color w:val="auto"/>
              </w:rPr>
            </w:pPr>
            <w:hyperlink w:anchor="page270">
              <w:r>
                <w:rPr>
                  <w:rFonts w:ascii="Arial" w:cs="Arial" w:eastAsia="Arial" w:hAnsi="Arial"/>
                  <w:sz w:val="18"/>
                  <w:szCs w:val="18"/>
                  <w:color w:val="auto"/>
                </w:rPr>
                <w:t>144</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10.02</w:t>
            </w:r>
          </w:p>
        </w:tc>
        <w:tc>
          <w:tcPr>
            <w:tcW w:w="6580" w:type="dxa"/>
            <w:vAlign w:val="bottom"/>
          </w:tcPr>
          <w:p>
            <w:pPr>
              <w:ind w:left="300"/>
              <w:spacing w:after="0"/>
              <w:rPr>
                <w:rFonts w:ascii="Arial" w:cs="Arial" w:eastAsia="Arial" w:hAnsi="Arial"/>
                <w:sz w:val="18"/>
                <w:szCs w:val="18"/>
                <w:color w:val="auto"/>
              </w:rPr>
            </w:pPr>
            <w:hyperlink w:anchor="page273">
              <w:r>
                <w:rPr>
                  <w:rFonts w:ascii="Arial" w:cs="Arial" w:eastAsia="Arial" w:hAnsi="Arial"/>
                  <w:sz w:val="18"/>
                  <w:szCs w:val="18"/>
                  <w:color w:val="auto"/>
                </w:rPr>
                <w:t>Notices and Other Communications; Facsimile Copies</w:t>
              </w:r>
            </w:hyperlink>
          </w:p>
        </w:tc>
        <w:tc>
          <w:tcPr>
            <w:tcW w:w="2560" w:type="dxa"/>
            <w:vAlign w:val="bottom"/>
          </w:tcPr>
          <w:p>
            <w:pPr>
              <w:jc w:val="right"/>
              <w:spacing w:after="0"/>
              <w:rPr>
                <w:rFonts w:ascii="Arial" w:cs="Arial" w:eastAsia="Arial" w:hAnsi="Arial"/>
                <w:sz w:val="18"/>
                <w:szCs w:val="18"/>
                <w:color w:val="auto"/>
              </w:rPr>
            </w:pPr>
            <w:hyperlink w:anchor="page273">
              <w:r>
                <w:rPr>
                  <w:rFonts w:ascii="Arial" w:cs="Arial" w:eastAsia="Arial" w:hAnsi="Arial"/>
                  <w:sz w:val="18"/>
                  <w:szCs w:val="18"/>
                  <w:color w:val="auto"/>
                </w:rPr>
                <w:t>147</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10.03</w:t>
            </w:r>
          </w:p>
        </w:tc>
        <w:tc>
          <w:tcPr>
            <w:tcW w:w="6580" w:type="dxa"/>
            <w:vAlign w:val="bottom"/>
          </w:tcPr>
          <w:p>
            <w:pPr>
              <w:ind w:left="300"/>
              <w:spacing w:after="0"/>
              <w:rPr>
                <w:rFonts w:ascii="Arial" w:cs="Arial" w:eastAsia="Arial" w:hAnsi="Arial"/>
                <w:sz w:val="18"/>
                <w:szCs w:val="18"/>
                <w:color w:val="auto"/>
              </w:rPr>
            </w:pPr>
            <w:hyperlink w:anchor="page274">
              <w:r>
                <w:rPr>
                  <w:rFonts w:ascii="Arial" w:cs="Arial" w:eastAsia="Arial" w:hAnsi="Arial"/>
                  <w:sz w:val="18"/>
                  <w:szCs w:val="18"/>
                  <w:color w:val="auto"/>
                </w:rPr>
                <w:t>No Waiver; Cumulative Remedies</w:t>
              </w:r>
            </w:hyperlink>
          </w:p>
        </w:tc>
        <w:tc>
          <w:tcPr>
            <w:tcW w:w="2560" w:type="dxa"/>
            <w:vAlign w:val="bottom"/>
          </w:tcPr>
          <w:p>
            <w:pPr>
              <w:jc w:val="right"/>
              <w:spacing w:after="0"/>
              <w:rPr>
                <w:rFonts w:ascii="Arial" w:cs="Arial" w:eastAsia="Arial" w:hAnsi="Arial"/>
                <w:sz w:val="18"/>
                <w:szCs w:val="18"/>
                <w:color w:val="auto"/>
              </w:rPr>
            </w:pPr>
            <w:hyperlink w:anchor="page274">
              <w:r>
                <w:rPr>
                  <w:rFonts w:ascii="Arial" w:cs="Arial" w:eastAsia="Arial" w:hAnsi="Arial"/>
                  <w:sz w:val="18"/>
                  <w:szCs w:val="18"/>
                  <w:color w:val="auto"/>
                </w:rPr>
                <w:t>148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10.04</w:t>
            </w:r>
          </w:p>
        </w:tc>
        <w:tc>
          <w:tcPr>
            <w:tcW w:w="6580" w:type="dxa"/>
            <w:vAlign w:val="bottom"/>
          </w:tcPr>
          <w:p>
            <w:pPr>
              <w:ind w:left="300"/>
              <w:spacing w:after="0"/>
              <w:rPr>
                <w:rFonts w:ascii="Arial" w:cs="Arial" w:eastAsia="Arial" w:hAnsi="Arial"/>
                <w:sz w:val="18"/>
                <w:szCs w:val="18"/>
                <w:color w:val="auto"/>
              </w:rPr>
            </w:pPr>
            <w:hyperlink w:anchor="page274">
              <w:r>
                <w:rPr>
                  <w:rFonts w:ascii="Arial" w:cs="Arial" w:eastAsia="Arial" w:hAnsi="Arial"/>
                  <w:sz w:val="18"/>
                  <w:szCs w:val="18"/>
                  <w:color w:val="auto"/>
                </w:rPr>
                <w:t>Attorney Costs, Expenses and Taxes</w:t>
              </w:r>
            </w:hyperlink>
          </w:p>
        </w:tc>
        <w:tc>
          <w:tcPr>
            <w:tcW w:w="2560" w:type="dxa"/>
            <w:vAlign w:val="bottom"/>
          </w:tcPr>
          <w:p>
            <w:pPr>
              <w:jc w:val="right"/>
              <w:spacing w:after="0"/>
              <w:rPr>
                <w:rFonts w:ascii="Arial" w:cs="Arial" w:eastAsia="Arial" w:hAnsi="Arial"/>
                <w:sz w:val="18"/>
                <w:szCs w:val="18"/>
                <w:color w:val="auto"/>
              </w:rPr>
            </w:pPr>
            <w:hyperlink w:anchor="page274">
              <w:r>
                <w:rPr>
                  <w:rFonts w:ascii="Arial" w:cs="Arial" w:eastAsia="Arial" w:hAnsi="Arial"/>
                  <w:sz w:val="18"/>
                  <w:szCs w:val="18"/>
                  <w:color w:val="auto"/>
                </w:rPr>
                <w:t>148</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10.05</w:t>
            </w:r>
          </w:p>
        </w:tc>
        <w:tc>
          <w:tcPr>
            <w:tcW w:w="6580" w:type="dxa"/>
            <w:vAlign w:val="bottom"/>
          </w:tcPr>
          <w:p>
            <w:pPr>
              <w:ind w:left="300"/>
              <w:spacing w:after="0"/>
              <w:rPr>
                <w:rFonts w:ascii="Arial" w:cs="Arial" w:eastAsia="Arial" w:hAnsi="Arial"/>
                <w:sz w:val="18"/>
                <w:szCs w:val="18"/>
                <w:color w:val="auto"/>
              </w:rPr>
            </w:pPr>
            <w:hyperlink w:anchor="page275">
              <w:r>
                <w:rPr>
                  <w:rFonts w:ascii="Arial" w:cs="Arial" w:eastAsia="Arial" w:hAnsi="Arial"/>
                  <w:sz w:val="18"/>
                  <w:szCs w:val="18"/>
                  <w:color w:val="auto"/>
                </w:rPr>
                <w:t>Indemnification by the Borrowers</w:t>
              </w:r>
            </w:hyperlink>
          </w:p>
        </w:tc>
        <w:tc>
          <w:tcPr>
            <w:tcW w:w="2560" w:type="dxa"/>
            <w:vAlign w:val="bottom"/>
          </w:tcPr>
          <w:p>
            <w:pPr>
              <w:jc w:val="right"/>
              <w:spacing w:after="0"/>
              <w:rPr>
                <w:rFonts w:ascii="Arial" w:cs="Arial" w:eastAsia="Arial" w:hAnsi="Arial"/>
                <w:sz w:val="18"/>
                <w:szCs w:val="18"/>
                <w:color w:val="auto"/>
              </w:rPr>
            </w:pPr>
            <w:hyperlink w:anchor="page275">
              <w:r>
                <w:rPr>
                  <w:rFonts w:ascii="Arial" w:cs="Arial" w:eastAsia="Arial" w:hAnsi="Arial"/>
                  <w:sz w:val="18"/>
                  <w:szCs w:val="18"/>
                  <w:color w:val="auto"/>
                </w:rPr>
                <w:t>149</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10.06</w:t>
            </w:r>
          </w:p>
        </w:tc>
        <w:tc>
          <w:tcPr>
            <w:tcW w:w="6580" w:type="dxa"/>
            <w:vAlign w:val="bottom"/>
          </w:tcPr>
          <w:p>
            <w:pPr>
              <w:ind w:left="300"/>
              <w:spacing w:after="0"/>
              <w:rPr>
                <w:rFonts w:ascii="Arial" w:cs="Arial" w:eastAsia="Arial" w:hAnsi="Arial"/>
                <w:sz w:val="18"/>
                <w:szCs w:val="18"/>
                <w:color w:val="auto"/>
              </w:rPr>
            </w:pPr>
            <w:hyperlink w:anchor="page276">
              <w:r>
                <w:rPr>
                  <w:rFonts w:ascii="Arial" w:cs="Arial" w:eastAsia="Arial" w:hAnsi="Arial"/>
                  <w:sz w:val="18"/>
                  <w:szCs w:val="18"/>
                  <w:color w:val="auto"/>
                </w:rPr>
                <w:t>Payments Set Aside</w:t>
              </w:r>
            </w:hyperlink>
          </w:p>
        </w:tc>
        <w:tc>
          <w:tcPr>
            <w:tcW w:w="2560" w:type="dxa"/>
            <w:vAlign w:val="bottom"/>
          </w:tcPr>
          <w:p>
            <w:pPr>
              <w:jc w:val="right"/>
              <w:spacing w:after="0"/>
              <w:rPr>
                <w:rFonts w:ascii="Arial" w:cs="Arial" w:eastAsia="Arial" w:hAnsi="Arial"/>
                <w:sz w:val="18"/>
                <w:szCs w:val="18"/>
                <w:color w:val="auto"/>
              </w:rPr>
            </w:pPr>
            <w:hyperlink w:anchor="page276">
              <w:r>
                <w:rPr>
                  <w:rFonts w:ascii="Arial" w:cs="Arial" w:eastAsia="Arial" w:hAnsi="Arial"/>
                  <w:sz w:val="18"/>
                  <w:szCs w:val="18"/>
                  <w:color w:val="auto"/>
                </w:rPr>
                <w:t>150</w:t>
              </w:r>
            </w:hyperlink>
          </w:p>
        </w:tc>
      </w:tr>
      <w:tr>
        <w:trPr>
          <w:trHeight w:val="270"/>
        </w:trPr>
        <w:tc>
          <w:tcPr>
            <w:tcW w:w="2220" w:type="dxa"/>
            <w:vAlign w:val="bottom"/>
          </w:tcPr>
          <w:p>
            <w:pPr>
              <w:ind w:left="920"/>
              <w:spacing w:after="0"/>
              <w:rPr>
                <w:sz w:val="20"/>
                <w:szCs w:val="20"/>
                <w:color w:val="auto"/>
              </w:rPr>
            </w:pPr>
            <w:r>
              <w:rPr>
                <w:rFonts w:ascii="Arial" w:cs="Arial" w:eastAsia="Arial" w:hAnsi="Arial"/>
                <w:sz w:val="18"/>
                <w:szCs w:val="18"/>
                <w:color w:val="auto"/>
              </w:rPr>
              <w:t>Section 10.07</w:t>
            </w:r>
          </w:p>
        </w:tc>
        <w:tc>
          <w:tcPr>
            <w:tcW w:w="6580" w:type="dxa"/>
            <w:vAlign w:val="bottom"/>
          </w:tcPr>
          <w:p>
            <w:pPr>
              <w:ind w:left="300"/>
              <w:spacing w:after="0"/>
              <w:rPr>
                <w:rFonts w:ascii="Arial" w:cs="Arial" w:eastAsia="Arial" w:hAnsi="Arial"/>
                <w:sz w:val="18"/>
                <w:szCs w:val="18"/>
                <w:color w:val="auto"/>
              </w:rPr>
            </w:pPr>
            <w:hyperlink w:anchor="page276">
              <w:r>
                <w:rPr>
                  <w:rFonts w:ascii="Arial" w:cs="Arial" w:eastAsia="Arial" w:hAnsi="Arial"/>
                  <w:sz w:val="18"/>
                  <w:szCs w:val="18"/>
                  <w:color w:val="auto"/>
                </w:rPr>
                <w:t>Successors and Assigns</w:t>
              </w:r>
            </w:hyperlink>
          </w:p>
        </w:tc>
        <w:tc>
          <w:tcPr>
            <w:tcW w:w="2560" w:type="dxa"/>
            <w:vAlign w:val="bottom"/>
          </w:tcPr>
          <w:p>
            <w:pPr>
              <w:jc w:val="right"/>
              <w:spacing w:after="0"/>
              <w:rPr>
                <w:rFonts w:ascii="Arial" w:cs="Arial" w:eastAsia="Arial" w:hAnsi="Arial"/>
                <w:sz w:val="18"/>
                <w:szCs w:val="18"/>
                <w:color w:val="auto"/>
              </w:rPr>
            </w:pPr>
            <w:hyperlink w:anchor="page276">
              <w:r>
                <w:rPr>
                  <w:rFonts w:ascii="Arial" w:cs="Arial" w:eastAsia="Arial" w:hAnsi="Arial"/>
                  <w:sz w:val="18"/>
                  <w:szCs w:val="18"/>
                  <w:color w:val="auto"/>
                </w:rPr>
                <w:t>150</w:t>
              </w:r>
            </w:hyperlink>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00"/>
          </w:cols>
          <w:pgMar w:left="240" w:top="530" w:right="259" w:bottom="1440" w:gutter="0" w:footer="0" w:header="0"/>
        </w:sectPr>
      </w:pPr>
    </w:p>
    <w:bookmarkStart w:id="123" w:name="page124"/>
    <w:bookmarkEnd w:id="123"/>
    <w:tbl>
      <w:tblPr>
        <w:tblLayout w:type="fixed"/>
        <w:tblInd w:w="96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10.08</w:t>
            </w:r>
          </w:p>
        </w:tc>
        <w:tc>
          <w:tcPr>
            <w:tcW w:w="7180" w:type="dxa"/>
            <w:vAlign w:val="bottom"/>
          </w:tcPr>
          <w:p>
            <w:pPr>
              <w:ind w:left="300"/>
              <w:spacing w:after="0"/>
              <w:rPr>
                <w:rFonts w:ascii="Arial" w:cs="Arial" w:eastAsia="Arial" w:hAnsi="Arial"/>
                <w:sz w:val="18"/>
                <w:szCs w:val="18"/>
                <w:color w:val="auto"/>
              </w:rPr>
            </w:pPr>
            <w:hyperlink w:anchor="page280">
              <w:r>
                <w:rPr>
                  <w:rFonts w:ascii="Arial" w:cs="Arial" w:eastAsia="Arial" w:hAnsi="Arial"/>
                  <w:sz w:val="18"/>
                  <w:szCs w:val="18"/>
                  <w:color w:val="auto"/>
                </w:rPr>
                <w:t>Confidentiality</w:t>
              </w:r>
            </w:hyperlink>
          </w:p>
        </w:tc>
        <w:tc>
          <w:tcPr>
            <w:tcW w:w="1960" w:type="dxa"/>
            <w:vAlign w:val="bottom"/>
          </w:tcPr>
          <w:p>
            <w:pPr>
              <w:jc w:val="right"/>
              <w:spacing w:after="0"/>
              <w:rPr>
                <w:rFonts w:ascii="Arial" w:cs="Arial" w:eastAsia="Arial" w:hAnsi="Arial"/>
                <w:sz w:val="18"/>
                <w:szCs w:val="18"/>
                <w:color w:val="auto"/>
              </w:rPr>
            </w:pPr>
            <w:hyperlink w:anchor="page280">
              <w:r>
                <w:rPr>
                  <w:rFonts w:ascii="Arial" w:cs="Arial" w:eastAsia="Arial" w:hAnsi="Arial"/>
                  <w:sz w:val="18"/>
                  <w:szCs w:val="18"/>
                  <w:color w:val="auto"/>
                </w:rPr>
                <w:t>154</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10.09</w:t>
            </w:r>
          </w:p>
        </w:tc>
        <w:tc>
          <w:tcPr>
            <w:tcW w:w="7180" w:type="dxa"/>
            <w:vAlign w:val="bottom"/>
          </w:tcPr>
          <w:p>
            <w:pPr>
              <w:ind w:left="300"/>
              <w:spacing w:after="0"/>
              <w:rPr>
                <w:rFonts w:ascii="Arial" w:cs="Arial" w:eastAsia="Arial" w:hAnsi="Arial"/>
                <w:sz w:val="18"/>
                <w:szCs w:val="18"/>
                <w:color w:val="auto"/>
              </w:rPr>
            </w:pPr>
            <w:hyperlink w:anchor="page281">
              <w:r>
                <w:rPr>
                  <w:rFonts w:ascii="Arial" w:cs="Arial" w:eastAsia="Arial" w:hAnsi="Arial"/>
                  <w:sz w:val="18"/>
                  <w:szCs w:val="18"/>
                  <w:color w:val="auto"/>
                </w:rPr>
                <w:t>Setoff</w:t>
              </w:r>
            </w:hyperlink>
          </w:p>
        </w:tc>
        <w:tc>
          <w:tcPr>
            <w:tcW w:w="1960" w:type="dxa"/>
            <w:vAlign w:val="bottom"/>
          </w:tcPr>
          <w:p>
            <w:pPr>
              <w:jc w:val="right"/>
              <w:spacing w:after="0"/>
              <w:rPr>
                <w:rFonts w:ascii="Arial" w:cs="Arial" w:eastAsia="Arial" w:hAnsi="Arial"/>
                <w:sz w:val="18"/>
                <w:szCs w:val="18"/>
                <w:color w:val="auto"/>
              </w:rPr>
            </w:pPr>
            <w:hyperlink w:anchor="page281">
              <w:r>
                <w:rPr>
                  <w:rFonts w:ascii="Arial" w:cs="Arial" w:eastAsia="Arial" w:hAnsi="Arial"/>
                  <w:sz w:val="18"/>
                  <w:szCs w:val="18"/>
                  <w:color w:val="auto"/>
                </w:rPr>
                <w:t>155</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10.10</w:t>
            </w:r>
          </w:p>
        </w:tc>
        <w:tc>
          <w:tcPr>
            <w:tcW w:w="7180" w:type="dxa"/>
            <w:vAlign w:val="bottom"/>
          </w:tcPr>
          <w:p>
            <w:pPr>
              <w:ind w:left="300"/>
              <w:spacing w:after="0"/>
              <w:rPr>
                <w:rFonts w:ascii="Arial" w:cs="Arial" w:eastAsia="Arial" w:hAnsi="Arial"/>
                <w:sz w:val="18"/>
                <w:szCs w:val="18"/>
                <w:color w:val="auto"/>
              </w:rPr>
            </w:pPr>
            <w:hyperlink w:anchor="page282">
              <w:r>
                <w:rPr>
                  <w:rFonts w:ascii="Arial" w:cs="Arial" w:eastAsia="Arial" w:hAnsi="Arial"/>
                  <w:sz w:val="18"/>
                  <w:szCs w:val="18"/>
                  <w:color w:val="auto"/>
                </w:rPr>
                <w:t>Interest Rate Limitation</w:t>
              </w:r>
            </w:hyperlink>
          </w:p>
        </w:tc>
        <w:tc>
          <w:tcPr>
            <w:tcW w:w="1960" w:type="dxa"/>
            <w:vAlign w:val="bottom"/>
          </w:tcPr>
          <w:p>
            <w:pPr>
              <w:jc w:val="right"/>
              <w:spacing w:after="0"/>
              <w:rPr>
                <w:rFonts w:ascii="Arial" w:cs="Arial" w:eastAsia="Arial" w:hAnsi="Arial"/>
                <w:sz w:val="18"/>
                <w:szCs w:val="18"/>
                <w:color w:val="auto"/>
              </w:rPr>
            </w:pPr>
            <w:hyperlink w:anchor="page282">
              <w:r>
                <w:rPr>
                  <w:rFonts w:ascii="Arial" w:cs="Arial" w:eastAsia="Arial" w:hAnsi="Arial"/>
                  <w:sz w:val="18"/>
                  <w:szCs w:val="18"/>
                  <w:color w:val="auto"/>
                </w:rPr>
                <w:t>156</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10.11</w:t>
            </w:r>
          </w:p>
        </w:tc>
        <w:tc>
          <w:tcPr>
            <w:tcW w:w="7180" w:type="dxa"/>
            <w:vAlign w:val="bottom"/>
          </w:tcPr>
          <w:p>
            <w:pPr>
              <w:ind w:left="300"/>
              <w:spacing w:after="0"/>
              <w:rPr>
                <w:rFonts w:ascii="Arial" w:cs="Arial" w:eastAsia="Arial" w:hAnsi="Arial"/>
                <w:sz w:val="18"/>
                <w:szCs w:val="18"/>
                <w:color w:val="auto"/>
              </w:rPr>
            </w:pPr>
            <w:hyperlink w:anchor="page282">
              <w:r>
                <w:rPr>
                  <w:rFonts w:ascii="Arial" w:cs="Arial" w:eastAsia="Arial" w:hAnsi="Arial"/>
                  <w:sz w:val="18"/>
                  <w:szCs w:val="18"/>
                  <w:color w:val="auto"/>
                </w:rPr>
                <w:t>Counterparts; Electronic Execution</w:t>
              </w:r>
            </w:hyperlink>
          </w:p>
        </w:tc>
        <w:tc>
          <w:tcPr>
            <w:tcW w:w="1960" w:type="dxa"/>
            <w:vAlign w:val="bottom"/>
          </w:tcPr>
          <w:p>
            <w:pPr>
              <w:jc w:val="right"/>
              <w:spacing w:after="0"/>
              <w:rPr>
                <w:rFonts w:ascii="Arial" w:cs="Arial" w:eastAsia="Arial" w:hAnsi="Arial"/>
                <w:sz w:val="18"/>
                <w:szCs w:val="18"/>
                <w:color w:val="auto"/>
              </w:rPr>
            </w:pPr>
            <w:hyperlink w:anchor="page282">
              <w:r>
                <w:rPr>
                  <w:rFonts w:ascii="Arial" w:cs="Arial" w:eastAsia="Arial" w:hAnsi="Arial"/>
                  <w:sz w:val="18"/>
                  <w:szCs w:val="18"/>
                  <w:color w:val="auto"/>
                </w:rPr>
                <w:t>156</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10.12</w:t>
            </w:r>
          </w:p>
        </w:tc>
        <w:tc>
          <w:tcPr>
            <w:tcW w:w="7180" w:type="dxa"/>
            <w:vAlign w:val="bottom"/>
          </w:tcPr>
          <w:p>
            <w:pPr>
              <w:ind w:left="300"/>
              <w:spacing w:after="0"/>
              <w:rPr>
                <w:rFonts w:ascii="Arial" w:cs="Arial" w:eastAsia="Arial" w:hAnsi="Arial"/>
                <w:sz w:val="18"/>
                <w:szCs w:val="18"/>
                <w:color w:val="auto"/>
              </w:rPr>
            </w:pPr>
            <w:hyperlink w:anchor="page282">
              <w:r>
                <w:rPr>
                  <w:rFonts w:ascii="Arial" w:cs="Arial" w:eastAsia="Arial" w:hAnsi="Arial"/>
                  <w:sz w:val="18"/>
                  <w:szCs w:val="18"/>
                  <w:color w:val="auto"/>
                </w:rPr>
                <w:t>Integration</w:t>
              </w:r>
            </w:hyperlink>
          </w:p>
        </w:tc>
        <w:tc>
          <w:tcPr>
            <w:tcW w:w="1960" w:type="dxa"/>
            <w:vAlign w:val="bottom"/>
          </w:tcPr>
          <w:p>
            <w:pPr>
              <w:jc w:val="right"/>
              <w:spacing w:after="0"/>
              <w:rPr>
                <w:rFonts w:ascii="Arial" w:cs="Arial" w:eastAsia="Arial" w:hAnsi="Arial"/>
                <w:sz w:val="18"/>
                <w:szCs w:val="18"/>
                <w:color w:val="auto"/>
              </w:rPr>
            </w:pPr>
            <w:hyperlink w:anchor="page282">
              <w:r>
                <w:rPr>
                  <w:rFonts w:ascii="Arial" w:cs="Arial" w:eastAsia="Arial" w:hAnsi="Arial"/>
                  <w:sz w:val="18"/>
                  <w:szCs w:val="18"/>
                  <w:color w:val="auto"/>
                </w:rPr>
                <w:t>156</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10.13</w:t>
            </w:r>
          </w:p>
        </w:tc>
        <w:tc>
          <w:tcPr>
            <w:tcW w:w="7180" w:type="dxa"/>
            <w:vAlign w:val="bottom"/>
          </w:tcPr>
          <w:p>
            <w:pPr>
              <w:ind w:left="300"/>
              <w:spacing w:after="0"/>
              <w:rPr>
                <w:rFonts w:ascii="Arial" w:cs="Arial" w:eastAsia="Arial" w:hAnsi="Arial"/>
                <w:sz w:val="18"/>
                <w:szCs w:val="18"/>
                <w:color w:val="auto"/>
              </w:rPr>
            </w:pPr>
            <w:hyperlink w:anchor="page283">
              <w:r>
                <w:rPr>
                  <w:rFonts w:ascii="Arial" w:cs="Arial" w:eastAsia="Arial" w:hAnsi="Arial"/>
                  <w:sz w:val="18"/>
                  <w:szCs w:val="18"/>
                  <w:color w:val="auto"/>
                </w:rPr>
                <w:t>Survival of Representations and Warranties</w:t>
              </w:r>
            </w:hyperlink>
          </w:p>
        </w:tc>
        <w:tc>
          <w:tcPr>
            <w:tcW w:w="1960" w:type="dxa"/>
            <w:vAlign w:val="bottom"/>
          </w:tcPr>
          <w:p>
            <w:pPr>
              <w:jc w:val="right"/>
              <w:spacing w:after="0"/>
              <w:rPr>
                <w:rFonts w:ascii="Arial" w:cs="Arial" w:eastAsia="Arial" w:hAnsi="Arial"/>
                <w:sz w:val="18"/>
                <w:szCs w:val="18"/>
                <w:color w:val="auto"/>
              </w:rPr>
            </w:pPr>
            <w:hyperlink w:anchor="page283">
              <w:r>
                <w:rPr>
                  <w:rFonts w:ascii="Arial" w:cs="Arial" w:eastAsia="Arial" w:hAnsi="Arial"/>
                  <w:sz w:val="18"/>
                  <w:szCs w:val="18"/>
                  <w:color w:val="auto"/>
                </w:rPr>
                <w:t>157</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10.14</w:t>
            </w:r>
          </w:p>
        </w:tc>
        <w:tc>
          <w:tcPr>
            <w:tcW w:w="7180" w:type="dxa"/>
            <w:vAlign w:val="bottom"/>
          </w:tcPr>
          <w:p>
            <w:pPr>
              <w:ind w:left="300"/>
              <w:spacing w:after="0"/>
              <w:rPr>
                <w:rFonts w:ascii="Arial" w:cs="Arial" w:eastAsia="Arial" w:hAnsi="Arial"/>
                <w:sz w:val="18"/>
                <w:szCs w:val="18"/>
                <w:color w:val="auto"/>
              </w:rPr>
            </w:pPr>
            <w:hyperlink w:anchor="page283">
              <w:r>
                <w:rPr>
                  <w:rFonts w:ascii="Arial" w:cs="Arial" w:eastAsia="Arial" w:hAnsi="Arial"/>
                  <w:sz w:val="18"/>
                  <w:szCs w:val="18"/>
                  <w:color w:val="auto"/>
                </w:rPr>
                <w:t>Severability</w:t>
              </w:r>
            </w:hyperlink>
          </w:p>
        </w:tc>
        <w:tc>
          <w:tcPr>
            <w:tcW w:w="1960" w:type="dxa"/>
            <w:vAlign w:val="bottom"/>
          </w:tcPr>
          <w:p>
            <w:pPr>
              <w:jc w:val="right"/>
              <w:spacing w:after="0"/>
              <w:rPr>
                <w:rFonts w:ascii="Arial" w:cs="Arial" w:eastAsia="Arial" w:hAnsi="Arial"/>
                <w:sz w:val="18"/>
                <w:szCs w:val="18"/>
                <w:color w:val="auto"/>
              </w:rPr>
            </w:pPr>
            <w:hyperlink w:anchor="page283">
              <w:r>
                <w:rPr>
                  <w:rFonts w:ascii="Arial" w:cs="Arial" w:eastAsia="Arial" w:hAnsi="Arial"/>
                  <w:sz w:val="18"/>
                  <w:szCs w:val="18"/>
                  <w:color w:val="auto"/>
                </w:rPr>
                <w:t>157</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10.15</w:t>
            </w:r>
          </w:p>
        </w:tc>
        <w:tc>
          <w:tcPr>
            <w:tcW w:w="7180" w:type="dxa"/>
            <w:vAlign w:val="bottom"/>
          </w:tcPr>
          <w:p>
            <w:pPr>
              <w:ind w:left="300"/>
              <w:spacing w:after="0"/>
              <w:rPr>
                <w:rFonts w:ascii="Arial" w:cs="Arial" w:eastAsia="Arial" w:hAnsi="Arial"/>
                <w:sz w:val="18"/>
                <w:szCs w:val="18"/>
                <w:color w:val="auto"/>
              </w:rPr>
            </w:pPr>
            <w:hyperlink w:anchor="page283">
              <w:r>
                <w:rPr>
                  <w:rFonts w:ascii="Arial" w:cs="Arial" w:eastAsia="Arial" w:hAnsi="Arial"/>
                  <w:sz w:val="18"/>
                  <w:szCs w:val="18"/>
                  <w:color w:val="auto"/>
                </w:rPr>
                <w:t>GOVERNING LAW</w:t>
              </w:r>
            </w:hyperlink>
          </w:p>
        </w:tc>
        <w:tc>
          <w:tcPr>
            <w:tcW w:w="1960" w:type="dxa"/>
            <w:vAlign w:val="bottom"/>
          </w:tcPr>
          <w:p>
            <w:pPr>
              <w:jc w:val="right"/>
              <w:spacing w:after="0"/>
              <w:rPr>
                <w:rFonts w:ascii="Arial" w:cs="Arial" w:eastAsia="Arial" w:hAnsi="Arial"/>
                <w:sz w:val="18"/>
                <w:szCs w:val="18"/>
                <w:color w:val="auto"/>
              </w:rPr>
            </w:pPr>
            <w:hyperlink w:anchor="page283">
              <w:r>
                <w:rPr>
                  <w:rFonts w:ascii="Arial" w:cs="Arial" w:eastAsia="Arial" w:hAnsi="Arial"/>
                  <w:sz w:val="18"/>
                  <w:szCs w:val="18"/>
                  <w:color w:val="auto"/>
                </w:rPr>
                <w:t>157</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10.16</w:t>
            </w:r>
          </w:p>
        </w:tc>
        <w:tc>
          <w:tcPr>
            <w:tcW w:w="7180" w:type="dxa"/>
            <w:vAlign w:val="bottom"/>
          </w:tcPr>
          <w:p>
            <w:pPr>
              <w:ind w:left="300"/>
              <w:spacing w:after="0"/>
              <w:rPr>
                <w:rFonts w:ascii="Arial" w:cs="Arial" w:eastAsia="Arial" w:hAnsi="Arial"/>
                <w:sz w:val="18"/>
                <w:szCs w:val="18"/>
                <w:color w:val="auto"/>
              </w:rPr>
            </w:pPr>
            <w:hyperlink w:anchor="page284">
              <w:r>
                <w:rPr>
                  <w:rFonts w:ascii="Arial" w:cs="Arial" w:eastAsia="Arial" w:hAnsi="Arial"/>
                  <w:sz w:val="18"/>
                  <w:szCs w:val="18"/>
                  <w:color w:val="auto"/>
                </w:rPr>
                <w:t>WAIVER OF RIGHT TO TRIAL BY JURY</w:t>
              </w:r>
            </w:hyperlink>
          </w:p>
        </w:tc>
        <w:tc>
          <w:tcPr>
            <w:tcW w:w="1960" w:type="dxa"/>
            <w:vAlign w:val="bottom"/>
          </w:tcPr>
          <w:p>
            <w:pPr>
              <w:jc w:val="right"/>
              <w:spacing w:after="0"/>
              <w:rPr>
                <w:rFonts w:ascii="Arial" w:cs="Arial" w:eastAsia="Arial" w:hAnsi="Arial"/>
                <w:sz w:val="18"/>
                <w:szCs w:val="18"/>
                <w:color w:val="auto"/>
              </w:rPr>
            </w:pPr>
            <w:hyperlink w:anchor="page284">
              <w:r>
                <w:rPr>
                  <w:rFonts w:ascii="Arial" w:cs="Arial" w:eastAsia="Arial" w:hAnsi="Arial"/>
                  <w:sz w:val="18"/>
                  <w:szCs w:val="18"/>
                  <w:color w:val="auto"/>
                </w:rPr>
                <w:t>158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10.17</w:t>
            </w:r>
          </w:p>
        </w:tc>
        <w:tc>
          <w:tcPr>
            <w:tcW w:w="7180" w:type="dxa"/>
            <w:vAlign w:val="bottom"/>
          </w:tcPr>
          <w:p>
            <w:pPr>
              <w:ind w:left="300"/>
              <w:spacing w:after="0"/>
              <w:rPr>
                <w:rFonts w:ascii="Arial" w:cs="Arial" w:eastAsia="Arial" w:hAnsi="Arial"/>
                <w:sz w:val="18"/>
                <w:szCs w:val="18"/>
                <w:color w:val="auto"/>
              </w:rPr>
            </w:pPr>
            <w:hyperlink w:anchor="page284">
              <w:r>
                <w:rPr>
                  <w:rFonts w:ascii="Arial" w:cs="Arial" w:eastAsia="Arial" w:hAnsi="Arial"/>
                  <w:sz w:val="18"/>
                  <w:szCs w:val="18"/>
                  <w:color w:val="auto"/>
                </w:rPr>
                <w:t>Binding Effect</w:t>
              </w:r>
            </w:hyperlink>
          </w:p>
        </w:tc>
        <w:tc>
          <w:tcPr>
            <w:tcW w:w="1960" w:type="dxa"/>
            <w:vAlign w:val="bottom"/>
          </w:tcPr>
          <w:p>
            <w:pPr>
              <w:jc w:val="right"/>
              <w:spacing w:after="0"/>
              <w:rPr>
                <w:rFonts w:ascii="Arial" w:cs="Arial" w:eastAsia="Arial" w:hAnsi="Arial"/>
                <w:sz w:val="18"/>
                <w:szCs w:val="18"/>
                <w:color w:val="auto"/>
              </w:rPr>
            </w:pPr>
            <w:hyperlink w:anchor="page284">
              <w:r>
                <w:rPr>
                  <w:rFonts w:ascii="Arial" w:cs="Arial" w:eastAsia="Arial" w:hAnsi="Arial"/>
                  <w:sz w:val="18"/>
                  <w:szCs w:val="18"/>
                  <w:color w:val="auto"/>
                </w:rPr>
                <w:t>158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10.18</w:t>
            </w:r>
          </w:p>
        </w:tc>
        <w:tc>
          <w:tcPr>
            <w:tcW w:w="7180" w:type="dxa"/>
            <w:vAlign w:val="bottom"/>
          </w:tcPr>
          <w:p>
            <w:pPr>
              <w:ind w:left="300"/>
              <w:spacing w:after="0"/>
              <w:rPr>
                <w:rFonts w:ascii="Arial" w:cs="Arial" w:eastAsia="Arial" w:hAnsi="Arial"/>
                <w:sz w:val="18"/>
                <w:szCs w:val="18"/>
                <w:color w:val="auto"/>
              </w:rPr>
            </w:pPr>
            <w:hyperlink w:anchor="page284">
              <w:r>
                <w:rPr>
                  <w:rFonts w:ascii="Arial" w:cs="Arial" w:eastAsia="Arial" w:hAnsi="Arial"/>
                  <w:sz w:val="18"/>
                  <w:szCs w:val="18"/>
                  <w:color w:val="auto"/>
                </w:rPr>
                <w:t>Lender Action</w:t>
              </w:r>
            </w:hyperlink>
          </w:p>
        </w:tc>
        <w:tc>
          <w:tcPr>
            <w:tcW w:w="1960" w:type="dxa"/>
            <w:vAlign w:val="bottom"/>
          </w:tcPr>
          <w:p>
            <w:pPr>
              <w:jc w:val="right"/>
              <w:spacing w:after="0"/>
              <w:rPr>
                <w:rFonts w:ascii="Arial" w:cs="Arial" w:eastAsia="Arial" w:hAnsi="Arial"/>
                <w:sz w:val="18"/>
                <w:szCs w:val="18"/>
                <w:color w:val="auto"/>
              </w:rPr>
            </w:pPr>
            <w:hyperlink w:anchor="page284">
              <w:r>
                <w:rPr>
                  <w:rFonts w:ascii="Arial" w:cs="Arial" w:eastAsia="Arial" w:hAnsi="Arial"/>
                  <w:sz w:val="18"/>
                  <w:szCs w:val="18"/>
                  <w:color w:val="auto"/>
                </w:rPr>
                <w:t>158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10.19</w:t>
            </w:r>
          </w:p>
        </w:tc>
        <w:tc>
          <w:tcPr>
            <w:tcW w:w="7180" w:type="dxa"/>
            <w:vAlign w:val="bottom"/>
          </w:tcPr>
          <w:p>
            <w:pPr>
              <w:ind w:left="300"/>
              <w:spacing w:after="0"/>
              <w:rPr>
                <w:rFonts w:ascii="Arial" w:cs="Arial" w:eastAsia="Arial" w:hAnsi="Arial"/>
                <w:sz w:val="18"/>
                <w:szCs w:val="18"/>
                <w:color w:val="auto"/>
              </w:rPr>
            </w:pPr>
            <w:hyperlink w:anchor="page284">
              <w:r>
                <w:rPr>
                  <w:rFonts w:ascii="Arial" w:cs="Arial" w:eastAsia="Arial" w:hAnsi="Arial"/>
                  <w:sz w:val="18"/>
                  <w:szCs w:val="18"/>
                  <w:color w:val="auto"/>
                </w:rPr>
                <w:t>USA PATRIOT Act; Anti-Money Laundering Laws</w:t>
              </w:r>
            </w:hyperlink>
          </w:p>
        </w:tc>
        <w:tc>
          <w:tcPr>
            <w:tcW w:w="1960" w:type="dxa"/>
            <w:vAlign w:val="bottom"/>
          </w:tcPr>
          <w:p>
            <w:pPr>
              <w:jc w:val="right"/>
              <w:spacing w:after="0"/>
              <w:rPr>
                <w:rFonts w:ascii="Arial" w:cs="Arial" w:eastAsia="Arial" w:hAnsi="Arial"/>
                <w:sz w:val="18"/>
                <w:szCs w:val="18"/>
                <w:color w:val="auto"/>
              </w:rPr>
            </w:pPr>
            <w:hyperlink w:anchor="page284">
              <w:r>
                <w:rPr>
                  <w:rFonts w:ascii="Arial" w:cs="Arial" w:eastAsia="Arial" w:hAnsi="Arial"/>
                  <w:sz w:val="18"/>
                  <w:szCs w:val="18"/>
                  <w:color w:val="auto"/>
                </w:rPr>
                <w:t>158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10.20</w:t>
            </w:r>
          </w:p>
        </w:tc>
        <w:tc>
          <w:tcPr>
            <w:tcW w:w="7180" w:type="dxa"/>
            <w:vAlign w:val="bottom"/>
          </w:tcPr>
          <w:p>
            <w:pPr>
              <w:ind w:left="300"/>
              <w:spacing w:after="0"/>
              <w:rPr>
                <w:rFonts w:ascii="Arial" w:cs="Arial" w:eastAsia="Arial" w:hAnsi="Arial"/>
                <w:sz w:val="18"/>
                <w:szCs w:val="18"/>
                <w:color w:val="auto"/>
              </w:rPr>
            </w:pPr>
            <w:hyperlink w:anchor="page284">
              <w:r>
                <w:rPr>
                  <w:rFonts w:ascii="Arial" w:cs="Arial" w:eastAsia="Arial" w:hAnsi="Arial"/>
                  <w:sz w:val="18"/>
                  <w:szCs w:val="18"/>
                  <w:color w:val="auto"/>
                </w:rPr>
                <w:t>No Advisory or Fiduciary Responsibility</w:t>
              </w:r>
            </w:hyperlink>
          </w:p>
        </w:tc>
        <w:tc>
          <w:tcPr>
            <w:tcW w:w="1960" w:type="dxa"/>
            <w:vAlign w:val="bottom"/>
          </w:tcPr>
          <w:p>
            <w:pPr>
              <w:jc w:val="right"/>
              <w:spacing w:after="0"/>
              <w:rPr>
                <w:rFonts w:ascii="Arial" w:cs="Arial" w:eastAsia="Arial" w:hAnsi="Arial"/>
                <w:sz w:val="18"/>
                <w:szCs w:val="18"/>
                <w:color w:val="auto"/>
              </w:rPr>
            </w:pPr>
            <w:hyperlink w:anchor="page284">
              <w:r>
                <w:rPr>
                  <w:rFonts w:ascii="Arial" w:cs="Arial" w:eastAsia="Arial" w:hAnsi="Arial"/>
                  <w:sz w:val="18"/>
                  <w:szCs w:val="18"/>
                  <w:color w:val="auto"/>
                </w:rPr>
                <w:t>158</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10.21</w:t>
            </w:r>
          </w:p>
        </w:tc>
        <w:tc>
          <w:tcPr>
            <w:tcW w:w="7180" w:type="dxa"/>
            <w:vAlign w:val="bottom"/>
          </w:tcPr>
          <w:p>
            <w:pPr>
              <w:ind w:left="300"/>
              <w:spacing w:after="0"/>
              <w:rPr>
                <w:rFonts w:ascii="Arial" w:cs="Arial" w:eastAsia="Arial" w:hAnsi="Arial"/>
                <w:sz w:val="18"/>
                <w:szCs w:val="18"/>
                <w:color w:val="auto"/>
              </w:rPr>
            </w:pPr>
            <w:hyperlink w:anchor="page285">
              <w:r>
                <w:rPr>
                  <w:rFonts w:ascii="Arial" w:cs="Arial" w:eastAsia="Arial" w:hAnsi="Arial"/>
                  <w:sz w:val="18"/>
                  <w:szCs w:val="18"/>
                  <w:color w:val="auto"/>
                </w:rPr>
                <w:t>Intercreditor Agreement</w:t>
              </w:r>
            </w:hyperlink>
          </w:p>
        </w:tc>
        <w:tc>
          <w:tcPr>
            <w:tcW w:w="1960" w:type="dxa"/>
            <w:vAlign w:val="bottom"/>
          </w:tcPr>
          <w:p>
            <w:pPr>
              <w:jc w:val="right"/>
              <w:spacing w:after="0"/>
              <w:rPr>
                <w:rFonts w:ascii="Arial" w:cs="Arial" w:eastAsia="Arial" w:hAnsi="Arial"/>
                <w:sz w:val="18"/>
                <w:szCs w:val="18"/>
                <w:color w:val="auto"/>
              </w:rPr>
            </w:pPr>
            <w:hyperlink w:anchor="page285">
              <w:r>
                <w:rPr>
                  <w:rFonts w:ascii="Arial" w:cs="Arial" w:eastAsia="Arial" w:hAnsi="Arial"/>
                  <w:sz w:val="18"/>
                  <w:szCs w:val="18"/>
                  <w:color w:val="auto"/>
                </w:rPr>
                <w:t>159</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10.22</w:t>
            </w:r>
          </w:p>
        </w:tc>
        <w:tc>
          <w:tcPr>
            <w:tcW w:w="7180" w:type="dxa"/>
            <w:vAlign w:val="bottom"/>
          </w:tcPr>
          <w:p>
            <w:pPr>
              <w:ind w:left="300"/>
              <w:spacing w:after="0"/>
              <w:rPr>
                <w:rFonts w:ascii="Arial" w:cs="Arial" w:eastAsia="Arial" w:hAnsi="Arial"/>
                <w:sz w:val="18"/>
                <w:szCs w:val="18"/>
                <w:color w:val="auto"/>
              </w:rPr>
            </w:pPr>
            <w:hyperlink w:anchor="page285">
              <w:r>
                <w:rPr>
                  <w:rFonts w:ascii="Arial" w:cs="Arial" w:eastAsia="Arial" w:hAnsi="Arial"/>
                  <w:sz w:val="18"/>
                  <w:szCs w:val="18"/>
                  <w:color w:val="auto"/>
                </w:rPr>
                <w:t>Company as Agent for the Borrowers</w:t>
              </w:r>
            </w:hyperlink>
          </w:p>
        </w:tc>
        <w:tc>
          <w:tcPr>
            <w:tcW w:w="1960" w:type="dxa"/>
            <w:vAlign w:val="bottom"/>
          </w:tcPr>
          <w:p>
            <w:pPr>
              <w:jc w:val="right"/>
              <w:spacing w:after="0"/>
              <w:rPr>
                <w:rFonts w:ascii="Arial" w:cs="Arial" w:eastAsia="Arial" w:hAnsi="Arial"/>
                <w:sz w:val="18"/>
                <w:szCs w:val="18"/>
                <w:color w:val="auto"/>
              </w:rPr>
            </w:pPr>
            <w:hyperlink w:anchor="page285">
              <w:r>
                <w:rPr>
                  <w:rFonts w:ascii="Arial" w:cs="Arial" w:eastAsia="Arial" w:hAnsi="Arial"/>
                  <w:sz w:val="18"/>
                  <w:szCs w:val="18"/>
                  <w:color w:val="auto"/>
                </w:rPr>
                <w:t>159</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10.23</w:t>
            </w:r>
          </w:p>
        </w:tc>
        <w:tc>
          <w:tcPr>
            <w:tcW w:w="7180" w:type="dxa"/>
            <w:vAlign w:val="bottom"/>
          </w:tcPr>
          <w:p>
            <w:pPr>
              <w:ind w:left="300"/>
              <w:spacing w:after="0"/>
              <w:rPr>
                <w:rFonts w:ascii="Arial" w:cs="Arial" w:eastAsia="Arial" w:hAnsi="Arial"/>
                <w:sz w:val="18"/>
                <w:szCs w:val="18"/>
                <w:color w:val="auto"/>
              </w:rPr>
            </w:pPr>
            <w:hyperlink w:anchor="page286">
              <w:r>
                <w:rPr>
                  <w:rFonts w:ascii="Arial" w:cs="Arial" w:eastAsia="Arial" w:hAnsi="Arial"/>
                  <w:sz w:val="18"/>
                  <w:szCs w:val="18"/>
                  <w:color w:val="auto"/>
                </w:rPr>
                <w:t>Acknowledgement and Consent to Bail-In of EEA Financial Institutions</w:t>
              </w:r>
            </w:hyperlink>
          </w:p>
        </w:tc>
        <w:tc>
          <w:tcPr>
            <w:tcW w:w="1960" w:type="dxa"/>
            <w:vAlign w:val="bottom"/>
          </w:tcPr>
          <w:p>
            <w:pPr>
              <w:jc w:val="right"/>
              <w:spacing w:after="0"/>
              <w:rPr>
                <w:rFonts w:ascii="Arial" w:cs="Arial" w:eastAsia="Arial" w:hAnsi="Arial"/>
                <w:sz w:val="18"/>
                <w:szCs w:val="18"/>
                <w:color w:val="auto"/>
              </w:rPr>
            </w:pPr>
            <w:hyperlink w:anchor="page286">
              <w:r>
                <w:rPr>
                  <w:rFonts w:ascii="Arial" w:cs="Arial" w:eastAsia="Arial" w:hAnsi="Arial"/>
                  <w:sz w:val="18"/>
                  <w:szCs w:val="18"/>
                  <w:color w:val="auto"/>
                </w:rPr>
                <w:t>160</w:t>
              </w:r>
            </w:hyperlink>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Section 10.24</w:t>
            </w:r>
          </w:p>
        </w:tc>
        <w:tc>
          <w:tcPr>
            <w:tcW w:w="7180" w:type="dxa"/>
            <w:vAlign w:val="bottom"/>
          </w:tcPr>
          <w:p>
            <w:pPr>
              <w:ind w:left="300"/>
              <w:spacing w:after="0"/>
              <w:rPr>
                <w:rFonts w:ascii="Arial" w:cs="Arial" w:eastAsia="Arial" w:hAnsi="Arial"/>
                <w:sz w:val="18"/>
                <w:szCs w:val="18"/>
                <w:color w:val="auto"/>
              </w:rPr>
            </w:pPr>
            <w:hyperlink w:anchor="page286">
              <w:r>
                <w:rPr>
                  <w:rFonts w:ascii="Arial" w:cs="Arial" w:eastAsia="Arial" w:hAnsi="Arial"/>
                  <w:sz w:val="18"/>
                  <w:szCs w:val="18"/>
                  <w:color w:val="auto"/>
                </w:rPr>
                <w:t>Amendment and Restatement; No Novation</w:t>
              </w:r>
            </w:hyperlink>
          </w:p>
        </w:tc>
        <w:tc>
          <w:tcPr>
            <w:tcW w:w="1960" w:type="dxa"/>
            <w:vAlign w:val="bottom"/>
          </w:tcPr>
          <w:p>
            <w:pPr>
              <w:jc w:val="right"/>
              <w:spacing w:after="0"/>
              <w:rPr>
                <w:rFonts w:ascii="Arial" w:cs="Arial" w:eastAsia="Arial" w:hAnsi="Arial"/>
                <w:sz w:val="18"/>
                <w:szCs w:val="18"/>
                <w:color w:val="auto"/>
              </w:rPr>
            </w:pPr>
            <w:hyperlink w:anchor="page286">
              <w:r>
                <w:rPr>
                  <w:rFonts w:ascii="Arial" w:cs="Arial" w:eastAsia="Arial" w:hAnsi="Arial"/>
                  <w:sz w:val="18"/>
                  <w:szCs w:val="18"/>
                  <w:color w:val="auto"/>
                </w:rPr>
                <w:t>160</w:t>
              </w:r>
            </w:hyperlink>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00"/>
          </w:cols>
          <w:pgMar w:left="240" w:top="530" w:right="25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SCHEDULES</w:t>
      </w: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1.01A</w:t>
            </w:r>
          </w:p>
        </w:tc>
        <w:tc>
          <w:tcPr>
            <w:tcW w:w="5180" w:type="dxa"/>
            <w:vAlign w:val="bottom"/>
          </w:tcPr>
          <w:p>
            <w:pPr>
              <w:ind w:left="740"/>
              <w:spacing w:after="0"/>
              <w:rPr>
                <w:rFonts w:ascii="Arial" w:cs="Arial" w:eastAsia="Arial" w:hAnsi="Arial"/>
                <w:sz w:val="18"/>
                <w:szCs w:val="18"/>
                <w:color w:val="auto"/>
              </w:rPr>
            </w:pPr>
            <w:hyperlink w:anchor="page309">
              <w:r>
                <w:rPr>
                  <w:rFonts w:ascii="Arial" w:cs="Arial" w:eastAsia="Arial" w:hAnsi="Arial"/>
                  <w:sz w:val="18"/>
                  <w:szCs w:val="18"/>
                  <w:color w:val="auto"/>
                </w:rPr>
                <w:t>Excluded Assets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1.01B</w:t>
            </w:r>
          </w:p>
        </w:tc>
        <w:tc>
          <w:tcPr>
            <w:tcW w:w="5180" w:type="dxa"/>
            <w:vAlign w:val="bottom"/>
          </w:tcPr>
          <w:p>
            <w:pPr>
              <w:ind w:left="740"/>
              <w:spacing w:after="0"/>
              <w:rPr>
                <w:rFonts w:ascii="Arial" w:cs="Arial" w:eastAsia="Arial" w:hAnsi="Arial"/>
                <w:sz w:val="18"/>
                <w:szCs w:val="18"/>
                <w:color w:val="auto"/>
              </w:rPr>
            </w:pPr>
            <w:hyperlink w:anchor="page310">
              <w:r>
                <w:rPr>
                  <w:rFonts w:ascii="Arial" w:cs="Arial" w:eastAsia="Arial" w:hAnsi="Arial"/>
                  <w:sz w:val="18"/>
                  <w:szCs w:val="18"/>
                  <w:color w:val="auto"/>
                </w:rPr>
                <w:t>Excluded Real Property</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1.01C</w:t>
            </w:r>
          </w:p>
        </w:tc>
        <w:tc>
          <w:tcPr>
            <w:tcW w:w="5180" w:type="dxa"/>
            <w:vAlign w:val="bottom"/>
          </w:tcPr>
          <w:p>
            <w:pPr>
              <w:ind w:left="740"/>
              <w:spacing w:after="0"/>
              <w:rPr>
                <w:rFonts w:ascii="Arial" w:cs="Arial" w:eastAsia="Arial" w:hAnsi="Arial"/>
                <w:sz w:val="18"/>
                <w:szCs w:val="18"/>
                <w:color w:val="auto"/>
              </w:rPr>
            </w:pPr>
            <w:hyperlink w:anchor="page311">
              <w:r>
                <w:rPr>
                  <w:rFonts w:ascii="Arial" w:cs="Arial" w:eastAsia="Arial" w:hAnsi="Arial"/>
                  <w:sz w:val="18"/>
                  <w:szCs w:val="18"/>
                  <w:color w:val="auto"/>
                </w:rPr>
                <w:t>Existing Letters of Credit</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1.01D</w:t>
            </w:r>
          </w:p>
        </w:tc>
        <w:tc>
          <w:tcPr>
            <w:tcW w:w="5180" w:type="dxa"/>
            <w:vAlign w:val="bottom"/>
          </w:tcPr>
          <w:p>
            <w:pPr>
              <w:ind w:left="740"/>
              <w:spacing w:after="0"/>
              <w:rPr>
                <w:rFonts w:ascii="Arial" w:cs="Arial" w:eastAsia="Arial" w:hAnsi="Arial"/>
                <w:sz w:val="18"/>
                <w:szCs w:val="18"/>
                <w:color w:val="auto"/>
              </w:rPr>
            </w:pPr>
            <w:hyperlink w:anchor="page312">
              <w:r>
                <w:rPr>
                  <w:rFonts w:ascii="Arial" w:cs="Arial" w:eastAsia="Arial" w:hAnsi="Arial"/>
                  <w:sz w:val="18"/>
                  <w:szCs w:val="18"/>
                  <w:color w:val="auto"/>
                </w:rPr>
                <w:t>Foreign Subsidiaries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1.01E</w:t>
            </w:r>
          </w:p>
        </w:tc>
        <w:tc>
          <w:tcPr>
            <w:tcW w:w="5180" w:type="dxa"/>
            <w:vAlign w:val="bottom"/>
          </w:tcPr>
          <w:p>
            <w:pPr>
              <w:ind w:left="740"/>
              <w:spacing w:after="0"/>
              <w:rPr>
                <w:rFonts w:ascii="Arial" w:cs="Arial" w:eastAsia="Arial" w:hAnsi="Arial"/>
                <w:sz w:val="18"/>
                <w:szCs w:val="18"/>
                <w:color w:val="auto"/>
              </w:rPr>
            </w:pPr>
            <w:hyperlink w:anchor="page313">
              <w:r>
                <w:rPr>
                  <w:rFonts w:ascii="Arial" w:cs="Arial" w:eastAsia="Arial" w:hAnsi="Arial"/>
                  <w:sz w:val="18"/>
                  <w:szCs w:val="18"/>
                  <w:color w:val="auto"/>
                </w:rPr>
                <w:t>Certain Restaurant L.P.'s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2.01</w:t>
            </w:r>
          </w:p>
        </w:tc>
        <w:tc>
          <w:tcPr>
            <w:tcW w:w="5180" w:type="dxa"/>
            <w:vAlign w:val="bottom"/>
          </w:tcPr>
          <w:p>
            <w:pPr>
              <w:ind w:left="740"/>
              <w:spacing w:after="0"/>
              <w:rPr>
                <w:rFonts w:ascii="Arial" w:cs="Arial" w:eastAsia="Arial" w:hAnsi="Arial"/>
                <w:sz w:val="18"/>
                <w:szCs w:val="18"/>
                <w:color w:val="auto"/>
              </w:rPr>
            </w:pPr>
            <w:hyperlink w:anchor="page314">
              <w:r>
                <w:rPr>
                  <w:rFonts w:ascii="Arial" w:cs="Arial" w:eastAsia="Arial" w:hAnsi="Arial"/>
                  <w:sz w:val="18"/>
                  <w:szCs w:val="18"/>
                  <w:color w:val="auto"/>
                </w:rPr>
                <w:t>Commitments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5.06</w:t>
            </w:r>
          </w:p>
        </w:tc>
        <w:tc>
          <w:tcPr>
            <w:tcW w:w="5180" w:type="dxa"/>
            <w:vAlign w:val="bottom"/>
          </w:tcPr>
          <w:p>
            <w:pPr>
              <w:ind w:left="740"/>
              <w:spacing w:after="0"/>
              <w:rPr>
                <w:rFonts w:ascii="Arial" w:cs="Arial" w:eastAsia="Arial" w:hAnsi="Arial"/>
                <w:sz w:val="18"/>
                <w:szCs w:val="18"/>
                <w:color w:val="auto"/>
              </w:rPr>
            </w:pPr>
            <w:hyperlink w:anchor="page315">
              <w:r>
                <w:rPr>
                  <w:rFonts w:ascii="Arial" w:cs="Arial" w:eastAsia="Arial" w:hAnsi="Arial"/>
                  <w:sz w:val="18"/>
                  <w:szCs w:val="18"/>
                  <w:color w:val="auto"/>
                </w:rPr>
                <w:t>Certain Litigation</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5.12</w:t>
            </w:r>
          </w:p>
        </w:tc>
        <w:tc>
          <w:tcPr>
            <w:tcW w:w="5180" w:type="dxa"/>
            <w:vAlign w:val="bottom"/>
          </w:tcPr>
          <w:p>
            <w:pPr>
              <w:ind w:left="740"/>
              <w:spacing w:after="0"/>
              <w:rPr>
                <w:rFonts w:ascii="Arial" w:cs="Arial" w:eastAsia="Arial" w:hAnsi="Arial"/>
                <w:sz w:val="18"/>
                <w:szCs w:val="18"/>
                <w:color w:val="auto"/>
              </w:rPr>
            </w:pPr>
            <w:hyperlink w:anchor="page316">
              <w:r>
                <w:rPr>
                  <w:rFonts w:ascii="Arial" w:cs="Arial" w:eastAsia="Arial" w:hAnsi="Arial"/>
                  <w:sz w:val="18"/>
                  <w:szCs w:val="18"/>
                  <w:color w:val="auto"/>
                </w:rPr>
                <w:t>Subsidiaries and Other Equity Interests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7.01(b)</w:t>
            </w:r>
          </w:p>
        </w:tc>
        <w:tc>
          <w:tcPr>
            <w:tcW w:w="5180" w:type="dxa"/>
            <w:vAlign w:val="bottom"/>
          </w:tcPr>
          <w:p>
            <w:pPr>
              <w:ind w:left="740"/>
              <w:spacing w:after="0"/>
              <w:rPr>
                <w:rFonts w:ascii="Arial" w:cs="Arial" w:eastAsia="Arial" w:hAnsi="Arial"/>
                <w:sz w:val="18"/>
                <w:szCs w:val="18"/>
                <w:color w:val="auto"/>
              </w:rPr>
            </w:pPr>
            <w:hyperlink w:anchor="page327">
              <w:r>
                <w:rPr>
                  <w:rFonts w:ascii="Arial" w:cs="Arial" w:eastAsia="Arial" w:hAnsi="Arial"/>
                  <w:sz w:val="18"/>
                  <w:szCs w:val="18"/>
                  <w:color w:val="auto"/>
                </w:rPr>
                <w:t>Existing Liens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7.02(f)</w:t>
            </w:r>
          </w:p>
        </w:tc>
        <w:tc>
          <w:tcPr>
            <w:tcW w:w="5180" w:type="dxa"/>
            <w:vAlign w:val="bottom"/>
          </w:tcPr>
          <w:p>
            <w:pPr>
              <w:ind w:left="740"/>
              <w:spacing w:after="0"/>
              <w:rPr>
                <w:rFonts w:ascii="Arial" w:cs="Arial" w:eastAsia="Arial" w:hAnsi="Arial"/>
                <w:sz w:val="18"/>
                <w:szCs w:val="18"/>
                <w:color w:val="auto"/>
              </w:rPr>
            </w:pPr>
            <w:hyperlink w:anchor="page329">
              <w:r>
                <w:rPr>
                  <w:rFonts w:ascii="Arial" w:cs="Arial" w:eastAsia="Arial" w:hAnsi="Arial"/>
                  <w:sz w:val="18"/>
                  <w:szCs w:val="18"/>
                  <w:color w:val="auto"/>
                </w:rPr>
                <w:t>Existing Investments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7.03(b)</w:t>
            </w:r>
          </w:p>
        </w:tc>
        <w:tc>
          <w:tcPr>
            <w:tcW w:w="5180" w:type="dxa"/>
            <w:vAlign w:val="bottom"/>
          </w:tcPr>
          <w:p>
            <w:pPr>
              <w:ind w:left="740"/>
              <w:spacing w:after="0"/>
              <w:rPr>
                <w:rFonts w:ascii="Arial" w:cs="Arial" w:eastAsia="Arial" w:hAnsi="Arial"/>
                <w:sz w:val="18"/>
                <w:szCs w:val="18"/>
                <w:color w:val="auto"/>
              </w:rPr>
            </w:pPr>
            <w:hyperlink w:anchor="page331">
              <w:r>
                <w:rPr>
                  <w:rFonts w:ascii="Arial" w:cs="Arial" w:eastAsia="Arial" w:hAnsi="Arial"/>
                  <w:sz w:val="18"/>
                  <w:szCs w:val="18"/>
                  <w:color w:val="auto"/>
                </w:rPr>
                <w:t>Existing Indebtedness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7.08</w:t>
            </w:r>
          </w:p>
        </w:tc>
        <w:tc>
          <w:tcPr>
            <w:tcW w:w="5180" w:type="dxa"/>
            <w:vAlign w:val="bottom"/>
          </w:tcPr>
          <w:p>
            <w:pPr>
              <w:ind w:left="740"/>
              <w:spacing w:after="0"/>
              <w:rPr>
                <w:rFonts w:ascii="Arial" w:cs="Arial" w:eastAsia="Arial" w:hAnsi="Arial"/>
                <w:sz w:val="18"/>
                <w:szCs w:val="18"/>
                <w:color w:val="auto"/>
              </w:rPr>
            </w:pPr>
            <w:hyperlink w:anchor="page332">
              <w:r>
                <w:rPr>
                  <w:rFonts w:ascii="Arial" w:cs="Arial" w:eastAsia="Arial" w:hAnsi="Arial"/>
                  <w:sz w:val="18"/>
                  <w:szCs w:val="18"/>
                  <w:color w:val="auto"/>
                </w:rPr>
                <w:t>Transactions with Affiliates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7.09</w:t>
            </w:r>
          </w:p>
        </w:tc>
        <w:tc>
          <w:tcPr>
            <w:tcW w:w="5180" w:type="dxa"/>
            <w:vAlign w:val="bottom"/>
          </w:tcPr>
          <w:p>
            <w:pPr>
              <w:ind w:left="740"/>
              <w:spacing w:after="0"/>
              <w:rPr>
                <w:rFonts w:ascii="Arial" w:cs="Arial" w:eastAsia="Arial" w:hAnsi="Arial"/>
                <w:sz w:val="18"/>
                <w:szCs w:val="18"/>
                <w:color w:val="auto"/>
              </w:rPr>
            </w:pPr>
            <w:hyperlink w:anchor="page333">
              <w:r>
                <w:rPr>
                  <w:rFonts w:ascii="Arial" w:cs="Arial" w:eastAsia="Arial" w:hAnsi="Arial"/>
                  <w:sz w:val="18"/>
                  <w:szCs w:val="18"/>
                  <w:color w:val="auto"/>
                </w:rPr>
                <w:t>Existing Restrictions</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10.02</w:t>
            </w:r>
          </w:p>
        </w:tc>
        <w:tc>
          <w:tcPr>
            <w:tcW w:w="5180" w:type="dxa"/>
            <w:vAlign w:val="bottom"/>
          </w:tcPr>
          <w:p>
            <w:pPr>
              <w:ind w:left="740"/>
              <w:spacing w:after="0"/>
              <w:rPr>
                <w:rFonts w:ascii="Arial" w:cs="Arial" w:eastAsia="Arial" w:hAnsi="Arial"/>
                <w:sz w:val="18"/>
                <w:szCs w:val="18"/>
                <w:color w:val="auto"/>
                <w:w w:val="92"/>
              </w:rPr>
            </w:pPr>
            <w:hyperlink w:anchor="page334">
              <w:r>
                <w:rPr>
                  <w:rFonts w:ascii="Arial" w:cs="Arial" w:eastAsia="Arial" w:hAnsi="Arial"/>
                  <w:sz w:val="18"/>
                  <w:szCs w:val="18"/>
                  <w:color w:val="auto"/>
                  <w:w w:val="92"/>
                </w:rPr>
                <w:t>Administrative Agent’s Office, Certain Addresses for Notices</w:t>
              </w:r>
            </w:hyperlink>
          </w:p>
        </w:tc>
      </w:tr>
    </w:tbl>
    <w:p>
      <w:pPr>
        <w:spacing w:after="0" w:line="200" w:lineRule="exact"/>
        <w:rPr>
          <w:sz w:val="20"/>
          <w:szCs w:val="20"/>
          <w:color w:val="auto"/>
        </w:rPr>
      </w:pPr>
    </w:p>
    <w:p>
      <w:pPr>
        <w:spacing w:after="0" w:line="29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0219"/>
          </w:cols>
          <w:pgMar w:left="240" w:top="433" w:right="1440"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EXHIBITS</w:t>
      </w:r>
    </w:p>
    <w:p>
      <w:pPr>
        <w:spacing w:after="0" w:line="200" w:lineRule="exact"/>
        <w:rPr>
          <w:sz w:val="20"/>
          <w:szCs w:val="20"/>
          <w:color w:val="auto"/>
        </w:rPr>
      </w:pPr>
    </w:p>
    <w:p>
      <w:pPr>
        <w:spacing w:after="0" w:line="259"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Form of</w:t>
      </w:r>
    </w:p>
    <w:p>
      <w:pPr>
        <w:sectPr>
          <w:pgSz w:w="11900" w:h="16838" w:orient="portrait"/>
          <w:cols w:equalWidth="0" w:num="1">
            <w:col w:w="10219"/>
          </w:cols>
          <w:pgMar w:left="240" w:top="43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C-1</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C-2</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C-3</w:t>
      </w:r>
    </w:p>
    <w:p>
      <w:pPr>
        <w:spacing w:after="0" w:line="8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J-1</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J-2</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J-3</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J-4</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rFonts w:ascii="Arial" w:cs="Arial" w:eastAsia="Arial" w:hAnsi="Arial"/>
          <w:sz w:val="18"/>
          <w:szCs w:val="18"/>
          <w:color w:val="auto"/>
        </w:rPr>
      </w:pPr>
      <w:hyperlink w:anchor="page337">
        <w:r>
          <w:rPr>
            <w:rFonts w:ascii="Arial" w:cs="Arial" w:eastAsia="Arial" w:hAnsi="Arial"/>
            <w:sz w:val="18"/>
            <w:szCs w:val="18"/>
            <w:color w:val="auto"/>
          </w:rPr>
          <w:t>Committed Loan Notice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340">
        <w:r>
          <w:rPr>
            <w:rFonts w:ascii="Arial" w:cs="Arial" w:eastAsia="Arial" w:hAnsi="Arial"/>
            <w:sz w:val="18"/>
            <w:szCs w:val="18"/>
            <w:color w:val="auto"/>
          </w:rPr>
          <w:t>Swing Line Loan Notice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342">
        <w:r>
          <w:rPr>
            <w:rFonts w:ascii="Arial" w:cs="Arial" w:eastAsia="Arial" w:hAnsi="Arial"/>
            <w:sz w:val="18"/>
            <w:szCs w:val="18"/>
            <w:color w:val="auto"/>
          </w:rPr>
          <w:t>Term Note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345">
        <w:r>
          <w:rPr>
            <w:rFonts w:ascii="Arial" w:cs="Arial" w:eastAsia="Arial" w:hAnsi="Arial"/>
            <w:sz w:val="18"/>
            <w:szCs w:val="18"/>
            <w:color w:val="auto"/>
          </w:rPr>
          <w:t>Revolving Credit Note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349">
        <w:r>
          <w:rPr>
            <w:rFonts w:ascii="Arial" w:cs="Arial" w:eastAsia="Arial" w:hAnsi="Arial"/>
            <w:sz w:val="18"/>
            <w:szCs w:val="18"/>
            <w:color w:val="auto"/>
          </w:rPr>
          <w:t>Swing Line Note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353">
        <w:r>
          <w:rPr>
            <w:rFonts w:ascii="Arial" w:cs="Arial" w:eastAsia="Arial" w:hAnsi="Arial"/>
            <w:sz w:val="18"/>
            <w:szCs w:val="18"/>
            <w:color w:val="auto"/>
          </w:rPr>
          <w:t>Compliance Certificate</w:t>
        </w:r>
      </w:hyperlink>
    </w:p>
    <w:p>
      <w:pPr>
        <w:spacing w:after="0" w:line="63" w:lineRule="exact"/>
        <w:rPr>
          <w:sz w:val="20"/>
          <w:szCs w:val="20"/>
          <w:color w:val="auto"/>
        </w:rPr>
      </w:pPr>
    </w:p>
    <w:p>
      <w:pPr>
        <w:spacing w:after="0"/>
        <w:rPr>
          <w:rFonts w:ascii="Arial" w:cs="Arial" w:eastAsia="Arial" w:hAnsi="Arial"/>
          <w:sz w:val="16"/>
          <w:szCs w:val="16"/>
          <w:color w:val="auto"/>
        </w:rPr>
      </w:pPr>
      <w:hyperlink w:anchor="page360">
        <w:r>
          <w:rPr>
            <w:rFonts w:ascii="Arial" w:cs="Arial" w:eastAsia="Arial" w:hAnsi="Arial"/>
            <w:sz w:val="16"/>
            <w:szCs w:val="16"/>
            <w:color w:val="auto"/>
          </w:rPr>
          <w:t>Assignment and Assumption Agreement</w:t>
        </w:r>
      </w:hyperlink>
    </w:p>
    <w:p>
      <w:pPr>
        <w:spacing w:after="0" w:line="86" w:lineRule="exact"/>
        <w:rPr>
          <w:sz w:val="20"/>
          <w:szCs w:val="20"/>
          <w:color w:val="auto"/>
        </w:rPr>
      </w:pPr>
    </w:p>
    <w:p>
      <w:pPr>
        <w:spacing w:after="0"/>
        <w:rPr>
          <w:rFonts w:ascii="Arial" w:cs="Arial" w:eastAsia="Arial" w:hAnsi="Arial"/>
          <w:sz w:val="18"/>
          <w:szCs w:val="18"/>
          <w:color w:val="auto"/>
        </w:rPr>
      </w:pPr>
      <w:hyperlink w:anchor="page366">
        <w:r>
          <w:rPr>
            <w:rFonts w:ascii="Arial" w:cs="Arial" w:eastAsia="Arial" w:hAnsi="Arial"/>
            <w:sz w:val="18"/>
            <w:szCs w:val="18"/>
            <w:color w:val="auto"/>
          </w:rPr>
          <w:t>Guaranty</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400">
        <w:r>
          <w:rPr>
            <w:rFonts w:ascii="Arial" w:cs="Arial" w:eastAsia="Arial" w:hAnsi="Arial"/>
            <w:sz w:val="18"/>
            <w:szCs w:val="18"/>
            <w:color w:val="auto"/>
          </w:rPr>
          <w:t>Security Agreement</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478">
        <w:r>
          <w:rPr>
            <w:rFonts w:ascii="Arial" w:cs="Arial" w:eastAsia="Arial" w:hAnsi="Arial"/>
            <w:sz w:val="18"/>
            <w:szCs w:val="18"/>
            <w:color w:val="auto"/>
          </w:rPr>
          <w:t>Intercompany Note</w:t>
        </w:r>
      </w:hyperlink>
    </w:p>
    <w:p>
      <w:pPr>
        <w:spacing w:after="0" w:line="63" w:lineRule="exact"/>
        <w:rPr>
          <w:sz w:val="20"/>
          <w:szCs w:val="20"/>
          <w:color w:val="auto"/>
        </w:rPr>
      </w:pPr>
    </w:p>
    <w:p>
      <w:pPr>
        <w:spacing w:after="0"/>
        <w:rPr>
          <w:rFonts w:ascii="Arial" w:cs="Arial" w:eastAsia="Arial" w:hAnsi="Arial"/>
          <w:sz w:val="18"/>
          <w:szCs w:val="18"/>
          <w:color w:val="auto"/>
        </w:rPr>
      </w:pPr>
      <w:hyperlink w:anchor="page482">
        <w:r>
          <w:rPr>
            <w:rFonts w:ascii="Arial" w:cs="Arial" w:eastAsia="Arial" w:hAnsi="Arial"/>
            <w:sz w:val="18"/>
            <w:szCs w:val="18"/>
            <w:color w:val="auto"/>
          </w:rPr>
          <w:t>First Lien Intercreditor Agreement</w:t>
        </w:r>
      </w:hyperlink>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Form of U.S. Tax Compliance Certificate</w:t>
      </w:r>
    </w:p>
    <w:p>
      <w:pPr>
        <w:spacing w:after="0" w:line="222" w:lineRule="exact"/>
        <w:rPr>
          <w:sz w:val="20"/>
          <w:szCs w:val="20"/>
          <w:color w:val="auto"/>
        </w:rPr>
      </w:pPr>
    </w:p>
    <w:p>
      <w:pPr>
        <w:sectPr>
          <w:pgSz w:w="11900" w:h="16838" w:orient="portrait"/>
          <w:cols w:equalWidth="0" w:num="2">
            <w:col w:w="2240" w:space="720"/>
            <w:col w:w="7259"/>
          </w:cols>
          <w:pgMar w:left="240" w:top="433" w:right="1440" w:bottom="1440" w:gutter="0" w:footer="0" w:header="0"/>
          <w:type w:val="continuous"/>
        </w:sectPr>
      </w:pPr>
    </w:p>
    <w:p>
      <w:pPr>
        <w:spacing w:after="0" w:line="3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433" w:right="1440"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95159948_7</w:t>
      </w:r>
    </w:p>
    <w:p>
      <w:pPr>
        <w:sectPr>
          <w:pgSz w:w="11900" w:h="16838" w:orient="portrait"/>
          <w:cols w:equalWidth="0" w:num="1">
            <w:col w:w="10219"/>
          </w:cols>
          <w:pgMar w:left="240" w:top="433" w:right="1440" w:bottom="1440" w:gutter="0" w:footer="0" w:header="0"/>
          <w:type w:val="continuous"/>
        </w:sectPr>
      </w:pPr>
    </w:p>
    <w:bookmarkStart w:id="126" w:name="page127"/>
    <w:bookmarkEnd w:id="126"/>
    <w:p>
      <w:pPr>
        <w:ind w:left="2080"/>
        <w:spacing w:after="0"/>
        <w:rPr>
          <w:sz w:val="20"/>
          <w:szCs w:val="20"/>
          <w:color w:val="auto"/>
        </w:rPr>
      </w:pPr>
      <w:r>
        <w:rPr>
          <w:rFonts w:ascii="Arial" w:cs="Arial" w:eastAsia="Arial" w:hAnsi="Arial"/>
          <w:sz w:val="20"/>
          <w:szCs w:val="20"/>
          <w:b w:val="1"/>
          <w:bCs w:val="1"/>
          <w:u w:val="single" w:color="auto"/>
          <w:color w:val="auto"/>
        </w:rPr>
        <w:t>AMENDED AND RESTATED CREDIT AGREEMENT</w:t>
      </w:r>
    </w:p>
    <w:p>
      <w:pPr>
        <w:spacing w:after="0" w:line="222"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This AMENDED AND RESTATED CREDIT AGREEMENT is entered into as of November 30, 2017, among OSI RESTAURANT PARTNERS, LLC, a Delaware limited liability company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WELLS FARGO BANK, NATIONAL ASSOCIATION, as Administrative Agent, Swing Line Lender and an L/C Issuer and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195" w:lineRule="exact"/>
        <w:rPr>
          <w:sz w:val="20"/>
          <w:szCs w:val="20"/>
          <w:color w:val="auto"/>
        </w:rPr>
      </w:pPr>
    </w:p>
    <w:p>
      <w:pPr>
        <w:jc w:val="center"/>
        <w:ind w:left="1260"/>
        <w:spacing w:after="0"/>
        <w:rPr>
          <w:sz w:val="20"/>
          <w:szCs w:val="20"/>
          <w:color w:val="auto"/>
        </w:rPr>
      </w:pPr>
      <w:r>
        <w:rPr>
          <w:rFonts w:ascii="Arial" w:cs="Arial" w:eastAsia="Arial" w:hAnsi="Arial"/>
          <w:sz w:val="20"/>
          <w:szCs w:val="20"/>
          <w:u w:val="single" w:color="auto"/>
          <w:color w:val="auto"/>
        </w:rPr>
        <w:t>PRELIMINARY STATEMENTS</w:t>
      </w:r>
    </w:p>
    <w:p>
      <w:pPr>
        <w:spacing w:after="0" w:line="21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OSI, Wells Fargo Bank, National Association (successor via assignment to Deutsche Bank Trust Company Americas), as administrative agent and collateral agent, and the lenders from time to time party thereto, entered into that certain Credit Agreement, dated as of October 26, 2012 (as amended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8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The Lenders have indicated their willingness to lend, and the L/C Issuers have indicated their willingness to issue (or continue hereunder) Letters of Credit, in each case, on the terms and subject to the conditions set forth herein.</w:t>
      </w:r>
    </w:p>
    <w:p>
      <w:pPr>
        <w:spacing w:after="0" w:line="190" w:lineRule="exact"/>
        <w:rPr>
          <w:sz w:val="20"/>
          <w:szCs w:val="20"/>
          <w:color w:val="auto"/>
        </w:rPr>
      </w:pPr>
    </w:p>
    <w:p>
      <w:pPr>
        <w:jc w:val="both"/>
        <w:ind w:left="280" w:firstLine="648"/>
        <w:spacing w:after="0" w:line="287" w:lineRule="auto"/>
        <w:rPr>
          <w:sz w:val="20"/>
          <w:szCs w:val="20"/>
          <w:color w:val="auto"/>
        </w:rPr>
      </w:pPr>
      <w:r>
        <w:rPr>
          <w:rFonts w:ascii="Arial" w:cs="Arial" w:eastAsia="Arial" w:hAnsi="Arial"/>
          <w:sz w:val="19"/>
          <w:szCs w:val="19"/>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consideration of the mutual covenants and agreements herein contained, the parties hereto hereby agree to amend and restate the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Existing Credit Agreement as follows:</w:t>
      </w:r>
    </w:p>
    <w:p>
      <w:pPr>
        <w:spacing w:after="0" w:line="200"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Definitions and Accounting Terms</w:t>
      </w:r>
    </w:p>
    <w:p>
      <w:pPr>
        <w:spacing w:after="0" w:line="216"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Additional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Additional Refinancing Lender</w:t>
      </w:r>
      <w:r>
        <w:rPr>
          <w:rFonts w:ascii="Arial" w:cs="Arial" w:eastAsia="Arial" w:hAnsi="Arial"/>
          <w:sz w:val="19"/>
          <w:szCs w:val="19"/>
          <w:color w:val="auto"/>
        </w:rPr>
        <w:t xml:space="preserve">” means, at any time, any bank, financial institution or other institutional lender or investor that, in any case, is not an existing Lender and that agrees to provide any portion of Credit Agreement Refinancing Indebtedness pursuant to a Refinancing Amendment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Additional Refinancing Lender shall be subject to the approval of the Administrative Agent, such approval not to be unreasonably withheld or delayed, to the extent that any such consent would be required from the Administrative Agent under </w:t>
      </w:r>
      <w:r>
        <w:rPr>
          <w:rFonts w:ascii="Arial" w:cs="Arial" w:eastAsia="Arial" w:hAnsi="Arial"/>
          <w:sz w:val="19"/>
          <w:szCs w:val="19"/>
          <w:u w:val="single" w:color="auto"/>
          <w:color w:val="auto"/>
        </w:rPr>
        <w:t>Section 10.07(b)(i)(B)</w:t>
      </w:r>
      <w:r>
        <w:rPr>
          <w:rFonts w:ascii="Arial" w:cs="Arial" w:eastAsia="Arial" w:hAnsi="Arial"/>
          <w:sz w:val="19"/>
          <w:szCs w:val="19"/>
          <w:color w:val="auto"/>
        </w:rPr>
        <w:t xml:space="preserve"> for an assignment of Loans to such Additional Refinancing Lender and in the case of Other Revolving Credit Commitments with respect to the Revolving Credit Facility, the Swing Line Lender and each L/C Issuer, solely to the extent such consent would be required for any assignment to such Lender.</w:t>
      </w:r>
    </w:p>
    <w:p>
      <w:pPr>
        <w:spacing w:after="0" w:line="173"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Administrative Agent</w:t>
      </w:r>
      <w:r>
        <w:rPr>
          <w:rFonts w:ascii="Arial" w:cs="Arial" w:eastAsia="Arial" w:hAnsi="Arial"/>
          <w:sz w:val="20"/>
          <w:szCs w:val="20"/>
          <w:color w:val="auto"/>
        </w:rPr>
        <w:t>” means Wells Fargo, in its capacity as administrative agent under any of the Loan Documents, or any successor administrative agent. Unless the context otherwise requires, the</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27" w:name="page128"/>
    <w:bookmarkEnd w:id="127"/>
    <w:p>
      <w:pPr>
        <w:ind w:left="280"/>
        <w:spacing w:after="0"/>
        <w:rPr>
          <w:sz w:val="20"/>
          <w:szCs w:val="20"/>
          <w:color w:val="auto"/>
        </w:rPr>
      </w:pPr>
      <w:r>
        <w:rPr>
          <w:rFonts w:ascii="Arial" w:cs="Arial" w:eastAsia="Arial" w:hAnsi="Arial"/>
          <w:sz w:val="20"/>
          <w:szCs w:val="20"/>
          <w:color w:val="auto"/>
        </w:rPr>
        <w:t>term “Administrative Agent” as used herein and in the other Loan Documents shall include the Collateral Agent.</w:t>
      </w:r>
    </w:p>
    <w:p>
      <w:pPr>
        <w:spacing w:after="0" w:line="223"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Administrative Agent’s Office</w:t>
      </w:r>
      <w:r>
        <w:rPr>
          <w:rFonts w:ascii="Arial" w:cs="Arial" w:eastAsia="Arial" w:hAnsi="Arial"/>
          <w:sz w:val="20"/>
          <w:szCs w:val="20"/>
          <w:color w:val="auto"/>
        </w:rPr>
        <w:t xml:space="preserve">” means the Administrative Agent’s address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as the Administrative Agent may from time to time notify the Borrowers and the Lenders.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41" w:lineRule="exact"/>
        <w:rPr>
          <w:sz w:val="20"/>
          <w:szCs w:val="20"/>
          <w:color w:val="auto"/>
        </w:rPr>
      </w:pPr>
    </w:p>
    <w:p>
      <w:pPr>
        <w:jc w:val="both"/>
        <w:ind w:left="280"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means, with respect to any Person, another Person that directly, or indirectly through one or more intermediaries, Controls or is Controlled by or is under common Control with the Person specified.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66"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Agent-Related Distress Event</w:t>
      </w:r>
      <w:r>
        <w:rPr>
          <w:rFonts w:ascii="Arial" w:cs="Arial" w:eastAsia="Arial" w:hAnsi="Arial"/>
          <w:sz w:val="20"/>
          <w:szCs w:val="20"/>
          <w:color w:val="auto"/>
        </w:rPr>
        <w:t>” means, with respect to the Administrative Agent or any Person that directly or indirectly Controls the Administrative Agent (each, a “</w:t>
      </w:r>
      <w:r>
        <w:rPr>
          <w:rFonts w:ascii="Arial" w:cs="Arial" w:eastAsia="Arial" w:hAnsi="Arial"/>
          <w:sz w:val="20"/>
          <w:szCs w:val="20"/>
          <w:u w:val="single" w:color="auto"/>
          <w:color w:val="auto"/>
        </w:rPr>
        <w:t>Distressed Agent-Related Person</w:t>
      </w:r>
      <w:r>
        <w:rPr>
          <w:rFonts w:ascii="Arial" w:cs="Arial" w:eastAsia="Arial" w:hAnsi="Arial"/>
          <w:sz w:val="20"/>
          <w:szCs w:val="20"/>
          <w:color w:val="auto"/>
        </w:rPr>
        <w:t xml:space="preserve">”), a voluntary or involuntary case with respect to such Distressed Agent-Related Person under any Debtor Relief Law,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 Agent-Related Distress Event shall not be deemed to have occurred solely by virtue of the ownership or acquisition of any Equity Interests in the Administrative Agent or any Person that directly or indirectly Controls the Administrative Agent by a Governmental Authority or an instrumentality thereof.</w:t>
      </w:r>
    </w:p>
    <w:p>
      <w:pPr>
        <w:spacing w:after="0" w:line="200"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Agent-Related Persons</w:t>
      </w:r>
      <w:r>
        <w:rPr>
          <w:rFonts w:ascii="Arial" w:cs="Arial" w:eastAsia="Arial" w:hAnsi="Arial"/>
          <w:sz w:val="20"/>
          <w:szCs w:val="20"/>
          <w:color w:val="auto"/>
        </w:rPr>
        <w:t>” means each Agent and each Joint Lead Arranger, together with its respective Affiliates, and the officers, directors, employees, agents and attorneys-in-fact of such Person and its Affiliates.</w:t>
      </w:r>
    </w:p>
    <w:p>
      <w:pPr>
        <w:spacing w:after="0" w:line="164"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Agents</w:t>
      </w:r>
      <w:r>
        <w:rPr>
          <w:rFonts w:ascii="Arial" w:cs="Arial" w:eastAsia="Arial" w:hAnsi="Arial"/>
          <w:sz w:val="20"/>
          <w:szCs w:val="20"/>
          <w:color w:val="auto"/>
        </w:rPr>
        <w:t>” means, collectively, the Administrative Agent, the Collateral Agent, the Co- Syndication Agents, the Co-Documentation Agents and the Supplemental Administrative Agents (if any).</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 means this Amended and Restated Credit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AICPA</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6.01(a)</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All-In Yield</w:t>
      </w:r>
      <w:r>
        <w:rPr>
          <w:rFonts w:ascii="Arial" w:cs="Arial" w:eastAsia="Arial" w:hAnsi="Arial"/>
          <w:sz w:val="20"/>
          <w:szCs w:val="20"/>
          <w:color w:val="auto"/>
        </w:rPr>
        <w:t xml:space="preserve">” means, as to any Indebtedness, the yield thereof, whether in the form of interest rate margins, original issue discount, upfront fees, a Eurocurrency Rate or Base Rate floor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original issue discount and upfront fees shall be equated to interest rate assuming a 4-year life to maturity (or, if less, the stated life to maturity at the time of its incurrence of the applicable Indebtedness), and the amount of any upfront fees for purposes of the calculation of the “All-In Yield” shall be the weighted average of all such fees paid to the applicable Lenders;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“All-In Yield” shall not include arrangement, structuring, commitment, underwriting or other similar fees.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28" w:name="page129"/>
    <w:bookmarkEnd w:id="128"/>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Anti-Corruption Laws</w:t>
      </w:r>
      <w:r>
        <w:rPr>
          <w:rFonts w:ascii="Arial" w:cs="Arial" w:eastAsia="Arial" w:hAnsi="Arial"/>
          <w:sz w:val="20"/>
          <w:szCs w:val="20"/>
          <w:color w:val="auto"/>
        </w:rPr>
        <w:t>” means all laws, rules, and regulations of any jurisdiction from time to time concerning or relating to bribery or corruption applicable to the Company or any of its Subsidiaries by virtue of such Person being organized or operating in such jurisdiction.</w:t>
      </w:r>
    </w:p>
    <w:p>
      <w:pPr>
        <w:spacing w:after="0" w:line="178"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Anti-Money Laundering Laws</w:t>
      </w:r>
      <w:r>
        <w:rPr>
          <w:rFonts w:ascii="Arial" w:cs="Arial" w:eastAsia="Arial" w:hAnsi="Arial"/>
          <w:sz w:val="20"/>
          <w:szCs w:val="20"/>
          <w:color w:val="auto"/>
        </w:rPr>
        <w:t>” means any and all laws, statutes, regulations or obligatory government orders, decrees, ordinances or rules applicable to the Company or its Subsidiaries related to terrorism financing or money laundering, including any applicable provision of the Act and The Currency and Foreign Transactions Reporting Act (also known as the “Bank Secrecy Act,” 31 U.S.C. §§ 5311-5330 and 12U.S.C. §§ 1818(s), 1820(b) and 1951-1959).</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Rate</w:t>
      </w:r>
      <w:r>
        <w:rPr>
          <w:rFonts w:ascii="Arial" w:cs="Arial" w:eastAsia="Arial" w:hAnsi="Arial"/>
          <w:sz w:val="20"/>
          <w:szCs w:val="20"/>
          <w:color w:val="auto"/>
        </w:rPr>
        <w:t>” means a percentage per annum equal to:</w:t>
      </w:r>
    </w:p>
    <w:p>
      <w:pPr>
        <w:spacing w:after="0" w:line="235" w:lineRule="exact"/>
        <w:rPr>
          <w:sz w:val="20"/>
          <w:szCs w:val="20"/>
          <w:color w:val="auto"/>
        </w:rPr>
      </w:pPr>
    </w:p>
    <w:p>
      <w:pPr>
        <w:jc w:val="both"/>
        <w:ind w:left="920" w:firstLine="655"/>
        <w:spacing w:after="0" w:line="293" w:lineRule="auto"/>
        <w:tabs>
          <w:tab w:leader="none" w:pos="243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with respect to unused Revolving Credit Commitments and the commitment fee therefor, (i) until delivery of financial statements for the first full fiscal quarter of the Company ending after the Closing Date, 0.30%, and (ii) thereafter, the percentages per annum set forth in the table below applicable to commitment fees, based upon the Total Net Leverage Ratio as set forth in the most recent Compliance Certificate received by the Administrative Agent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w:t>
      </w:r>
    </w:p>
    <w:p>
      <w:pPr>
        <w:spacing w:after="0" w:line="175" w:lineRule="exact"/>
        <w:rPr>
          <w:rFonts w:ascii="Arial" w:cs="Arial" w:eastAsia="Arial" w:hAnsi="Arial"/>
          <w:sz w:val="19"/>
          <w:szCs w:val="19"/>
          <w:color w:val="auto"/>
        </w:rPr>
      </w:pPr>
    </w:p>
    <w:p>
      <w:pPr>
        <w:jc w:val="both"/>
        <w:ind w:left="920" w:firstLine="655"/>
        <w:spacing w:after="0" w:line="297" w:lineRule="auto"/>
        <w:tabs>
          <w:tab w:leader="none" w:pos="24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Term Loans, Revolving Credit Loans and Letter of Credit fees, (i) until delivery of financial statements for the first full fiscal quarter of the Company ending after the Closing Date, (A) for Eurocurrency Rate Loans, 1.75%,</w:t>
      </w:r>
    </w:p>
    <w:p>
      <w:pPr>
        <w:jc w:val="both"/>
        <w:ind w:left="920" w:firstLine="6"/>
        <w:spacing w:after="0" w:line="322"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for Base Rate Loans, 0.75% and (C) for Letter of Credit fees, 1.75%, and (ii) thereafter, the following percentages per annum applicable to Term Loans, Revolving Credit Loans or Letter of Credit fees, as the case may be, based upon the Total Net Leverage Ratio as set forth in the most recent Compliance Certificate received by the Administrative Agent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Eurocurrency Rate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for Term Loans, Revolving</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20"/>
                <w:szCs w:val="20"/>
                <w:color w:val="auto"/>
              </w:rPr>
              <w:t>Commitment Fee</w:t>
            </w:r>
          </w:p>
        </w:tc>
      </w:tr>
      <w:tr>
        <w:trPr>
          <w:trHeight w:val="230"/>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Credit Loans and Letter of</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Arial" w:cs="Arial" w:eastAsia="Arial" w:hAnsi="Arial"/>
                <w:sz w:val="20"/>
                <w:szCs w:val="20"/>
                <w:color w:val="auto"/>
              </w:rPr>
              <w:t>for unused</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20"/>
                <w:szCs w:val="20"/>
                <w:color w:val="auto"/>
              </w:rPr>
              <w:t>Pricing</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Credit</w:t>
            </w:r>
          </w:p>
        </w:tc>
        <w:tc>
          <w:tcPr>
            <w:tcW w:w="2560" w:type="dxa"/>
            <w:vAlign w:val="bottom"/>
            <w:gridSpan w:val="2"/>
          </w:tcPr>
          <w:p>
            <w:pPr>
              <w:ind w:left="40"/>
              <w:spacing w:after="0"/>
              <w:rPr>
                <w:sz w:val="20"/>
                <w:szCs w:val="20"/>
                <w:color w:val="auto"/>
              </w:rPr>
            </w:pPr>
            <w:r>
              <w:rPr>
                <w:rFonts w:ascii="Arial" w:cs="Arial" w:eastAsia="Arial" w:hAnsi="Arial"/>
                <w:sz w:val="20"/>
                <w:szCs w:val="20"/>
                <w:color w:val="auto"/>
              </w:rPr>
              <w:t>Base Rate for Term Loans</w:t>
            </w:r>
          </w:p>
        </w:tc>
        <w:tc>
          <w:tcPr>
            <w:tcW w:w="2140" w:type="dxa"/>
            <w:vAlign w:val="bottom"/>
          </w:tcPr>
          <w:p>
            <w:pPr>
              <w:ind w:left="20"/>
              <w:spacing w:after="0"/>
              <w:rPr>
                <w:sz w:val="20"/>
                <w:szCs w:val="20"/>
                <w:color w:val="auto"/>
              </w:rPr>
            </w:pPr>
            <w:r>
              <w:rPr>
                <w:rFonts w:ascii="Arial" w:cs="Arial" w:eastAsia="Arial" w:hAnsi="Arial"/>
                <w:sz w:val="20"/>
                <w:szCs w:val="20"/>
                <w:color w:val="auto"/>
              </w:rPr>
              <w:t>Revolving Credit</w:t>
            </w: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20"/>
                <w:szCs w:val="20"/>
                <w:color w:val="auto"/>
              </w:rPr>
              <w:t>Level</w:t>
            </w: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Total Net Leverage Ratio</w:t>
            </w:r>
          </w:p>
        </w:tc>
        <w:tc>
          <w:tcPr>
            <w:tcW w:w="2540" w:type="dxa"/>
            <w:vAlign w:val="bottom"/>
            <w:gridSpan w:val="2"/>
          </w:tcPr>
          <w:p>
            <w:pPr>
              <w:ind w:left="20"/>
              <w:spacing w:after="0"/>
              <w:rPr>
                <w:sz w:val="20"/>
                <w:szCs w:val="20"/>
                <w:color w:val="auto"/>
              </w:rPr>
            </w:pPr>
            <w:r>
              <w:rPr>
                <w:rFonts w:ascii="Arial" w:cs="Arial" w:eastAsia="Arial" w:hAnsi="Arial"/>
                <w:sz w:val="20"/>
                <w:szCs w:val="20"/>
                <w:color w:val="auto"/>
              </w:rPr>
              <w:t>Fees</w:t>
            </w:r>
          </w:p>
        </w:tc>
        <w:tc>
          <w:tcPr>
            <w:tcW w:w="2560" w:type="dxa"/>
            <w:vAlign w:val="bottom"/>
            <w:gridSpan w:val="2"/>
          </w:tcPr>
          <w:p>
            <w:pPr>
              <w:ind w:left="40"/>
              <w:spacing w:after="0"/>
              <w:rPr>
                <w:sz w:val="20"/>
                <w:szCs w:val="20"/>
                <w:color w:val="auto"/>
              </w:rPr>
            </w:pPr>
            <w:r>
              <w:rPr>
                <w:rFonts w:ascii="Arial" w:cs="Arial" w:eastAsia="Arial" w:hAnsi="Arial"/>
                <w:sz w:val="20"/>
                <w:szCs w:val="20"/>
                <w:color w:val="auto"/>
              </w:rPr>
              <w:t>and Revolving Credit Loans</w:t>
            </w:r>
          </w:p>
        </w:tc>
        <w:tc>
          <w:tcPr>
            <w:tcW w:w="2140" w:type="dxa"/>
            <w:vAlign w:val="bottom"/>
          </w:tcPr>
          <w:p>
            <w:pPr>
              <w:ind w:left="20"/>
              <w:spacing w:after="0"/>
              <w:rPr>
                <w:sz w:val="20"/>
                <w:szCs w:val="20"/>
                <w:color w:val="auto"/>
              </w:rPr>
            </w:pPr>
            <w:r>
              <w:rPr>
                <w:rFonts w:ascii="Arial" w:cs="Arial" w:eastAsia="Arial" w:hAnsi="Arial"/>
                <w:sz w:val="20"/>
                <w:szCs w:val="20"/>
                <w:color w:val="auto"/>
              </w:rPr>
              <w:t>Commitments</w:t>
            </w:r>
          </w:p>
        </w:tc>
      </w:tr>
      <w:tr>
        <w:trPr>
          <w:trHeight w:val="23"/>
        </w:trPr>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3"/>
        </w:trPr>
        <w:tc>
          <w:tcPr>
            <w:tcW w:w="740" w:type="dxa"/>
            <w:vAlign w:val="bottom"/>
          </w:tcPr>
          <w:p>
            <w:pPr>
              <w:ind w:left="20"/>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Greater than or equal to</w:t>
            </w:r>
          </w:p>
        </w:tc>
        <w:tc>
          <w:tcPr>
            <w:tcW w:w="2440" w:type="dxa"/>
            <w:vAlign w:val="bottom"/>
          </w:tcPr>
          <w:p>
            <w:pPr>
              <w:ind w:left="20"/>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20"/>
                <w:szCs w:val="20"/>
                <w:color w:val="auto"/>
              </w:rPr>
              <w:t>0.350%</w:t>
            </w: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Arial" w:cs="Arial" w:eastAsia="Arial" w:hAnsi="Arial"/>
                <w:sz w:val="20"/>
                <w:szCs w:val="20"/>
                <w:color w:val="auto"/>
              </w:rPr>
              <w:t>3.00:1.00</w:t>
            </w:r>
          </w:p>
        </w:tc>
        <w:tc>
          <w:tcPr>
            <w:tcW w:w="1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63"/>
        </w:trPr>
        <w:tc>
          <w:tcPr>
            <w:tcW w:w="740" w:type="dxa"/>
            <w:vAlign w:val="bottom"/>
          </w:tcPr>
          <w:p>
            <w:pPr>
              <w:ind w:left="20"/>
              <w:spacing w:after="0"/>
              <w:rPr>
                <w:sz w:val="20"/>
                <w:szCs w:val="20"/>
                <w:color w:val="auto"/>
              </w:rPr>
            </w:pPr>
            <w:r>
              <w:rPr>
                <w:rFonts w:ascii="Arial" w:cs="Arial" w:eastAsia="Arial" w:hAnsi="Arial"/>
                <w:sz w:val="20"/>
                <w:szCs w:val="20"/>
                <w:color w:val="auto"/>
              </w:rPr>
              <w:t>2</w:t>
            </w:r>
          </w:p>
        </w:tc>
        <w:tc>
          <w:tcPr>
            <w:tcW w:w="140" w:type="dxa"/>
            <w:vAlign w:val="bottom"/>
          </w:tcPr>
          <w:p>
            <w:pPr>
              <w:spacing w:after="0"/>
              <w:rPr>
                <w:sz w:val="22"/>
                <w:szCs w:val="22"/>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Less</w:t>
            </w:r>
          </w:p>
        </w:tc>
        <w:tc>
          <w:tcPr>
            <w:tcW w:w="2440" w:type="dxa"/>
            <w:vAlign w:val="bottom"/>
          </w:tcPr>
          <w:p>
            <w:pPr>
              <w:ind w:left="20"/>
              <w:spacing w:after="0"/>
              <w:rPr>
                <w:sz w:val="20"/>
                <w:szCs w:val="20"/>
                <w:color w:val="auto"/>
              </w:rPr>
            </w:pPr>
            <w:r>
              <w:rPr>
                <w:rFonts w:ascii="Arial" w:cs="Arial" w:eastAsia="Arial" w:hAnsi="Arial"/>
                <w:sz w:val="20"/>
                <w:szCs w:val="20"/>
                <w:color w:val="auto"/>
              </w:rPr>
              <w:t>1.75%</w:t>
            </w:r>
          </w:p>
        </w:tc>
        <w:tc>
          <w:tcPr>
            <w:tcW w:w="10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0.75%</w:t>
            </w:r>
          </w:p>
        </w:tc>
        <w:tc>
          <w:tcPr>
            <w:tcW w:w="100" w:type="dxa"/>
            <w:vAlign w:val="bottom"/>
          </w:tcPr>
          <w:p>
            <w:pPr>
              <w:spacing w:after="0"/>
              <w:rPr>
                <w:sz w:val="22"/>
                <w:szCs w:val="22"/>
                <w:color w:val="auto"/>
              </w:rPr>
            </w:pPr>
          </w:p>
        </w:tc>
        <w:tc>
          <w:tcPr>
            <w:tcW w:w="2140" w:type="dxa"/>
            <w:vAlign w:val="bottom"/>
          </w:tcPr>
          <w:p>
            <w:pPr>
              <w:ind w:left="20"/>
              <w:spacing w:after="0"/>
              <w:rPr>
                <w:sz w:val="20"/>
                <w:szCs w:val="20"/>
                <w:color w:val="auto"/>
              </w:rPr>
            </w:pPr>
            <w:r>
              <w:rPr>
                <w:rFonts w:ascii="Arial" w:cs="Arial" w:eastAsia="Arial" w:hAnsi="Arial"/>
                <w:sz w:val="20"/>
                <w:szCs w:val="20"/>
                <w:color w:val="auto"/>
              </w:rPr>
              <w:t>0.300%</w:t>
            </w:r>
          </w:p>
        </w:tc>
      </w:tr>
      <w:tr>
        <w:trPr>
          <w:trHeight w:val="230"/>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than 3.00:1.00 but greater</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than or equal to 2.00:1.00</w:t>
            </w: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63"/>
        </w:trPr>
        <w:tc>
          <w:tcPr>
            <w:tcW w:w="740" w:type="dxa"/>
            <w:vAlign w:val="bottom"/>
          </w:tcPr>
          <w:p>
            <w:pPr>
              <w:ind w:left="20"/>
              <w:spacing w:after="0"/>
              <w:rPr>
                <w:sz w:val="20"/>
                <w:szCs w:val="20"/>
                <w:color w:val="auto"/>
              </w:rPr>
            </w:pPr>
            <w:r>
              <w:rPr>
                <w:rFonts w:ascii="Arial" w:cs="Arial" w:eastAsia="Arial" w:hAnsi="Arial"/>
                <w:sz w:val="20"/>
                <w:szCs w:val="20"/>
                <w:color w:val="auto"/>
              </w:rPr>
              <w:t>3</w:t>
            </w:r>
          </w:p>
        </w:tc>
        <w:tc>
          <w:tcPr>
            <w:tcW w:w="140" w:type="dxa"/>
            <w:vAlign w:val="bottom"/>
          </w:tcPr>
          <w:p>
            <w:pPr>
              <w:spacing w:after="0"/>
              <w:rPr>
                <w:sz w:val="22"/>
                <w:szCs w:val="22"/>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Less</w:t>
            </w:r>
          </w:p>
        </w:tc>
        <w:tc>
          <w:tcPr>
            <w:tcW w:w="2440" w:type="dxa"/>
            <w:vAlign w:val="bottom"/>
          </w:tcPr>
          <w:p>
            <w:pPr>
              <w:ind w:left="20"/>
              <w:spacing w:after="0"/>
              <w:rPr>
                <w:sz w:val="20"/>
                <w:szCs w:val="20"/>
                <w:color w:val="auto"/>
              </w:rPr>
            </w:pPr>
            <w:r>
              <w:rPr>
                <w:rFonts w:ascii="Arial" w:cs="Arial" w:eastAsia="Arial" w:hAnsi="Arial"/>
                <w:sz w:val="20"/>
                <w:szCs w:val="20"/>
                <w:color w:val="auto"/>
              </w:rPr>
              <w:t>1.50%</w:t>
            </w:r>
          </w:p>
        </w:tc>
        <w:tc>
          <w:tcPr>
            <w:tcW w:w="100" w:type="dxa"/>
            <w:vAlign w:val="bottom"/>
          </w:tcPr>
          <w:p>
            <w:pPr>
              <w:spacing w:after="0"/>
              <w:rPr>
                <w:sz w:val="22"/>
                <w:szCs w:val="22"/>
                <w:color w:val="auto"/>
              </w:rPr>
            </w:pPr>
          </w:p>
        </w:tc>
        <w:tc>
          <w:tcPr>
            <w:tcW w:w="2460" w:type="dxa"/>
            <w:vAlign w:val="bottom"/>
          </w:tcPr>
          <w:p>
            <w:pPr>
              <w:ind w:left="40"/>
              <w:spacing w:after="0"/>
              <w:rPr>
                <w:sz w:val="20"/>
                <w:szCs w:val="20"/>
                <w:color w:val="auto"/>
              </w:rPr>
            </w:pPr>
            <w:r>
              <w:rPr>
                <w:rFonts w:ascii="Arial" w:cs="Arial" w:eastAsia="Arial" w:hAnsi="Arial"/>
                <w:sz w:val="20"/>
                <w:szCs w:val="20"/>
                <w:color w:val="auto"/>
              </w:rPr>
              <w:t>0.50%</w:t>
            </w:r>
          </w:p>
        </w:tc>
        <w:tc>
          <w:tcPr>
            <w:tcW w:w="100" w:type="dxa"/>
            <w:vAlign w:val="bottom"/>
          </w:tcPr>
          <w:p>
            <w:pPr>
              <w:spacing w:after="0"/>
              <w:rPr>
                <w:sz w:val="22"/>
                <w:szCs w:val="22"/>
                <w:color w:val="auto"/>
              </w:rPr>
            </w:pPr>
          </w:p>
        </w:tc>
        <w:tc>
          <w:tcPr>
            <w:tcW w:w="2140" w:type="dxa"/>
            <w:vAlign w:val="bottom"/>
          </w:tcPr>
          <w:p>
            <w:pPr>
              <w:ind w:left="20"/>
              <w:spacing w:after="0"/>
              <w:rPr>
                <w:sz w:val="20"/>
                <w:szCs w:val="20"/>
                <w:color w:val="auto"/>
              </w:rPr>
            </w:pPr>
            <w:r>
              <w:rPr>
                <w:rFonts w:ascii="Arial" w:cs="Arial" w:eastAsia="Arial" w:hAnsi="Arial"/>
                <w:sz w:val="20"/>
                <w:szCs w:val="20"/>
                <w:color w:val="auto"/>
              </w:rPr>
              <w:t>0.250%</w:t>
            </w:r>
          </w:p>
        </w:tc>
      </w:tr>
      <w:tr>
        <w:trPr>
          <w:trHeight w:val="250"/>
        </w:trPr>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2"/>
          </w:tcPr>
          <w:p>
            <w:pPr>
              <w:ind w:left="20"/>
              <w:spacing w:after="0"/>
              <w:rPr>
                <w:sz w:val="20"/>
                <w:szCs w:val="20"/>
                <w:color w:val="auto"/>
              </w:rPr>
            </w:pPr>
            <w:r>
              <w:rPr>
                <w:rFonts w:ascii="Arial" w:cs="Arial" w:eastAsia="Arial" w:hAnsi="Arial"/>
                <w:sz w:val="20"/>
                <w:szCs w:val="20"/>
                <w:color w:val="auto"/>
              </w:rPr>
              <w:t>than 2.00:1.00</w:t>
            </w: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r>
    </w:tbl>
    <w:p>
      <w:pPr>
        <w:spacing w:after="0" w:line="317" w:lineRule="exact"/>
        <w:rPr>
          <w:sz w:val="20"/>
          <w:szCs w:val="20"/>
          <w:color w:val="auto"/>
        </w:rPr>
      </w:pPr>
    </w:p>
    <w:p>
      <w:pPr>
        <w:jc w:val="both"/>
        <w:ind w:left="280"/>
        <w:spacing w:after="0" w:line="244" w:lineRule="auto"/>
        <w:rPr>
          <w:sz w:val="20"/>
          <w:szCs w:val="20"/>
          <w:color w:val="auto"/>
        </w:rPr>
      </w:pPr>
      <w:r>
        <w:rPr>
          <w:rFonts w:ascii="Arial" w:cs="Arial" w:eastAsia="Arial" w:hAnsi="Arial"/>
          <w:sz w:val="20"/>
          <w:szCs w:val="20"/>
          <w:color w:val="auto"/>
        </w:rPr>
        <w:t xml:space="preserve">Any increase or decrease in the Applicable Rate resulting from a change in the Total Net Leverage Ratio shall become effective as of the first Business Day immediately following the date a Compliance Certificate is delivered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option of the Administrative Agent or the Required Lenders, the highest Pricing Level shall apply (x) as of the first Business Day after the date on which a Compliance Certificate was required to have been delivered but was not delivered, and shall continue to so apply to and including the date on which such Compliance Certificate is so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29" w:name="page130"/>
    <w:bookmarkEnd w:id="129"/>
    <w:p>
      <w:pPr>
        <w:jc w:val="both"/>
        <w:ind w:left="280"/>
        <w:spacing w:after="0" w:line="246" w:lineRule="auto"/>
        <w:rPr>
          <w:sz w:val="20"/>
          <w:szCs w:val="20"/>
          <w:color w:val="auto"/>
        </w:rPr>
      </w:pPr>
      <w:r>
        <w:rPr>
          <w:rFonts w:ascii="Arial" w:cs="Arial" w:eastAsia="Arial" w:hAnsi="Arial"/>
          <w:sz w:val="20"/>
          <w:szCs w:val="20"/>
          <w:color w:val="auto"/>
        </w:rPr>
        <w:t xml:space="preserve">delivered (and thereafter the Pricing Level otherwise determined in accordance with this definition shall apply) and (y) as of the first Business Day after an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shall have occurred and be continuing, and shall continue to so apply to but excluding the date on which such Event of Default is cured or waived (and thereafter the Pricing Level otherwise determined in accordance with this definition shall apply).</w:t>
      </w:r>
    </w:p>
    <w:p>
      <w:pPr>
        <w:spacing w:after="0" w:line="199" w:lineRule="exact"/>
        <w:rPr>
          <w:sz w:val="20"/>
          <w:szCs w:val="20"/>
          <w:color w:val="auto"/>
        </w:rPr>
      </w:pPr>
    </w:p>
    <w:p>
      <w:pPr>
        <w:jc w:val="both"/>
        <w:ind w:left="280" w:right="2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Appropriate Lender</w:t>
      </w:r>
      <w:r>
        <w:rPr>
          <w:rFonts w:ascii="Arial" w:cs="Arial" w:eastAsia="Arial" w:hAnsi="Arial"/>
          <w:sz w:val="18"/>
          <w:szCs w:val="18"/>
          <w:color w:val="auto"/>
        </w:rPr>
        <w:t>” means, at any time, (a) with respect to Loans of any Class, the Lenders of such Class, (b) with respect to Letters of Credit, (i) the relevant L/C Issuers and (ii) the relevant Revolving Credit Lenders and (c) with respect to the Swing Line Facility,</w:t>
      </w:r>
    </w:p>
    <w:p>
      <w:pPr>
        <w:spacing w:after="0" w:line="1" w:lineRule="exact"/>
        <w:rPr>
          <w:sz w:val="20"/>
          <w:szCs w:val="20"/>
          <w:color w:val="auto"/>
        </w:rPr>
      </w:pPr>
    </w:p>
    <w:p>
      <w:pPr>
        <w:ind w:left="520" w:hanging="242"/>
        <w:spacing w:after="0"/>
        <w:tabs>
          <w:tab w:leader="none" w:pos="5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Swing Line Lender and</w:t>
      </w:r>
    </w:p>
    <w:p>
      <w:pPr>
        <w:ind w:left="560" w:hanging="282"/>
        <w:spacing w:after="0"/>
        <w:tabs>
          <w:tab w:leader="none" w:pos="5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Revolving Credit Lenders.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Approved Bank</w:t>
      </w:r>
      <w:r>
        <w:rPr>
          <w:rFonts w:ascii="Arial" w:cs="Arial" w:eastAsia="Arial" w:hAnsi="Arial"/>
          <w:sz w:val="20"/>
          <w:szCs w:val="20"/>
          <w:color w:val="auto"/>
        </w:rPr>
        <w:t>” has the meaning specified in clause (c) of the definition of “Cash Equivalents”.</w:t>
      </w:r>
    </w:p>
    <w:p>
      <w:pPr>
        <w:spacing w:after="0" w:line="22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Approved Fund</w:t>
      </w:r>
      <w:r>
        <w:rPr>
          <w:rFonts w:ascii="Arial" w:cs="Arial" w:eastAsia="Arial" w:hAnsi="Arial"/>
          <w:sz w:val="20"/>
          <w:szCs w:val="20"/>
          <w:color w:val="auto"/>
        </w:rPr>
        <w:t>” means any Fund that is administered, advised or managed by (a) a Lender, (b) an Affiliate of a Lender or (c) an entity or an Affiliate of an entity that administers, advises or manages a Lender.</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Assignees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Assignment and Assumption Agreement</w:t>
      </w:r>
      <w:r>
        <w:rPr>
          <w:rFonts w:ascii="Arial" w:cs="Arial" w:eastAsia="Arial" w:hAnsi="Arial"/>
          <w:sz w:val="18"/>
          <w:szCs w:val="18"/>
          <w:color w:val="auto"/>
        </w:rPr>
        <w:t xml:space="preserve">” means an Assignment and Assumption Agreement substantially in the form of </w:t>
      </w:r>
      <w:r>
        <w:rPr>
          <w:rFonts w:ascii="Arial" w:cs="Arial" w:eastAsia="Arial" w:hAnsi="Arial"/>
          <w:sz w:val="18"/>
          <w:szCs w:val="18"/>
          <w:u w:val="single" w:color="auto"/>
          <w:color w:val="auto"/>
        </w:rPr>
        <w:t>Exhibit</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E</w:t>
      </w:r>
      <w:r>
        <w:rPr>
          <w:rFonts w:ascii="Arial" w:cs="Arial" w:eastAsia="Arial" w:hAnsi="Arial"/>
          <w:sz w:val="20"/>
          <w:szCs w:val="20"/>
          <w:color w:val="auto"/>
        </w:rPr>
        <w:t>.</w:t>
      </w:r>
    </w:p>
    <w:p>
      <w:pPr>
        <w:spacing w:after="0" w:line="194"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Attorney Costs</w:t>
      </w:r>
      <w:r>
        <w:rPr>
          <w:rFonts w:ascii="Arial" w:cs="Arial" w:eastAsia="Arial" w:hAnsi="Arial"/>
          <w:sz w:val="20"/>
          <w:szCs w:val="20"/>
          <w:color w:val="auto"/>
        </w:rPr>
        <w:t>” means and includes all reasonable fees, expenses and disbursements of any law firm or other external legal counsel.</w:t>
      </w:r>
    </w:p>
    <w:p>
      <w:pPr>
        <w:spacing w:after="0" w:line="164"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Attributable Indebtedness</w:t>
      </w:r>
      <w:r>
        <w:rPr>
          <w:rFonts w:ascii="Arial" w:cs="Arial" w:eastAsia="Arial" w:hAnsi="Arial"/>
          <w:sz w:val="20"/>
          <w:szCs w:val="20"/>
          <w:color w:val="auto"/>
        </w:rPr>
        <w:t>” means, on any date, in respect of any Capitalized Lease of any Person, the capitalized amount thereof that would appear on a balance sheet of such Person prepared as of such date in accordance with GAAP.</w:t>
      </w:r>
    </w:p>
    <w:p>
      <w:pPr>
        <w:spacing w:after="0" w:line="177" w:lineRule="exact"/>
        <w:rPr>
          <w:sz w:val="20"/>
          <w:szCs w:val="20"/>
          <w:color w:val="auto"/>
        </w:rPr>
      </w:pPr>
    </w:p>
    <w:p>
      <w:pPr>
        <w:jc w:val="both"/>
        <w:ind w:left="280"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Audited Financial Statements</w:t>
      </w:r>
      <w:r>
        <w:rPr>
          <w:rFonts w:ascii="Arial" w:cs="Arial" w:eastAsia="Arial" w:hAnsi="Arial"/>
          <w:sz w:val="19"/>
          <w:szCs w:val="19"/>
          <w:color w:val="auto"/>
        </w:rPr>
        <w:t>” means the audited consolidated balance sheets of the Company and its Subsidiaries as of December 25, 2016, December 27, 2015 and December 28, 2014, and the related audited consolidated statements of income, stockholders’ equity and cash flows for the Company and its Subsidiaries for the fiscal years ended December 25, 2016, December 27, 2015 and December 28, 2014, respectively, as any of the foregoing may have been restated prior to the date hereof.</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Auto-Renewal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Available Incremental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2.15(d)(iv)</w:t>
      </w:r>
      <w:r>
        <w:rPr>
          <w:rFonts w:ascii="Arial" w:cs="Arial" w:eastAsia="Arial" w:hAnsi="Arial"/>
          <w:sz w:val="20"/>
          <w:szCs w:val="20"/>
          <w:color w:val="auto"/>
        </w:rPr>
        <w:t>.</w:t>
      </w:r>
    </w:p>
    <w:p>
      <w:pPr>
        <w:spacing w:after="0" w:line="21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8"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rate of interest in effect for such day as publicly announced from time to time by the Administrative Agent as its “prime rate” and (c) the Eurocurrency Rate for a Eurocurrency Rate Loan denominated in Dollars with a one-month Interest Period commencing on such day (or, if such day is not a Business Day, the immediately preceding Business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The “prime rate” is a rate set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30" w:name="page131"/>
    <w:bookmarkEnd w:id="130"/>
    <w:p>
      <w:pPr>
        <w:jc w:val="both"/>
        <w:ind w:left="280"/>
        <w:spacing w:after="0" w:line="244" w:lineRule="auto"/>
        <w:rPr>
          <w:sz w:val="20"/>
          <w:szCs w:val="20"/>
          <w:color w:val="auto"/>
        </w:rPr>
      </w:pPr>
      <w:r>
        <w:rPr>
          <w:rFonts w:ascii="Arial" w:cs="Arial" w:eastAsia="Arial" w:hAnsi="Arial"/>
          <w:sz w:val="20"/>
          <w:szCs w:val="20"/>
          <w:color w:val="auto"/>
        </w:rPr>
        <w:t>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the Base Rate due to a change in the “prime rate”, the Federal Funds Rate or the Eurocurrency Rate shall be effective as of the opening of business on the day of such change in the “prime rate”, the Federal Funds Rate or the Eurocurrency Rate, respectively.</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Borrowers</w:t>
      </w:r>
      <w:r>
        <w:rPr>
          <w:rFonts w:ascii="Arial" w:cs="Arial" w:eastAsia="Arial" w:hAnsi="Arial"/>
          <w:sz w:val="20"/>
          <w:szCs w:val="20"/>
          <w:color w:val="auto"/>
        </w:rPr>
        <w:t>” has the meaning specified in the introductory paragraph of this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Borrowing</w:t>
      </w:r>
      <w:r>
        <w:rPr>
          <w:rFonts w:ascii="Arial" w:cs="Arial" w:eastAsia="Arial" w:hAnsi="Arial"/>
          <w:sz w:val="19"/>
          <w:szCs w:val="19"/>
          <w:color w:val="auto"/>
        </w:rPr>
        <w:t>” means a Revolving Credit Borrowing, a Swing Line Borrowing or a Term Borrowing, as the context may require.</w:t>
      </w:r>
    </w:p>
    <w:p>
      <w:pPr>
        <w:spacing w:after="0" w:line="241" w:lineRule="exact"/>
        <w:rPr>
          <w:sz w:val="20"/>
          <w:szCs w:val="20"/>
          <w:color w:val="auto"/>
        </w:rPr>
      </w:pPr>
    </w:p>
    <w:p>
      <w:pPr>
        <w:jc w:val="both"/>
        <w:ind w:left="280"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interest rate settings as to a Eurocurrency Rate Loan, any fundings, disbursements, settlements and payments in respect of any such Eurocurrency Rate Loan, or any other dealings to be carried out pursuant to this Agreement in respect of any such Eurocurrency Rate Loan, means any such day on which dealings in deposits in Dollars are conducted by and between banks in the relevant interbank eurodollar market.</w:t>
      </w:r>
    </w:p>
    <w:p>
      <w:pPr>
        <w:spacing w:after="0" w:line="170"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Capital Expenditures</w:t>
      </w:r>
      <w:r>
        <w:rPr>
          <w:rFonts w:ascii="Arial" w:cs="Arial" w:eastAsia="Arial" w:hAnsi="Arial"/>
          <w:sz w:val="20"/>
          <w:szCs w:val="20"/>
          <w:color w:val="auto"/>
        </w:rPr>
        <w:t>” means, for any period, the aggregate of (a) all expenditures (whether paid in cash or accrued as liabilities) by the Company and its Subsidiaries during such period that, in conformity with GAAP, are or are required to be included as capital expenditures on the consolidated statement of cash flow of the Company and its Subsidiaries and (b) the value of all assets under Capitalized Leases incurred by the Company and its Subsidiaries during such period.</w:t>
      </w:r>
    </w:p>
    <w:p>
      <w:pPr>
        <w:spacing w:after="0" w:line="184"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Capitalized Lease Obligation</w:t>
      </w:r>
      <w:r>
        <w:rPr>
          <w:rFonts w:ascii="Arial" w:cs="Arial" w:eastAsia="Arial" w:hAnsi="Arial"/>
          <w:sz w:val="20"/>
          <w:szCs w:val="20"/>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91"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Capitalized Leases</w:t>
      </w:r>
      <w:r>
        <w:rPr>
          <w:rFonts w:ascii="Arial" w:cs="Arial" w:eastAsia="Arial" w:hAnsi="Arial"/>
          <w:sz w:val="18"/>
          <w:szCs w:val="18"/>
          <w:color w:val="auto"/>
        </w:rPr>
        <w:t xml:space="preserve">” means all leases that have been or should be, in accordance with GAAP (except for temporary treatment of construction-related expenditures under Accounting Standards Codification Topic 840 which will ultimately be treated as operating leases upon a sale-leaseback transaction), recorded on the balance sheet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Collateral</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Collateral Account</w:t>
      </w:r>
      <w:r>
        <w:rPr>
          <w:rFonts w:ascii="Arial" w:cs="Arial" w:eastAsia="Arial" w:hAnsi="Arial"/>
          <w:sz w:val="20"/>
          <w:szCs w:val="20"/>
          <w:color w:val="auto"/>
        </w:rPr>
        <w:t xml:space="preserve">” means a blocked account at the Administrative Agent (or another commercial bank selected in compliance with </w:t>
      </w:r>
      <w:r>
        <w:rPr>
          <w:rFonts w:ascii="Arial" w:cs="Arial" w:eastAsia="Arial" w:hAnsi="Arial"/>
          <w:sz w:val="20"/>
          <w:szCs w:val="20"/>
          <w:u w:val="single" w:color="auto"/>
          <w:color w:val="auto"/>
        </w:rPr>
        <w:t>Section 9.09</w:t>
      </w:r>
      <w:r>
        <w:rPr>
          <w:rFonts w:ascii="Arial" w:cs="Arial" w:eastAsia="Arial" w:hAnsi="Arial"/>
          <w:sz w:val="20"/>
          <w:szCs w:val="20"/>
          <w:color w:val="auto"/>
        </w:rPr>
        <w:t>) in the name of the Administrative Agent and under the sole dominion and control of the Administrative Agent, and otherwise established in a manner satisfactory to the Administrative Agent.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31" w:name="page132"/>
    <w:bookmarkEnd w:id="131"/>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Collateralize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2.03(g)</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Cash Equivalents</w:t>
      </w:r>
      <w:r>
        <w:rPr>
          <w:rFonts w:ascii="Arial" w:cs="Arial" w:eastAsia="Arial" w:hAnsi="Arial"/>
          <w:sz w:val="18"/>
          <w:szCs w:val="18"/>
          <w:color w:val="auto"/>
        </w:rPr>
        <w:t>” means any of the following types of Investments, to the extent owned by the Company or any Subsidiary:</w:t>
      </w:r>
    </w:p>
    <w:p>
      <w:pPr>
        <w:spacing w:after="0" w:line="272" w:lineRule="exact"/>
        <w:rPr>
          <w:sz w:val="20"/>
          <w:szCs w:val="20"/>
          <w:color w:val="auto"/>
        </w:rPr>
      </w:pPr>
    </w:p>
    <w:p>
      <w:pPr>
        <w:ind w:left="920" w:firstLine="655"/>
        <w:spacing w:after="0" w:line="289" w:lineRule="auto"/>
        <w:tabs>
          <w:tab w:leader="none" w:pos="2436" w:val="left"/>
        </w:tabs>
        <w:numPr>
          <w:ilvl w:val="0"/>
          <w:numId w:val="85"/>
        </w:numPr>
        <w:rPr>
          <w:rFonts w:ascii="Arial" w:cs="Arial" w:eastAsia="Arial" w:hAnsi="Arial"/>
          <w:sz w:val="20"/>
          <w:szCs w:val="20"/>
          <w:color w:val="auto"/>
        </w:rPr>
      </w:pPr>
      <w:r>
        <w:rPr>
          <w:rFonts w:ascii="Arial" w:cs="Arial" w:eastAsia="Arial" w:hAnsi="Arial"/>
          <w:sz w:val="20"/>
          <w:szCs w:val="20"/>
          <w:color w:val="auto"/>
        </w:rPr>
        <w:t>Dollars or, in the case of any Foreign Subsidiary, such local currencies held by it from time to time in the ordinary course of business;</w:t>
      </w:r>
    </w:p>
    <w:p>
      <w:pPr>
        <w:spacing w:after="0" w:line="188"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government or any agency or instrumentality of the United States, having average maturities of not more than 24 months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is pledged in support thereof;</w:t>
      </w:r>
    </w:p>
    <w:p>
      <w:pPr>
        <w:spacing w:after="0" w:line="186" w:lineRule="exact"/>
        <w:rPr>
          <w:rFonts w:ascii="Arial" w:cs="Arial" w:eastAsia="Arial" w:hAnsi="Arial"/>
          <w:sz w:val="20"/>
          <w:szCs w:val="20"/>
          <w:color w:val="auto"/>
        </w:rPr>
      </w:pPr>
    </w:p>
    <w:p>
      <w:pPr>
        <w:jc w:val="both"/>
        <w:ind w:left="920" w:firstLine="655"/>
        <w:spacing w:after="0" w:line="305" w:lineRule="auto"/>
        <w:tabs>
          <w:tab w:leader="none" w:pos="243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is a Lender or (ii) (A) is organized under the Laws of the United States, any state thereof, the District of Columbia or any member nation of the Organization for Economic Cooperation and Development or is the principal banking Subsidiary of a bank holding company organized under the Laws of the United States, any state thereof, the District of Columbia or any member nation of the Organization for Economic Cooperation and Development, and is a member of the Federal Reserve System, and (B) has combined capital and surplus of at least $250,000,000 (any such bank in the foregoing clauses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12 months from the date of acquisition thereof;</w:t>
      </w:r>
    </w:p>
    <w:p>
      <w:pPr>
        <w:spacing w:after="0" w:line="184" w:lineRule="exact"/>
        <w:rPr>
          <w:rFonts w:ascii="Arial" w:cs="Arial" w:eastAsia="Arial" w:hAnsi="Arial"/>
          <w:sz w:val="18"/>
          <w:szCs w:val="18"/>
          <w:color w:val="auto"/>
        </w:rPr>
      </w:pPr>
    </w:p>
    <w:p>
      <w:pPr>
        <w:jc w:val="both"/>
        <w:ind w:left="920" w:firstLine="655"/>
        <w:spacing w:after="0" w:line="274" w:lineRule="auto"/>
        <w:tabs>
          <w:tab w:leader="none" w:pos="24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w:t>
      </w:r>
    </w:p>
    <w:p>
      <w:pPr>
        <w:spacing w:after="0" w:line="205" w:lineRule="exact"/>
        <w:rPr>
          <w:rFonts w:ascii="Arial" w:cs="Arial" w:eastAsia="Arial" w:hAnsi="Arial"/>
          <w:sz w:val="20"/>
          <w:szCs w:val="20"/>
          <w:color w:val="auto"/>
        </w:rPr>
      </w:pPr>
    </w:p>
    <w:p>
      <w:pPr>
        <w:jc w:val="both"/>
        <w:ind w:left="920" w:firstLine="655"/>
        <w:spacing w:after="0" w:line="290" w:lineRule="auto"/>
        <w:tabs>
          <w:tab w:leader="none" w:pos="2436" w:val="left"/>
        </w:tabs>
        <w:numPr>
          <w:ilvl w:val="0"/>
          <w:numId w:val="85"/>
        </w:numPr>
        <w:rPr>
          <w:rFonts w:ascii="Arial" w:cs="Arial" w:eastAsia="Arial" w:hAnsi="Arial"/>
          <w:sz w:val="19"/>
          <w:szCs w:val="19"/>
          <w:color w:val="auto"/>
        </w:rPr>
      </w:pPr>
      <w:r>
        <w:rPr>
          <w:rFonts w:ascii="Arial" w:cs="Arial" w:eastAsia="Arial" w:hAnsi="Arial"/>
          <w:sz w:val="19"/>
          <w:szCs w:val="19"/>
          <w:color w:val="auto"/>
        </w:rPr>
        <w:t>repurchase agreements entered into by any Person with a bank or trust company (including any of the Lenders) or recognized securities dealer, in each case, having capital and surplus in excess of $250,000,000 for direct obligations issued by or fully guaranteed or insured by the government or any agency or instrumentality of the United States, in which such Person shall have a perfected first priority security interest (subject to no other Liens) and having, on the date of purchase thereof, a fair market value of at least 100% of the amount of the repurchase obligations;</w:t>
      </w:r>
    </w:p>
    <w:p>
      <w:pPr>
        <w:spacing w:after="0" w:line="192" w:lineRule="exact"/>
        <w:rPr>
          <w:rFonts w:ascii="Arial" w:cs="Arial" w:eastAsia="Arial" w:hAnsi="Arial"/>
          <w:sz w:val="19"/>
          <w:szCs w:val="19"/>
          <w:color w:val="auto"/>
        </w:rPr>
      </w:pPr>
    </w:p>
    <w:p>
      <w:pPr>
        <w:jc w:val="both"/>
        <w:ind w:left="920" w:firstLine="655"/>
        <w:spacing w:after="0" w:line="274" w:lineRule="auto"/>
        <w:tabs>
          <w:tab w:leader="none" w:pos="2414" w:val="left"/>
        </w:tabs>
        <w:numPr>
          <w:ilvl w:val="0"/>
          <w:numId w:val="85"/>
        </w:numPr>
        <w:rPr>
          <w:rFonts w:ascii="Arial" w:cs="Arial" w:eastAsia="Arial" w:hAnsi="Arial"/>
          <w:sz w:val="20"/>
          <w:szCs w:val="20"/>
          <w:color w:val="auto"/>
        </w:rPr>
      </w:pPr>
      <w:r>
        <w:rPr>
          <w:rFonts w:ascii="Arial" w:cs="Arial" w:eastAsia="Arial" w:hAnsi="Arial"/>
          <w:sz w:val="20"/>
          <w:szCs w:val="20"/>
          <w:color w:val="auto"/>
        </w:rPr>
        <w:t>securities with average maturities of 24 months or less from the date of acquisition issued or fully guaranteed by any state, commonwealth or territory of the United States, by any political subdivision, taxing authority agency or instrumentality of any such state, commonwealth or territory or by any foreign government having an investment grade rating from either S&amp;P or Moody’s (or the equivalent thereof);</w:t>
      </w:r>
    </w:p>
    <w:p>
      <w:pPr>
        <w:spacing w:after="0" w:line="192" w:lineRule="exact"/>
        <w:rPr>
          <w:rFonts w:ascii="Arial" w:cs="Arial" w:eastAsia="Arial" w:hAnsi="Arial"/>
          <w:sz w:val="20"/>
          <w:szCs w:val="20"/>
          <w:color w:val="auto"/>
        </w:rPr>
      </w:pPr>
    </w:p>
    <w:p>
      <w:pPr>
        <w:ind w:left="920" w:firstLine="655"/>
        <w:spacing w:after="0" w:line="316" w:lineRule="auto"/>
        <w:tabs>
          <w:tab w:leader="none" w:pos="2447"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 rated AAA- (or the equivalent thereof) or better by S&amp;P or Aaa3 (or the equivalent thereof) or better by Moody’s;</w:t>
      </w:r>
    </w:p>
    <w:p>
      <w:pPr>
        <w:spacing w:after="0" w:line="5" w:lineRule="exact"/>
        <w:rPr>
          <w:rFonts w:ascii="Arial" w:cs="Arial" w:eastAsia="Arial" w:hAnsi="Arial"/>
          <w:sz w:val="19"/>
          <w:szCs w:val="19"/>
          <w:color w:val="auto"/>
        </w:rPr>
      </w:pPr>
    </w:p>
    <w:p>
      <w:pPr>
        <w:jc w:val="both"/>
        <w:ind w:left="920" w:firstLine="655"/>
        <w:spacing w:after="0" w:line="278" w:lineRule="auto"/>
        <w:tabs>
          <w:tab w:leader="none" w:pos="2447"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Indebtedness or preferred stock issued by Persons with a rating of “A” or higher from S&amp;P or “A2” or higher from Moody’s with maturities of 24 months or less from the date of acquisition, in each case in Dollars or another currency permitted above in this definition;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0" w:right="239" w:bottom="1440" w:gutter="0" w:footer="0" w:header="0"/>
        </w:sectPr>
      </w:pPr>
    </w:p>
    <w:bookmarkStart w:id="132" w:name="page133"/>
    <w:bookmarkEnd w:id="132"/>
    <w:p>
      <w:pPr>
        <w:jc w:val="both"/>
        <w:ind w:left="920" w:firstLine="655"/>
        <w:spacing w:after="0" w:line="273" w:lineRule="auto"/>
        <w:tabs>
          <w:tab w:leader="none" w:pos="2403"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 the case of Foreign Subsidiaries only, instruments equivalent to those referred to in clauses (a) through (h) above or clause (j) below in each case denominated in any foreign currency comparable in credit quality and tenor to those referred to in such clauses above and customarily used by corporations for cash management purposes in any jurisdiction outside the United States to the extent reasonably required in connection with any business conducted by any Foreign Subsidiary organized in such jurisdiction; or</w:t>
      </w:r>
    </w:p>
    <w:p>
      <w:pPr>
        <w:spacing w:after="0" w:line="204" w:lineRule="exact"/>
        <w:rPr>
          <w:rFonts w:ascii="Arial" w:cs="Arial" w:eastAsia="Arial" w:hAnsi="Arial"/>
          <w:sz w:val="20"/>
          <w:szCs w:val="20"/>
          <w:color w:val="auto"/>
        </w:rPr>
      </w:pPr>
    </w:p>
    <w:p>
      <w:pPr>
        <w:jc w:val="both"/>
        <w:ind w:left="920" w:firstLine="655"/>
        <w:spacing w:after="0" w:line="314" w:lineRule="auto"/>
        <w:tabs>
          <w:tab w:leader="none" w:pos="24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Company or any Subsidiary, in money market investment programs which are registered under the Investment Company Act of 1940 or which are administered by financial institutions having capital of at least $250,000,000, and, in either case, the portfolios of which are limited such that substantially all of such investments are of the character, quality and maturity described in clauses (a) through (g) of this definition.</w:t>
      </w:r>
    </w:p>
    <w:p>
      <w:pPr>
        <w:spacing w:after="0" w:line="153"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Management Banks</w:t>
      </w:r>
      <w:r>
        <w:rPr>
          <w:rFonts w:ascii="Arial" w:cs="Arial" w:eastAsia="Arial" w:hAnsi="Arial"/>
          <w:sz w:val="20"/>
          <w:szCs w:val="20"/>
          <w:color w:val="auto"/>
        </w:rPr>
        <w:t>” means any Person that (a) is an Agent, Joint Lead Arranger, Lender or any Affiliate of such Agent, Joint Lead Arranger or Lender at any time that such Person initially provides any Cash Management Services to the Company or any Subsidiary, whether or not such Person subsequently ceases to be an Agent, Joint Lead Arranger, Lender or Affiliate of such Agent, Joint Lead Arranger or Lender or (b) at the time it becomes a Lender (including on the Closing Date), is already providing Cash Management Services to the Company or any Subsidiary.</w:t>
      </w:r>
    </w:p>
    <w:p>
      <w:pPr>
        <w:spacing w:after="0" w:line="19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Management Obligations</w:t>
      </w:r>
      <w:r>
        <w:rPr>
          <w:rFonts w:ascii="Arial" w:cs="Arial" w:eastAsia="Arial" w:hAnsi="Arial"/>
          <w:sz w:val="20"/>
          <w:szCs w:val="20"/>
          <w:color w:val="auto"/>
        </w:rPr>
        <w:t>” means obligations owed by the Company or any Subsidiary to any Cash Management Bank in respect of any Cash Management Services.</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Cash Management Services</w:t>
      </w:r>
      <w:r>
        <w:rPr>
          <w:rFonts w:ascii="Arial" w:cs="Arial" w:eastAsia="Arial" w:hAnsi="Arial"/>
          <w:sz w:val="20"/>
          <w:szCs w:val="20"/>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78"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Casualty Event</w:t>
      </w:r>
      <w:r>
        <w:rPr>
          <w:rFonts w:ascii="Arial" w:cs="Arial" w:eastAsia="Arial" w:hAnsi="Arial"/>
          <w:sz w:val="20"/>
          <w:szCs w:val="20"/>
          <w:color w:val="auto"/>
        </w:rPr>
        <w:t>” means any event that gives rise to the receipt by the Company or any Subsidiary of any insurance proceeds or condemnation awards in respect of any equipment, fixed assets or real property (including any improvements thereon) to replace or repair such equipment, fixed assets or real property.</w:t>
      </w:r>
    </w:p>
    <w:p>
      <w:pPr>
        <w:spacing w:after="0" w:line="178"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CERCLA</w:t>
      </w:r>
      <w:r>
        <w:rPr>
          <w:rFonts w:ascii="Arial" w:cs="Arial" w:eastAsia="Arial" w:hAnsi="Arial"/>
          <w:sz w:val="20"/>
          <w:szCs w:val="20"/>
          <w:color w:val="auto"/>
        </w:rPr>
        <w:t>” means the Comprehensive Environmental Response, Compensation and Liability Act of 1980, as subsequently amended.</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CFC</w:t>
      </w:r>
      <w:r>
        <w:rPr>
          <w:rFonts w:ascii="Arial" w:cs="Arial" w:eastAsia="Arial" w:hAnsi="Arial"/>
          <w:sz w:val="20"/>
          <w:szCs w:val="20"/>
          <w:color w:val="auto"/>
        </w:rPr>
        <w:t>” means a “controlled foreign corporation” within the meaning of Section 957(a) of the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Code.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earliest to occur of:</w:t>
      </w:r>
    </w:p>
    <w:p>
      <w:pPr>
        <w:spacing w:after="0" w:line="235" w:lineRule="exact"/>
        <w:rPr>
          <w:sz w:val="20"/>
          <w:szCs w:val="20"/>
          <w:color w:val="auto"/>
        </w:rPr>
      </w:pPr>
    </w:p>
    <w:p>
      <w:pPr>
        <w:jc w:val="both"/>
        <w:ind w:left="920" w:firstLine="655"/>
        <w:spacing w:after="0" w:line="310" w:lineRule="auto"/>
        <w:tabs>
          <w:tab w:leader="none" w:pos="24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any Person or (2) Persons constituting a “group” (as such term is used in Sections 13(d) and 14(d) of the Exchange Act, but excluding any employee benefit plan of such Person and its Subsidiaries, and any Person or entity acting in its capacity as trustee, agent or other fiduciary or administrator of any such plan), becomes the “beneficial owner” (as defined in Rules 13(d)-3 and 13(d)-5 of the Exchange Act), directly or indirectly, of Equity Interests representing more than forty percent (40%) of the aggregate ordinary voting power represented by the issued and outstanding Equity Interests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33" w:name="page134"/>
    <w:bookmarkEnd w:id="133"/>
    <w:p>
      <w:pPr>
        <w:jc w:val="both"/>
        <w:ind w:left="920" w:firstLine="655"/>
        <w:spacing w:after="0" w:line="273" w:lineRule="auto"/>
        <w:tabs>
          <w:tab w:leader="none" w:pos="24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any “Change of Control” (or any comparable term) in any document pertaining to (i) any Permitted Pari Passu Secured Refinancing Debt, any Permitted Unsecured Refinancing Debt, any Incremental Equivalent Debt, any unsecured Indebtedness, any Indebtedness that is secured on a junior basis to the Obligations and any Junior Financing, in each case with an aggregate outstanding principal amount in excess of the Threshold Amount or (ii) any Disqualified Equity Interests with an aggregate liquidation preference in excess of the Threshold Amount; or</w:t>
      </w:r>
    </w:p>
    <w:p>
      <w:pPr>
        <w:spacing w:after="0" w:line="204" w:lineRule="exact"/>
        <w:rPr>
          <w:rFonts w:ascii="Arial" w:cs="Arial" w:eastAsia="Arial" w:hAnsi="Arial"/>
          <w:sz w:val="20"/>
          <w:szCs w:val="20"/>
          <w:color w:val="auto"/>
        </w:rPr>
      </w:pPr>
    </w:p>
    <w:p>
      <w:pPr>
        <w:ind w:left="2420" w:hanging="845"/>
        <w:spacing w:after="0"/>
        <w:tabs>
          <w:tab w:leader="none" w:pos="24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OSI ceases to be a Wholly Owned Subsidiary of the Company (or any successor under </w:t>
      </w:r>
      <w:r>
        <w:rPr>
          <w:rFonts w:ascii="Arial" w:cs="Arial" w:eastAsia="Arial" w:hAnsi="Arial"/>
          <w:sz w:val="19"/>
          <w:szCs w:val="19"/>
          <w:u w:val="single" w:color="auto"/>
          <w:color w:val="auto"/>
        </w:rPr>
        <w:t>Section 7.04(a)</w:t>
      </w:r>
      <w:r>
        <w:rPr>
          <w:rFonts w:ascii="Arial" w:cs="Arial" w:eastAsia="Arial" w:hAnsi="Arial"/>
          <w:sz w:val="19"/>
          <w:szCs w:val="19"/>
          <w:color w:val="auto"/>
        </w:rPr>
        <w:t>).</w:t>
      </w:r>
    </w:p>
    <w:p>
      <w:pPr>
        <w:spacing w:after="0" w:line="235"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Class</w:t>
      </w:r>
      <w:r>
        <w:rPr>
          <w:rFonts w:ascii="Arial" w:cs="Arial" w:eastAsia="Arial" w:hAnsi="Arial"/>
          <w:sz w:val="19"/>
          <w:szCs w:val="19"/>
          <w:color w:val="auto"/>
        </w:rPr>
        <w:t>” (a) when used with respect to Lenders, refers to whether such Lenders have Loans or Commitments with respect to a particular Class of Loans or Commitments, (b) when used with respect to Commitments, refers to whether such Commitments are Term Commitments, Incremental Term Commitments, Commitments in respect of a Class of Loans to be made pursuant to a given Extension Series, Other Term Loan Commitments of a given Refinancing Series, Revolving Credit Commitments, or Other Revolving Credit Commitments, in each case not designated part of another existing Class and (c) when used with respect to Loans or a Borrowing, refers to whether such Loans, or the Loans comprising such Borrowing, are Term Loans, Incremental Term Loans, Extended Term Loans, Other Term Loans made pursuant to a given Refinancing Series, Revolving Credit Loans, Loans made pursuant to Extended Revolving Credit Commitments or Other Revolving Credit Loans in each case not designated part of another existing Class.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Closing Date</w:t>
      </w:r>
      <w:r>
        <w:rPr>
          <w:rFonts w:ascii="Arial" w:cs="Arial" w:eastAsia="Arial" w:hAnsi="Arial"/>
          <w:sz w:val="20"/>
          <w:szCs w:val="20"/>
          <w:color w:val="auto"/>
        </w:rPr>
        <w:t>” means November 30, 2017.</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U.S. Internal Revenue Code of 1986, as amended, and rules and regulations related thereto.</w:t>
      </w:r>
    </w:p>
    <w:p>
      <w:pPr>
        <w:spacing w:after="0" w:line="216" w:lineRule="exact"/>
        <w:rPr>
          <w:sz w:val="20"/>
          <w:szCs w:val="20"/>
          <w:color w:val="auto"/>
        </w:rPr>
      </w:pPr>
    </w:p>
    <w:p>
      <w:pPr>
        <w:ind w:left="280" w:right="4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Co-Documentation Agents</w:t>
      </w:r>
      <w:r>
        <w:rPr>
          <w:rFonts w:ascii="Arial" w:cs="Arial" w:eastAsia="Arial" w:hAnsi="Arial"/>
          <w:sz w:val="20"/>
          <w:szCs w:val="20"/>
          <w:color w:val="auto"/>
        </w:rPr>
        <w:t>” means each of Regions Bank, Citizens Bank, N.A., PNC Bank, National Association, U.S. Bank National Association and HSBC Bank USA, National Association.</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Collateral</w:t>
      </w:r>
      <w:r>
        <w:rPr>
          <w:rFonts w:ascii="Arial" w:cs="Arial" w:eastAsia="Arial" w:hAnsi="Arial"/>
          <w:sz w:val="19"/>
          <w:szCs w:val="19"/>
          <w:color w:val="auto"/>
        </w:rPr>
        <w:t>” means all the “Collateral” as defined in any Collateral Document and shall include the Mortgaged Properties.</w:t>
      </w:r>
    </w:p>
    <w:p>
      <w:pPr>
        <w:spacing w:after="0" w:line="241" w:lineRule="exact"/>
        <w:rPr>
          <w:sz w:val="20"/>
          <w:szCs w:val="20"/>
          <w:color w:val="auto"/>
        </w:rPr>
      </w:pPr>
    </w:p>
    <w:p>
      <w:pPr>
        <w:ind w:left="280" w:righ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Collateral Agent</w:t>
      </w:r>
      <w:r>
        <w:rPr>
          <w:rFonts w:ascii="Arial" w:cs="Arial" w:eastAsia="Arial" w:hAnsi="Arial"/>
          <w:sz w:val="20"/>
          <w:szCs w:val="20"/>
          <w:color w:val="auto"/>
        </w:rPr>
        <w:t>” means the Administrative Agent, in its capacity as collateral agent under any of the Loan Documents, or any successor collateral agent.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Collateral and Guarantee Requirement</w:t>
      </w:r>
      <w:r>
        <w:rPr>
          <w:rFonts w:ascii="Arial" w:cs="Arial" w:eastAsia="Arial" w:hAnsi="Arial"/>
          <w:sz w:val="20"/>
          <w:szCs w:val="20"/>
          <w:color w:val="auto"/>
        </w:rPr>
        <w:t>” means, at any time, the requirement that:</w:t>
      </w:r>
    </w:p>
    <w:p>
      <w:pPr>
        <w:spacing w:after="0" w:line="235" w:lineRule="exact"/>
        <w:rPr>
          <w:sz w:val="20"/>
          <w:szCs w:val="20"/>
          <w:color w:val="auto"/>
        </w:rPr>
      </w:pPr>
    </w:p>
    <w:p>
      <w:pPr>
        <w:ind w:left="920" w:firstLine="655"/>
        <w:spacing w:after="0" w:line="316" w:lineRule="auto"/>
        <w:tabs>
          <w:tab w:leader="none" w:pos="2436"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each Collateral Document required to be delivered on the Closing Date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6.13</w:t>
      </w:r>
      <w:r>
        <w:rPr>
          <w:rFonts w:ascii="Arial" w:cs="Arial" w:eastAsia="Arial" w:hAnsi="Arial"/>
          <w:sz w:val="19"/>
          <w:szCs w:val="19"/>
          <w:color w:val="auto"/>
        </w:rPr>
        <w:t xml:space="preserve"> at such time, duly executed by each Loan Party thereto;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34" w:name="page135"/>
    <w:bookmarkEnd w:id="134"/>
    <w:p>
      <w:pPr>
        <w:jc w:val="both"/>
        <w:ind w:left="920" w:firstLine="655"/>
        <w:spacing w:after="0" w:line="278" w:lineRule="auto"/>
        <w:tabs>
          <w:tab w:leader="none" w:pos="2447" w:val="left"/>
        </w:tabs>
        <w:numPr>
          <w:ilvl w:val="0"/>
          <w:numId w:val="90"/>
        </w:numPr>
        <w:rPr>
          <w:rFonts w:ascii="Arial" w:cs="Arial" w:eastAsia="Arial" w:hAnsi="Arial"/>
          <w:sz w:val="20"/>
          <w:szCs w:val="20"/>
          <w:color w:val="auto"/>
        </w:rPr>
      </w:pPr>
      <w:r>
        <w:rPr>
          <w:rFonts w:ascii="Arial" w:cs="Arial" w:eastAsia="Arial" w:hAnsi="Arial"/>
          <w:sz w:val="20"/>
          <w:szCs w:val="20"/>
          <w:color w:val="auto"/>
        </w:rPr>
        <w:t>all Obligations shall have been unconditionally guaranteed by each Borrower (in the case of Obligations under clauses (b) and (c) of the first sentence of the definition thereof) and each Subsidiary that is a Domestic Subsidiary and not an Excluded Subsidiary;</w:t>
      </w:r>
    </w:p>
    <w:p>
      <w:pPr>
        <w:spacing w:after="0" w:line="186" w:lineRule="exact"/>
        <w:rPr>
          <w:rFonts w:ascii="Arial" w:cs="Arial" w:eastAsia="Arial" w:hAnsi="Arial"/>
          <w:sz w:val="20"/>
          <w:szCs w:val="20"/>
          <w:color w:val="auto"/>
        </w:rPr>
      </w:pPr>
    </w:p>
    <w:p>
      <w:pPr>
        <w:jc w:val="both"/>
        <w:ind w:left="920" w:firstLine="655"/>
        <w:spacing w:after="0" w:line="278" w:lineRule="auto"/>
        <w:tabs>
          <w:tab w:leader="none" w:pos="2436" w:val="left"/>
        </w:tabs>
        <w:numPr>
          <w:ilvl w:val="0"/>
          <w:numId w:val="90"/>
        </w:numPr>
        <w:rPr>
          <w:rFonts w:ascii="Arial" w:cs="Arial" w:eastAsia="Arial" w:hAnsi="Arial"/>
          <w:sz w:val="20"/>
          <w:szCs w:val="20"/>
          <w:color w:val="auto"/>
        </w:rPr>
      </w:pPr>
      <w:r>
        <w:rPr>
          <w:rFonts w:ascii="Arial" w:cs="Arial" w:eastAsia="Arial" w:hAnsi="Arial"/>
          <w:sz w:val="20"/>
          <w:szCs w:val="20"/>
          <w:color w:val="auto"/>
        </w:rPr>
        <w:t>all guarantees issued or to be issued in respect of a Junior Financing (i) shall be subordinated to the Guarantees to the same extent that such Junior Financing is subordinated to the Obligations and (ii) shall provide for their automatic release upon a release of the corresponding Guarantee;</w:t>
      </w:r>
    </w:p>
    <w:p>
      <w:pPr>
        <w:spacing w:after="0" w:line="186"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Obligations and the Guarantees shall have been secured by a first-priority perfected security interest in 100% of the Equity Interests of each Subsidiary that is a Domestic Subsidiary (other than any Foreign Subsidiary Holding Company and any Liquor License Subsidiary);</w:t>
      </w:r>
    </w:p>
    <w:p>
      <w:pPr>
        <w:spacing w:after="0" w:line="200" w:lineRule="exact"/>
        <w:rPr>
          <w:rFonts w:ascii="Arial" w:cs="Arial" w:eastAsia="Arial" w:hAnsi="Arial"/>
          <w:sz w:val="20"/>
          <w:szCs w:val="20"/>
          <w:color w:val="auto"/>
        </w:rPr>
      </w:pPr>
    </w:p>
    <w:p>
      <w:pPr>
        <w:jc w:val="both"/>
        <w:ind w:left="920" w:firstLine="655"/>
        <w:spacing w:after="0" w:line="272" w:lineRule="auto"/>
        <w:tabs>
          <w:tab w:leader="none" w:pos="2436" w:val="left"/>
        </w:tabs>
        <w:numPr>
          <w:ilvl w:val="0"/>
          <w:numId w:val="90"/>
        </w:numPr>
        <w:rPr>
          <w:rFonts w:ascii="Arial" w:cs="Arial" w:eastAsia="Arial" w:hAnsi="Arial"/>
          <w:sz w:val="20"/>
          <w:szCs w:val="20"/>
          <w:color w:val="auto"/>
        </w:rPr>
      </w:pPr>
      <w:r>
        <w:rPr>
          <w:rFonts w:ascii="Arial" w:cs="Arial" w:eastAsia="Arial" w:hAnsi="Arial"/>
          <w:sz w:val="20"/>
          <w:szCs w:val="20"/>
          <w:color w:val="auto"/>
        </w:rPr>
        <w:t>except to the extent otherwise permitted hereunder or under any Collateral Document, the Obligations and the Guarantees shall have been secured by a security interest in, and mortgages on, substantially all tangible and intangible assets (other than Equity Interests, subject to the requirements and limitations set forth in clause (d) above) of each Borrower and each other Guarantor (including accounts receivable, inventory, equipment, investment property, contract rights, domestic intellectual property, other general intangibles, owned Material Real Property and proceeds of the foregoing), in each case, with the priority required by the Collateral Documents;</w:t>
      </w:r>
    </w:p>
    <w:p>
      <w:pPr>
        <w:spacing w:after="0" w:line="191" w:lineRule="exact"/>
        <w:rPr>
          <w:rFonts w:ascii="Arial" w:cs="Arial" w:eastAsia="Arial" w:hAnsi="Arial"/>
          <w:sz w:val="20"/>
          <w:szCs w:val="20"/>
          <w:color w:val="auto"/>
        </w:rPr>
      </w:pPr>
    </w:p>
    <w:p>
      <w:pPr>
        <w:ind w:left="2420" w:hanging="845"/>
        <w:spacing w:after="0"/>
        <w:tabs>
          <w:tab w:leader="none" w:pos="24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none of the Collateral shall be subject to any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jc w:val="both"/>
        <w:ind w:left="920" w:firstLine="655"/>
        <w:spacing w:after="0" w:line="284" w:lineRule="auto"/>
        <w:tabs>
          <w:tab w:leader="none" w:pos="2447"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Collateral Agent shall have received (i) counterparts of a Mortgage with respect to any Material Real Property required to be delivered pursuant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Mortgaged Properties</w:t>
      </w:r>
      <w:r>
        <w:rPr>
          <w:rFonts w:ascii="Arial" w:cs="Arial" w:eastAsia="Arial" w:hAnsi="Arial"/>
          <w:sz w:val="19"/>
          <w:szCs w:val="19"/>
          <w:color w:val="auto"/>
        </w:rPr>
        <w:t xml:space="preserve">”) duly executed and delivered by the record owner of such property, (ii) a policy or policies of title insurance issued by a nationally recognized title insurance company insuring the Lien of each such Mortgage as a valid Lien on the property described therein, free of any other Liens except as expressly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together with such endorsements, coinsurance and reinsurance as the Administrative Agent may reasonably request, (iii) such existing surveys, existing abstracts, existing appraisals and other documents as the Administrative Agent may reasonably request with respect to any such Mortgaged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clause (iii) shall require any Borrower to update existing surveys or order new surveys with respect to any Mortgaged Property and (iv) standard flood hazard determination forms and if any Material Real Property is located in a special flood hazard area, (x) notices to (and confirmations of receipt by) the Company as to the existence of a special flood hazard and, if applicable, the unavailability of flood hazard insurance under the National Flood Insurance Program and (y) evidence of applicable flood insurance, if available, in each case in such form, on such terms and in such amounts as required by The National Flood Insurance Reform Act of 1994, the Federal Flood Disaster Protection Act and rules and regulations promulgated thereunder or as otherwise required by the Administrative Agent or any Lender.</w:t>
      </w:r>
    </w:p>
    <w:p>
      <w:pPr>
        <w:spacing w:after="0" w:line="189"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The foregoing definition shall not require, and the Loan Documents shall not contain any requirements as to, the creation or perfection of pledges of or security interests in, Mortgages on, or the obtaining of title insurance or surveys with respect to, any Excluded Assets. The Collateral Agent may grant extensions of time for the perfection of security interests in or the obtaining of title insurance with respect to particular assets (including extensions beyond the Closing Date for the perfection of security interests in the assets of the Loan Parties on such date) where it reasonably determines, in consultation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57" w:right="239" w:bottom="1440" w:gutter="0" w:footer="0" w:header="0"/>
        </w:sectPr>
      </w:pPr>
    </w:p>
    <w:bookmarkStart w:id="135" w:name="page136"/>
    <w:bookmarkEnd w:id="135"/>
    <w:p>
      <w:pPr>
        <w:ind w:left="280" w:right="40"/>
        <w:spacing w:after="0" w:line="260" w:lineRule="auto"/>
        <w:rPr>
          <w:sz w:val="20"/>
          <w:szCs w:val="20"/>
          <w:color w:val="auto"/>
        </w:rPr>
      </w:pPr>
      <w:r>
        <w:rPr>
          <w:rFonts w:ascii="Arial" w:cs="Arial" w:eastAsia="Arial" w:hAnsi="Arial"/>
          <w:sz w:val="20"/>
          <w:szCs w:val="20"/>
          <w:color w:val="auto"/>
        </w:rPr>
        <w:t>with the Company, that perfection cannot be accomplished without undue effort or expense by the time or times at which it would otherwise be required by this Agreement or the Collateral Documents.</w:t>
      </w:r>
    </w:p>
    <w:p>
      <w:pPr>
        <w:spacing w:after="0" w:line="190" w:lineRule="exact"/>
        <w:rPr>
          <w:sz w:val="20"/>
          <w:szCs w:val="20"/>
          <w:color w:val="auto"/>
        </w:rPr>
      </w:pPr>
    </w:p>
    <w:p>
      <w:pPr>
        <w:jc w:val="both"/>
        <w:ind w:left="280" w:firstLine="648"/>
        <w:spacing w:after="0" w:line="258" w:lineRule="auto"/>
        <w:rPr>
          <w:sz w:val="20"/>
          <w:szCs w:val="20"/>
          <w:color w:val="auto"/>
        </w:rPr>
      </w:pPr>
      <w:r>
        <w:rPr>
          <w:rFonts w:ascii="Arial" w:cs="Arial" w:eastAsia="Arial" w:hAnsi="Arial"/>
          <w:sz w:val="19"/>
          <w:szCs w:val="19"/>
          <w:color w:val="auto"/>
        </w:rPr>
        <w:t>Notwithstanding anything to the contrary, there shall be no requirement for (and no Default or Event of Default under the Loan Documents shall arise out of the lack of) (A) actions required by the Laws of any non-U.S. jurisdiction in order to create any security interests in any assets or to perfect such security interests (including any intellectual property registered in any non-U.S. jurisdiction) (it being understood that there shall be no security agreements or pledge agreements governed under the Laws of any non-U.S. jurisdiction) and (B) perfecting security interests by entering into agreements with third parties (including control or similar agreements) in respect of cash and Cash Equivalents, deposit or securities accounts (other than the Cash Collateral Account) or uncertificated securities of Persons other than Wholly Owned Subsidiaries directly owned by any Borrower or any Guarantor.</w:t>
      </w:r>
    </w:p>
    <w:p>
      <w:pPr>
        <w:spacing w:after="0" w:line="179"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In addition, any Borrower may cause any Domestic Subsidiary that is not otherwise required to be a Guarantor to Guarantee the Obligations and otherwise satisfy the Collateral and Guarantee Requirement, in which case such Domestic Subsidiary shall be treated as a Guarantor under this Agreement and every other Loan Document for all purposes.</w:t>
      </w:r>
    </w:p>
    <w:p>
      <w:pPr>
        <w:spacing w:after="0" w:line="194"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Collateral Documents</w:t>
      </w:r>
      <w:r>
        <w:rPr>
          <w:rFonts w:ascii="Arial" w:cs="Arial" w:eastAsia="Arial" w:hAnsi="Arial"/>
          <w:sz w:val="18"/>
          <w:szCs w:val="18"/>
          <w:color w:val="auto"/>
        </w:rPr>
        <w:t xml:space="preserve">” means, collectively, the Security Agreement, the Mortgages, each of the mortgages, Security Agreement Supplements, security agreements, pledge agreements or other similar agreements delivered to the Collateral Agent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6.13</w:t>
      </w:r>
      <w:r>
        <w:rPr>
          <w:rFonts w:ascii="Arial" w:cs="Arial" w:eastAsia="Arial" w:hAnsi="Arial"/>
          <w:sz w:val="18"/>
          <w:szCs w:val="18"/>
          <w:color w:val="auto"/>
        </w:rPr>
        <w:t>, the Guaranty and each of the other agreements, instruments or documents that creates or purports to create or affirm a Lien or Guarantee in favor of the Collateral Agent or the Administrative Agent for the benefit of the Secured Parties.</w:t>
      </w:r>
    </w:p>
    <w:p>
      <w:pPr>
        <w:spacing w:after="0" w:line="165"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Commitment</w:t>
      </w:r>
      <w:r>
        <w:rPr>
          <w:rFonts w:ascii="Arial" w:cs="Arial" w:eastAsia="Arial" w:hAnsi="Arial"/>
          <w:sz w:val="20"/>
          <w:szCs w:val="20"/>
          <w:color w:val="auto"/>
        </w:rPr>
        <w:t>” means a Term Commitment, an Incremental Term Commitment, an Extended Term Loan Commitment of a given Extension Series, an Other Term Loan Commitment, a Revolving Credit Commitment, an Extended Revolving Credit Commitment of a given Extension Series or Other Revolving Credit Commitment, as the context may require.</w:t>
      </w:r>
    </w:p>
    <w:p>
      <w:pPr>
        <w:spacing w:after="0" w:line="191"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Committed Loan Notice</w:t>
      </w:r>
      <w:r>
        <w:rPr>
          <w:rFonts w:ascii="Arial" w:cs="Arial" w:eastAsia="Arial" w:hAnsi="Arial"/>
          <w:sz w:val="20"/>
          <w:szCs w:val="20"/>
          <w:color w:val="auto"/>
        </w:rPr>
        <w:t xml:space="preserve">” means a notice of (a) a Term Borrowing, (b) a Revolving Credit Borrowing, (c) a conversion of Loans from one Type to the other, or (d) a continuation of Eurocurrency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8" w:lineRule="exact"/>
        <w:rPr>
          <w:sz w:val="20"/>
          <w:szCs w:val="20"/>
          <w:color w:val="auto"/>
        </w:rPr>
      </w:pPr>
    </w:p>
    <w:p>
      <w:pPr>
        <w:ind w:left="280" w:right="1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has the meaning specified in the introductory paragraph of this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Compensation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2.12(c)(ii)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Consolidated EBITDA</w:t>
      </w:r>
      <w:r>
        <w:rPr>
          <w:rFonts w:ascii="Arial" w:cs="Arial" w:eastAsia="Arial" w:hAnsi="Arial"/>
          <w:sz w:val="20"/>
          <w:szCs w:val="20"/>
          <w:color w:val="auto"/>
        </w:rPr>
        <w:t>” means, for any period, the Consolidated Net Income for such period,</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plus</w:t>
      </w:r>
      <w:r>
        <w:rPr>
          <w:rFonts w:ascii="Arial" w:cs="Arial" w:eastAsia="Arial" w:hAnsi="Arial"/>
          <w:sz w:val="20"/>
          <w:szCs w:val="20"/>
          <w:color w:val="auto"/>
        </w:rPr>
        <w:t>:</w:t>
      </w:r>
    </w:p>
    <w:p>
      <w:pPr>
        <w:spacing w:after="0" w:line="213" w:lineRule="exact"/>
        <w:rPr>
          <w:sz w:val="20"/>
          <w:szCs w:val="20"/>
          <w:color w:val="auto"/>
        </w:rPr>
      </w:pPr>
    </w:p>
    <w:p>
      <w:pPr>
        <w:ind w:left="920" w:firstLine="655"/>
        <w:spacing w:after="0" w:line="347" w:lineRule="auto"/>
        <w:tabs>
          <w:tab w:leader="none" w:pos="24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without duplication and (in each case, other than with respect to clause (a)(xi) below) to the extent already deducted (and not added back) in arriving at such Consolidated Net Income, the sum of the following amounts for such period: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36" w:name="page137"/>
    <w:bookmarkEnd w:id="136"/>
    <w:p>
      <w:pPr>
        <w:jc w:val="both"/>
        <w:ind w:left="1580" w:firstLine="643"/>
        <w:spacing w:after="0" w:line="286" w:lineRule="auto"/>
        <w:tabs>
          <w:tab w:leader="none" w:pos="3063" w:val="left"/>
        </w:tabs>
        <w:numPr>
          <w:ilvl w:val="0"/>
          <w:numId w:val="92"/>
        </w:numPr>
        <w:rPr>
          <w:rFonts w:ascii="Arial" w:cs="Arial" w:eastAsia="Arial" w:hAnsi="Arial"/>
          <w:sz w:val="19"/>
          <w:szCs w:val="19"/>
          <w:color w:val="auto"/>
        </w:rPr>
      </w:pPr>
      <w:r>
        <w:rPr>
          <w:rFonts w:ascii="Arial" w:cs="Arial" w:eastAsia="Arial" w:hAnsi="Arial"/>
          <w:sz w:val="19"/>
          <w:szCs w:val="19"/>
          <w:color w:val="auto"/>
        </w:rPr>
        <w:t>total interest expense and, to the extent not reflected in such total interest expense, any losses on hedging obligations or other derivative instruments entered into for the purpose of hedging interest rate risk, net of interest income and gains on such hedging obligations, or other derivative instruments and costs of surety bonds in connection with financing activities, and any financing fees (including commitment, underwriting, funding, “rollover” and similar fees and commissions, discounts, yields and other fees, charges and amounts incurred in connection with the issuance or incurrence of Indebtedness and all commissions, discounts and other fees and charges owed with respect to letters of credit and bankers’ acceptance financing and net costs under Swap Contracts) and annual agency, unused line, facility or similar fees paid under definitive documentation related to Indebtedness,</w:t>
      </w:r>
    </w:p>
    <w:p>
      <w:pPr>
        <w:spacing w:after="0" w:line="199" w:lineRule="exact"/>
        <w:rPr>
          <w:rFonts w:ascii="Arial" w:cs="Arial" w:eastAsia="Arial" w:hAnsi="Arial"/>
          <w:sz w:val="19"/>
          <w:szCs w:val="19"/>
          <w:color w:val="auto"/>
        </w:rPr>
      </w:pPr>
    </w:p>
    <w:p>
      <w:pPr>
        <w:ind w:left="3120" w:hanging="897"/>
        <w:spacing w:after="0"/>
        <w:tabs>
          <w:tab w:leader="none" w:pos="3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provision for Income Taxes of the Company and its Subsidiaries paid or accrued during such period,</w:t>
      </w:r>
    </w:p>
    <w:p>
      <w:pPr>
        <w:spacing w:after="0" w:line="279" w:lineRule="exact"/>
        <w:rPr>
          <w:rFonts w:ascii="Arial" w:cs="Arial" w:eastAsia="Arial" w:hAnsi="Arial"/>
          <w:sz w:val="18"/>
          <w:szCs w:val="18"/>
          <w:color w:val="auto"/>
        </w:rPr>
      </w:pPr>
    </w:p>
    <w:p>
      <w:pPr>
        <w:ind w:left="3160" w:hanging="937"/>
        <w:spacing w:after="0"/>
        <w:tabs>
          <w:tab w:leader="none" w:pos="3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deferred financing fees and debt discounts,</w:t>
      </w:r>
    </w:p>
    <w:p>
      <w:pPr>
        <w:spacing w:after="0" w:line="252" w:lineRule="exact"/>
        <w:rPr>
          <w:rFonts w:ascii="Arial" w:cs="Arial" w:eastAsia="Arial" w:hAnsi="Arial"/>
          <w:sz w:val="18"/>
          <w:szCs w:val="18"/>
          <w:color w:val="auto"/>
        </w:rPr>
      </w:pPr>
    </w:p>
    <w:p>
      <w:pPr>
        <w:ind w:left="2880" w:hanging="657"/>
        <w:spacing w:after="0"/>
        <w:tabs>
          <w:tab w:leader="none" w:pos="28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Non-Cash Charges,</w:t>
      </w:r>
    </w:p>
    <w:p>
      <w:pPr>
        <w:spacing w:after="0" w:line="242" w:lineRule="exact"/>
        <w:rPr>
          <w:rFonts w:ascii="Arial" w:cs="Arial" w:eastAsia="Arial" w:hAnsi="Arial"/>
          <w:sz w:val="20"/>
          <w:szCs w:val="20"/>
          <w:color w:val="auto"/>
        </w:rPr>
      </w:pPr>
    </w:p>
    <w:p>
      <w:pPr>
        <w:jc w:val="both"/>
        <w:ind w:left="1580" w:firstLine="643"/>
        <w:spacing w:after="0" w:line="272" w:lineRule="auto"/>
        <w:tabs>
          <w:tab w:leader="none" w:pos="3107"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unusual or non-recurring losses, charges or expenses (including without limitation, relating to the Transaction) and any charges, losses or expenses related to signing, retention or completion bonuses or recruiting costs, costs and expenses relating to any registration statement, or registered exchange offer in respect of any Indebtedness permitted hereunder, and, to the extent related to Permitted Acquisitions, integration and systems establishment costs;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integration and systems establishment costs are certified as such in a certificate of a Responsible Officer delivered to the Administrative Agent,</w:t>
      </w:r>
    </w:p>
    <w:p>
      <w:pPr>
        <w:spacing w:after="0" w:line="205" w:lineRule="exact"/>
        <w:rPr>
          <w:rFonts w:ascii="Arial" w:cs="Arial" w:eastAsia="Arial" w:hAnsi="Arial"/>
          <w:sz w:val="20"/>
          <w:szCs w:val="20"/>
          <w:color w:val="auto"/>
        </w:rPr>
      </w:pPr>
    </w:p>
    <w:p>
      <w:pPr>
        <w:jc w:val="both"/>
        <w:ind w:left="1580" w:firstLine="643"/>
        <w:spacing w:after="0" w:line="274" w:lineRule="auto"/>
        <w:tabs>
          <w:tab w:leader="none" w:pos="3162" w:val="left"/>
        </w:tabs>
        <w:numPr>
          <w:ilvl w:val="0"/>
          <w:numId w:val="92"/>
        </w:numPr>
        <w:rPr>
          <w:rFonts w:ascii="Arial" w:cs="Arial" w:eastAsia="Arial" w:hAnsi="Arial"/>
          <w:sz w:val="20"/>
          <w:szCs w:val="20"/>
          <w:color w:val="auto"/>
        </w:rPr>
      </w:pPr>
      <w:r>
        <w:rPr>
          <w:rFonts w:ascii="Arial" w:cs="Arial" w:eastAsia="Arial" w:hAnsi="Arial"/>
          <w:sz w:val="20"/>
          <w:szCs w:val="20"/>
          <w:color w:val="auto"/>
        </w:rPr>
        <w:t>severance, relocation costs, curtailments or modifications to pension and post-retirement employee benefit plans, catch-up or transition expenses for “Partner Equity Plans” to the extent relating to employee services rendered in prior periods, and pre-opening, opening, closing and consolidation costs and expenses with respect to any facilities and restaurants,</w:t>
      </w:r>
    </w:p>
    <w:p>
      <w:pPr>
        <w:spacing w:after="0" w:line="192" w:lineRule="exact"/>
        <w:rPr>
          <w:rFonts w:ascii="Arial" w:cs="Arial" w:eastAsia="Arial" w:hAnsi="Arial"/>
          <w:sz w:val="20"/>
          <w:szCs w:val="20"/>
          <w:color w:val="auto"/>
        </w:rPr>
      </w:pPr>
    </w:p>
    <w:p>
      <w:pPr>
        <w:jc w:val="both"/>
        <w:ind w:left="1580" w:firstLine="643"/>
        <w:spacing w:after="0" w:line="278" w:lineRule="auto"/>
        <w:tabs>
          <w:tab w:leader="none" w:pos="3217"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cash restructuring charges or reserves (including restructuring costs related to acquisitions after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adjustments are certified as restructuring charges or reserves in a certificate of a Responsible Officer delivered to the Administrative Agent,</w:t>
      </w:r>
    </w:p>
    <w:p>
      <w:pPr>
        <w:spacing w:after="0" w:line="186" w:lineRule="exact"/>
        <w:rPr>
          <w:rFonts w:ascii="Arial" w:cs="Arial" w:eastAsia="Arial" w:hAnsi="Arial"/>
          <w:sz w:val="20"/>
          <w:szCs w:val="20"/>
          <w:color w:val="auto"/>
        </w:rPr>
      </w:pPr>
    </w:p>
    <w:p>
      <w:pPr>
        <w:jc w:val="both"/>
        <w:ind w:left="1580" w:firstLine="643"/>
        <w:spacing w:after="0" w:line="273" w:lineRule="auto"/>
        <w:tabs>
          <w:tab w:leader="none" w:pos="3272" w:val="left"/>
        </w:tabs>
        <w:numPr>
          <w:ilvl w:val="0"/>
          <w:numId w:val="92"/>
        </w:numPr>
        <w:rPr>
          <w:rFonts w:ascii="Arial" w:cs="Arial" w:eastAsia="Arial" w:hAnsi="Arial"/>
          <w:sz w:val="20"/>
          <w:szCs w:val="20"/>
          <w:color w:val="auto"/>
        </w:rPr>
      </w:pPr>
      <w:r>
        <w:rPr>
          <w:rFonts w:ascii="Arial" w:cs="Arial" w:eastAsia="Arial" w:hAnsi="Arial"/>
          <w:sz w:val="20"/>
          <w:szCs w:val="20"/>
          <w:color w:val="auto"/>
        </w:rPr>
        <w:t>any costs or expenses (excluding Non-Cash Charges) incurred by the Company or a Subsidiary pursuant to any management equity plan or stock option plan or any other management or employee benefit plan or agreement or any stock subscription or shareholder agreement, to the extent that such costs or expenses are funded with cash proceeds contributed to the capital of the Company or net cash proceeds of an issuance of Equity Interests of the Company (other than Disqualified Equity Interests),</w:t>
      </w:r>
    </w:p>
    <w:p>
      <w:pPr>
        <w:spacing w:after="0" w:line="204" w:lineRule="exact"/>
        <w:rPr>
          <w:rFonts w:ascii="Arial" w:cs="Arial" w:eastAsia="Arial" w:hAnsi="Arial"/>
          <w:sz w:val="20"/>
          <w:szCs w:val="20"/>
          <w:color w:val="auto"/>
        </w:rPr>
      </w:pPr>
    </w:p>
    <w:p>
      <w:pPr>
        <w:jc w:val="both"/>
        <w:ind w:left="1580" w:firstLine="643"/>
        <w:spacing w:after="0" w:line="278" w:lineRule="auto"/>
        <w:tabs>
          <w:tab w:leader="none" w:pos="3162" w:val="left"/>
        </w:tabs>
        <w:numPr>
          <w:ilvl w:val="0"/>
          <w:numId w:val="92"/>
        </w:numPr>
        <w:rPr>
          <w:rFonts w:ascii="Arial" w:cs="Arial" w:eastAsia="Arial" w:hAnsi="Arial"/>
          <w:sz w:val="20"/>
          <w:szCs w:val="20"/>
          <w:color w:val="auto"/>
        </w:rPr>
      </w:pPr>
      <w:r>
        <w:rPr>
          <w:rFonts w:ascii="Arial" w:cs="Arial" w:eastAsia="Arial" w:hAnsi="Arial"/>
          <w:sz w:val="20"/>
          <w:szCs w:val="20"/>
          <w:color w:val="auto"/>
        </w:rPr>
        <w:t>to the extent (1) covered by insurance under which the insurer has been properly notified and has affirmed or consented to coverage in writing, expenses with respect to liability or casualty events or business interruption, and (2) actually reimbursed in cash,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58" w:right="239" w:bottom="1440" w:gutter="0" w:footer="0" w:header="0"/>
        </w:sectPr>
      </w:pPr>
    </w:p>
    <w:bookmarkStart w:id="137" w:name="page138"/>
    <w:bookmarkEnd w:id="137"/>
    <w:p>
      <w:pPr>
        <w:ind w:left="1580"/>
        <w:spacing w:after="0" w:line="289" w:lineRule="auto"/>
        <w:rPr>
          <w:sz w:val="20"/>
          <w:szCs w:val="20"/>
          <w:color w:val="auto"/>
        </w:rPr>
      </w:pPr>
      <w:r>
        <w:rPr>
          <w:rFonts w:ascii="Arial" w:cs="Arial" w:eastAsia="Arial" w:hAnsi="Arial"/>
          <w:sz w:val="20"/>
          <w:szCs w:val="20"/>
          <w:color w:val="auto"/>
        </w:rPr>
        <w:t>expenses incurred to the extent covered by indemnification provisions in any agreement in connection with the Transaction or a Permitted Acquisition,</w:t>
      </w:r>
    </w:p>
    <w:p>
      <w:pPr>
        <w:spacing w:after="0" w:line="189" w:lineRule="exact"/>
        <w:rPr>
          <w:sz w:val="20"/>
          <w:szCs w:val="20"/>
          <w:color w:val="auto"/>
        </w:rPr>
      </w:pPr>
    </w:p>
    <w:p>
      <w:pPr>
        <w:ind w:left="1580" w:firstLine="643"/>
        <w:spacing w:after="0" w:line="347" w:lineRule="auto"/>
        <w:tabs>
          <w:tab w:leader="none" w:pos="3107" w:val="left"/>
        </w:tabs>
        <w:numPr>
          <w:ilvl w:val="1"/>
          <w:numId w:val="93"/>
        </w:numPr>
        <w:rPr>
          <w:rFonts w:ascii="Arial" w:cs="Arial" w:eastAsia="Arial" w:hAnsi="Arial"/>
          <w:sz w:val="18"/>
          <w:szCs w:val="18"/>
          <w:color w:val="auto"/>
        </w:rPr>
      </w:pPr>
      <w:r>
        <w:rPr>
          <w:rFonts w:ascii="Arial" w:cs="Arial" w:eastAsia="Arial" w:hAnsi="Arial"/>
          <w:sz w:val="18"/>
          <w:szCs w:val="18"/>
          <w:color w:val="auto"/>
        </w:rPr>
        <w:t>cash receipts (or reduced cash expenditures) to the extent of non-cash gains relating to such income that were deducted in the calculation of Consolidated EBITDA pursuant to clause (b)(ii) below for any prior period,</w:t>
      </w:r>
    </w:p>
    <w:p>
      <w:pPr>
        <w:spacing w:after="0" w:line="130" w:lineRule="exact"/>
        <w:rPr>
          <w:rFonts w:ascii="Arial" w:cs="Arial" w:eastAsia="Arial" w:hAnsi="Arial"/>
          <w:sz w:val="18"/>
          <w:szCs w:val="18"/>
          <w:color w:val="auto"/>
        </w:rPr>
      </w:pPr>
    </w:p>
    <w:p>
      <w:pPr>
        <w:jc w:val="both"/>
        <w:ind w:left="1580" w:firstLine="643"/>
        <w:spacing w:after="0" w:line="284" w:lineRule="auto"/>
        <w:tabs>
          <w:tab w:leader="none" w:pos="3162"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the amount of “run rate” net cost savings, synergies and operating expense reductions (without duplication of any amounts added back pursuant to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in connection with a Specified Transaction) projected by the Company in good faith to result from actions taken or with respect to which substantial steps have been taken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operating expense reductions and synergies are reasonably identifiable and factually supportable (it is understood and agreed that “run-rate” means the full recurring benefit for a period that is associated with any action taken or with respect to which substantial steps have been taken);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aggregate amount of cost savings, synergies and operating expense reductions added back pursuant to this clause (xi) and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in any period of four consecutive fiscal quarters shall not exceed an amount equal to 5% of Consolidated EBITDA for such period (calculated before giving effect to this clause (xi)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1.11(c)</w:t>
      </w:r>
      <w:r>
        <w:rPr>
          <w:rFonts w:ascii="Arial" w:cs="Arial" w:eastAsia="Arial" w:hAnsi="Arial"/>
          <w:sz w:val="19"/>
          <w:szCs w:val="19"/>
          <w:color w:val="auto"/>
        </w:rPr>
        <w:t>), and</w:t>
      </w:r>
    </w:p>
    <w:p>
      <w:pPr>
        <w:spacing w:after="0" w:line="190" w:lineRule="exact"/>
        <w:rPr>
          <w:rFonts w:ascii="Arial" w:cs="Arial" w:eastAsia="Arial" w:hAnsi="Arial"/>
          <w:sz w:val="19"/>
          <w:szCs w:val="19"/>
          <w:color w:val="auto"/>
        </w:rPr>
      </w:pPr>
    </w:p>
    <w:p>
      <w:pPr>
        <w:jc w:val="both"/>
        <w:ind w:left="1580" w:firstLine="643"/>
        <w:spacing w:after="0" w:line="274" w:lineRule="auto"/>
        <w:tabs>
          <w:tab w:leader="none" w:pos="3217"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the amount of any minority interest consisting of Subsidiary income attributable to minority equity interests of third parties in any non-Wholly Owned Subsidiary deducted (and not added back) in such period in calculating Consolidated Net Income except to the extent of cash dividends declared or paid on Equity Interests of such non-Wholly Owned Subsidiaries held by third parties, </w:t>
      </w:r>
      <w:r>
        <w:rPr>
          <w:rFonts w:ascii="Arial" w:cs="Arial" w:eastAsia="Arial" w:hAnsi="Arial"/>
          <w:sz w:val="20"/>
          <w:szCs w:val="20"/>
          <w:u w:val="single" w:color="auto"/>
          <w:color w:val="auto"/>
        </w:rPr>
        <w:t>less</w:t>
      </w:r>
    </w:p>
    <w:p>
      <w:pPr>
        <w:spacing w:after="0" w:line="192" w:lineRule="exact"/>
        <w:rPr>
          <w:rFonts w:ascii="Arial" w:cs="Arial" w:eastAsia="Arial" w:hAnsi="Arial"/>
          <w:sz w:val="20"/>
          <w:szCs w:val="20"/>
          <w:color w:val="auto"/>
        </w:rPr>
      </w:pPr>
    </w:p>
    <w:p>
      <w:pPr>
        <w:ind w:left="920" w:firstLine="655"/>
        <w:spacing w:after="0" w:line="289" w:lineRule="auto"/>
        <w:tabs>
          <w:tab w:leader="none" w:pos="24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without duplication and to the extent included in arriving at such Consolidated Net Income, the sum of the following amounts for such period:</w:t>
      </w:r>
    </w:p>
    <w:p>
      <w:pPr>
        <w:spacing w:after="0" w:line="188" w:lineRule="exact"/>
        <w:rPr>
          <w:rFonts w:ascii="Arial" w:cs="Arial" w:eastAsia="Arial" w:hAnsi="Arial"/>
          <w:sz w:val="20"/>
          <w:szCs w:val="20"/>
          <w:color w:val="auto"/>
        </w:rPr>
      </w:pPr>
    </w:p>
    <w:p>
      <w:pPr>
        <w:ind w:left="3060" w:hanging="837"/>
        <w:spacing w:after="0"/>
        <w:tabs>
          <w:tab w:leader="none" w:pos="30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unusual or non-recurring gains,</w:t>
      </w:r>
    </w:p>
    <w:p>
      <w:pPr>
        <w:spacing w:after="0" w:line="242" w:lineRule="exact"/>
        <w:rPr>
          <w:rFonts w:ascii="Arial" w:cs="Arial" w:eastAsia="Arial" w:hAnsi="Arial"/>
          <w:sz w:val="20"/>
          <w:szCs w:val="20"/>
          <w:color w:val="auto"/>
        </w:rPr>
      </w:pPr>
    </w:p>
    <w:p>
      <w:pPr>
        <w:jc w:val="both"/>
        <w:ind w:left="1580" w:firstLine="643"/>
        <w:spacing w:after="0" w:line="274" w:lineRule="auto"/>
        <w:tabs>
          <w:tab w:leader="none" w:pos="3118" w:val="left"/>
        </w:tabs>
        <w:numPr>
          <w:ilvl w:val="1"/>
          <w:numId w:val="94"/>
        </w:numPr>
        <w:rPr>
          <w:rFonts w:ascii="Arial" w:cs="Arial" w:eastAsia="Arial" w:hAnsi="Arial"/>
          <w:sz w:val="20"/>
          <w:szCs w:val="20"/>
          <w:color w:val="auto"/>
        </w:rPr>
      </w:pPr>
      <w:r>
        <w:rPr>
          <w:rFonts w:ascii="Arial" w:cs="Arial" w:eastAsia="Arial" w:hAnsi="Arial"/>
          <w:sz w:val="20"/>
          <w:szCs w:val="20"/>
          <w:color w:val="auto"/>
        </w:rPr>
        <w:t>non-cash gains increasing Consolidated Net Income for such period, excluding any non-cash gains that represent the reversal of an accrual or reserve for any anticipated cash charges in any prior period (other than any such accrual or reserve that has been added back to Consolidated Net Income in calculating Consolidated EBITDA in accordance with this definition),</w:t>
      </w:r>
    </w:p>
    <w:p>
      <w:pPr>
        <w:spacing w:after="0" w:line="205" w:lineRule="exact"/>
        <w:rPr>
          <w:rFonts w:ascii="Arial" w:cs="Arial" w:eastAsia="Arial" w:hAnsi="Arial"/>
          <w:sz w:val="20"/>
          <w:szCs w:val="20"/>
          <w:color w:val="auto"/>
        </w:rPr>
      </w:pPr>
    </w:p>
    <w:p>
      <w:pPr>
        <w:ind w:left="1580" w:firstLine="643"/>
        <w:spacing w:after="0" w:line="289" w:lineRule="auto"/>
        <w:tabs>
          <w:tab w:leader="none" w:pos="3173" w:val="left"/>
        </w:tabs>
        <w:numPr>
          <w:ilvl w:val="1"/>
          <w:numId w:val="94"/>
        </w:numPr>
        <w:rPr>
          <w:rFonts w:ascii="Arial" w:cs="Arial" w:eastAsia="Arial" w:hAnsi="Arial"/>
          <w:sz w:val="20"/>
          <w:szCs w:val="20"/>
          <w:color w:val="auto"/>
        </w:rPr>
      </w:pPr>
      <w:r>
        <w:rPr>
          <w:rFonts w:ascii="Arial" w:cs="Arial" w:eastAsia="Arial" w:hAnsi="Arial"/>
          <w:sz w:val="20"/>
          <w:szCs w:val="20"/>
          <w:color w:val="auto"/>
        </w:rPr>
        <w:t>rent expense paid in cash during such period over and above rent expense as determined in accordance with GAAP for such period, and</w:t>
      </w:r>
    </w:p>
    <w:p>
      <w:pPr>
        <w:spacing w:after="0" w:line="175" w:lineRule="exact"/>
        <w:rPr>
          <w:rFonts w:ascii="Arial" w:cs="Arial" w:eastAsia="Arial" w:hAnsi="Arial"/>
          <w:sz w:val="20"/>
          <w:szCs w:val="20"/>
          <w:color w:val="auto"/>
        </w:rPr>
      </w:pPr>
    </w:p>
    <w:p>
      <w:pPr>
        <w:jc w:val="both"/>
        <w:ind w:left="1580" w:firstLine="643"/>
        <w:spacing w:after="0" w:line="322" w:lineRule="auto"/>
        <w:tabs>
          <w:tab w:leader="none" w:pos="3162"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any non-cash gains with respect to cash actually received in a prior period unless such cash did not increase Consolidated EBITDA in a prior period, in each case, as determined on a consolidated basis for the Company and its Subsidiaries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included in Consolidated Net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38" w:name="page139"/>
    <w:bookmarkEnd w:id="138"/>
    <w:p>
      <w:pPr>
        <w:jc w:val="both"/>
        <w:ind w:left="1580" w:firstLine="643"/>
        <w:spacing w:after="0" w:line="278" w:lineRule="auto"/>
        <w:tabs>
          <w:tab w:leader="none" w:pos="3151"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there shall be excluded in determining Consolidated EBITDA currency translation gains and losses related to currency remeasurements of Indebtedness (including the net loss or gain resulting from Swap Contracts for currency exchange risk),</w:t>
      </w:r>
    </w:p>
    <w:p>
      <w:pPr>
        <w:spacing w:after="0" w:line="186" w:lineRule="exact"/>
        <w:rPr>
          <w:rFonts w:ascii="Arial" w:cs="Arial" w:eastAsia="Arial" w:hAnsi="Arial"/>
          <w:sz w:val="20"/>
          <w:szCs w:val="20"/>
          <w:color w:val="auto"/>
        </w:rPr>
      </w:pPr>
    </w:p>
    <w:p>
      <w:pPr>
        <w:jc w:val="both"/>
        <w:ind w:left="1580" w:firstLine="643"/>
        <w:spacing w:after="0" w:line="278" w:lineRule="auto"/>
        <w:tabs>
          <w:tab w:leader="none" w:pos="31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there shall be excluded in determining Consolidated EBITDA rent expense as determined in accordance with GAAP not actually paid in cash during such period (net of rent expense paid in cash during such period over and above rent expense as determined in accordance with GAAP for such period), and</w:t>
      </w:r>
    </w:p>
    <w:p>
      <w:pPr>
        <w:spacing w:after="0" w:line="186" w:lineRule="exact"/>
        <w:rPr>
          <w:rFonts w:ascii="Arial" w:cs="Arial" w:eastAsia="Arial" w:hAnsi="Arial"/>
          <w:sz w:val="20"/>
          <w:szCs w:val="20"/>
          <w:color w:val="auto"/>
        </w:rPr>
      </w:pPr>
    </w:p>
    <w:p>
      <w:pPr>
        <w:ind w:left="1580" w:firstLine="643"/>
        <w:spacing w:after="0" w:line="289" w:lineRule="auto"/>
        <w:tabs>
          <w:tab w:leader="none" w:pos="31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there shall be excluded in determining Consolidated EBITDA any net after-tax income (loss) from the early extinguishment of Indebtedness or hedging obligations or other derivative instruments.</w:t>
      </w:r>
    </w:p>
    <w:p>
      <w:pPr>
        <w:spacing w:after="0" w:line="162" w:lineRule="exact"/>
        <w:rPr>
          <w:sz w:val="20"/>
          <w:szCs w:val="20"/>
          <w:color w:val="auto"/>
        </w:rPr>
      </w:pPr>
    </w:p>
    <w:p>
      <w:pPr>
        <w:jc w:val="both"/>
        <w:ind w:left="280" w:firstLine="648"/>
        <w:spacing w:after="0" w:line="272" w:lineRule="auto"/>
        <w:rPr>
          <w:sz w:val="20"/>
          <w:szCs w:val="20"/>
          <w:color w:val="auto"/>
        </w:rPr>
      </w:pPr>
      <w:r>
        <w:rPr>
          <w:rFonts w:ascii="Arial" w:cs="Arial" w:eastAsia="Arial" w:hAnsi="Arial"/>
          <w:sz w:val="18"/>
          <w:szCs w:val="18"/>
          <w:color w:val="auto"/>
        </w:rPr>
        <w:t>For the purpose of the definition of Consolidated EBITDA, “</w:t>
      </w:r>
      <w:r>
        <w:rPr>
          <w:rFonts w:ascii="Arial" w:cs="Arial" w:eastAsia="Arial" w:hAnsi="Arial"/>
          <w:sz w:val="18"/>
          <w:szCs w:val="18"/>
          <w:u w:val="single" w:color="auto"/>
          <w:color w:val="auto"/>
        </w:rPr>
        <w:t>Non-Cash Charges</w:t>
      </w:r>
      <w:r>
        <w:rPr>
          <w:rFonts w:ascii="Arial" w:cs="Arial" w:eastAsia="Arial" w:hAnsi="Arial"/>
          <w:sz w:val="18"/>
          <w:szCs w:val="18"/>
          <w:color w:val="auto"/>
        </w:rPr>
        <w:t>” means (a) any impairment charge or asset write-off or write-down related to intangible assets, long-lived assets and other assets (including licenses or other approvals for the sale of alcoholic beverages), and investments in debt and equity securities pursuant to GAAP, (b) stock-based awards compensation expense including, but not limited to, non-cash charges, expenses or write-downs arising from stock options, restricted stock or other equity incentive programs, and (c) other non-cash charges, expenses or write-downs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non-cash charges, expenses and write-downs referred to in this paragraph represent an accrual or reserve for potential cash items in any future period, (1) the Company may determine not to add back such non-cash charge in the current period and (2) to the extent the Company does decide to add back such non-cash charge, the cash payment in respect thereof in such future period shall be subtracted from Consolidated EBITDA to such extent, and excluding amortization of a prepaid cash item that was paid in a prior period).</w:t>
      </w:r>
    </w:p>
    <w:p>
      <w:pPr>
        <w:spacing w:after="0" w:line="179" w:lineRule="exact"/>
        <w:rPr>
          <w:sz w:val="20"/>
          <w:szCs w:val="20"/>
          <w:color w:val="auto"/>
        </w:rPr>
      </w:pPr>
    </w:p>
    <w:p>
      <w:pPr>
        <w:jc w:val="both"/>
        <w:ind w:left="280" w:firstLine="648"/>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Consolidated Net Income</w:t>
      </w:r>
      <w:r>
        <w:rPr>
          <w:rFonts w:ascii="Arial" w:cs="Arial" w:eastAsia="Arial" w:hAnsi="Arial"/>
          <w:sz w:val="16"/>
          <w:szCs w:val="16"/>
          <w:color w:val="auto"/>
        </w:rPr>
        <w:t xml:space="preserve">” means, for any period, the net income (loss) of the Company and its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Transaction Expenses, (d) any fees and expenses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(e) any income (loss) for such period attributable to the early extinguishment of Indebtedness, (f) accruals and reserves that are established within twelve months after the Closing Date that are so required to be established as a result of the Transaction in accordance with GAAP, (g) any unrealized net gains and losses resulting from Obligations under Secured Hedge Agreements or embedded derivatives that require similar accounting treatment and the application of Accounting Standards Codification Topic 815 and related pronouncements, (h) any after-tax gains or losses on disposal of disposed, abandoned or discontinued operations and any after-tax effect of gains and losses (less all fees and expenses related thereto) attributable to asset dispositions other than in the ordinary course of business and (i) any net income (loss) for such period of any Person that is not a Subsidiary, or that is accounted for by the equity method of accounting,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shall be increased by the amount of dividends or distributions that are actually paid in cash (or converted into cash) to the Company or a Subsidiary in respect of such net income in such period. There shall be excluded from Consolidated Net Income for any period the purchase accounting effects of adjustments, including to property, equipment, inventory and software and other intangible assets (including favorable and unfavorable leases and contracts) and deferred revenue in component amounts required or permitted by GAAP and related authoritative pronouncements (including the effects of such adjustments pushed down to the Company and its Subsidiaries), as a result of any acquisition consummated prior to or after the Closing Date (including any Permitted Acquisitions), or the amortization, write-off or write-down of any amounts thereof.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39" w:name="page140"/>
    <w:bookmarkEnd w:id="139"/>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Consolidated Senior Secured Net Debt</w:t>
      </w:r>
      <w:r>
        <w:rPr>
          <w:rFonts w:ascii="Arial" w:cs="Arial" w:eastAsia="Arial" w:hAnsi="Arial"/>
          <w:sz w:val="20"/>
          <w:szCs w:val="20"/>
          <w:color w:val="auto"/>
        </w:rPr>
        <w:t xml:space="preserve">” means, as of any date of determination, (a) any Indebtedness described in clause (a) of Consolidated Total Debt outstanding on such date that is secured by a Lien on any asset or property of any Borrower or any Subsidiary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aggregate amount of cash and Cash Equivalents (in each case, free and clear of all Liens, other than nonconsensual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Liens permitted by </w:t>
      </w:r>
      <w:r>
        <w:rPr>
          <w:rFonts w:ascii="Arial" w:cs="Arial" w:eastAsia="Arial" w:hAnsi="Arial"/>
          <w:sz w:val="20"/>
          <w:szCs w:val="20"/>
          <w:u w:val="single" w:color="auto"/>
          <w:color w:val="auto"/>
        </w:rPr>
        <w:t>Sections 7.01(a)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7.01(l)</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7.01(aa)</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7.01(bb)</w:t>
      </w:r>
      <w:r>
        <w:rPr>
          <w:rFonts w:ascii="Arial" w:cs="Arial" w:eastAsia="Arial" w:hAnsi="Arial"/>
          <w:sz w:val="20"/>
          <w:szCs w:val="20"/>
          <w:color w:val="auto"/>
        </w:rPr>
        <w:t xml:space="preserve"> and clauses (i) and (ii) of </w:t>
      </w:r>
      <w:r>
        <w:rPr>
          <w:rFonts w:ascii="Arial" w:cs="Arial" w:eastAsia="Arial" w:hAnsi="Arial"/>
          <w:sz w:val="20"/>
          <w:szCs w:val="20"/>
          <w:u w:val="single" w:color="auto"/>
          <w:color w:val="auto"/>
        </w:rPr>
        <w:t>Section 7.01(t)</w:t>
      </w:r>
      <w:r>
        <w:rPr>
          <w:rFonts w:ascii="Arial" w:cs="Arial" w:eastAsia="Arial" w:hAnsi="Arial"/>
          <w:sz w:val="20"/>
          <w:szCs w:val="20"/>
          <w:color w:val="auto"/>
        </w:rPr>
        <w:t xml:space="preserve">) included in the consolidated balance sheet of the Company and its Subsidiaries as of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determining the Consolidated Senior Secured Net Leverage Ratio for purposes of </w:t>
      </w:r>
      <w:r>
        <w:rPr>
          <w:rFonts w:ascii="Arial" w:cs="Arial" w:eastAsia="Arial" w:hAnsi="Arial"/>
          <w:sz w:val="20"/>
          <w:szCs w:val="20"/>
          <w:u w:val="single" w:color="auto"/>
          <w:color w:val="auto"/>
        </w:rPr>
        <w:t>Section 2.15(d)(iv)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7.03(s)</w:t>
      </w:r>
      <w:r>
        <w:rPr>
          <w:rFonts w:ascii="Arial" w:cs="Arial" w:eastAsia="Arial" w:hAnsi="Arial"/>
          <w:sz w:val="20"/>
          <w:szCs w:val="20"/>
          <w:color w:val="auto"/>
        </w:rPr>
        <w:t xml:space="preserve"> only, any cash proceeds of any Incremental Facility or Incremental Equivalent Debt will not be considered cash or Cash Equivalents under clause (b) hereof and the full amount of any Revolving Commitment Increases or Incremental Equivalent Debt shall be deemed to be Indebtedness outstanding on such date.</w:t>
      </w:r>
    </w:p>
    <w:p>
      <w:pPr>
        <w:spacing w:after="0" w:line="187" w:lineRule="exact"/>
        <w:rPr>
          <w:sz w:val="20"/>
          <w:szCs w:val="20"/>
          <w:color w:val="auto"/>
        </w:rPr>
      </w:pPr>
    </w:p>
    <w:p>
      <w:pPr>
        <w:jc w:val="both"/>
        <w:ind w:left="28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Consolidated Senior Secured Net Leverage Ratio</w:t>
      </w:r>
      <w:r>
        <w:rPr>
          <w:rFonts w:ascii="Arial" w:cs="Arial" w:eastAsia="Arial" w:hAnsi="Arial"/>
          <w:sz w:val="19"/>
          <w:szCs w:val="19"/>
          <w:color w:val="auto"/>
        </w:rPr>
        <w:t>” means, with respect to any Test Period, the ratio of (a) Consolidated Senior Secured Net Debt as of the last day of such Test Period to (b) Consolidated EBITDA of the Company for such Test Period.</w:t>
      </w:r>
    </w:p>
    <w:p>
      <w:pPr>
        <w:spacing w:after="0" w:line="142" w:lineRule="exact"/>
        <w:rPr>
          <w:sz w:val="20"/>
          <w:szCs w:val="20"/>
          <w:color w:val="auto"/>
        </w:rPr>
      </w:pPr>
    </w:p>
    <w:p>
      <w:pPr>
        <w:jc w:val="both"/>
        <w:ind w:left="280" w:firstLine="64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Consolidated Total Debt</w:t>
      </w:r>
      <w:r>
        <w:rPr>
          <w:rFonts w:ascii="Arial" w:cs="Arial" w:eastAsia="Arial" w:hAnsi="Arial"/>
          <w:sz w:val="16"/>
          <w:szCs w:val="16"/>
          <w:color w:val="auto"/>
        </w:rPr>
        <w:t xml:space="preserve">” means, as of any date of determination, (a) the aggregate principal amount of Indebtedness of the Company and its Subsidiaries outstanding on such date, in an amount that would be reflected on a balance sheet prepared as of such date on a consolidated basis in accordance with GAAP (but excluding the effects of any discounting of Indebtedness resulting from the application of purchase accounting in connection with any Permitted Acquisition), consisting of Indebtedness for borrowed money, obligations in respect of Capitalized Leases, debt obligations evidenced by promissory notes or similar instruments, unreimbursed drawings in respect of letters of credit (or similar facilities) and Guarantees of the foregoing,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cash and Cash Equivalents (in each case, free and clear of all Liens, other than nonconsensual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and Liens permitted by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7.01(l)</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7.01(aa)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7.01(bb)</w:t>
      </w:r>
      <w:r>
        <w:rPr>
          <w:rFonts w:ascii="Arial" w:cs="Arial" w:eastAsia="Arial" w:hAnsi="Arial"/>
          <w:sz w:val="16"/>
          <w:szCs w:val="16"/>
          <w:color w:val="auto"/>
        </w:rPr>
        <w:t xml:space="preserve"> and clauses (i) and (ii) of </w:t>
      </w:r>
      <w:r>
        <w:rPr>
          <w:rFonts w:ascii="Arial" w:cs="Arial" w:eastAsia="Arial" w:hAnsi="Arial"/>
          <w:sz w:val="16"/>
          <w:szCs w:val="16"/>
          <w:u w:val="single" w:color="auto"/>
          <w:color w:val="auto"/>
        </w:rPr>
        <w:t>Section 7.01(t)</w:t>
      </w:r>
      <w:r>
        <w:rPr>
          <w:rFonts w:ascii="Arial" w:cs="Arial" w:eastAsia="Arial" w:hAnsi="Arial"/>
          <w:sz w:val="16"/>
          <w:szCs w:val="16"/>
          <w:color w:val="auto"/>
        </w:rPr>
        <w:t xml:space="preserve">) included in the consolidated balance sheet of the Company and its Subsidiaries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Total Net Leverage Ratio for purposes of </w:t>
      </w:r>
      <w:r>
        <w:rPr>
          <w:rFonts w:ascii="Arial" w:cs="Arial" w:eastAsia="Arial" w:hAnsi="Arial"/>
          <w:sz w:val="16"/>
          <w:szCs w:val="16"/>
          <w:u w:val="single" w:color="auto"/>
          <w:color w:val="auto"/>
        </w:rPr>
        <w:t>Section 7.03(s)</w:t>
      </w:r>
      <w:r>
        <w:rPr>
          <w:rFonts w:ascii="Arial" w:cs="Arial" w:eastAsia="Arial" w:hAnsi="Arial"/>
          <w:sz w:val="16"/>
          <w:szCs w:val="16"/>
          <w:color w:val="auto"/>
        </w:rPr>
        <w:t xml:space="preserve"> only, any cash proceeds of any Incremental Facility or Incremental Equivalent Debt will not be considered cash or Cash Equivalents under clause</w:t>
      </w:r>
    </w:p>
    <w:p>
      <w:pPr>
        <w:spacing w:after="0" w:line="179" w:lineRule="exact"/>
        <w:rPr>
          <w:sz w:val="20"/>
          <w:szCs w:val="20"/>
          <w:color w:val="auto"/>
        </w:rPr>
      </w:pPr>
    </w:p>
    <w:p>
      <w:pPr>
        <w:ind w:left="280" w:hanging="2"/>
        <w:spacing w:after="0" w:line="244" w:lineRule="auto"/>
        <w:tabs>
          <w:tab w:leader="none" w:pos="563" w:val="left"/>
        </w:tabs>
        <w:numPr>
          <w:ilvl w:val="0"/>
          <w:numId w:val="96"/>
        </w:numPr>
        <w:rPr>
          <w:rFonts w:ascii="Arial" w:cs="Arial" w:eastAsia="Arial" w:hAnsi="Arial"/>
          <w:sz w:val="20"/>
          <w:szCs w:val="20"/>
          <w:color w:val="auto"/>
        </w:rPr>
      </w:pPr>
      <w:r>
        <w:rPr>
          <w:rFonts w:ascii="Arial" w:cs="Arial" w:eastAsia="Arial" w:hAnsi="Arial"/>
          <w:sz w:val="20"/>
          <w:szCs w:val="20"/>
          <w:color w:val="auto"/>
        </w:rPr>
        <w:t>hereof and the full amount of any Revolving Commitment Increases or Incremental Equivalent Debt shall be deemed to be Indebtedness outstanding on such date.</w:t>
      </w:r>
    </w:p>
    <w:p>
      <w:pPr>
        <w:spacing w:after="0" w:line="199"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Consolidated Working Capital</w:t>
      </w:r>
      <w:r>
        <w:rPr>
          <w:rFonts w:ascii="Arial" w:cs="Arial" w:eastAsia="Arial" w:hAnsi="Arial"/>
          <w:sz w:val="19"/>
          <w:szCs w:val="19"/>
          <w:color w:val="auto"/>
        </w:rPr>
        <w:t>” means, at any date, the excess of (a) the sum of all amounts (other than cash and Cash Equivalents) that would, in conformity with GAAP, be set forth opposite the caption “total current assets” (or any like caption) on a consolidated balance sheet of the Company and its Subsidiaries at such date over (b) the sum of all amounts that would, in conformity with GAAP, be set forth opposite the caption “total current liabilities” (or any like caption) on a consolidated balance sheet of the Company and its Subsidiaries on such date, including deferred revenue but excluding, without duplication, (i) the current portion of any Funded Debt, (ii) all Indebtedness consisting of Loans and L/C Obligations to the extent otherwise included therein, (iii) the current portion of accrued interest and (iv) the current portion of current and deferred income taxes.</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Contract Consideration</w:t>
      </w:r>
      <w:r>
        <w:rPr>
          <w:rFonts w:ascii="Arial" w:cs="Arial" w:eastAsia="Arial" w:hAnsi="Arial"/>
          <w:sz w:val="20"/>
          <w:szCs w:val="20"/>
          <w:color w:val="auto"/>
        </w:rPr>
        <w:t>” has the meaning specified in the definition of “Excess Cash Flow”.</w:t>
      </w:r>
    </w:p>
    <w:p>
      <w:pPr>
        <w:spacing w:after="0" w:line="21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589" w:right="239" w:bottom="1440" w:gutter="0" w:footer="0" w:header="0"/>
        </w:sectPr>
      </w:pPr>
    </w:p>
    <w:bookmarkStart w:id="140" w:name="page141"/>
    <w:bookmarkEnd w:id="140"/>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Control</w:t>
      </w:r>
      <w:r>
        <w:rPr>
          <w:rFonts w:ascii="Arial" w:cs="Arial" w:eastAsia="Arial" w:hAnsi="Arial"/>
          <w:sz w:val="20"/>
          <w:szCs w:val="20"/>
          <w:color w:val="auto"/>
        </w:rPr>
        <w:t>” has the meaning specified in the definition of “Affiliate”.</w:t>
      </w:r>
    </w:p>
    <w:p>
      <w:pPr>
        <w:spacing w:after="0" w:line="216"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Co-Syndication Agents</w:t>
      </w:r>
      <w:r>
        <w:rPr>
          <w:rFonts w:ascii="Arial" w:cs="Arial" w:eastAsia="Arial" w:hAnsi="Arial"/>
          <w:sz w:val="20"/>
          <w:szCs w:val="20"/>
          <w:color w:val="auto"/>
        </w:rPr>
        <w:t>” means each of Bank of America, N.A., JPMorgan Chase Bank, N.A. and Coöperatieve Rabobank U.A., New York Branch.</w:t>
      </w:r>
    </w:p>
    <w:p>
      <w:pPr>
        <w:spacing w:after="0" w:line="164"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Credit Agreement Refinancing Indebtedness</w:t>
      </w:r>
      <w:r>
        <w:rPr>
          <w:rFonts w:ascii="Arial" w:cs="Arial" w:eastAsia="Arial" w:hAnsi="Arial"/>
          <w:sz w:val="18"/>
          <w:szCs w:val="18"/>
          <w:color w:val="auto"/>
        </w:rPr>
        <w:t>” means any (a) Permitted Pari Passu Secured Refinancing Debt, (b) Permitted Unsecured Refinancing Debt or (c) other Indebtedness incurred pursuant to a Refinancing Amendment, in each case, issued, incurred or otherwise obtained (including by means of the extension or renewal of existing Indebtedness) in exchange for, or to extend, renew, replace, repurchase, retire or refinance, in whole or part, existing Loans or Commitments hereunder, or any then- existing Credit Agreement Refinancing Indebtedness (“</w:t>
      </w:r>
      <w:r>
        <w:rPr>
          <w:rFonts w:ascii="Arial" w:cs="Arial" w:eastAsia="Arial" w:hAnsi="Arial"/>
          <w:sz w:val="18"/>
          <w:szCs w:val="18"/>
          <w:u w:val="single" w:color="auto"/>
          <w:color w:val="auto"/>
        </w:rPr>
        <w:t>Refinanced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exchanging, extending, renewing, replacing, repurchasing, retiring or refinancing Indebtedness is in an original aggregate principal amount not greater than the aggregate principal amount of the Refinanced Debt except by an amount equal to unpaid accrued interest and premium (including tender premium) and penalties thereon plus reasonable upfront fees and original issue discount on such exchanging, extending, renewing, replacing, repurchasing, retiring or refinancing Indebtedness, plus other reasonable and customary fees and expenses in connection with such exchange, modification, refinancing, refunding, renewal, replacement, repurchase, retirement or extension, (ii) (I) such Indebtedness (other than Revolving Credit Commitments) has a final maturity no earlier than the Maturity Date of, and a Weighted Average Life to Maturity no shorter than the remaining Weighted Average Life to Maturity of, the Refinanced Debt as originally in effect prior to any amortization or prepayments thereto and (II) such Indebtedness if consisting of Revolving Credit Commitments, have a maturity no earlier than, and do not have any commitment reductions that are not applicable to, the Refinanced Debt, (iii) the terms and conditions of such Indebtedness (except as otherwise provided in clause</w:t>
      </w:r>
    </w:p>
    <w:p>
      <w:pPr>
        <w:jc w:val="both"/>
        <w:ind w:left="280" w:hanging="2"/>
        <w:spacing w:after="0" w:line="270" w:lineRule="auto"/>
        <w:tabs>
          <w:tab w:leader="none" w:pos="58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above and with respect to pricing, premiums and optional prepayment or redemption terms) reflect market terms and conditions at the time of issuance (but in no event shall any such Indebtedness have covenants and defaults materially more restrictive (taken as a whole) than those set forth in this Agreement (except for covenants or other provisions applicable only to periods after the Latest Maturity Date at the time of incurrence of such Indebtedness)), (iv) such Refinanced Debt shall be repaid, repurchased, retired, defeased or satisfied and discharged, and all accrued interest, fees, premiums (if any) and penalties in connection therewith shall be paid, on the date such Credit Agreement Refinancing Indebtedness is issued, incurred or obtained and (v) to the extent the Refinanced Debt is subordinated in right of payment to the Obligations, such Indebtedness shall be subordinated in right of payment to the Obligations on terms at least as favorable to the Lenders as those contained in the documentation governing the Refinanced Debt.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Cumulative Growth Amount</w:t>
      </w:r>
      <w:r>
        <w:rPr>
          <w:rFonts w:ascii="Arial" w:cs="Arial" w:eastAsia="Arial" w:hAnsi="Arial"/>
          <w:sz w:val="20"/>
          <w:szCs w:val="20"/>
          <w:color w:val="auto"/>
        </w:rPr>
        <w:t>” shall mean, on any date of determination, the sum of, without duplication,</w:t>
      </w:r>
    </w:p>
    <w:p>
      <w:pPr>
        <w:spacing w:after="0" w:line="235" w:lineRule="exact"/>
        <w:rPr>
          <w:sz w:val="20"/>
          <w:szCs w:val="20"/>
          <w:color w:val="auto"/>
        </w:rPr>
      </w:pPr>
    </w:p>
    <w:p>
      <w:pPr>
        <w:jc w:val="both"/>
        <w:ind w:left="920" w:firstLine="655"/>
        <w:spacing w:after="0" w:line="293" w:lineRule="auto"/>
        <w:tabs>
          <w:tab w:leader="none" w:pos="2491"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 $50,000,000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50% of the aggregate amount of Consolidated Net Income (or, if the Consolidated Net Income is a loss, minus 100% of the amount of the loss) accrued on a cumulative basis during the period, taken as one accounting period, beginning on March 31, 2014 and ending on the last day of the Company’s most recently completed fiscal quarter for which financial statements have been provided pursuant to this Agreement, </w:t>
      </w:r>
      <w:r>
        <w:rPr>
          <w:rFonts w:ascii="Arial" w:cs="Arial" w:eastAsia="Arial" w:hAnsi="Arial"/>
          <w:sz w:val="19"/>
          <w:szCs w:val="19"/>
          <w:u w:val="single" w:color="auto"/>
          <w:color w:val="auto"/>
        </w:rPr>
        <w:t>plus</w:t>
      </w:r>
    </w:p>
    <w:p>
      <w:pPr>
        <w:spacing w:after="0" w:line="175" w:lineRule="exact"/>
        <w:rPr>
          <w:rFonts w:ascii="Arial" w:cs="Arial" w:eastAsia="Arial" w:hAnsi="Arial"/>
          <w:sz w:val="19"/>
          <w:szCs w:val="19"/>
          <w:color w:val="auto"/>
        </w:rPr>
      </w:pPr>
    </w:p>
    <w:p>
      <w:pPr>
        <w:jc w:val="both"/>
        <w:ind w:left="920" w:firstLine="655"/>
        <w:spacing w:after="0" w:line="293" w:lineRule="auto"/>
        <w:tabs>
          <w:tab w:leader="none" w:pos="24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the amount of Net Cash Proceeds from the sale of Equity Interests of the Company (other than Excluded Contributions and issuances of Disqualified Equity Interests) after the Closing Date to the extent that such Net Cash Proceeds shall have been actually received by the Borrowers on or prior to such date of determination and to the extent not used to make payments under </w:t>
      </w:r>
      <w:r>
        <w:rPr>
          <w:rFonts w:ascii="Arial" w:cs="Arial" w:eastAsia="Arial" w:hAnsi="Arial"/>
          <w:sz w:val="19"/>
          <w:szCs w:val="19"/>
          <w:u w:val="single" w:color="auto"/>
          <w:color w:val="auto"/>
        </w:rPr>
        <w:t>Section 7.03(i)</w:t>
      </w:r>
      <w:r>
        <w:rPr>
          <w:rFonts w:ascii="Arial" w:cs="Arial" w:eastAsia="Arial" w:hAnsi="Arial"/>
          <w:sz w:val="19"/>
          <w:szCs w:val="19"/>
          <w:color w:val="auto"/>
        </w:rPr>
        <w:t xml:space="preserve"> or make Restricted Payments pursuant to </w:t>
      </w:r>
      <w:r>
        <w:rPr>
          <w:rFonts w:ascii="Arial" w:cs="Arial" w:eastAsia="Arial" w:hAnsi="Arial"/>
          <w:sz w:val="19"/>
          <w:szCs w:val="19"/>
          <w:u w:val="single" w:color="auto"/>
          <w:color w:val="auto"/>
        </w:rPr>
        <w:t>Section 7.06(f)</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41" w:name="page142"/>
    <w:bookmarkEnd w:id="141"/>
    <w:p>
      <w:pPr>
        <w:jc w:val="both"/>
        <w:ind w:left="920" w:firstLine="655"/>
        <w:spacing w:after="0" w:line="278" w:lineRule="auto"/>
        <w:tabs>
          <w:tab w:leader="none" w:pos="24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an amount equal to the aggregate Returns (not to exceed the original amount of such Investment) in respect of any Investment made since the Closing Date pursuant to </w:t>
      </w:r>
      <w:r>
        <w:rPr>
          <w:rFonts w:ascii="Arial" w:cs="Arial" w:eastAsia="Arial" w:hAnsi="Arial"/>
          <w:sz w:val="20"/>
          <w:szCs w:val="20"/>
          <w:u w:val="single" w:color="auto"/>
          <w:color w:val="auto"/>
        </w:rPr>
        <w:t>Section 7.02(m)</w:t>
      </w:r>
      <w:r>
        <w:rPr>
          <w:rFonts w:ascii="Arial" w:cs="Arial" w:eastAsia="Arial" w:hAnsi="Arial"/>
          <w:sz w:val="20"/>
          <w:szCs w:val="20"/>
          <w:color w:val="auto"/>
        </w:rPr>
        <w:t xml:space="preserve"> to the extent that such Returns did not increase Consolidated Net Income, </w:t>
      </w:r>
      <w:r>
        <w:rPr>
          <w:rFonts w:ascii="Arial" w:cs="Arial" w:eastAsia="Arial" w:hAnsi="Arial"/>
          <w:sz w:val="20"/>
          <w:szCs w:val="20"/>
          <w:u w:val="single" w:color="auto"/>
          <w:color w:val="auto"/>
        </w:rPr>
        <w:t>plus</w:t>
      </w:r>
    </w:p>
    <w:p>
      <w:pPr>
        <w:spacing w:after="0" w:line="186" w:lineRule="exact"/>
        <w:rPr>
          <w:rFonts w:ascii="Arial" w:cs="Arial" w:eastAsia="Arial" w:hAnsi="Arial"/>
          <w:sz w:val="20"/>
          <w:szCs w:val="20"/>
          <w:color w:val="auto"/>
        </w:rPr>
      </w:pPr>
    </w:p>
    <w:p>
      <w:pPr>
        <w:ind w:left="920" w:firstLine="655"/>
        <w:spacing w:after="0" w:line="289" w:lineRule="auto"/>
        <w:tabs>
          <w:tab w:leader="none" w:pos="2464"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aggregate amount of Specified Proceeds actually received by the Borrower on or prior to such date of determination, minus</w:t>
      </w:r>
    </w:p>
    <w:p>
      <w:pPr>
        <w:spacing w:after="0" w:line="175" w:lineRule="exact"/>
        <w:rPr>
          <w:rFonts w:ascii="Arial" w:cs="Arial" w:eastAsia="Arial" w:hAnsi="Arial"/>
          <w:sz w:val="20"/>
          <w:szCs w:val="20"/>
          <w:color w:val="auto"/>
        </w:rPr>
      </w:pPr>
    </w:p>
    <w:p>
      <w:pPr>
        <w:jc w:val="both"/>
        <w:ind w:left="920" w:right="20" w:firstLine="655"/>
        <w:spacing w:after="0" w:line="278" w:lineRule="auto"/>
        <w:tabs>
          <w:tab w:leader="none" w:pos="2469"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sum at the time of determination of (i) the aggregate amount of Investments made since the Closing Date pursuant to Section 7.02(m) and (ii) the aggregate amount of prepayments, redemptions or repurchases made since the Closing Date pursuant to </w:t>
      </w:r>
      <w:r>
        <w:rPr>
          <w:rFonts w:ascii="Arial" w:cs="Arial" w:eastAsia="Arial" w:hAnsi="Arial"/>
          <w:sz w:val="20"/>
          <w:szCs w:val="20"/>
          <w:u w:val="single" w:color="auto"/>
          <w:color w:val="auto"/>
        </w:rPr>
        <w:t>Section 7.12(a)(v)</w:t>
      </w:r>
      <w:r>
        <w:rPr>
          <w:rFonts w:ascii="Arial" w:cs="Arial" w:eastAsia="Arial" w:hAnsi="Arial"/>
          <w:sz w:val="20"/>
          <w:szCs w:val="20"/>
          <w:color w:val="auto"/>
        </w:rPr>
        <w:t>.</w:t>
      </w:r>
    </w:p>
    <w:p>
      <w:pPr>
        <w:spacing w:after="0" w:line="167"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8"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Default Rate</w:t>
      </w:r>
      <w:r>
        <w:rPr>
          <w:rFonts w:ascii="Arial" w:cs="Arial" w:eastAsia="Arial" w:hAnsi="Arial"/>
          <w:sz w:val="20"/>
          <w:szCs w:val="20"/>
          <w:color w:val="auto"/>
        </w:rPr>
        <w:t xml:space="preserve">” means an interest rate equal to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2.0%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 Eurocurrency Rate Loan, the Default Rate shall be an interest rate equal to the interest rate (including any Applicable Rate) otherwise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2.0% per annum, in each case, to the fullest extent permitted by applicable Laws.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any Lender that, as reasonably determined by the Administrative Agent,</w:t>
      </w:r>
    </w:p>
    <w:p>
      <w:pPr>
        <w:spacing w:after="0" w:line="45" w:lineRule="exact"/>
        <w:rPr>
          <w:sz w:val="20"/>
          <w:szCs w:val="20"/>
          <w:color w:val="auto"/>
        </w:rPr>
      </w:pPr>
    </w:p>
    <w:p>
      <w:pPr>
        <w:jc w:val="both"/>
        <w:ind w:left="280" w:hanging="2"/>
        <w:spacing w:after="0" w:line="268" w:lineRule="auto"/>
        <w:tabs>
          <w:tab w:leader="none" w:pos="5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has failed to perform any of its funding obligations hereunder, including in respect of its Loans, participations in L/C Obligations or participations in Swing Line Loans required to be funded by it hereunder within one (1) Business Day of the date required to be funded by it hereunder, unless the subject of a good faith dispute or subsequently cured, (b) has otherwise failed to pay over to the Administrative Agent, the L/C Issuer, the Swing Line Lender or any other Lender any other amount required to be paid by it hereunder within one (1) Business Day of the date when due, unless the subject of a good faith dispute or subsequently cured, (c) has notified the Administrative Agent or the L/C Issuer or the Swing Line Lender that it does not intend to comply with its funding obligations or has made a public statement to that effect with respect to its funding obligations hereunder or under other agreements in which it commits to extend credit, (d) has failed, within three (3) Business Days after request by the Administrative Agent, to confirm in a manner satisfactory to the Administrative Agent that it will comply with its funding obligations hereunder or (e)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approved of or acquiescence in any such proceeding or appointment or (iv)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142" w:name="page143"/>
    <w:bookmarkEnd w:id="142"/>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Designated Non-Cash Consideration</w:t>
      </w:r>
      <w:r>
        <w:rPr>
          <w:rFonts w:ascii="Arial" w:cs="Arial" w:eastAsia="Arial" w:hAnsi="Arial"/>
          <w:sz w:val="20"/>
          <w:szCs w:val="20"/>
          <w:color w:val="auto"/>
        </w:rPr>
        <w:t xml:space="preserve">” means the Fair Market Value of non-cash consideration received by the Company or a Subsidiary in connection with a Disposition pursuant to </w:t>
      </w:r>
      <w:r>
        <w:rPr>
          <w:rFonts w:ascii="Arial" w:cs="Arial" w:eastAsia="Arial" w:hAnsi="Arial"/>
          <w:sz w:val="20"/>
          <w:szCs w:val="20"/>
          <w:u w:val="single" w:color="auto"/>
          <w:color w:val="auto"/>
        </w:rPr>
        <w:t>Section 7.05(k)</w:t>
      </w:r>
      <w:r>
        <w:rPr>
          <w:rFonts w:ascii="Arial" w:cs="Arial" w:eastAsia="Arial" w:hAnsi="Arial"/>
          <w:sz w:val="20"/>
          <w:szCs w:val="20"/>
          <w:color w:val="auto"/>
        </w:rPr>
        <w:t xml:space="preserve"> that is designated as Designated Non-Cash Consideration pursuant to a certificate of a Responsible Officer, setting forth the basis of such valuation (which amount will be reduced by the Fair Market Value of the portion of the non-cash consideration converted to cash or Cash Equivalents within 180 days following the consummation of the applicable Disposition).</w:t>
      </w:r>
    </w:p>
    <w:p>
      <w:pPr>
        <w:spacing w:after="0" w:line="199"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Disposition</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and any sale of Equity Interests) of any property by any Person,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“Disposition” and “Dispose” shall not be deemed to include any issuance by the Company of any of its Equity Interests to another Person.</w:t>
      </w:r>
    </w:p>
    <w:p>
      <w:pPr>
        <w:spacing w:after="0" w:line="165"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Disqualified Equity Interests</w:t>
      </w:r>
      <w:r>
        <w:rPr>
          <w:rFonts w:ascii="Arial" w:cs="Arial" w:eastAsia="Arial" w:hAnsi="Arial"/>
          <w:sz w:val="18"/>
          <w:szCs w:val="18"/>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and the termination of all outstanding Letters of Credit (unless the Outstanding Amount of the L/C Obligations related thereto has been Cash Collateralized, back-stopped by a letter of credit reasonably satisfactory to the applicable L/C Issuer or deemed reissued under another agreement reasonably acceptable to the applicable L/C Issuer)),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of the issuance of such Equity Interests.</w:t>
      </w:r>
    </w:p>
    <w:p>
      <w:pPr>
        <w:spacing w:after="0" w:line="177"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Disqualified Institutions</w:t>
      </w:r>
      <w:r>
        <w:rPr>
          <w:rFonts w:ascii="Arial" w:cs="Arial" w:eastAsia="Arial" w:hAnsi="Arial"/>
          <w:sz w:val="20"/>
          <w:szCs w:val="20"/>
          <w:color w:val="auto"/>
        </w:rPr>
        <w:t>” means any banks, financial institutions or other Persons separately identified by the Borrowers to the Joint Lead Arrangers in writing prior to the Closing Date.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Dollar</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Domestic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77"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43" w:name="page144"/>
    <w:bookmarkEnd w:id="143"/>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29"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Eligible Assignee</w:t>
      </w:r>
      <w:r>
        <w:rPr>
          <w:rFonts w:ascii="Arial" w:cs="Arial" w:eastAsia="Arial" w:hAnsi="Arial"/>
          <w:sz w:val="20"/>
          <w:szCs w:val="20"/>
          <w:color w:val="auto"/>
        </w:rPr>
        <w:t xml:space="preserve">” means any Assignee permitted by and consented to in accordance with </w:t>
      </w:r>
      <w:r>
        <w:rPr>
          <w:rFonts w:ascii="Arial" w:cs="Arial" w:eastAsia="Arial" w:hAnsi="Arial"/>
          <w:sz w:val="20"/>
          <w:szCs w:val="20"/>
          <w:u w:val="single" w:color="auto"/>
          <w:color w:val="auto"/>
        </w:rPr>
        <w:t>Section 10.07(b)</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Employment Participation Subsidiary</w:t>
      </w:r>
      <w:r>
        <w:rPr>
          <w:rFonts w:ascii="Arial" w:cs="Arial" w:eastAsia="Arial" w:hAnsi="Arial"/>
          <w:sz w:val="20"/>
          <w:szCs w:val="20"/>
          <w:color w:val="auto"/>
        </w:rPr>
        <w:t>” means a limited partnership or other entity that is a Subsidiary (i) which contracts to provide services to one or more other Subsidiaries of the Company which operate one or more restaurants, (ii) which engages in no other material business activities and has no material assets other than those related to clause (i) above and (iii) in which restaurant employees of the Company and its Subsidiaries have an equity ownership interest.</w:t>
      </w:r>
    </w:p>
    <w:p>
      <w:pPr>
        <w:spacing w:after="0" w:line="197"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the protection of the environment, natural resources, or, to the extent relating to exposure to Hazardous Materials, human health or to the release of any materials into the environment, including those related to hazardous substances or wastes, air emissions and discharges to waste or public systems.</w:t>
      </w:r>
    </w:p>
    <w:p>
      <w:pPr>
        <w:spacing w:after="0" w:line="199" w:lineRule="exact"/>
        <w:rPr>
          <w:sz w:val="20"/>
          <w:szCs w:val="20"/>
          <w:color w:val="auto"/>
        </w:rPr>
      </w:pPr>
    </w:p>
    <w:p>
      <w:pPr>
        <w:jc w:val="both"/>
        <w:ind w:left="28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5"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64"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Equity Interests</w:t>
      </w:r>
      <w:r>
        <w:rPr>
          <w:rFonts w:ascii="Arial" w:cs="Arial" w:eastAsia="Arial" w:hAnsi="Arial"/>
          <w:sz w:val="18"/>
          <w:szCs w:val="18"/>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w:t>
      </w:r>
      <w:r>
        <w:rPr>
          <w:rFonts w:ascii="Arial" w:cs="Arial" w:eastAsia="Arial" w:hAnsi="Arial"/>
          <w:sz w:val="20"/>
          <w:szCs w:val="20"/>
          <w:color w:val="auto"/>
        </w:rPr>
        <w:t>” means the Employee Retirement Income Security Act of 1974, as amended from time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to time.</w:t>
      </w:r>
    </w:p>
    <w:p>
      <w:pPr>
        <w:spacing w:after="0" w:line="194"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 Affiliate</w:t>
      </w:r>
      <w:r>
        <w:rPr>
          <w:rFonts w:ascii="Arial" w:cs="Arial" w:eastAsia="Arial" w:hAnsi="Arial"/>
          <w:sz w:val="20"/>
          <w:szCs w:val="20"/>
          <w:color w:val="auto"/>
        </w:rPr>
        <w:t>” means any trade or business (whether or not incorporated) that is under common control with any Loan Party within the meaning of Section 414 of the Code or Section 4001 of ERISA.</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1" w:right="239" w:bottom="1440" w:gutter="0" w:footer="0" w:header="0"/>
        </w:sectPr>
      </w:pPr>
    </w:p>
    <w:bookmarkStart w:id="144" w:name="page145"/>
    <w:bookmarkEnd w:id="144"/>
    <w:p>
      <w:pPr>
        <w:jc w:val="both"/>
        <w:ind w:left="28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Event</w:t>
      </w:r>
      <w:r>
        <w:rPr>
          <w:rFonts w:ascii="Arial" w:cs="Arial" w:eastAsia="Arial" w:hAnsi="Arial"/>
          <w:sz w:val="18"/>
          <w:szCs w:val="18"/>
          <w:color w:val="auto"/>
        </w:rPr>
        <w:t>” means (a) a Reportable Event with respect to a Pension Plan; (b)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or in reorganization; (d) the filing of a notice of intent to terminate a Pension Plan, the treatment of a Pension Plan or Multiemployer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any Loan Party or any ERISA Affiliate; or (g) the failure of any Pension Plan to satisfy the minimum funding standard required for any plan year or part thereof under Section 412 of the Code or Section 302 of ERISA or a waiver of such standard or extension of any amortization period is sought or granted under Section 412 of the Code or Section 302 of ERISA.</w:t>
      </w:r>
    </w:p>
    <w:p>
      <w:pPr>
        <w:spacing w:after="0" w:line="180"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thereto), as in effect from time to time.</w:t>
      </w:r>
    </w:p>
    <w:p>
      <w:pPr>
        <w:spacing w:after="0" w:line="177"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Eurocurrency Rate</w:t>
      </w:r>
      <w:r>
        <w:rPr>
          <w:rFonts w:ascii="Arial" w:cs="Arial" w:eastAsia="Arial" w:hAnsi="Arial"/>
          <w:sz w:val="18"/>
          <w:szCs w:val="18"/>
          <w:color w:val="auto"/>
        </w:rPr>
        <w:t xml:space="preserve">” means, subject to the implementation of a Replacement Rate in accordance with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with respect to any Borrowing of Eurocurrency Rate Loans for any Interest Period, (a) the rate per annum published by the ICE Benchmark Administration Limited, a United Kingdom company (or such other comparable or successor quoting source as may, in the reasonable opinion of the Administrative Agent, replace such page for the purpose of quoting such rates) as the London interbank offered rate for deposits in U.S. Dollars for a period equal to such Interest Period, at approximately 11:00 a.m. (London time) on the date that is two (2)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 interest rate is not ascertainable pursuant to the foregoing provisions of this definition, the “Eurocurrency Rate” shall be the interest rate per annum reasonably determined by the Administrative Agent to be the average of the rates per annum at which deposits in U.S. Dollars are offered for such relevant Interest Period to major banks in the London interbank market in London, England by the Administrative Agent at approximately 11:00 a.m. (London time) on the date that is two (2) Business Days prior to the beginning of such Interest Period, divided by (a) a percentage equal to 100% minus the then stated maximum rate of all reserve requirements (including, without limitation, any marginal, emergency, supplemental, special or other reserves required by applicable law) applicable to any member bank of the Federal Reserve System in respect of eurocurrency funding or liabilities as defined in Regulation D (or any successor category of liabilities under Regulation D). Notwithstanding the foregoing, unless otherwise specified in any amendment to this Agreement entered into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3.03(b)</w:t>
      </w:r>
      <w:r>
        <w:rPr>
          <w:rFonts w:ascii="Arial" w:cs="Arial" w:eastAsia="Arial" w:hAnsi="Arial"/>
          <w:sz w:val="18"/>
          <w:szCs w:val="18"/>
          <w:color w:val="auto"/>
        </w:rPr>
        <w:t>, in the event that a Replacement Rate with respect to the Eurocurrency Rate is implemented then all references herein to the Eurocurrency Rate shall be deemed references to such Replacement Rate.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Eurocurrency Rate Loan</w:t>
      </w:r>
      <w:r>
        <w:rPr>
          <w:rFonts w:ascii="Arial" w:cs="Arial" w:eastAsia="Arial" w:hAnsi="Arial"/>
          <w:sz w:val="20"/>
          <w:szCs w:val="20"/>
          <w:color w:val="auto"/>
        </w:rPr>
        <w:t>” means a Loan that bears interest at a rate based on the Eurocurrency</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Rate.</w:t>
      </w:r>
    </w:p>
    <w:p>
      <w:pPr>
        <w:spacing w:after="0" w:line="194" w:lineRule="exact"/>
        <w:rPr>
          <w:sz w:val="20"/>
          <w:szCs w:val="20"/>
          <w:color w:val="auto"/>
        </w:rPr>
      </w:pPr>
    </w:p>
    <w:p>
      <w:pPr>
        <w:ind w:left="280" w:right="1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Excess Cash Flow</w:t>
      </w:r>
      <w:r>
        <w:rPr>
          <w:rFonts w:ascii="Arial" w:cs="Arial" w:eastAsia="Arial" w:hAnsi="Arial"/>
          <w:sz w:val="20"/>
          <w:szCs w:val="20"/>
          <w:color w:val="auto"/>
        </w:rPr>
        <w:t>” means, for any period, an amount equal to the excess of:</w:t>
      </w:r>
    </w:p>
    <w:p>
      <w:pPr>
        <w:spacing w:after="0" w:line="222" w:lineRule="exact"/>
        <w:rPr>
          <w:sz w:val="20"/>
          <w:szCs w:val="20"/>
          <w:color w:val="auto"/>
        </w:rPr>
      </w:pPr>
    </w:p>
    <w:p>
      <w:pPr>
        <w:ind w:left="2200" w:hanging="625"/>
        <w:spacing w:after="0"/>
        <w:tabs>
          <w:tab w:leader="none" w:pos="220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80" w:lineRule="exact"/>
        <w:rPr>
          <w:rFonts w:ascii="Arial" w:cs="Arial" w:eastAsia="Arial" w:hAnsi="Arial"/>
          <w:sz w:val="20"/>
          <w:szCs w:val="20"/>
          <w:color w:val="auto"/>
        </w:rPr>
      </w:pPr>
    </w:p>
    <w:p>
      <w:pPr>
        <w:ind w:left="3040" w:hanging="817"/>
        <w:spacing w:after="0"/>
        <w:tabs>
          <w:tab w:leader="none" w:pos="30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Consolidated Net Income,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45" w:name="page146"/>
    <w:bookmarkEnd w:id="145"/>
    <w:p>
      <w:pPr>
        <w:ind w:left="1580" w:firstLine="643"/>
        <w:spacing w:after="0" w:line="289" w:lineRule="auto"/>
        <w:tabs>
          <w:tab w:leader="none" w:pos="3118" w:val="left"/>
        </w:tabs>
        <w:numPr>
          <w:ilvl w:val="2"/>
          <w:numId w:val="102"/>
        </w:numPr>
        <w:rPr>
          <w:rFonts w:ascii="Arial" w:cs="Arial" w:eastAsia="Arial" w:hAnsi="Arial"/>
          <w:sz w:val="20"/>
          <w:szCs w:val="20"/>
          <w:color w:val="auto"/>
        </w:rPr>
      </w:pPr>
      <w:r>
        <w:rPr>
          <w:rFonts w:ascii="Arial" w:cs="Arial" w:eastAsia="Arial" w:hAnsi="Arial"/>
          <w:sz w:val="20"/>
          <w:szCs w:val="20"/>
          <w:color w:val="auto"/>
        </w:rPr>
        <w:t>depreciation, amortization and other non-cash charges and expenses incurred during such period, to the extent deducted in arriving at such Consolidated Net Income,</w:t>
      </w:r>
    </w:p>
    <w:p>
      <w:pPr>
        <w:spacing w:after="0" w:line="188" w:lineRule="exact"/>
        <w:rPr>
          <w:rFonts w:ascii="Arial" w:cs="Arial" w:eastAsia="Arial" w:hAnsi="Arial"/>
          <w:sz w:val="20"/>
          <w:szCs w:val="20"/>
          <w:color w:val="auto"/>
        </w:rPr>
      </w:pPr>
    </w:p>
    <w:p>
      <w:pPr>
        <w:ind w:left="1580" w:firstLine="643"/>
        <w:spacing w:after="0" w:line="347" w:lineRule="auto"/>
        <w:tabs>
          <w:tab w:leader="none" w:pos="317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decreases in Consolidated Working Capital for such period (other than any such decreases arising from acquisitions and non-ordinary course Dispositions by the Company and its Subsidiaries completed during such period),</w:t>
      </w:r>
    </w:p>
    <w:p>
      <w:pPr>
        <w:spacing w:after="0" w:line="144" w:lineRule="exact"/>
        <w:rPr>
          <w:rFonts w:ascii="Arial" w:cs="Arial" w:eastAsia="Arial" w:hAnsi="Arial"/>
          <w:sz w:val="18"/>
          <w:szCs w:val="18"/>
          <w:color w:val="auto"/>
        </w:rPr>
      </w:pPr>
    </w:p>
    <w:p>
      <w:pPr>
        <w:jc w:val="both"/>
        <w:ind w:left="1580" w:firstLine="643"/>
        <w:spacing w:after="0" w:line="278" w:lineRule="auto"/>
        <w:tabs>
          <w:tab w:leader="none" w:pos="3162" w:val="left"/>
        </w:tabs>
        <w:numPr>
          <w:ilvl w:val="2"/>
          <w:numId w:val="102"/>
        </w:numPr>
        <w:rPr>
          <w:rFonts w:ascii="Arial" w:cs="Arial" w:eastAsia="Arial" w:hAnsi="Arial"/>
          <w:sz w:val="20"/>
          <w:szCs w:val="20"/>
          <w:color w:val="auto"/>
        </w:rPr>
      </w:pPr>
      <w:r>
        <w:rPr>
          <w:rFonts w:ascii="Arial" w:cs="Arial" w:eastAsia="Arial" w:hAnsi="Arial"/>
          <w:sz w:val="20"/>
          <w:szCs w:val="20"/>
          <w:color w:val="auto"/>
        </w:rPr>
        <w:t>an amount equal to the aggregate net non-cash loss on Dispositions by the Company and its Subsidiaries during such period (other than Dispositions in the ordinary course of business) to the extent deducted in arriving at such Consolidated Net Income,</w:t>
      </w:r>
    </w:p>
    <w:p>
      <w:pPr>
        <w:spacing w:after="0" w:line="186" w:lineRule="exact"/>
        <w:rPr>
          <w:rFonts w:ascii="Arial" w:cs="Arial" w:eastAsia="Arial" w:hAnsi="Arial"/>
          <w:sz w:val="20"/>
          <w:szCs w:val="20"/>
          <w:color w:val="auto"/>
        </w:rPr>
      </w:pPr>
    </w:p>
    <w:p>
      <w:pPr>
        <w:ind w:left="1580" w:firstLine="643"/>
        <w:spacing w:after="0" w:line="289" w:lineRule="auto"/>
        <w:tabs>
          <w:tab w:leader="none" w:pos="3107" w:val="left"/>
        </w:tabs>
        <w:numPr>
          <w:ilvl w:val="2"/>
          <w:numId w:val="102"/>
        </w:numPr>
        <w:rPr>
          <w:rFonts w:ascii="Arial" w:cs="Arial" w:eastAsia="Arial" w:hAnsi="Arial"/>
          <w:sz w:val="20"/>
          <w:szCs w:val="20"/>
          <w:color w:val="auto"/>
        </w:rPr>
      </w:pPr>
      <w:r>
        <w:rPr>
          <w:rFonts w:ascii="Arial" w:cs="Arial" w:eastAsia="Arial" w:hAnsi="Arial"/>
          <w:sz w:val="20"/>
          <w:szCs w:val="20"/>
          <w:color w:val="auto"/>
        </w:rPr>
        <w:t>an amount equal to all cash received for such period on account of any net non-cash gain or income from Investments deducted in a previous period pursuant to clause (b)(iv)(B) below in this definition,</w:t>
      </w:r>
    </w:p>
    <w:p>
      <w:pPr>
        <w:spacing w:after="0" w:line="175" w:lineRule="exact"/>
        <w:rPr>
          <w:rFonts w:ascii="Arial" w:cs="Arial" w:eastAsia="Arial" w:hAnsi="Arial"/>
          <w:sz w:val="20"/>
          <w:szCs w:val="20"/>
          <w:color w:val="auto"/>
        </w:rPr>
      </w:pPr>
    </w:p>
    <w:p>
      <w:pPr>
        <w:ind w:left="1540" w:right="20" w:firstLine="656"/>
        <w:spacing w:after="0" w:line="289" w:lineRule="auto"/>
        <w:tabs>
          <w:tab w:leader="none" w:pos="312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an amount equal to all cash income and gains included in clauses (a) and (e) of the definition of Consolidated Net Income,</w:t>
      </w:r>
    </w:p>
    <w:p>
      <w:pPr>
        <w:spacing w:after="0" w:line="188" w:lineRule="exact"/>
        <w:rPr>
          <w:rFonts w:ascii="Arial" w:cs="Arial" w:eastAsia="Arial" w:hAnsi="Arial"/>
          <w:sz w:val="20"/>
          <w:szCs w:val="20"/>
          <w:color w:val="auto"/>
        </w:rPr>
      </w:pPr>
    </w:p>
    <w:p>
      <w:pPr>
        <w:ind w:left="1580" w:firstLine="643"/>
        <w:spacing w:after="0" w:line="289" w:lineRule="auto"/>
        <w:tabs>
          <w:tab w:leader="none" w:pos="3217" w:val="left"/>
        </w:tabs>
        <w:numPr>
          <w:ilvl w:val="2"/>
          <w:numId w:val="103"/>
        </w:numPr>
        <w:rPr>
          <w:rFonts w:ascii="Arial" w:cs="Arial" w:eastAsia="Arial" w:hAnsi="Arial"/>
          <w:sz w:val="20"/>
          <w:szCs w:val="20"/>
          <w:color w:val="auto"/>
        </w:rPr>
      </w:pPr>
      <w:r>
        <w:rPr>
          <w:rFonts w:ascii="Arial" w:cs="Arial" w:eastAsia="Arial" w:hAnsi="Arial"/>
          <w:sz w:val="20"/>
          <w:szCs w:val="20"/>
          <w:color w:val="auto"/>
        </w:rPr>
        <w:t>rent expense as determined in accordance with GAAP during such period over and above rent expense paid in cash during such period, and</w:t>
      </w:r>
    </w:p>
    <w:p>
      <w:pPr>
        <w:spacing w:after="0" w:line="188" w:lineRule="exact"/>
        <w:rPr>
          <w:rFonts w:ascii="Arial" w:cs="Arial" w:eastAsia="Arial" w:hAnsi="Arial"/>
          <w:sz w:val="20"/>
          <w:szCs w:val="20"/>
          <w:color w:val="auto"/>
        </w:rPr>
      </w:pPr>
    </w:p>
    <w:p>
      <w:pPr>
        <w:ind w:left="1580" w:firstLine="643"/>
        <w:spacing w:after="0" w:line="289" w:lineRule="auto"/>
        <w:tabs>
          <w:tab w:leader="none" w:pos="3272" w:val="left"/>
        </w:tabs>
        <w:numPr>
          <w:ilvl w:val="2"/>
          <w:numId w:val="103"/>
        </w:numPr>
        <w:rPr>
          <w:rFonts w:ascii="Arial" w:cs="Arial" w:eastAsia="Arial" w:hAnsi="Arial"/>
          <w:sz w:val="20"/>
          <w:szCs w:val="20"/>
          <w:color w:val="auto"/>
        </w:rPr>
      </w:pPr>
      <w:r>
        <w:rPr>
          <w:rFonts w:ascii="Arial" w:cs="Arial" w:eastAsia="Arial" w:hAnsi="Arial"/>
          <w:sz w:val="20"/>
          <w:szCs w:val="20"/>
          <w:color w:val="auto"/>
        </w:rPr>
        <w:t>an amount deducted as tax expense in determining Consolidated Net Income to the extent in excess of cash taxes paid in such period, over</w:t>
      </w:r>
    </w:p>
    <w:p>
      <w:pPr>
        <w:spacing w:after="0" w:line="161" w:lineRule="exact"/>
        <w:rPr>
          <w:rFonts w:ascii="Arial" w:cs="Arial" w:eastAsia="Arial" w:hAnsi="Arial"/>
          <w:sz w:val="20"/>
          <w:szCs w:val="20"/>
          <w:color w:val="auto"/>
        </w:rPr>
      </w:pPr>
    </w:p>
    <w:p>
      <w:pPr>
        <w:ind w:left="2220" w:hanging="645"/>
        <w:spacing w:after="0"/>
        <w:tabs>
          <w:tab w:leader="none" w:pos="22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42" w:lineRule="exact"/>
        <w:rPr>
          <w:rFonts w:ascii="Arial" w:cs="Arial" w:eastAsia="Arial" w:hAnsi="Arial"/>
          <w:sz w:val="20"/>
          <w:szCs w:val="20"/>
          <w:color w:val="auto"/>
        </w:rPr>
      </w:pPr>
    </w:p>
    <w:p>
      <w:pPr>
        <w:ind w:left="1580" w:firstLine="643"/>
        <w:spacing w:after="0" w:line="347" w:lineRule="auto"/>
        <w:tabs>
          <w:tab w:leader="none" w:pos="306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 amount equal to all non-cash credits included in arriving at such Consolidated Net Income and cash losses, charges and expenses included in clauses (a), (c), (d), (e), (f), and (h) of the definition of Consolidated Net Income,</w:t>
      </w:r>
    </w:p>
    <w:p>
      <w:pPr>
        <w:spacing w:after="0" w:line="144" w:lineRule="exact"/>
        <w:rPr>
          <w:rFonts w:ascii="Arial" w:cs="Arial" w:eastAsia="Arial" w:hAnsi="Arial"/>
          <w:sz w:val="18"/>
          <w:szCs w:val="18"/>
          <w:color w:val="auto"/>
        </w:rPr>
      </w:pPr>
    </w:p>
    <w:p>
      <w:pPr>
        <w:jc w:val="both"/>
        <w:ind w:left="1580" w:firstLine="643"/>
        <w:spacing w:after="0" w:line="274" w:lineRule="auto"/>
        <w:tabs>
          <w:tab w:leader="none" w:pos="3118" w:val="left"/>
        </w:tabs>
        <w:numPr>
          <w:ilvl w:val="2"/>
          <w:numId w:val="104"/>
        </w:numPr>
        <w:rPr>
          <w:rFonts w:ascii="Arial" w:cs="Arial" w:eastAsia="Arial" w:hAnsi="Arial"/>
          <w:sz w:val="20"/>
          <w:szCs w:val="20"/>
          <w:color w:val="auto"/>
        </w:rPr>
      </w:pPr>
      <w:r>
        <w:rPr>
          <w:rFonts w:ascii="Arial" w:cs="Arial" w:eastAsia="Arial" w:hAnsi="Arial"/>
          <w:sz w:val="20"/>
          <w:szCs w:val="20"/>
          <w:color w:val="auto"/>
        </w:rPr>
        <w:t>without duplication of amounts deducted pursuant to clause (xi) below in prior fiscal years, the amount of Capital Expenditures made in cash or accrued during such period, except to the extent that such Capital Expenditures were financed with the proceeds of Indebtedness (other than Revolving Credit Loans and loans under any other revolving credit line or similar facility) of the Company or any Subsidiary,</w:t>
      </w:r>
    </w:p>
    <w:p>
      <w:pPr>
        <w:spacing w:after="0" w:line="205" w:lineRule="exact"/>
        <w:rPr>
          <w:rFonts w:ascii="Arial" w:cs="Arial" w:eastAsia="Arial" w:hAnsi="Arial"/>
          <w:sz w:val="20"/>
          <w:szCs w:val="20"/>
          <w:color w:val="auto"/>
        </w:rPr>
      </w:pPr>
    </w:p>
    <w:p>
      <w:pPr>
        <w:jc w:val="both"/>
        <w:ind w:left="1580" w:firstLine="643"/>
        <w:spacing w:after="0" w:line="303" w:lineRule="auto"/>
        <w:tabs>
          <w:tab w:leader="none" w:pos="3173"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the aggregate amount of all principal payments of Indebtedness of the Company and its Subsidiaries (including (A) the principal component of payments in respect of Capitalized Leases and (B) the amount of any mandatory prepayment of Term Loans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to the extent required due to a Disposition that resulted in an increase to Consolidated Net Income and not in excess of the amount of such increase but excluding (X) all other prepayments of Term Loans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(Y) all prepayments of Revolving Credit Loans and Swing Line Loans) made during such period (other than in respect of any revolving credit facility to the extent there is not an equivalent permanent reduction in commitments thereunder) to the extent financed with Internally Generated Cash (other than to the extent made in reliance on </w:t>
      </w:r>
      <w:r>
        <w:rPr>
          <w:rFonts w:ascii="Arial" w:cs="Arial" w:eastAsia="Arial" w:hAnsi="Arial"/>
          <w:sz w:val="18"/>
          <w:szCs w:val="18"/>
          <w:u w:val="single" w:color="auto"/>
          <w:color w:val="auto"/>
        </w:rPr>
        <w:t>Section 7.12(a)(v)</w:t>
      </w:r>
      <w:r>
        <w:rPr>
          <w:rFonts w:ascii="Arial" w:cs="Arial" w:eastAsia="Arial" w:hAnsi="Arial"/>
          <w:sz w:val="18"/>
          <w:szCs w:val="18"/>
          <w:color w:val="auto"/>
        </w:rPr>
        <w:t>), an amount equal to the sum of (A) the aggregate net non-cash gain on Dispositions by the Company and its Subsidiaries during such period (other than Dispositions in the ordinary course of business) to the extent included in arriving at such Consolidated Net Income and (B) the aggregate net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146" w:name="page147"/>
    <w:bookmarkEnd w:id="146"/>
    <w:p>
      <w:pPr>
        <w:jc w:val="center"/>
        <w:ind w:right="-79"/>
        <w:spacing w:after="0"/>
        <w:rPr>
          <w:sz w:val="20"/>
          <w:szCs w:val="20"/>
          <w:color w:val="auto"/>
        </w:rPr>
      </w:pPr>
      <w:r>
        <w:rPr>
          <w:rFonts w:ascii="Arial" w:cs="Arial" w:eastAsia="Arial" w:hAnsi="Arial"/>
          <w:sz w:val="20"/>
          <w:szCs w:val="20"/>
          <w:color w:val="auto"/>
        </w:rPr>
        <w:t>non-cash gain or income from Investments to the extent included in arriving at Consolidated Net Income,</w:t>
      </w:r>
    </w:p>
    <w:p>
      <w:pPr>
        <w:spacing w:after="0" w:line="256" w:lineRule="exact"/>
        <w:rPr>
          <w:sz w:val="20"/>
          <w:szCs w:val="20"/>
          <w:color w:val="auto"/>
        </w:rPr>
      </w:pPr>
    </w:p>
    <w:p>
      <w:pPr>
        <w:ind w:left="1580" w:firstLine="643"/>
        <w:spacing w:after="0" w:line="316" w:lineRule="auto"/>
        <w:tabs>
          <w:tab w:leader="none" w:pos="316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increases in Consolidated Working Capital for such period (other than any such increases arising from acquisitions and non-ordinary course Dispositions by the Company and its Subsidiaries during such period),</w:t>
      </w:r>
    </w:p>
    <w:p>
      <w:pPr>
        <w:spacing w:after="0" w:line="167" w:lineRule="exact"/>
        <w:rPr>
          <w:rFonts w:ascii="Arial" w:cs="Arial" w:eastAsia="Arial" w:hAnsi="Arial"/>
          <w:sz w:val="19"/>
          <w:szCs w:val="19"/>
          <w:color w:val="auto"/>
        </w:rPr>
      </w:pPr>
    </w:p>
    <w:p>
      <w:pPr>
        <w:ind w:left="1580" w:firstLine="643"/>
        <w:spacing w:after="0" w:line="289" w:lineRule="auto"/>
        <w:tabs>
          <w:tab w:leader="none" w:pos="310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cash payments by the Company and its Subsidiaries during such period in respect of long-term liabilities of the Company and its Subsidiaries other than Indebtedness,</w:t>
      </w:r>
    </w:p>
    <w:p>
      <w:pPr>
        <w:spacing w:after="0" w:line="175" w:lineRule="exact"/>
        <w:rPr>
          <w:rFonts w:ascii="Arial" w:cs="Arial" w:eastAsia="Arial" w:hAnsi="Arial"/>
          <w:sz w:val="20"/>
          <w:szCs w:val="20"/>
          <w:color w:val="auto"/>
        </w:rPr>
      </w:pPr>
    </w:p>
    <w:p>
      <w:pPr>
        <w:jc w:val="both"/>
        <w:ind w:left="1580" w:firstLine="643"/>
        <w:spacing w:after="0" w:line="322" w:lineRule="auto"/>
        <w:tabs>
          <w:tab w:leader="none" w:pos="3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without duplication of amounts deducted pursuant to clause (xi) below in prior fiscal years, the amount of Investments and acquisitions made during such period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7.02(m)</w:t>
      </w:r>
      <w:r>
        <w:rPr>
          <w:rFonts w:ascii="Arial" w:cs="Arial" w:eastAsia="Arial" w:hAnsi="Arial"/>
          <w:sz w:val="18"/>
          <w:szCs w:val="18"/>
          <w:color w:val="auto"/>
        </w:rPr>
        <w:t>) to the extent that such Investments and acquisitions were financed with Internally Generated Cash,</w:t>
      </w:r>
    </w:p>
    <w:p>
      <w:pPr>
        <w:spacing w:after="0" w:line="166" w:lineRule="exact"/>
        <w:rPr>
          <w:rFonts w:ascii="Arial" w:cs="Arial" w:eastAsia="Arial" w:hAnsi="Arial"/>
          <w:sz w:val="18"/>
          <w:szCs w:val="18"/>
          <w:color w:val="auto"/>
        </w:rPr>
      </w:pPr>
    </w:p>
    <w:p>
      <w:pPr>
        <w:ind w:left="1580" w:firstLine="643"/>
        <w:spacing w:after="0" w:line="289" w:lineRule="auto"/>
        <w:tabs>
          <w:tab w:leader="none" w:pos="32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amount of Restricted Payments paid during such period pursuant to </w:t>
      </w:r>
      <w:r>
        <w:rPr>
          <w:rFonts w:ascii="Arial" w:cs="Arial" w:eastAsia="Arial" w:hAnsi="Arial"/>
          <w:sz w:val="20"/>
          <w:szCs w:val="20"/>
          <w:u w:val="single" w:color="auto"/>
          <w:color w:val="auto"/>
        </w:rPr>
        <w:t>Sections 7.06(f)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(h)</w:t>
      </w:r>
      <w:r>
        <w:rPr>
          <w:rFonts w:ascii="Arial" w:cs="Arial" w:eastAsia="Arial" w:hAnsi="Arial"/>
          <w:sz w:val="20"/>
          <w:szCs w:val="20"/>
          <w:color w:val="auto"/>
        </w:rPr>
        <w:t>, in each case to the extent such Restricted Payments were financed with Internally Generated Cash,</w:t>
      </w:r>
    </w:p>
    <w:p>
      <w:pPr>
        <w:spacing w:after="0" w:line="188" w:lineRule="exact"/>
        <w:rPr>
          <w:rFonts w:ascii="Arial" w:cs="Arial" w:eastAsia="Arial" w:hAnsi="Arial"/>
          <w:sz w:val="20"/>
          <w:szCs w:val="20"/>
          <w:color w:val="auto"/>
        </w:rPr>
      </w:pPr>
    </w:p>
    <w:p>
      <w:pPr>
        <w:jc w:val="both"/>
        <w:ind w:left="1580" w:firstLine="643"/>
        <w:spacing w:after="0" w:line="278" w:lineRule="auto"/>
        <w:tabs>
          <w:tab w:leader="none" w:pos="327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aggregate amount of expenditures actually made by the Company and its Subsidiaries in cash during such period (including expenditures for the payment of financing fees) to the extent that such expenditures were not expensed during such period,</w:t>
      </w:r>
    </w:p>
    <w:p>
      <w:pPr>
        <w:spacing w:after="0" w:line="186" w:lineRule="exact"/>
        <w:rPr>
          <w:rFonts w:ascii="Arial" w:cs="Arial" w:eastAsia="Arial" w:hAnsi="Arial"/>
          <w:sz w:val="20"/>
          <w:szCs w:val="20"/>
          <w:color w:val="auto"/>
        </w:rPr>
      </w:pPr>
    </w:p>
    <w:p>
      <w:pPr>
        <w:jc w:val="both"/>
        <w:ind w:left="1580" w:firstLine="643"/>
        <w:spacing w:after="0" w:line="278" w:lineRule="auto"/>
        <w:tabs>
          <w:tab w:leader="none" w:pos="31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aggregate amount of any premium, make-whole or penalty payments actually paid in cash by the Company and its Subsidiaries during such period that are required to be made in connection with any prepayment of Indebtedness,</w:t>
      </w:r>
    </w:p>
    <w:p>
      <w:pPr>
        <w:spacing w:after="0" w:line="200" w:lineRule="exact"/>
        <w:rPr>
          <w:rFonts w:ascii="Arial" w:cs="Arial" w:eastAsia="Arial" w:hAnsi="Arial"/>
          <w:sz w:val="20"/>
          <w:szCs w:val="20"/>
          <w:color w:val="auto"/>
        </w:rPr>
      </w:pPr>
    </w:p>
    <w:p>
      <w:pPr>
        <w:jc w:val="both"/>
        <w:ind w:left="1580" w:firstLine="643"/>
        <w:spacing w:after="0" w:line="286" w:lineRule="auto"/>
        <w:tabs>
          <w:tab w:leader="none" w:pos="310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prior periods, the aggregate consideration required to be paid in cash by the Company or any of its Subsidiaries pursuant to binding contracts (the “</w:t>
      </w:r>
      <w:r>
        <w:rPr>
          <w:rFonts w:ascii="Arial" w:cs="Arial" w:eastAsia="Arial" w:hAnsi="Arial"/>
          <w:sz w:val="19"/>
          <w:szCs w:val="19"/>
          <w:u w:val="single" w:color="auto"/>
          <w:color w:val="auto"/>
        </w:rPr>
        <w:t>Contract Consideration</w:t>
      </w:r>
      <w:r>
        <w:rPr>
          <w:rFonts w:ascii="Arial" w:cs="Arial" w:eastAsia="Arial" w:hAnsi="Arial"/>
          <w:sz w:val="19"/>
          <w:szCs w:val="19"/>
          <w:color w:val="auto"/>
        </w:rPr>
        <w:t xml:space="preserve">”) entered into prior to or during such period relating to Permitted Acquisitions or Capital Expenditures to be consummated or made during the period of four consecutive fiscal quarters of the Company following the end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the aggregate amount of Internally Generated Cash actually utilized to finance such Permitted Acquisitions or Capital Expenditures during such period of four consecutive fiscal quarters is less than the Contract Consideration, the amount of such shortfall shall be added to the calculation of Excess Cash Flow at the end of such period of four consecutive fiscal quarters,</w:t>
      </w:r>
    </w:p>
    <w:p>
      <w:pPr>
        <w:spacing w:after="0" w:line="199" w:lineRule="exact"/>
        <w:rPr>
          <w:rFonts w:ascii="Arial" w:cs="Arial" w:eastAsia="Arial" w:hAnsi="Arial"/>
          <w:sz w:val="19"/>
          <w:szCs w:val="19"/>
          <w:color w:val="auto"/>
        </w:rPr>
      </w:pPr>
    </w:p>
    <w:p>
      <w:pPr>
        <w:jc w:val="both"/>
        <w:ind w:left="1580" w:firstLine="643"/>
        <w:spacing w:after="0" w:line="278" w:lineRule="auto"/>
        <w:tabs>
          <w:tab w:leader="none" w:pos="31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amount of cash taxes paid and, without duplication, cash distributions for payment of taxes, in such period to the extent they exceed the amount of tax expense deducted in determining Consolidated Net Income for such period,</w:t>
      </w:r>
    </w:p>
    <w:p>
      <w:pPr>
        <w:spacing w:after="0" w:line="200" w:lineRule="exact"/>
        <w:rPr>
          <w:rFonts w:ascii="Arial" w:cs="Arial" w:eastAsia="Arial" w:hAnsi="Arial"/>
          <w:sz w:val="20"/>
          <w:szCs w:val="20"/>
          <w:color w:val="auto"/>
        </w:rPr>
      </w:pPr>
    </w:p>
    <w:p>
      <w:pPr>
        <w:ind w:left="1580" w:firstLine="643"/>
        <w:spacing w:after="0" w:line="289" w:lineRule="auto"/>
        <w:tabs>
          <w:tab w:leader="none" w:pos="32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the aggregate amount of all mandatory principal repayments of Term Loans made during such period pursuant to </w:t>
      </w:r>
      <w:r>
        <w:rPr>
          <w:rFonts w:ascii="Arial" w:cs="Arial" w:eastAsia="Arial" w:hAnsi="Arial"/>
          <w:sz w:val="20"/>
          <w:szCs w:val="20"/>
          <w:u w:val="single" w:color="auto"/>
          <w:color w:val="auto"/>
        </w:rPr>
        <w:t>Section 2.07(a)</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580" w:firstLine="643"/>
        <w:spacing w:after="0" w:line="289" w:lineRule="auto"/>
        <w:tabs>
          <w:tab w:leader="none" w:pos="327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cash expenditures made in respect of Swap Contracts to the extent not reflected in the computation of Consolidated Net Income for such period, and</w:t>
      </w:r>
    </w:p>
    <w:p>
      <w:pPr>
        <w:spacing w:after="0" w:line="188" w:lineRule="exact"/>
        <w:rPr>
          <w:rFonts w:ascii="Arial" w:cs="Arial" w:eastAsia="Arial" w:hAnsi="Arial"/>
          <w:sz w:val="20"/>
          <w:szCs w:val="20"/>
          <w:color w:val="auto"/>
        </w:rPr>
      </w:pPr>
    </w:p>
    <w:p>
      <w:pPr>
        <w:ind w:left="1580" w:firstLine="643"/>
        <w:spacing w:after="0" w:line="289" w:lineRule="auto"/>
        <w:tabs>
          <w:tab w:leader="none" w:pos="323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rent expense paid in cash during such period over and above rent expense as determined in accordance with GAAP for such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47" w:name="page148"/>
    <w:bookmarkEnd w:id="147"/>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Exchange Act</w:t>
      </w:r>
      <w:r>
        <w:rPr>
          <w:rFonts w:ascii="Arial" w:cs="Arial" w:eastAsia="Arial" w:hAnsi="Arial"/>
          <w:sz w:val="20"/>
          <w:szCs w:val="20"/>
          <w:color w:val="auto"/>
        </w:rPr>
        <w:t>” means the Securities Exchange Act of 1934, as amended.</w:t>
      </w:r>
    </w:p>
    <w:p>
      <w:pPr>
        <w:spacing w:after="0" w:line="216"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Assets</w:t>
      </w:r>
      <w:r>
        <w:rPr>
          <w:rFonts w:ascii="Arial" w:cs="Arial" w:eastAsia="Arial" w:hAnsi="Arial"/>
          <w:sz w:val="18"/>
          <w:szCs w:val="18"/>
          <w:color w:val="auto"/>
        </w:rPr>
        <w:t xml:space="preserve">” means (i) any fee-owned real property (other than Material Real Property) and any leasehold rights and leasehold interests in real property (it being understood that the Loan Documents shall not contain any requirements as to landlord waivers, estoppels and collateral access letters), (ii) motor vehicles and other assets subject to certificates of title to the extent that a security interest therein cannot be perfected by the filing of a UCC-1 financing statement, (iii) commercial tort claims where the amount of damages claimed by the applicable Loan Party is less than $5,000,000, (iv) any governmental licenses or state or local franchises, charters and authorizations to the extent that the Collateral Agent may not validly possess a security interest therein under applicable Laws (including, without limitation, rules and regulations of any Governmental Authority or agency) or the pledge or creation of a security interest in which would require governmental consent, approval, license or authorization, other than to the extent such prohibition, limitation or restriction is ineffective under the UCC or other applicable Laws, (v) any particular asset or right under contract, if the pledge thereof or the security interest therein (A) is prohibited by applicable Law other than to the extent such prohibition is rendered ineffective under the UCC or other applicable Laws or (B) to the extent and for as long as it would violate the terms of any written agreement, license, lease or similar arrangement with respect to such asset or would require consent, approval, license or authorization (in each case, after giving effect to the relevant provisions of the UCC or other applicable Laws) or would give rise to a termination right (in favor of a Person other than any Borrower or any Subsidiary) pursuant to any “change of control” or other similar provision under such written agreement, license or lease (except to the extent such provision is overridden by the UCC or other applicable Laws), in each case, (a) excluding any such written agreement that relates to Credit Agreement Refinancing Indebtedness or Incremental Equivalent Debt and (b) only to the extent that such limitation on such pledge or security interest is otherwise permitted under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(vi) (A) Equity Interests in any Employment Participation Subsidiary (except to the extent a perfected security interest in such Subsidiary can be obtained by filing of a UCC-1 financing statement), (B) Margin Stock, (C) Equity Interests of any Person listed on </w:t>
      </w:r>
      <w:r>
        <w:rPr>
          <w:rFonts w:ascii="Arial" w:cs="Arial" w:eastAsia="Arial" w:hAnsi="Arial"/>
          <w:sz w:val="18"/>
          <w:szCs w:val="18"/>
          <w:u w:val="single" w:color="auto"/>
          <w:color w:val="auto"/>
        </w:rPr>
        <w:t>Schedule 1.01A</w:t>
      </w:r>
      <w:r>
        <w:rPr>
          <w:rFonts w:ascii="Arial" w:cs="Arial" w:eastAsia="Arial" w:hAnsi="Arial"/>
          <w:sz w:val="18"/>
          <w:szCs w:val="18"/>
          <w:color w:val="auto"/>
        </w:rPr>
        <w:t>, (D) Equity Interests in any non-Wholly Owned Subsidiaries, but only to the extent that, and for so long as, (x) the Organization Documents or other agreements with respect to the Equity Interests of such non-Wholly Owned Subsidiaries with other equity holders (other than any such agreement where all of the equity holders party thereto are Loan Parties or Subsidiaries thereof) do not permit or restrict the pledge of such Equity Interests, or (y) the pledge of such Equity Interests (including any exercise of remedies) would result in a change of control, repurchase obligation or other adverse consequence to any of the Loan Parties or such Subsidiary (other than the loss of such Equity Interests as a result of any such exercise of remedies), (E) Equity Interests of Foreign Subsidiary Holding Companies, (F) Equity Interests of any Subsidiary of a Foreign Subsidiary, and (G) Equity Interests of Liquor License Subsidiaries, (vii) any lease, license or agreement or any property subject to a purchase money security interest, capital lease obligation or similar arrangement, in each case to the extent that a grant of a security interest therein would violate or invalidate such lease, license or agreement or purchase money or similar arrangement or create a right of termination in favor of any other party thereto (other than any Borrower or any Subsidiary) after giving effect to the applicable anti-assignment provisions of the UCC or other applicable Laws, other than proceeds and receivables thereof, the assignment of which is expressly deemed effective under the UCC or other applicable Laws notwithstanding such prohibition, (viii) any intellectual property registered under the laws of a jurisdiction other than the United States, (ix) any assets if the creation or perfection of pledges of, or security interests in, such assets would result in material adverse tax consequences to any Borrower or any of its Subsidiaries, as reasonably determined by the Borrowers in consultation with the Administrative Agent, (x) letter of credit rights where the maximum amount of any such letter of credit is less than $5,000,000, except to the extent constituting a support obligation for other Collateral as to which perfection of the security interest in such other Collateral is accomplished solely by the filing of a UCC financing statement, (xi)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0" w:right="239" w:bottom="1440" w:gutter="0" w:footer="0" w:header="0"/>
        </w:sectPr>
      </w:pPr>
    </w:p>
    <w:bookmarkStart w:id="148" w:name="page149"/>
    <w:bookmarkEnd w:id="148"/>
    <w:p>
      <w:pPr>
        <w:jc w:val="both"/>
        <w:ind w:left="280"/>
        <w:spacing w:after="0" w:line="243" w:lineRule="auto"/>
        <w:rPr>
          <w:sz w:val="20"/>
          <w:szCs w:val="20"/>
          <w:color w:val="auto"/>
        </w:rPr>
      </w:pPr>
      <w:r>
        <w:rPr>
          <w:rFonts w:ascii="Arial" w:cs="Arial" w:eastAsia="Arial" w:hAnsi="Arial"/>
          <w:sz w:val="20"/>
          <w:szCs w:val="20"/>
          <w:color w:val="auto"/>
        </w:rPr>
        <w:t xml:space="preserve">intent-to-use trademark application under applicable federal Law, (xii) particular assets if and for so long as, in the reasonable judgment of the Administrative Agent and the Borrowers (as set forth in a written agreement between the Administrative Agent and the Borrowers), the cost of obtaining a security interest in such assets exceeds the practical benefits to the Lenders afforded thereby and (xiii) Excluded Real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Excluded Assets shall not include any proceeds, substitutions or replacements of any Excluded Assets referred to in preceding clauses (i) through (xiii) (unless such proceeds, substitutions or replacements would independently constitute Excluded Assets referred to in such clauses (i) through (xiii)).</w:t>
      </w:r>
    </w:p>
    <w:p>
      <w:pPr>
        <w:spacing w:after="0" w:line="204"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Excluded Concept Subsidiaries</w:t>
      </w:r>
      <w:r>
        <w:rPr>
          <w:rFonts w:ascii="Arial" w:cs="Arial" w:eastAsia="Arial" w:hAnsi="Arial"/>
          <w:sz w:val="19"/>
          <w:szCs w:val="19"/>
          <w:color w:val="auto"/>
        </w:rPr>
        <w:t xml:space="preserve">” means any Wholly Owned Domestic Subsidiaries in the Borrowers’ Flemings concept (which, for the avoidance of doubt, also shall include each such Subsidiary that is the general partner of each Employment Participation Subsidiary associated with such concepts);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portion of revenues attributable to Excluded Concept Subsidiaries (taken as a group) exceeds 10% of the consolidated revenues of the Company and its Subsidiaries for any Test Period, then the Borrowers shall designate certain domestic Wholly Owned Excluded Concept Subsidiaries to become Guarantors (including, in any event, any Subsidiary that is the general partner of each Employment Participation Subsidiary associated with such Excluded Concept Subsidiaries designated to become Guarantors), which shall cease to be Excluded Concept Subsidiaries, such that the portion of revenues attributable to the remaining Wholly Owned domestic Excluded Concept Subsidiaries (after giving effect to such designated domestic Wholly Owned Subsidiaries ceasing to be Excluded Concept Subsidiaries) no longer exceeds 10% of the consolidated revenues of the Company and its Subsidiaries for such Test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Excluded Concept Subsidiary shall be an obligor or guarantor of (i) any Credit Agreement Refinancing Indebtedness, (ii) any Incremental Equivalent Debt, (iii) any unsecured Indebtedness, (iv) any Indebtedness that is secured on a junior basis to the Obligations or (v) any Junior Financing, in the case of preceding clauses (iii), (iv) and (v), with an aggregate principal amount in excess of the Threshold Amount.</w:t>
      </w:r>
    </w:p>
    <w:p>
      <w:pPr>
        <w:spacing w:after="0" w:line="196"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Excluded Contribution</w:t>
      </w:r>
      <w:r>
        <w:rPr>
          <w:rFonts w:ascii="Arial" w:cs="Arial" w:eastAsia="Arial" w:hAnsi="Arial"/>
          <w:sz w:val="20"/>
          <w:szCs w:val="20"/>
          <w:color w:val="auto"/>
        </w:rPr>
        <w:t>” means the amount of capital contributions to the Company (and promptly contributed to OSI) or Net Cash Proceeds from the sale or issuance of Qualified Equity Interests of the Company (and promptly contributed to OSI), in each case after the Closing Date and designated by the Company to the Administrative Agent as an Excluded Contribution on or promptly after the date such capital contributions are made or such Equity Interests are sold or issued.</w:t>
      </w:r>
    </w:p>
    <w:p>
      <w:pPr>
        <w:spacing w:after="0" w:line="197" w:lineRule="exact"/>
        <w:rPr>
          <w:sz w:val="20"/>
          <w:szCs w:val="20"/>
          <w:color w:val="auto"/>
        </w:rPr>
      </w:pPr>
    </w:p>
    <w:p>
      <w:pPr>
        <w:jc w:val="both"/>
        <w:ind w:left="28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Excluded Real Property</w:t>
      </w:r>
      <w:r>
        <w:rPr>
          <w:rFonts w:ascii="Arial" w:cs="Arial" w:eastAsia="Arial" w:hAnsi="Arial"/>
          <w:sz w:val="20"/>
          <w:szCs w:val="20"/>
          <w:color w:val="auto"/>
        </w:rPr>
        <w:t xml:space="preserve">” means any fee-owned real property and any leasehold rights and leasehold interests in real property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 which property shall continue to constitute Excluded Real Property notwithstanding any subsequent transfer of any such property to any other Loan Party or to a newly formed entity that is required to become a Loan Party hereunder, in all cases, it being the understanding and intent of the parties hereto that any property constituting Excluded Real Property on the Closing Date shall continue to constitute Excluded Real Property for all purposes of this Agreement and the other Loan Documents notwithstanding any such transfer or requirement.</w:t>
      </w:r>
    </w:p>
    <w:p>
      <w:pPr>
        <w:spacing w:after="0" w:line="199"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Subsidiary</w:t>
      </w:r>
      <w:r>
        <w:rPr>
          <w:rFonts w:ascii="Arial" w:cs="Arial" w:eastAsia="Arial" w:hAnsi="Arial"/>
          <w:sz w:val="18"/>
          <w:szCs w:val="18"/>
          <w:color w:val="auto"/>
        </w:rPr>
        <w:t xml:space="preserve">” means (a) any Subsidiary that is not a Wholly Owned Subsidiary, (b) any Subsidiary that is prohibited by applicable Law or Contractual Obligation existing on the Closing Date (or, in the case of any Subsidiary acquired after the Closing Date, any Contractual Obligation in existence at the time of the acquisition of such Subsidiary but not entered into in contemplation thereof) from guaranteeing the Obligations, (c) any Domestic Subsidiary that is a Subsidiary of (i) a Foreign Subsidiary that is a CFC or (ii) a Foreign Subsidiary Holding Company, (d) any Foreign Subsidiary Holding Company, (e) any Subsidiary prohibited from guaranteeing the Obligations under the terms of Indebtedness assumed pursuant to </w:t>
      </w:r>
      <w:r>
        <w:rPr>
          <w:rFonts w:ascii="Arial" w:cs="Arial" w:eastAsia="Arial" w:hAnsi="Arial"/>
          <w:sz w:val="18"/>
          <w:szCs w:val="18"/>
          <w:u w:val="single" w:color="auto"/>
          <w:color w:val="auto"/>
        </w:rPr>
        <w:t>Section 7.03(g)(A)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Subsidiary shall cease to be an Excluded Subsidiary under this clause (e) if such Indebtedness is repaid, (f) any Immaterial Subsidiary, (g) any Employment Participation Subsidiary, (h) any Excluded Concept Subsidiary, (i) any special purposes securitization vehicle (or similar entity), (j) any not-for-profit Subsidiary, (k) any Liquor License Subsidiary and (l) any other Subsidiary with respect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49" w:name="page150"/>
    <w:bookmarkEnd w:id="149"/>
    <w:p>
      <w:pPr>
        <w:jc w:val="both"/>
        <w:ind w:left="280"/>
        <w:spacing w:after="0" w:line="257" w:lineRule="auto"/>
        <w:rPr>
          <w:sz w:val="20"/>
          <w:szCs w:val="20"/>
          <w:color w:val="auto"/>
        </w:rPr>
      </w:pPr>
      <w:r>
        <w:rPr>
          <w:rFonts w:ascii="Arial" w:cs="Arial" w:eastAsia="Arial" w:hAnsi="Arial"/>
          <w:sz w:val="19"/>
          <w:szCs w:val="19"/>
          <w:color w:val="auto"/>
        </w:rPr>
        <w:t>which, in the reasonable judgment of the Administrative Agent (confirmed in writing by notice to the Borrowers), the cost or other consequences (including any adverse Tax consequences) of providing a Guarantee shall be excessive in view of the practical benefits to be obtained by the Lenders therefrom. For the avoidance of doubt, and notwithstanding anything herein to the contrary, any Borrower in its sole discretion may cause any Subsidiary that is not a Guarantor to Guarantee the Obligations by causing such Subsidiary to execute and deliver to the Administrative Agent a Guaranty Supplement and a Security Agreement Supplement, and any such Subsidiary shall be a Guarantor, Loan Party and Subsidiary Guarantor hereunder for all purposes until such time, if any, as such Subsidiary shall be released from the Guaranty. Notwithstanding the foregoing, any Subsidiary that is an obligor or guarantor of any Credit Agreement Refinancing Indebtedness or any Incremental Equivalent Debt shall not be an Excluded Subsidiary.</w:t>
      </w:r>
    </w:p>
    <w:p>
      <w:pPr>
        <w:spacing w:after="0" w:line="175" w:lineRule="exact"/>
        <w:rPr>
          <w:sz w:val="20"/>
          <w:szCs w:val="20"/>
          <w:color w:val="auto"/>
        </w:rPr>
      </w:pPr>
    </w:p>
    <w:p>
      <w:pPr>
        <w:jc w:val="both"/>
        <w:ind w:left="280" w:firstLine="70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2"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Taxes</w:t>
      </w:r>
      <w:r>
        <w:rPr>
          <w:rFonts w:ascii="Arial" w:cs="Arial" w:eastAsia="Arial" w:hAnsi="Arial"/>
          <w:sz w:val="18"/>
          <w:szCs w:val="18"/>
          <w:color w:val="auto"/>
        </w:rPr>
        <w:t xml:space="preserve">” means any of the following Taxes imposed on or with respect to a Recipient or required to be withheld or deducted from a payment to a Recipient, (a) Taxes imposed on or measured by net income or net profits (however denominated), franchise (and similar) Taxes, any net-worth (and similar) Taxes (in lieu of net income Taxes) and branch profits Taxes, imposed by the jurisdiction (or any political subdivision thereof) under the Laws of which such Recipient is organized or maintains its principal office or applicable Lending Office, (b) Taxes imposed by reason of any past, current or future connection between the Recipient and a jurisdiction (or any political subdivision thereof) other than solely as a result of entering into any Loan Document and receiving payments thereunder or enforcing any Loan Document, (c) any withholding Taxes imposed by any jurisdiction in which any Borrower is formed or organized on amounts paid or payable to or for the account of such Recipient pursuant to any Law in effect on the date on which (i) such Recipient becomes a party to this Agreement or any other Loan Document (other than pursuant to an assignment request by the Company under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or (ii) such Lender changes its Lending Office, except in each such case to the extent that,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(d) Taxes attributable to such Recipient’s failure to comply with </w:t>
      </w:r>
      <w:r>
        <w:rPr>
          <w:rFonts w:ascii="Arial" w:cs="Arial" w:eastAsia="Arial" w:hAnsi="Arial"/>
          <w:sz w:val="18"/>
          <w:szCs w:val="18"/>
          <w:u w:val="single" w:color="auto"/>
          <w:color w:val="auto"/>
        </w:rPr>
        <w:t>Section 3.01(g)</w:t>
      </w:r>
      <w:r>
        <w:rPr>
          <w:rFonts w:ascii="Arial" w:cs="Arial" w:eastAsia="Arial" w:hAnsi="Arial"/>
          <w:sz w:val="18"/>
          <w:szCs w:val="18"/>
          <w:color w:val="auto"/>
        </w:rPr>
        <w:t>,</w:t>
      </w:r>
    </w:p>
    <w:p>
      <w:pPr>
        <w:spacing w:after="0" w:line="3" w:lineRule="exact"/>
        <w:rPr>
          <w:sz w:val="20"/>
          <w:szCs w:val="20"/>
          <w:color w:val="auto"/>
        </w:rPr>
      </w:pPr>
    </w:p>
    <w:p>
      <w:pPr>
        <w:ind w:left="280" w:hanging="2"/>
        <w:spacing w:after="0" w:line="244" w:lineRule="auto"/>
        <w:tabs>
          <w:tab w:leader="none" w:pos="56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U.S. federal withholding Taxes imposed under FATCA and (f) any U.S. federal backup withholding Taxes imposed under Section 3406 of the Code.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50" w:name="page151"/>
    <w:bookmarkEnd w:id="150"/>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Credit Agreement</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Existing Letters of Credit</w:t>
      </w:r>
      <w:r>
        <w:rPr>
          <w:rFonts w:ascii="Arial" w:cs="Arial" w:eastAsia="Arial" w:hAnsi="Arial"/>
          <w:sz w:val="19"/>
          <w:szCs w:val="19"/>
          <w:color w:val="auto"/>
        </w:rPr>
        <w:t xml:space="preserve">” means the letters of credit outstanding on the Closing Date and set forth on </w:t>
      </w:r>
      <w:r>
        <w:rPr>
          <w:rFonts w:ascii="Arial" w:cs="Arial" w:eastAsia="Arial" w:hAnsi="Arial"/>
          <w:sz w:val="19"/>
          <w:szCs w:val="19"/>
          <w:u w:val="single" w:color="auto"/>
          <w:color w:val="auto"/>
        </w:rPr>
        <w:t>Schedule 1.01C</w:t>
      </w:r>
      <w:r>
        <w:rPr>
          <w:rFonts w:ascii="Arial" w:cs="Arial" w:eastAsia="Arial" w:hAnsi="Arial"/>
          <w:sz w:val="19"/>
          <w:szCs w:val="19"/>
          <w:color w:val="auto"/>
        </w:rPr>
        <w:t>.</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Revolver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Term Loan Tranche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Expiring Credit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Extended Revolving Credit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Extended Revolving Credit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Extended Term Loan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Extended Term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Extending Revolving Credit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Extending Term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r>
        <w:rPr>
          <w:rFonts w:ascii="Arial" w:cs="Arial" w:eastAsia="Arial" w:hAnsi="Arial"/>
          <w:sz w:val="20"/>
          <w:szCs w:val="20"/>
          <w:color w:val="auto"/>
        </w:rPr>
        <w:t>.</w:t>
      </w:r>
    </w:p>
    <w:p>
      <w:pPr>
        <w:spacing w:after="0" w:line="216" w:lineRule="exact"/>
        <w:rPr>
          <w:sz w:val="20"/>
          <w:szCs w:val="20"/>
          <w:color w:val="auto"/>
        </w:rPr>
      </w:pPr>
    </w:p>
    <w:p>
      <w:pPr>
        <w:ind w:left="280" w:right="5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Extension</w:t>
      </w:r>
      <w:r>
        <w:rPr>
          <w:rFonts w:ascii="Arial" w:cs="Arial" w:eastAsia="Arial" w:hAnsi="Arial"/>
          <w:sz w:val="20"/>
          <w:szCs w:val="20"/>
          <w:color w:val="auto"/>
        </w:rPr>
        <w:t xml:space="preserve">” means the establishment of an Extension Series by amending a Loan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and the applicable Extension Amendment.</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Extension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Extension Election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2.14(c)</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Extension Request</w:t>
      </w:r>
      <w:r>
        <w:rPr>
          <w:rFonts w:ascii="Arial" w:cs="Arial" w:eastAsia="Arial" w:hAnsi="Arial"/>
          <w:sz w:val="20"/>
          <w:szCs w:val="20"/>
          <w:color w:val="auto"/>
        </w:rPr>
        <w:t>” means any Term Loan Extension Request or Revolver Extension Request, as the case may be.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Extension Series</w:t>
      </w:r>
      <w:r>
        <w:rPr>
          <w:rFonts w:ascii="Arial" w:cs="Arial" w:eastAsia="Arial" w:hAnsi="Arial"/>
          <w:sz w:val="20"/>
          <w:szCs w:val="20"/>
          <w:color w:val="auto"/>
        </w:rPr>
        <w:t>” means any Term Loan Extension Series or Revolver Extension Series, as the case may be.</w:t>
      </w:r>
    </w:p>
    <w:p>
      <w:pPr>
        <w:spacing w:after="0" w:line="216" w:lineRule="exact"/>
        <w:rPr>
          <w:sz w:val="20"/>
          <w:szCs w:val="20"/>
          <w:color w:val="auto"/>
        </w:rPr>
      </w:pPr>
    </w:p>
    <w:p>
      <w:pPr>
        <w:jc w:val="both"/>
        <w:ind w:left="280" w:right="2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Facility</w:t>
      </w:r>
      <w:r>
        <w:rPr>
          <w:rFonts w:ascii="Arial" w:cs="Arial" w:eastAsia="Arial" w:hAnsi="Arial"/>
          <w:sz w:val="19"/>
          <w:szCs w:val="19"/>
          <w:color w:val="auto"/>
        </w:rPr>
        <w:t>” or “</w:t>
      </w:r>
      <w:r>
        <w:rPr>
          <w:rFonts w:ascii="Arial" w:cs="Arial" w:eastAsia="Arial" w:hAnsi="Arial"/>
          <w:sz w:val="19"/>
          <w:szCs w:val="19"/>
          <w:b w:val="1"/>
          <w:bCs w:val="1"/>
          <w:u w:val="single" w:color="auto"/>
          <w:color w:val="auto"/>
        </w:rPr>
        <w:t>Facilities</w:t>
      </w:r>
      <w:r>
        <w:rPr>
          <w:rFonts w:ascii="Arial" w:cs="Arial" w:eastAsia="Arial" w:hAnsi="Arial"/>
          <w:sz w:val="19"/>
          <w:szCs w:val="19"/>
          <w:color w:val="auto"/>
        </w:rPr>
        <w:t>” means the Term Facility, a given Class of Incremental Term Loans, a given Extension Series of Extended Term Loans, a given Refinancing Series of Other Term Loans, the Revolving Credit Facility, a given Extension Series of Extended Revolving Credit Commitments or any Other Revolving Credit Loan (or Commitment) as the context may require.</w:t>
      </w:r>
    </w:p>
    <w:p>
      <w:pPr>
        <w:spacing w:after="0" w:line="15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Fair Market Value</w:t>
      </w:r>
      <w:r>
        <w:rPr>
          <w:rFonts w:ascii="Arial" w:cs="Arial" w:eastAsia="Arial" w:hAnsi="Arial"/>
          <w:sz w:val="20"/>
          <w:szCs w:val="20"/>
          <w:color w:val="auto"/>
        </w:rPr>
        <w:t>” means, with respect to any asset or liability, the fair market value of such asset or liability as determined by the Borrowers in good faith.</w:t>
      </w:r>
    </w:p>
    <w:p>
      <w:pPr>
        <w:spacing w:after="0" w:line="164"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for the avoidance of doubt, any agreements entered into pursuant to Section 1471(b)(1) of the Code or otherwise pursuant to any of the foregoing.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51" w:name="page152"/>
    <w:bookmarkEnd w:id="151"/>
    <w:p>
      <w:pPr>
        <w:jc w:val="both"/>
        <w:ind w:left="28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Financial Covenant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7.10</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First Lien Intercreditor Agreement</w:t>
      </w:r>
      <w:r>
        <w:rPr>
          <w:rFonts w:ascii="Arial" w:cs="Arial" w:eastAsia="Arial" w:hAnsi="Arial"/>
          <w:sz w:val="20"/>
          <w:szCs w:val="20"/>
          <w:color w:val="auto"/>
        </w:rPr>
        <w:t xml:space="preserve">” means an intercreditor agreement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hereto (which agreement in such form or with immaterial changes thereto the Administrative Agent is authorized to enter into) together with any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Casualty Event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Disposition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2.05(b)(vi)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Lender</w:t>
      </w:r>
      <w:r>
        <w:rPr>
          <w:rFonts w:ascii="Arial" w:cs="Arial" w:eastAsia="Arial" w:hAnsi="Arial"/>
          <w:sz w:val="20"/>
          <w:szCs w:val="20"/>
          <w:color w:val="auto"/>
        </w:rPr>
        <w:t>” means a Lender that is not a U.S. Person.</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Foreign Subsidiary</w:t>
      </w:r>
      <w:r>
        <w:rPr>
          <w:rFonts w:ascii="Arial" w:cs="Arial" w:eastAsia="Arial" w:hAnsi="Arial"/>
          <w:sz w:val="18"/>
          <w:szCs w:val="18"/>
          <w:color w:val="auto"/>
        </w:rPr>
        <w:t xml:space="preserve">” means any direct or indirect Subsidiary which (a) is not a Domestic Subsidiary or (b) is set forth on </w:t>
      </w:r>
      <w:r>
        <w:rPr>
          <w:rFonts w:ascii="Arial" w:cs="Arial" w:eastAsia="Arial" w:hAnsi="Arial"/>
          <w:sz w:val="18"/>
          <w:szCs w:val="18"/>
          <w:u w:val="single" w:color="auto"/>
          <w:color w:val="auto"/>
        </w:rPr>
        <w:t>Schedule</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1.01D</w:t>
      </w:r>
      <w:r>
        <w:rPr>
          <w:rFonts w:ascii="Arial" w:cs="Arial" w:eastAsia="Arial" w:hAnsi="Arial"/>
          <w:sz w:val="20"/>
          <w:szCs w:val="20"/>
          <w:color w:val="auto"/>
        </w:rPr>
        <w:t>.</w:t>
      </w:r>
    </w:p>
    <w:p>
      <w:pPr>
        <w:spacing w:after="0" w:line="194" w:lineRule="exact"/>
        <w:rPr>
          <w:sz w:val="20"/>
          <w:szCs w:val="20"/>
          <w:color w:val="auto"/>
        </w:rPr>
      </w:pPr>
    </w:p>
    <w:p>
      <w:pPr>
        <w:ind w:left="280" w:firstLine="648"/>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Foreign Subsidiary Holding Company</w:t>
      </w:r>
      <w:r>
        <w:rPr>
          <w:rFonts w:ascii="Arial" w:cs="Arial" w:eastAsia="Arial" w:hAnsi="Arial"/>
          <w:sz w:val="20"/>
          <w:szCs w:val="20"/>
          <w:color w:val="auto"/>
        </w:rPr>
        <w:t>” means any Domestic Subsidiary, substantially all of whose assets consist of (i) the Equity Interests and/or Indebtedness of one or more Foreign Subsidiaries,</w:t>
      </w:r>
    </w:p>
    <w:p>
      <w:pPr>
        <w:ind w:left="280" w:hanging="2"/>
        <w:spacing w:after="0" w:line="298" w:lineRule="auto"/>
        <w:tabs>
          <w:tab w:leader="none" w:pos="5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assets used exclusively in the business of one or more Foreign Subsidiaries and/or (iii) the Equity Interests and/or Indebtedness of one or more Domestic Subsidiaries, substantially all of whose assets consist of the types described in clauses (i)-(iii).</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FRB</w:t>
      </w:r>
      <w:r>
        <w:rPr>
          <w:rFonts w:ascii="Arial" w:cs="Arial" w:eastAsia="Arial" w:hAnsi="Arial"/>
          <w:sz w:val="20"/>
          <w:szCs w:val="20"/>
          <w:color w:val="auto"/>
        </w:rPr>
        <w:t>” means the Board of Governors of the Federal Reserve System of the United States or any successor thereto.</w:t>
      </w:r>
    </w:p>
    <w:p>
      <w:pPr>
        <w:spacing w:after="0" w:line="22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Fund</w:t>
      </w:r>
      <w:r>
        <w:rPr>
          <w:rFonts w:ascii="Arial" w:cs="Arial" w:eastAsia="Arial" w:hAnsi="Arial"/>
          <w:sz w:val="20"/>
          <w:szCs w:val="20"/>
          <w:color w:val="auto"/>
        </w:rPr>
        <w:t>” means any Person (other than a natural person) that is engaged in making, purchasing, holding or otherwise investing in commercial loans and similar extensions of credit in the ordinary course.</w:t>
      </w:r>
    </w:p>
    <w:p>
      <w:pPr>
        <w:spacing w:after="0" w:line="177"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Funded Debt</w:t>
      </w:r>
      <w:r>
        <w:rPr>
          <w:rFonts w:ascii="Arial" w:cs="Arial" w:eastAsia="Arial" w:hAnsi="Arial"/>
          <w:sz w:val="18"/>
          <w:szCs w:val="18"/>
          <w:color w:val="auto"/>
        </w:rPr>
        <w:t>” means all Indebtedness of the Company and its Subsidiaries for borrowed money that matures more than one (1) year from the date of its creation or matures within one (1) year from such date that is renewable or extendable, at the option of such Person, to a date more than one (1) year from such date or arises under a revolving credit or similar agreement that obligates the lender or lenders to extend credit during a period of more than one (1) year from such date, including Indebtedness in respect of the Loans.</w:t>
      </w:r>
    </w:p>
    <w:p>
      <w:pPr>
        <w:spacing w:after="0" w:line="165" w:lineRule="exact"/>
        <w:rPr>
          <w:sz w:val="20"/>
          <w:szCs w:val="20"/>
          <w:color w:val="auto"/>
        </w:rPr>
      </w:pPr>
    </w:p>
    <w:p>
      <w:pPr>
        <w:jc w:val="both"/>
        <w:ind w:left="28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xml:space="preserve">” means generally accepted accounting principles in the United States of America,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notifies the Administrative Agent that the Company requests an amendment to any provision hereof to eliminate the effect of any change occurring or effective after the Closing Date in GAAP or in the application thereof (including through conforming changes made consistent with IFRS) on the operation of such provision (or if the Administrative Agent notifies the Borrowers that the Required Lenders request an amendment to any provision hereof for such purpose), regardless of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0" w:right="239" w:bottom="1440" w:gutter="0" w:footer="0" w:header="0"/>
        </w:sectPr>
      </w:pPr>
    </w:p>
    <w:bookmarkStart w:id="152" w:name="page153"/>
    <w:bookmarkEnd w:id="152"/>
    <w:p>
      <w:pPr>
        <w:jc w:val="both"/>
        <w:ind w:left="280"/>
        <w:spacing w:after="0" w:line="258" w:lineRule="auto"/>
        <w:rPr>
          <w:sz w:val="20"/>
          <w:szCs w:val="20"/>
          <w:color w:val="auto"/>
        </w:rPr>
      </w:pPr>
      <w:r>
        <w:rPr>
          <w:rFonts w:ascii="Arial" w:cs="Arial" w:eastAsia="Arial" w:hAnsi="Arial"/>
          <w:sz w:val="19"/>
          <w:szCs w:val="19"/>
          <w:color w:val="auto"/>
        </w:rPr>
        <w:t>whether any such notice is given before or after such change in GAAP or in the application thereof (including through conforming changes made consistent with IFRS), then such provision shall be interpreted on the basis of GAAP as in effect and applied immediately before such change shall have become effective until such notice shall have been withdrawn or such provision amended in accordance herewith. Notwithstanding the foregoing, for purposes of determining compliance with any covenant contained herein (including, without limitation, the Financial Covenant), any lease that is treated as an operating lease for purposes of GAAP as of the Closing Date shall not be treated as Indebtedness and shall continue to be treated as an operating lease (and any future lease that would be treated as an operating lease for purposes of GAAP as of the Closing Date shall be similarly treated).</w:t>
      </w:r>
    </w:p>
    <w:p>
      <w:pPr>
        <w:spacing w:after="0" w:line="18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Governmental Authority</w:t>
      </w:r>
      <w:r>
        <w:rPr>
          <w:rFonts w:ascii="Arial" w:cs="Arial" w:eastAsia="Arial" w:hAnsi="Arial"/>
          <w:sz w:val="20"/>
          <w:szCs w:val="20"/>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Granting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10.07(h)</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Guarantee</w:t>
      </w:r>
      <w:r>
        <w:rPr>
          <w:rFonts w:ascii="Arial" w:cs="Arial" w:eastAsia="Arial" w:hAnsi="Arial"/>
          <w:sz w:val="18"/>
          <w:szCs w:val="18"/>
          <w:color w:val="auto"/>
        </w:rPr>
        <w:t xml:space="preserve">” means, as to any Person, without duplication, (a) any obligation, contingent or otherwise, of such Person guaranteeing or having the economic effect of guaranteeing any Indebtedness or other monetary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Guarantors</w:t>
      </w:r>
      <w:r>
        <w:rPr>
          <w:rFonts w:ascii="Arial" w:cs="Arial" w:eastAsia="Arial" w:hAnsi="Arial"/>
          <w:sz w:val="20"/>
          <w:szCs w:val="20"/>
          <w:color w:val="auto"/>
        </w:rPr>
        <w:t>” means each Borrower and each Subsidiary Guarantor.</w:t>
      </w:r>
    </w:p>
    <w:p>
      <w:pPr>
        <w:spacing w:after="0" w:line="21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Guaranty</w:t>
      </w:r>
      <w:r>
        <w:rPr>
          <w:rFonts w:ascii="Arial" w:cs="Arial" w:eastAsia="Arial" w:hAnsi="Arial"/>
          <w:sz w:val="19"/>
          <w:szCs w:val="19"/>
          <w:color w:val="auto"/>
        </w:rPr>
        <w:t xml:space="preserve">” means, collectively, (a) the Amended and Restated Guaranty Agreement made by the Guarantors in favor of the Administrative Agent on behalf of the Secured Parties,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(as the same may be amended, restated, supplemented or otherwise modified from time to time) and (b) each other guaranty and guaranty supplement delivered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For avoidance of doubt, and notwithstanding anything herein to the contrary, any Borrower in its sole discretion may cause any Subsidiary that is not a Guarantor to Guarantee the Obligations by causing such Subsidiary to execute and deliver to the Administrative Agent a Guaranty Supplement and a Security Agreement Supplement and comply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53" w:name="page154"/>
    <w:bookmarkEnd w:id="153"/>
    <w:p>
      <w:pPr>
        <w:jc w:val="both"/>
        <w:ind w:left="280"/>
        <w:spacing w:after="0" w:line="260" w:lineRule="auto"/>
        <w:rPr>
          <w:sz w:val="20"/>
          <w:szCs w:val="20"/>
          <w:color w:val="auto"/>
        </w:rPr>
      </w:pPr>
      <w:r>
        <w:rPr>
          <w:rFonts w:ascii="Arial" w:cs="Arial" w:eastAsia="Arial" w:hAnsi="Arial"/>
          <w:sz w:val="20"/>
          <w:szCs w:val="20"/>
          <w:color w:val="auto"/>
        </w:rPr>
        <w:t xml:space="preserve">with the other provisions of </w:t>
      </w:r>
      <w:r>
        <w:rPr>
          <w:rFonts w:ascii="Arial" w:cs="Arial" w:eastAsia="Arial" w:hAnsi="Arial"/>
          <w:sz w:val="20"/>
          <w:szCs w:val="20"/>
          <w:u w:val="single" w:color="auto"/>
          <w:color w:val="auto"/>
        </w:rPr>
        <w:t>Section 6.11</w:t>
      </w:r>
      <w:r>
        <w:rPr>
          <w:rFonts w:ascii="Arial" w:cs="Arial" w:eastAsia="Arial" w:hAnsi="Arial"/>
          <w:sz w:val="20"/>
          <w:szCs w:val="20"/>
          <w:color w:val="auto"/>
        </w:rPr>
        <w:t>, and any such Subsidiary shall be a Guarantor, Loan Party and Subsidiary Guarantor hereunder for all purposes until such time, if any, as such Subsidiary shall be released from the Guaranty.</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Guaranty Supplement</w:t>
      </w:r>
      <w:r>
        <w:rPr>
          <w:rFonts w:ascii="Arial" w:cs="Arial" w:eastAsia="Arial" w:hAnsi="Arial"/>
          <w:sz w:val="20"/>
          <w:szCs w:val="20"/>
          <w:color w:val="auto"/>
        </w:rPr>
        <w:t>” has the meaning specified in the Guaranty.</w:t>
      </w:r>
    </w:p>
    <w:p>
      <w:pPr>
        <w:spacing w:after="0" w:line="216"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8"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Hedge Bank</w:t>
      </w:r>
      <w:r>
        <w:rPr>
          <w:rFonts w:ascii="Arial" w:cs="Arial" w:eastAsia="Arial" w:hAnsi="Arial"/>
          <w:sz w:val="20"/>
          <w:szCs w:val="20"/>
          <w:color w:val="auto"/>
        </w:rPr>
        <w:t>” means any Person that (a) is an Agent, a Joint Lead Arranger, a Lender or an Affiliate of an Agent, a Joint Lead Arranger or a Lender, in each case at the time such Person enters into a Swap Contract, in its capacity as a party thereto (and whether or not such Person subsequently ceases to be an Agent, Joint Lead Arranger, Lender or Affiliate of an Agent, Joint Lead Arranger or Lender), and such Person’s successors and assigns or (b) at the time it becomes a Lender (including on the Closing Date), is already a party to a Swap Contract.</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Honor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Immaterial Subsidiary</w:t>
      </w:r>
      <w:r>
        <w:rPr>
          <w:rFonts w:ascii="Arial" w:cs="Arial" w:eastAsia="Arial" w:hAnsi="Arial"/>
          <w:sz w:val="18"/>
          <w:szCs w:val="18"/>
          <w:color w:val="auto"/>
        </w:rPr>
        <w:t xml:space="preserve">” means any Subsidiary designated in writing by the Company to the Administrative Agent as an Immaterial Subsidiary that is not already a Guarantor and that does not, as of the last day of the most recently completed fiscal quarter of the Company, have assets with a book value in excess of 2.0% of the consolidated total assets of the Company and its Subsidiaries and did not, as of the four-quarter period ending on the last day of such fiscal quarter, have revenues exceeding 2.0% of the consolidated revenues of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Subsidiary shall have been designated in writing by the Company to the Administrative Agent as an Immaterial Subsidiary, and (b) if (i) the aggregate assets then owned by all Subsidiaries of the Company that would otherwise constitute Immaterial Subsidiaries shall have a value in excess of 5.0% of the consolidated total assets of the Company and its Subsidiaries as of the last day of such fiscal quarter or (ii) the combined revenues of all Subsidiaries of the Company that would otherwise constitute Immaterial Subsidiaries shall exceed 5.0% of the consolidated revenues of the Company and its Subsidiaries for such four-quarter period, the Company shall redesignate one or more of such Subsidiaries to not be Immaterial Subsidiaries within ten (10) Business Days after delivery of the Compliance Certificate for such fiscal quarter such that only those such Subsidiaries as shall then have aggregate assets of less than 5.0% of the consolidated total assets of the Company and its Subsidiaries and combined revenues of less than 5.0% of the consolidated revenues of the Company and its Subsidiaries shall constitute Immaterial Subsidiaries. Notwithstanding the foregoing, in no event shall (A) any Wholly Owned Domestic Subsidiary that owns, or otherwise licenses or has the right to use, trademarks and other intellectual property material to the operation of the Borrowers and their Subsidiaries (excluding any Excluded Concept Subsidiaries), (B) any general partner of an Employment Participation Subsidiary, (C) OS Restaurant Services (or any successor to the business conducted by it on the Closing Date) or (D) any Subsidiary that is an obligor or guarantor of (i) any Credit Agreement Refinancing Indebtedness, (ii) any Incremental Equivalent Debt, (iii) any unsecured Indebtedness, (iv) any Indebtedness that is secured on a junior basis to the Obligations or (v) any Junior Financing, in the case of preceding clauses (iii), (iv) and (v), with an aggregate principal amount in excess of the Threshold Amount, in any such case be designated as an Immaterial Subsidiary.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54" w:name="page155"/>
    <w:bookmarkEnd w:id="154"/>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Income Taxes</w:t>
      </w:r>
      <w:r>
        <w:rPr>
          <w:rFonts w:ascii="Arial" w:cs="Arial" w:eastAsia="Arial" w:hAnsi="Arial"/>
          <w:sz w:val="20"/>
          <w:szCs w:val="20"/>
          <w:color w:val="auto"/>
        </w:rPr>
        <w:t>” means, with respect to any Person, the foreign, federal, state and local taxes based on income or profits or capital, including, without limitation, state, franchise and similar taxes (such as the Pennsylvania capital tax and Texas margin tax) and withholding taxes of such Person.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2.15(f)</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Equivalent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7.03(s)</w:t>
      </w:r>
      <w:r>
        <w:rPr>
          <w:rFonts w:ascii="Arial" w:cs="Arial" w:eastAsia="Arial" w:hAnsi="Arial"/>
          <w:sz w:val="20"/>
          <w:szCs w:val="20"/>
          <w:color w:val="auto"/>
        </w:rPr>
        <w:t>.</w:t>
      </w:r>
    </w:p>
    <w:p>
      <w:pPr>
        <w:spacing w:after="0" w:line="216" w:lineRule="exact"/>
        <w:rPr>
          <w:sz w:val="20"/>
          <w:szCs w:val="20"/>
          <w:color w:val="auto"/>
        </w:rPr>
      </w:pPr>
    </w:p>
    <w:p>
      <w:pPr>
        <w:ind w:left="280" w:right="7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Facility</w:t>
      </w:r>
      <w:r>
        <w:rPr>
          <w:rFonts w:ascii="Arial" w:cs="Arial" w:eastAsia="Arial" w:hAnsi="Arial"/>
          <w:sz w:val="20"/>
          <w:szCs w:val="20"/>
          <w:color w:val="auto"/>
        </w:rPr>
        <w:t>” means any Facility consisting of Incremental Term Loans, Incremental Term Commitments and/or Revolving Commitment Increases.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Facility Closing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2.15(d)</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Loan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Revolving Credit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Term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Term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Incremental 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16" w:lineRule="exact"/>
        <w:rPr>
          <w:sz w:val="20"/>
          <w:szCs w:val="20"/>
          <w:color w:val="auto"/>
        </w:rPr>
      </w:pPr>
    </w:p>
    <w:p>
      <w:pPr>
        <w:ind w:left="280" w:right="2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97" w:lineRule="exact"/>
        <w:rPr>
          <w:sz w:val="20"/>
          <w:szCs w:val="20"/>
          <w:color w:val="auto"/>
        </w:rPr>
      </w:pPr>
    </w:p>
    <w:p>
      <w:pPr>
        <w:ind w:left="920" w:firstLine="655"/>
        <w:spacing w:after="0" w:line="289" w:lineRule="auto"/>
        <w:tabs>
          <w:tab w:leader="none" w:pos="243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5"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spacing w:after="0" w:line="186" w:lineRule="exact"/>
        <w:rPr>
          <w:rFonts w:ascii="Arial" w:cs="Arial" w:eastAsia="Arial" w:hAnsi="Arial"/>
          <w:sz w:val="20"/>
          <w:szCs w:val="20"/>
          <w:color w:val="auto"/>
        </w:rPr>
      </w:pPr>
    </w:p>
    <w:p>
      <w:pPr>
        <w:ind w:left="2200" w:hanging="625"/>
        <w:spacing w:after="0"/>
        <w:tabs>
          <w:tab w:leader="none" w:pos="220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42"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purchase price of property or services (other than (i) trade accounts and accrued expenses payable and deferred gift card revenue in the ordinary course of business, (ii) any earn-out obligation or purchase price adjustment until such obligation is not paid after becoming due and payable and (iii) accruals for payroll and other liabilities accrued in the ordinary course of business);</w:t>
      </w:r>
    </w:p>
    <w:p>
      <w:pPr>
        <w:spacing w:after="0" w:line="205" w:lineRule="exact"/>
        <w:rPr>
          <w:rFonts w:ascii="Arial" w:cs="Arial" w:eastAsia="Arial" w:hAnsi="Arial"/>
          <w:sz w:val="20"/>
          <w:szCs w:val="20"/>
          <w:color w:val="auto"/>
        </w:rPr>
      </w:pPr>
    </w:p>
    <w:p>
      <w:pPr>
        <w:jc w:val="both"/>
        <w:ind w:left="920" w:firstLine="655"/>
        <w:spacing w:after="0" w:line="274" w:lineRule="auto"/>
        <w:tabs>
          <w:tab w:leader="none" w:pos="243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55" w:name="page156"/>
    <w:bookmarkEnd w:id="155"/>
    <w:p>
      <w:pPr>
        <w:ind w:left="2200" w:hanging="625"/>
        <w:spacing w:after="0"/>
        <w:tabs>
          <w:tab w:leader="none" w:pos="22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all Attributable Indebtedness;</w:t>
      </w:r>
    </w:p>
    <w:p>
      <w:pPr>
        <w:spacing w:after="0" w:line="229" w:lineRule="exact"/>
        <w:rPr>
          <w:rFonts w:ascii="Arial" w:cs="Arial" w:eastAsia="Arial" w:hAnsi="Arial"/>
          <w:sz w:val="20"/>
          <w:szCs w:val="20"/>
          <w:color w:val="auto"/>
        </w:rPr>
      </w:pPr>
    </w:p>
    <w:p>
      <w:pPr>
        <w:ind w:left="2200" w:hanging="625"/>
        <w:spacing w:after="0"/>
        <w:tabs>
          <w:tab w:leader="none" w:pos="22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all obligations of such Person in respect of Disqualified Equity Interests; and</w:t>
      </w:r>
    </w:p>
    <w:p>
      <w:pPr>
        <w:spacing w:after="0" w:line="242" w:lineRule="exact"/>
        <w:rPr>
          <w:rFonts w:ascii="Arial" w:cs="Arial" w:eastAsia="Arial" w:hAnsi="Arial"/>
          <w:sz w:val="20"/>
          <w:szCs w:val="20"/>
          <w:color w:val="auto"/>
        </w:rPr>
      </w:pPr>
    </w:p>
    <w:p>
      <w:pPr>
        <w:ind w:left="2420" w:hanging="845"/>
        <w:spacing w:after="0"/>
        <w:tabs>
          <w:tab w:leader="none" w:pos="2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extent not otherwise included above, all Guarantees of such Person in respect of any of the foregoing.</w:t>
      </w:r>
    </w:p>
    <w:p>
      <w:pPr>
        <w:spacing w:after="0" w:line="252" w:lineRule="exact"/>
        <w:rPr>
          <w:sz w:val="20"/>
          <w:szCs w:val="20"/>
          <w:color w:val="auto"/>
        </w:rPr>
      </w:pPr>
    </w:p>
    <w:p>
      <w:pPr>
        <w:jc w:val="both"/>
        <w:ind w:left="280"/>
        <w:spacing w:after="0" w:line="243"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and only to the extent such Indebtedness would be included in the calculation of Consolidated Total Debt. The amount of any net obligation under any Swap Contract on any date shall be deemed to be the Swap Termination Value thereof as of such date. The amount of Indebtedness of any Person for purposes of clause (e) above shall be deemed to be equal to the lesser of (i) the aggregate unpaid amount of such Indebtedness and (ii) the Fair Market Value of the property encumbered thereby.</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Indemnified Liabilities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16" w:lineRule="exact"/>
        <w:rPr>
          <w:sz w:val="20"/>
          <w:szCs w:val="20"/>
          <w:color w:val="auto"/>
        </w:rPr>
      </w:pPr>
    </w:p>
    <w:p>
      <w:pPr>
        <w:jc w:val="both"/>
        <w:ind w:left="280" w:right="2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Borrower under any Loan Document and (b) to the extent not otherwise described in (a), Other Taxes.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Independent Financial Advisor</w:t>
      </w:r>
      <w:r>
        <w:rPr>
          <w:rFonts w:ascii="Arial" w:cs="Arial" w:eastAsia="Arial" w:hAnsi="Arial"/>
          <w:sz w:val="20"/>
          <w:szCs w:val="20"/>
          <w:color w:val="auto"/>
        </w:rPr>
        <w:t>” means an accounting firm, appraisal firm, investment banking firm or consultant of nationally recognized standing that is, in the good faith judgment of the Borrowers, qualified to perform the task for which it has been engaged and that is independent of the Borrowers and their Affiliates.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10.08</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Initial Term Loan</w:t>
      </w:r>
      <w:r>
        <w:rPr>
          <w:rFonts w:ascii="Arial" w:cs="Arial" w:eastAsia="Arial" w:hAnsi="Arial"/>
          <w:sz w:val="18"/>
          <w:szCs w:val="18"/>
          <w:color w:val="auto"/>
        </w:rPr>
        <w:t xml:space="preserve">” means the term loan made by the Lenders on the Closing Date to the Borrowers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Intercompany Note</w:t>
      </w:r>
      <w:r>
        <w:rPr>
          <w:rFonts w:ascii="Arial" w:cs="Arial" w:eastAsia="Arial" w:hAnsi="Arial"/>
          <w:sz w:val="20"/>
          <w:szCs w:val="20"/>
          <w:color w:val="auto"/>
        </w:rPr>
        <w:t xml:space="preserve">” means the Intercompany Note,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of the Facility under which such Loan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170"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Interest Period</w:t>
      </w:r>
      <w:r>
        <w:rPr>
          <w:rFonts w:ascii="Arial" w:cs="Arial" w:eastAsia="Arial" w:hAnsi="Arial"/>
          <w:sz w:val="20"/>
          <w:szCs w:val="20"/>
          <w:color w:val="auto"/>
        </w:rPr>
        <w:t xml:space="preserve">” means, as to each Eurocurrency Rate Loan, the period commencing on the date such Eurocurrency Rate Loan is disbursed or converted to or continued as a Eurocurrency Rate Loan and ending on the date one, two, three or six months thereafter, or to the extent agreed to by each Lender of such Eurocurrency Rate Loan, 7 days, as selected by the applicable Borrower in its Committed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56" w:name="page157"/>
    <w:bookmarkEnd w:id="156"/>
    <w:p>
      <w:pPr>
        <w:jc w:val="both"/>
        <w:ind w:left="920" w:firstLine="655"/>
        <w:spacing w:after="0" w:line="278" w:lineRule="auto"/>
        <w:tabs>
          <w:tab w:leader="none" w:pos="24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2440" w:hanging="865"/>
        <w:spacing w:after="0"/>
        <w:tabs>
          <w:tab w:leader="none" w:pos="244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 of the Facility under which such Loan was made.</w:t>
      </w:r>
    </w:p>
    <w:p>
      <w:pPr>
        <w:spacing w:after="0" w:line="235"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Internally Generated Cash</w:t>
      </w:r>
      <w:r>
        <w:rPr>
          <w:rFonts w:ascii="Arial" w:cs="Arial" w:eastAsia="Arial" w:hAnsi="Arial"/>
          <w:sz w:val="18"/>
          <w:szCs w:val="18"/>
          <w:color w:val="auto"/>
        </w:rPr>
        <w:t>” means cash funds of the Company and its Subsidiaries not constituting (a) proceeds of the issuance of (or contributions in respect of) Equity Interests, (b) proceeds of the incurrence of Indebtedness (other than the incurrence of Revolving Credit Loans or extensions of credit under any other revolving credit or similar facility) or (c) proceeds of Dispositions and Casualty Events.</w:t>
      </w:r>
    </w:p>
    <w:p>
      <w:pPr>
        <w:spacing w:after="0" w:line="158" w:lineRule="exact"/>
        <w:rPr>
          <w:sz w:val="20"/>
          <w:szCs w:val="20"/>
          <w:color w:val="auto"/>
        </w:rPr>
      </w:pPr>
    </w:p>
    <w:p>
      <w:pPr>
        <w:jc w:val="both"/>
        <w:ind w:left="280" w:firstLine="648"/>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debt or other securities of another Person (including by way of merger or consolidation),</w:t>
      </w:r>
    </w:p>
    <w:p>
      <w:pPr>
        <w:spacing w:after="0" w:line="1" w:lineRule="exact"/>
        <w:rPr>
          <w:sz w:val="20"/>
          <w:szCs w:val="20"/>
          <w:color w:val="auto"/>
        </w:rPr>
      </w:pPr>
    </w:p>
    <w:p>
      <w:pPr>
        <w:jc w:val="both"/>
        <w:ind w:left="280" w:hanging="2"/>
        <w:spacing w:after="0" w:line="312" w:lineRule="auto"/>
        <w:tabs>
          <w:tab w:leader="none" w:pos="56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(in the case of any non- cash asset invested, taking the Fair Market Value thereof at the time the investment is made), without adjustment for subsequent increases or decreases in the value of such Investment.</w:t>
      </w:r>
    </w:p>
    <w:p>
      <w:pPr>
        <w:spacing w:after="0" w:line="150"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IP Collateral</w:t>
      </w:r>
      <w:r>
        <w:rPr>
          <w:rFonts w:ascii="Arial" w:cs="Arial" w:eastAsia="Arial" w:hAnsi="Arial"/>
          <w:sz w:val="20"/>
          <w:szCs w:val="20"/>
          <w:color w:val="auto"/>
        </w:rPr>
        <w:t>” means all “Intellectual Property Collateral” referred to in the Collateral Documents and all of the other IP Rights that are or are required by the terms hereof or of the Collateral Documents to be subject to Liens in favor of the Administrative Agent for the benefit of the Secured Parties.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IP Rights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Joint Lead Arrangers</w:t>
      </w:r>
      <w:r>
        <w:rPr>
          <w:rFonts w:ascii="Arial" w:cs="Arial" w:eastAsia="Arial" w:hAnsi="Arial"/>
          <w:sz w:val="20"/>
          <w:szCs w:val="20"/>
          <w:color w:val="auto"/>
        </w:rPr>
        <w:t>” means Wells Fargo Securities, LLC,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JPMorgan Chase Bank, N.A. and Coöperatieve Rabobank U.A., New York Branch, each in its capacity as a Joint Lead Arranger and Joint Bookrunner under this Agreement.</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Junior Financing</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Junior Financing Documentation</w:t>
      </w:r>
      <w:r>
        <w:rPr>
          <w:rFonts w:ascii="Arial" w:cs="Arial" w:eastAsia="Arial" w:hAnsi="Arial"/>
          <w:sz w:val="20"/>
          <w:szCs w:val="20"/>
          <w:color w:val="auto"/>
        </w:rPr>
        <w:t>” means any documentation governing any Junior Financing.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57" w:name="page158"/>
    <w:bookmarkEnd w:id="157"/>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Latest Maturity Date</w:t>
      </w:r>
      <w:r>
        <w:rPr>
          <w:rFonts w:ascii="Arial" w:cs="Arial" w:eastAsia="Arial" w:hAnsi="Arial"/>
          <w:sz w:val="20"/>
          <w:szCs w:val="20"/>
          <w:color w:val="auto"/>
        </w:rPr>
        <w:t>” means, at any date of determination, the latest Maturity Date applicable to any Loan or Commitment hereunder at such time, including the latest Maturity Date of any Extended Term Loan, Incremental Term Loan, Other Term Loan, Extended Revolving Credit Commitment or any Other Revolving Credit Commitments, in each case as extended in accordance with this Agreement from time to time.</w:t>
      </w:r>
    </w:p>
    <w:p>
      <w:pPr>
        <w:spacing w:after="0" w:line="197"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Advance</w:t>
      </w:r>
      <w:r>
        <w:rPr>
          <w:rFonts w:ascii="Arial" w:cs="Arial" w:eastAsia="Arial" w:hAnsi="Arial"/>
          <w:sz w:val="20"/>
          <w:szCs w:val="20"/>
          <w:color w:val="auto"/>
        </w:rPr>
        <w:t>” means, with respect to each Revolving Credit Lender, such Lender’s funding of its participation in any L/C Borrowing in accordance with its Pro Rata Share.</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Borrowing</w:t>
      </w:r>
      <w:r>
        <w:rPr>
          <w:rFonts w:ascii="Arial" w:cs="Arial" w:eastAsia="Arial" w:hAnsi="Arial"/>
          <w:sz w:val="20"/>
          <w:szCs w:val="20"/>
          <w:color w:val="auto"/>
        </w:rPr>
        <w:t>” means an extension of credit resulting from a drawing under any Letter of Credit which has not been reimbursed on the date when made or refinanced as a Revolving Credit Borrowing.</w:t>
      </w:r>
    </w:p>
    <w:p>
      <w:pPr>
        <w:spacing w:after="0" w:line="164"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L/C Commitment</w:t>
      </w:r>
      <w:r>
        <w:rPr>
          <w:rFonts w:ascii="Arial" w:cs="Arial" w:eastAsia="Arial" w:hAnsi="Arial"/>
          <w:sz w:val="19"/>
          <w:szCs w:val="19"/>
          <w:color w:val="auto"/>
        </w:rPr>
        <w:t xml:space="preserve">” means, as to any L/C Issuer, the obligation of such L/C Issuer to issue Letters of Credit for the account of any Borrower or one or more of its respective Subsidiaries from time to time in an aggregate amount equal to (a) for each of the initial L/C Issuers, the amount set forth opposite the name of each such initial L/C Issuer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and (b) for any other L/C Issuer becoming an L/C Issuer after the Closing Date, such amount as separately agreed to in a written agreement between the Borrowers and such L/C Issuer (which such agreement shall be promptly delivered to the Administrative Agent upon execution), in each case of clauses (a) and (b) above, any such amount may be changed after the Closing Date in a written agreement between the Borrowers and such L/C Issuer (which such agreement shall be promptly delivered to the Administrative Agent upon execution).</w:t>
      </w:r>
    </w:p>
    <w:p>
      <w:pPr>
        <w:spacing w:after="0" w:line="18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77" w:lineRule="exact"/>
        <w:rPr>
          <w:sz w:val="20"/>
          <w:szCs w:val="20"/>
          <w:color w:val="auto"/>
        </w:rPr>
      </w:pPr>
    </w:p>
    <w:p>
      <w:pPr>
        <w:jc w:val="both"/>
        <w:ind w:left="28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L/C Issuer</w:t>
      </w:r>
      <w:r>
        <w:rPr>
          <w:rFonts w:ascii="Arial" w:cs="Arial" w:eastAsia="Arial" w:hAnsi="Arial"/>
          <w:sz w:val="19"/>
          <w:szCs w:val="19"/>
          <w:color w:val="auto"/>
        </w:rPr>
        <w:t xml:space="preserve">” means (a) Wells Fargo, (b) Bank of America, N.A., (c) JPMorgan Chase Bank, N.A., (d) Coöperatieve Rabobank U.A., New York Branch and (e) any other Lender or Affiliate of a Lender that becomes an L/C Issuer in accordance with </w:t>
      </w:r>
      <w:r>
        <w:rPr>
          <w:rFonts w:ascii="Arial" w:cs="Arial" w:eastAsia="Arial" w:hAnsi="Arial"/>
          <w:sz w:val="19"/>
          <w:szCs w:val="19"/>
          <w:u w:val="single" w:color="auto"/>
          <w:color w:val="auto"/>
        </w:rPr>
        <w:t>Section 2.03(k)</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10.07(j)</w:t>
      </w:r>
      <w:r>
        <w:rPr>
          <w:rFonts w:ascii="Arial" w:cs="Arial" w:eastAsia="Arial" w:hAnsi="Arial"/>
          <w:sz w:val="19"/>
          <w:szCs w:val="19"/>
          <w:color w:val="auto"/>
        </w:rPr>
        <w:t>, in each case, in its capacity as an issuer of Letters of Credit hereunder, or any successor issuer of Letters of Credit hereunder. Any L/C Issuer may, in its discretion, arrange for one or more Letters of Credit to be issued by one or more Affiliates of such L/C Issuer (and such Affiliate shall be deemed to be an “L/C Issuer” for all purposes of the Loan Documents).</w:t>
      </w:r>
    </w:p>
    <w:p>
      <w:pPr>
        <w:spacing w:after="0" w:line="185"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L/C Obligations</w:t>
      </w:r>
      <w:r>
        <w:rPr>
          <w:rFonts w:ascii="Arial" w:cs="Arial" w:eastAsia="Arial" w:hAnsi="Arial"/>
          <w:sz w:val="20"/>
          <w:szCs w:val="20"/>
          <w:color w:val="auto"/>
        </w:rPr>
        <w:t xml:space="preserve">” means, as at any date of determination, the aggregate undrawn amount of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w:t>
      </w:r>
    </w:p>
    <w:p>
      <w:pPr>
        <w:spacing w:after="0" w:line="164"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Lender</w:t>
      </w:r>
      <w:r>
        <w:rPr>
          <w:rFonts w:ascii="Arial" w:cs="Arial" w:eastAsia="Arial" w:hAnsi="Arial"/>
          <w:sz w:val="20"/>
          <w:szCs w:val="20"/>
          <w:color w:val="auto"/>
        </w:rPr>
        <w:t>” has the meaning specified in the introductory paragraph to this Agreement and, as the context requires, includes an L/C Issuer and the Swing Line Lender, and their respective successors and assigns as permitted hereunder, each of which is referred to herein as a “Lender”.</w:t>
      </w:r>
    </w:p>
    <w:p>
      <w:pPr>
        <w:spacing w:after="0" w:line="29" w:lineRule="exact"/>
        <w:rPr>
          <w:sz w:val="20"/>
          <w:szCs w:val="20"/>
          <w:color w:val="auto"/>
        </w:rPr>
      </w:pPr>
    </w:p>
    <w:p>
      <w:pPr>
        <w:jc w:val="both"/>
        <w:ind w:left="280"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Borrowers and the Administrative Agent.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58" w:name="page159"/>
    <w:bookmarkEnd w:id="158"/>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Letter of Credit</w:t>
      </w:r>
      <w:r>
        <w:rPr>
          <w:rFonts w:ascii="Arial" w:cs="Arial" w:eastAsia="Arial" w:hAnsi="Arial"/>
          <w:sz w:val="20"/>
          <w:szCs w:val="20"/>
          <w:color w:val="auto"/>
        </w:rPr>
        <w:t>” means any Existing Letter of Credit or any letter of credit issued hereunder.</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 Letter of Credit may be a commercial letter of credit or a standby letter of credit.</w:t>
      </w:r>
    </w:p>
    <w:p>
      <w:pPr>
        <w:spacing w:after="0" w:line="20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which shall be in a form supplied by the relevant L/C Issuer.</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Letter of Credit Expiration Date</w:t>
      </w:r>
      <w:r>
        <w:rPr>
          <w:rFonts w:ascii="Arial" w:cs="Arial" w:eastAsia="Arial" w:hAnsi="Arial"/>
          <w:sz w:val="20"/>
          <w:szCs w:val="20"/>
          <w:color w:val="auto"/>
        </w:rPr>
        <w:t>” means the day that is five (5) Business Days prior to the scheduled Maturity Date then in effect for the Revolving Credit Facility (or, if such day is not a Business Day, the next preceding Business Day).</w:t>
      </w:r>
    </w:p>
    <w:p>
      <w:pPr>
        <w:spacing w:after="0" w:line="164" w:lineRule="exact"/>
        <w:rPr>
          <w:sz w:val="20"/>
          <w:szCs w:val="20"/>
          <w:color w:val="auto"/>
        </w:rPr>
      </w:pPr>
    </w:p>
    <w:p>
      <w:pPr>
        <w:jc w:val="both"/>
        <w:ind w:left="280" w:right="2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Letter of Credit Sublimit</w:t>
      </w:r>
      <w:r>
        <w:rPr>
          <w:rFonts w:ascii="Arial" w:cs="Arial" w:eastAsia="Arial" w:hAnsi="Arial"/>
          <w:sz w:val="19"/>
          <w:szCs w:val="19"/>
          <w:color w:val="auto"/>
        </w:rPr>
        <w:t>” means an amount equal to the lesser of (a) $75,000,000 and (b) the aggregate amount of the Revolving Credit Commitments. The Letter of Credit Sublimit is part of, and not in addition to, the Revolving Credit Facility.</w:t>
      </w:r>
    </w:p>
    <w:p>
      <w:pPr>
        <w:spacing w:after="0" w:line="15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Lien</w:t>
      </w:r>
      <w:r>
        <w:rPr>
          <w:rFonts w:ascii="Arial" w:cs="Arial" w:eastAsia="Arial" w:hAnsi="Arial"/>
          <w:sz w:val="20"/>
          <w:szCs w:val="20"/>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 operating lease in and of itself be deemed a Lien.</w:t>
      </w:r>
    </w:p>
    <w:p>
      <w:pPr>
        <w:spacing w:after="0" w:line="185"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Limited Condition Acquisition</w:t>
      </w:r>
      <w:r>
        <w:rPr>
          <w:rFonts w:ascii="Arial" w:cs="Arial" w:eastAsia="Arial" w:hAnsi="Arial"/>
          <w:sz w:val="20"/>
          <w:szCs w:val="20"/>
          <w:color w:val="auto"/>
        </w:rPr>
        <w:t>” means any Permitted Acquisition that (a) is not prohibited hereunder, (b) is financed in whole or in part with a substantially concurrent incurrence of Incremental Term Loans or other Indebtedness permitted hereunder, and (c) is not conditioned on the availability of, or on obtaining, third-party financing.</w:t>
      </w:r>
    </w:p>
    <w:p>
      <w:pPr>
        <w:spacing w:after="0" w:line="191"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Liquor License Acquisition Agreement</w:t>
      </w:r>
      <w:r>
        <w:rPr>
          <w:rFonts w:ascii="Arial" w:cs="Arial" w:eastAsia="Arial" w:hAnsi="Arial"/>
          <w:sz w:val="20"/>
          <w:szCs w:val="20"/>
          <w:color w:val="auto"/>
        </w:rPr>
        <w:t>” means any agreement (including any financing agreement) relating to the acquisition of a Liquor License by a Liquor License Subsidiary.</w:t>
      </w:r>
    </w:p>
    <w:p>
      <w:pPr>
        <w:spacing w:after="0" w:line="164"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Liquor License Subsidiary</w:t>
      </w:r>
      <w:r>
        <w:rPr>
          <w:rFonts w:ascii="Arial" w:cs="Arial" w:eastAsia="Arial" w:hAnsi="Arial"/>
          <w:sz w:val="18"/>
          <w:szCs w:val="18"/>
          <w:color w:val="auto"/>
        </w:rPr>
        <w:t>” means any Domestic Subsidiary established solely for the purpose of acquiring and holding Liquor Licenses which, except to the extent required by applicable Law, holds no material assets other than Liquor Licenses and with respect to which applicable Law or the terms of a Liquor License Acquisition Agreement prohibit either (x) such Subsidiary from guaranteeing the Obligations or (y) the assets or Equity Interests of such Subsidiary from being pledged as collateral for the Obligations.</w:t>
      </w:r>
    </w:p>
    <w:p>
      <w:pPr>
        <w:spacing w:after="0" w:line="165" w:lineRule="exact"/>
        <w:rPr>
          <w:sz w:val="20"/>
          <w:szCs w:val="20"/>
          <w:color w:val="auto"/>
        </w:rPr>
      </w:pPr>
    </w:p>
    <w:p>
      <w:pPr>
        <w:jc w:val="both"/>
        <w:ind w:left="280" w:firstLine="702"/>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Liquor Licenses</w:t>
      </w:r>
      <w:r>
        <w:rPr>
          <w:rFonts w:ascii="Arial" w:cs="Arial" w:eastAsia="Arial" w:hAnsi="Arial"/>
          <w:sz w:val="20"/>
          <w:szCs w:val="20"/>
          <w:color w:val="auto"/>
        </w:rPr>
        <w:t>” means any license or permit from the applicable Governmental Authority authorizing the holder thereof to sell alcoholic beverages in accordance with applicable Law.</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Loan</w:t>
      </w:r>
      <w:r>
        <w:rPr>
          <w:rFonts w:ascii="Arial" w:cs="Arial" w:eastAsia="Arial" w:hAnsi="Arial"/>
          <w:sz w:val="20"/>
          <w:szCs w:val="20"/>
          <w:color w:val="auto"/>
        </w:rPr>
        <w:t>” means an extension of credit by a Lender to the Borrowers in the form of a Term Loan, a Revolving Credit Loan or a Swing Line Loan.</w:t>
      </w:r>
    </w:p>
    <w:p>
      <w:pPr>
        <w:spacing w:after="0" w:line="177"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Loan Documents</w:t>
      </w:r>
      <w:r>
        <w:rPr>
          <w:rFonts w:ascii="Arial" w:cs="Arial" w:eastAsia="Arial" w:hAnsi="Arial"/>
          <w:sz w:val="20"/>
          <w:szCs w:val="20"/>
          <w:color w:val="auto"/>
        </w:rPr>
        <w:t>” means, collectively, (i) this Agreement, (ii) the Notes, (iii) each Guaranty Supplement, (iv) any Refinancing Amendment, Incremental Amendment or Extension Amendment, (v) the Guaranty, (vi) the Collateral Documents, (vii) the Intercompany Note, (viii) each Letter of Credit Application and (ix) after the execution and delivery thereof, each First Lien Intercreditor Agreement and each intercreditor agreement entered into in connection with any Junior Financing.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0" w:right="239" w:bottom="1440" w:gutter="0" w:footer="0" w:header="0"/>
        </w:sectPr>
      </w:pPr>
    </w:p>
    <w:bookmarkStart w:id="159" w:name="page160"/>
    <w:bookmarkEnd w:id="159"/>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Loan Parties</w:t>
      </w:r>
      <w:r>
        <w:rPr>
          <w:rFonts w:ascii="Arial" w:cs="Arial" w:eastAsia="Arial" w:hAnsi="Arial"/>
          <w:sz w:val="20"/>
          <w:szCs w:val="20"/>
          <w:color w:val="auto"/>
        </w:rPr>
        <w:t>” means, collectively, each Borrower and each Guarantor.</w:t>
      </w:r>
    </w:p>
    <w:p>
      <w:pPr>
        <w:spacing w:after="0" w:line="21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Margin Stock</w:t>
      </w:r>
      <w:r>
        <w:rPr>
          <w:rFonts w:ascii="Arial" w:cs="Arial" w:eastAsia="Arial" w:hAnsi="Arial"/>
          <w:sz w:val="20"/>
          <w:szCs w:val="20"/>
          <w:color w:val="auto"/>
        </w:rPr>
        <w:t>” has the meaning specified in Regulation U of the Board of Governors of the United States Federal Reserve system, or any successor thereto.</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1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Adverse Effect</w:t>
      </w:r>
      <w:r>
        <w:rPr>
          <w:rFonts w:ascii="Arial" w:cs="Arial" w:eastAsia="Arial" w:hAnsi="Arial"/>
          <w:sz w:val="20"/>
          <w:szCs w:val="20"/>
          <w:color w:val="auto"/>
        </w:rPr>
        <w:t>” means (a) a material adverse effect on the business, operations, assets, liabilities (actual or contingent) or financial condition of the Company and its Subsidiaries, taken as a whole, (b) a material adverse effect on the ability of the Borrowers and the other Loan Parties (taken as a whole) to perform their respective payment obligations under any Loan Document to which any of the Borrowers or any of the other Loan Parties is a party or (c) a material adverse effect on the rights and remedies of the Lenders under any Loan Document.</w:t>
      </w:r>
    </w:p>
    <w:p>
      <w:pPr>
        <w:spacing w:after="0" w:line="199"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Material Real Property</w:t>
      </w:r>
      <w:r>
        <w:rPr>
          <w:rFonts w:ascii="Arial" w:cs="Arial" w:eastAsia="Arial" w:hAnsi="Arial"/>
          <w:sz w:val="20"/>
          <w:szCs w:val="20"/>
          <w:color w:val="auto"/>
        </w:rPr>
        <w:t>” means any real property (other than any Excluded Real Property) owned by any Loan Party with a Fair Market Value of $5,000,000 or more.</w:t>
      </w:r>
    </w:p>
    <w:p>
      <w:pPr>
        <w:spacing w:after="0" w:line="177" w:lineRule="exact"/>
        <w:rPr>
          <w:sz w:val="20"/>
          <w:szCs w:val="20"/>
          <w:color w:val="auto"/>
        </w:rPr>
      </w:pPr>
    </w:p>
    <w:p>
      <w:pPr>
        <w:jc w:val="both"/>
        <w:ind w:left="280" w:firstLine="702"/>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Maturity Date</w:t>
      </w:r>
      <w:r>
        <w:rPr>
          <w:rFonts w:ascii="Arial" w:cs="Arial" w:eastAsia="Arial" w:hAnsi="Arial"/>
          <w:sz w:val="20"/>
          <w:szCs w:val="20"/>
          <w:color w:val="auto"/>
        </w:rPr>
        <w:t xml:space="preserve">” means (a) with respect to the Revolving Credit Facility and Swing Line Loans, November 30, 2022; (b) with respect to the Initial Term Loan, November 30, 2022, (c) with respect to any Class of Extended Term Loans or Extended Revolving Credit Commitments, the final maturity date as specified in the applicable Extension Request accepted by the respective Lender or Lenders, (d) with respect to any Other Term Loans or Other Revolving Credit Commitments, the final maturity date as specified in the applicable Refinancing Amendment and (e) with respect to any Incremental Term Loans, the final maturity date as specified in the applicable Incremental Amendment;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if such day is not a Business Day, the applicable Maturity Date shall be the Business Day immediately succeeding such day.</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Mortgage</w:t>
      </w:r>
      <w:r>
        <w:rPr>
          <w:rFonts w:ascii="Arial" w:cs="Arial" w:eastAsia="Arial" w:hAnsi="Arial"/>
          <w:sz w:val="18"/>
          <w:szCs w:val="18"/>
          <w:color w:val="auto"/>
        </w:rPr>
        <w:t xml:space="preserve">” means, collectively, the deeds of trust, trust deeds, hypothecs and mortgages made by the Loan Parties in favor or for the benefit of the Collateral Agent on behalf of the Secured Parties substantially in form and substance reasonably satisfactory to the Collateral Agent (taking account of relevant local Law matters), and any other mortgages executed and delivered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Mortgage Policies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6.13(b)(B)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Mortgaged Properties</w:t>
      </w:r>
      <w:r>
        <w:rPr>
          <w:rFonts w:ascii="Arial" w:cs="Arial" w:eastAsia="Arial" w:hAnsi="Arial"/>
          <w:sz w:val="18"/>
          <w:szCs w:val="18"/>
          <w:color w:val="auto"/>
        </w:rPr>
        <w:t>” has the meaning specified in paragraph (g) of the definition of “Collateral and Guarantee Requirement”.</w:t>
      </w:r>
    </w:p>
    <w:p>
      <w:pPr>
        <w:spacing w:after="0" w:line="239"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Multiemployer Plan</w:t>
      </w:r>
      <w:r>
        <w:rPr>
          <w:rFonts w:ascii="Arial" w:cs="Arial" w:eastAsia="Arial" w:hAnsi="Arial"/>
          <w:sz w:val="20"/>
          <w:szCs w:val="20"/>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Net Cash Proceeds</w:t>
      </w:r>
      <w:r>
        <w:rPr>
          <w:rFonts w:ascii="Arial" w:cs="Arial" w:eastAsia="Arial" w:hAnsi="Arial"/>
          <w:sz w:val="20"/>
          <w:szCs w:val="20"/>
          <w:color w:val="auto"/>
        </w:rPr>
        <w:t>” means:</w:t>
      </w:r>
    </w:p>
    <w:p>
      <w:pPr>
        <w:spacing w:after="0" w:line="235" w:lineRule="exact"/>
        <w:rPr>
          <w:sz w:val="20"/>
          <w:szCs w:val="20"/>
          <w:color w:val="auto"/>
        </w:rPr>
      </w:pPr>
    </w:p>
    <w:p>
      <w:pPr>
        <w:jc w:val="both"/>
        <w:ind w:left="920" w:firstLine="655"/>
        <w:spacing w:after="0" w:line="293" w:lineRule="auto"/>
        <w:tabs>
          <w:tab w:leader="none" w:pos="243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with respect to the Disposition of any asset by the Company or any Subsidiary or any Casualty Event, the excess, if any, of (i) the sum of cash and Cash Equivalents received in connection with such Disposition or Casualty Event (including any cash or Cash Equivalents received by way of deferred payment of principal pursuant to, or by monetization of, a note or installment receivable or purchase price adjustment receivable or otherwise, but only as and when so received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60" w:name="page161"/>
    <w:bookmarkEnd w:id="160"/>
    <w:p>
      <w:pPr>
        <w:jc w:val="both"/>
        <w:ind w:left="920"/>
        <w:spacing w:after="0" w:line="299" w:lineRule="auto"/>
        <w:rPr>
          <w:sz w:val="20"/>
          <w:szCs w:val="20"/>
          <w:color w:val="auto"/>
        </w:rPr>
      </w:pPr>
      <w:r>
        <w:rPr>
          <w:rFonts w:ascii="Arial" w:cs="Arial" w:eastAsia="Arial" w:hAnsi="Arial"/>
          <w:sz w:val="18"/>
          <w:szCs w:val="18"/>
          <w:color w:val="auto"/>
        </w:rPr>
        <w:t xml:space="preserve">and, with respect to any Casualty Event, any insurance proceeds or condemnation awards in respect of such Casualty Event actually received by or paid to or for the account of the Company or any Subsidiary) over (ii) the sum of (A) the principal amount, premium or penalty, if any, interest, breakage costs and other amounts on any Indebtedness that is secured by the asset subject to such Disposition or Casualty Event (other than in the case of a Foreign Subsidiary) and that is required to be repaid (and is timely repaid) in connection with such Disposition or Casualty Event (other than Indebtedness under, or that is secured by, the Loan Documents, Credit Agreement Refinancing Indebtedness or Incremental Equivalent Debt), (B) 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Company or such Subsidiary in connection with such Disposition or Casualty Event, (C) Taxes paid or reasonably estimated to be actually payable in connection therewith (including Taxes imposed on the actual or deemed distribution or repatriation of any such Net Cash Proceeds), (D) in the case of any Disposition or Casualty Event by a non-Wholly Owned Subsidiary, the pro rata portion of the Net Cash Proceeds thereof (calculated without regard to this clause (D)) attributable to minority interests and not available for distribution to or for the account of a Borrower or a Wholly Owned Subsidiary as a result thereof, and (E) any reserve for adjustment in respect of (x) the sale price of such asset or assets established in accordance with GAAP and (y) any liabilities associated with such asset or assets and retained by the Company or any Subsidiary after such sale or other disposition thereof, including pension and other post-employment benefit liabilities and liabilities related to environmental matters or against any indemnification obligations associated with such transaction and it being understood that “Net Cash Proceeds” shall include any cash or Cash Equivalents (i) received upon the Disposition of any non-cash consideration received by the Company or any Subsidiary in any such Disposition and (ii) upon the reversal (without the satisfaction of any applicable liabilities in cash in a corresponding amount) of any reserve described in preceding clause (E) or, if such liabilities have not been satisfied in cash and such reserve is not reversed within three hundred and sixty-five (365) days after such Disposition or Casualty Event, the amount of such 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no net cash proceeds calculated in accordance with the foregoing realized in a single transaction or series of related transactions shall constitute Net Cash Proceeds unless such net cash proceeds shall exceed $5,000,000 and (y) no such net cash proceeds shall constitute Net Cash Proceeds under this clause (a) in any fiscal year until the aggregate amount of all such net cash proceeds in such fiscal year shall exceed $20,000,000 (and thereafter only net cash proceeds in excess of such amount shall constitute Net Cash Proceeds under this clause (a)); and</w:t>
      </w:r>
    </w:p>
    <w:p>
      <w:pPr>
        <w:spacing w:after="0" w:line="197" w:lineRule="exact"/>
        <w:rPr>
          <w:sz w:val="20"/>
          <w:szCs w:val="20"/>
          <w:color w:val="auto"/>
        </w:rPr>
      </w:pPr>
    </w:p>
    <w:p>
      <w:pPr>
        <w:jc w:val="both"/>
        <w:ind w:left="920" w:firstLine="655"/>
        <w:spacing w:after="0" w:line="288" w:lineRule="auto"/>
        <w:tabs>
          <w:tab w:leader="none" w:pos="244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with respect to the incurrence or issuance of any Indebtedness by the Company or any Subsidiary or issuance of Equity Interests, the excess, if any, of (i) the sum of the cash received in connection with such incurrence or issuance over (ii) all Taxes paid or reasonably estimated to be payable as a result thereof (including Taxes imposed on the actual or deemed distribution or repatriation of any such Net Cash Proceeds), fees (including, the investment banking fees, underwriting fees and discounts), commissions, costs and other out-of-pocket expenses and other customary expenses, in each case incurred by the Company or such Subsidiary in connection with such incurrence or issuance.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Non-Cash Charges</w:t>
      </w:r>
      <w:r>
        <w:rPr>
          <w:rFonts w:ascii="Arial" w:cs="Arial" w:eastAsia="Arial" w:hAnsi="Arial"/>
          <w:sz w:val="20"/>
          <w:szCs w:val="20"/>
          <w:color w:val="auto"/>
        </w:rPr>
        <w:t>” has the meaning specified in the definition of the term “Consolidated EBITDA”.</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Non-Consenting Lenders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3.07(d)</w:t>
      </w:r>
      <w:r>
        <w:rPr>
          <w:rFonts w:ascii="Arial" w:cs="Arial" w:eastAsia="Arial" w:hAnsi="Arial"/>
          <w:sz w:val="20"/>
          <w:szCs w:val="20"/>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1" w:right="239" w:bottom="1440" w:gutter="0" w:footer="0" w:header="0"/>
        </w:sectPr>
      </w:pPr>
    </w:p>
    <w:bookmarkStart w:id="161" w:name="page162"/>
    <w:bookmarkEnd w:id="161"/>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Non-Defaulting Lender</w:t>
      </w:r>
      <w:r>
        <w:rPr>
          <w:rFonts w:ascii="Arial" w:cs="Arial" w:eastAsia="Arial" w:hAnsi="Arial"/>
          <w:sz w:val="20"/>
          <w:szCs w:val="20"/>
          <w:color w:val="auto"/>
        </w:rPr>
        <w:t>” means, at any time, a Lender that is not a Defaulting Lender.</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Non-Expiring Credit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2.04(g)</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Non-Loan Party</w:t>
      </w:r>
      <w:r>
        <w:rPr>
          <w:rFonts w:ascii="Arial" w:cs="Arial" w:eastAsia="Arial" w:hAnsi="Arial"/>
          <w:sz w:val="20"/>
          <w:szCs w:val="20"/>
          <w:color w:val="auto"/>
        </w:rPr>
        <w:t>” means any Subsidiary that is not a Loan Party.</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Nonrenewal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Note</w:t>
      </w:r>
      <w:r>
        <w:rPr>
          <w:rFonts w:ascii="Arial" w:cs="Arial" w:eastAsia="Arial" w:hAnsi="Arial"/>
          <w:sz w:val="20"/>
          <w:szCs w:val="20"/>
          <w:color w:val="auto"/>
        </w:rPr>
        <w:t>” means a Term Note, a Revolving Credit Note or a Swing Line Note, as the context may</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require.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NPL</w:t>
      </w:r>
      <w:r>
        <w:rPr>
          <w:rFonts w:ascii="Arial" w:cs="Arial" w:eastAsia="Arial" w:hAnsi="Arial"/>
          <w:sz w:val="20"/>
          <w:szCs w:val="20"/>
          <w:color w:val="auto"/>
        </w:rPr>
        <w:t>” means the National Priorities List under CERCLA.</w:t>
      </w:r>
    </w:p>
    <w:p>
      <w:pPr>
        <w:spacing w:after="0" w:line="216"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means all (a) advances to, and debts, liabilities, obligations, covenants and duties of, any Loan Party and its Subsidiaries arising under any Loan Document (including the Guaranty) or otherwise with respect to any Loan or Letter of Credit, whether direct or indirect (including those acquired by assumption), absolute or contingent, due or to become due, now existing or hereafter arising,</w:t>
      </w:r>
    </w:p>
    <w:p>
      <w:pPr>
        <w:spacing w:after="0" w:line="2" w:lineRule="exact"/>
        <w:rPr>
          <w:sz w:val="20"/>
          <w:szCs w:val="20"/>
          <w:color w:val="auto"/>
        </w:rPr>
      </w:pPr>
    </w:p>
    <w:p>
      <w:pPr>
        <w:jc w:val="both"/>
        <w:ind w:left="280" w:hanging="2"/>
        <w:spacing w:after="0" w:line="254" w:lineRule="auto"/>
        <w:tabs>
          <w:tab w:leader="none" w:pos="59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obligations (other than any Excluded Swap Obligations) of any Loan Party and its Subsidiaries arising under any Secured Hedge Agreement and (c) Cash Management Obligations, in each of clauses (a), (b) and (c) including interest, fees and expenses that accrue after the commencement by or against any Loan Party or Subsidiary of any proceeding under any Debtor Relief Laws naming such Person as the debtor in such proceeding, regardless of whether such interest, fees or expenses are allowed claims in such proceeding. Without limiting the generality of the foregoing, the Obligations of the Loan Parties under the Loan Documents (and of their Subsidiaries to the extent they have obligations under the Loan Documents) include (i) the obligation (including guarantee obligations) to pay principal, premium, interest, Letter of Credit commissions, reimbursement obligations, charges, expenses, fees, Attorney Costs, indemnities and other amounts payable by any Loan Party or its Subsidiaries under any Loan Document and (ii) the obligation of any Loan Party or any of its Subsidiaries to reimburse any amount in respect of any of the foregoing that any Lender, in its sole discretion, may elect to pay or advance on behalf of such Loan Party or such Subsidiary.</w:t>
      </w:r>
    </w:p>
    <w:p>
      <w:pPr>
        <w:spacing w:after="0" w:line="191"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OS Restaurant Services</w:t>
      </w:r>
      <w:r>
        <w:rPr>
          <w:rFonts w:ascii="Arial" w:cs="Arial" w:eastAsia="Arial" w:hAnsi="Arial"/>
          <w:sz w:val="20"/>
          <w:szCs w:val="20"/>
          <w:color w:val="auto"/>
        </w:rPr>
        <w:t>” means OS Restaurant Services, LLC, a Wholly Owned Domestic Subsidiary.</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OSI</w:t>
      </w:r>
      <w:r>
        <w:rPr>
          <w:rFonts w:ascii="Arial" w:cs="Arial" w:eastAsia="Arial" w:hAnsi="Arial"/>
          <w:sz w:val="20"/>
          <w:szCs w:val="20"/>
          <w:color w:val="auto"/>
        </w:rPr>
        <w:t>” has the meaning specified in the introductory paragraph of this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Applicable Indebtedness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21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Revolving Credit Commitments</w:t>
      </w:r>
      <w:r>
        <w:rPr>
          <w:rFonts w:ascii="Arial" w:cs="Arial" w:eastAsia="Arial" w:hAnsi="Arial"/>
          <w:sz w:val="20"/>
          <w:szCs w:val="20"/>
          <w:color w:val="auto"/>
        </w:rPr>
        <w:t>” means one or more Classes of Revolving Credit Commitments hereunder that result from a Refinancing Amendment.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62" w:name="page163"/>
    <w:bookmarkEnd w:id="162"/>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Revolving Credit Loans</w:t>
      </w:r>
      <w:r>
        <w:rPr>
          <w:rFonts w:ascii="Arial" w:cs="Arial" w:eastAsia="Arial" w:hAnsi="Arial"/>
          <w:sz w:val="20"/>
          <w:szCs w:val="20"/>
          <w:color w:val="auto"/>
        </w:rPr>
        <w:t>” means one or more Classes of Revolving Credit Loans that result from a Refinancing Amendment.</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Taxes</w:t>
      </w:r>
      <w:r>
        <w:rPr>
          <w:rFonts w:ascii="Arial" w:cs="Arial" w:eastAsia="Arial" w:hAnsi="Arial"/>
          <w:sz w:val="20"/>
          <w:szCs w:val="20"/>
          <w:color w:val="auto"/>
        </w:rPr>
        <w:t>” means all present or future stamp, court or documentary, intangible, excise, recording, filing or similar Taxes that arise from any payment made under any Loan Document, from the execution, delivery, performance, enforcement or registration of, or otherwise with respect to, any Loan Document, except, for the avoidance of doubt, any Excluded Taxes.</w:t>
      </w:r>
    </w:p>
    <w:p>
      <w:pPr>
        <w:spacing w:after="0" w:line="178"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Term Loan Commitments</w:t>
      </w:r>
      <w:r>
        <w:rPr>
          <w:rFonts w:ascii="Arial" w:cs="Arial" w:eastAsia="Arial" w:hAnsi="Arial"/>
          <w:sz w:val="20"/>
          <w:szCs w:val="20"/>
          <w:color w:val="auto"/>
        </w:rPr>
        <w:t>” means one or more Classes of Term Commitments hereunder to fund Other Term Loans of the applicable Refinancing Series hereunder that result from a Refinancing Amendment.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Other Term Loans</w:t>
      </w:r>
      <w:r>
        <w:rPr>
          <w:rFonts w:ascii="Arial" w:cs="Arial" w:eastAsia="Arial" w:hAnsi="Arial"/>
          <w:sz w:val="20"/>
          <w:szCs w:val="20"/>
          <w:color w:val="auto"/>
        </w:rPr>
        <w:t>” means one or more Classes of Term Loans that result from a Refinancing Amendment.</w:t>
      </w:r>
    </w:p>
    <w:p>
      <w:pPr>
        <w:spacing w:after="0" w:line="229"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Outstanding Amount</w:t>
      </w:r>
      <w:r>
        <w:rPr>
          <w:rFonts w:ascii="Arial" w:cs="Arial" w:eastAsia="Arial" w:hAnsi="Arial"/>
          <w:sz w:val="18"/>
          <w:szCs w:val="18"/>
          <w:color w:val="auto"/>
        </w:rPr>
        <w:t>” means (a) with respect to the Term Loans, Revolving Credit Loans and Swing Line Loans on any date, the outstanding principal amount thereof after giving effect to any borrowings and prepayments or repayments of Term Loans, Revolving Credit Loans (including any refinancing of outstanding unpaid drawings under Letters of Credit or L/C Credit Extensions as a Revolving Credit Borrowing) and Swing Line Loans, as the case may be, occurring on such date; and (b) with respect to any L/C Obligations on any date, the outstanding amount thereof on such date after giving effect to any L/C Credit Extension occurring on such date and any other changes thereto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10.07(e)</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10.07(e)</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PCAOB</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6.01(a)</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Pension Plan</w:t>
      </w:r>
      <w:r>
        <w:rPr>
          <w:rFonts w:ascii="Arial" w:cs="Arial" w:eastAsia="Arial" w:hAnsi="Arial"/>
          <w:sz w:val="20"/>
          <w:szCs w:val="20"/>
          <w:color w:val="auto"/>
        </w:rPr>
        <w:t>” means any “employee pension benefit plan” (as such term is defined in Section 3(2) of ERISA), other than a Multiemployer Plan, that is subject to Section 412 of the Code or Section 302 or Title IV of ERISA and is sponsored or maintained by any Loan Party or any ERISA Affiliate or to which any Loan Party or any ERISA Affiliate contributes or has an obligation to contribute, or in the case of a multiple employer or other plan described in Section 4064(a) of ERISA, has made or has been obligated to make contributions at any time during the immediately preceding five (5) plan years.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Acquisition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7.02(i)</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Permitted Liens</w:t>
      </w:r>
      <w:r>
        <w:rPr>
          <w:rFonts w:ascii="Arial" w:cs="Arial" w:eastAsia="Arial" w:hAnsi="Arial"/>
          <w:sz w:val="20"/>
          <w:szCs w:val="20"/>
          <w:color w:val="auto"/>
        </w:rPr>
        <w:t xml:space="preserve">” means any Lien permitted to be outstanding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Pari Passu Secured Refinancing Debt</w:t>
      </w:r>
      <w:r>
        <w:rPr>
          <w:rFonts w:ascii="Arial" w:cs="Arial" w:eastAsia="Arial" w:hAnsi="Arial"/>
          <w:sz w:val="18"/>
          <w:szCs w:val="18"/>
          <w:color w:val="auto"/>
        </w:rPr>
        <w:t xml:space="preserve">” means any secured Indebtedness incurred by any Borrower in the form of one or more series of senior secured loans or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(but without regard to the control of remedies) with the Obligations and is not secured by any property or assets of the Company or any Subsidiary other than the Collateral and the security agreements relating to such Indebtedness are substantially the same as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63" w:name="page164"/>
    <w:bookmarkEnd w:id="163"/>
    <w:p>
      <w:pPr>
        <w:jc w:val="both"/>
        <w:ind w:left="280"/>
        <w:spacing w:after="0" w:line="242" w:lineRule="auto"/>
        <w:rPr>
          <w:sz w:val="20"/>
          <w:szCs w:val="20"/>
          <w:color w:val="auto"/>
        </w:rPr>
      </w:pPr>
      <w:r>
        <w:rPr>
          <w:rFonts w:ascii="Arial" w:cs="Arial" w:eastAsia="Arial" w:hAnsi="Arial"/>
          <w:sz w:val="20"/>
          <w:szCs w:val="20"/>
          <w:color w:val="auto"/>
        </w:rPr>
        <w:t xml:space="preserve">more favorable to the Loan Parties than the Collateral Documents (with such differences as are reasonably satisfactory to the Administrative Agent), (ii) such Indebtedness is not at any time guaranteed by any Person other than a Guarantor, (iii) a Senior Representative acting on behalf of the holders of such Indebtedness shall have become party to or otherwise subject to the provisions of a First Lien Intercreditor Agreement;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such Indebtedness is the initial Permitted Pari Passu Secured Refinancing Debt incurred by such Borrower, then such Borrower, the Administrative Agent and the Senior Representative for such Indebtedness shall have executed and delivered a First Lien Intercreditor Agreement and (iv) in the case of any notes, such Indebtedness does not mature or have scheduled amortization or payments of principal (other than customary offers to repurchase upon a change of control, asset sale or event of loss and a customary acceleration right after an event of default) prior to the date that is the Latest Maturity Date at the time such Indebtedness is incurred or issued.</w:t>
      </w:r>
    </w:p>
    <w:p>
      <w:pPr>
        <w:spacing w:after="0" w:line="203"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Ratio Debt</w:t>
      </w:r>
      <w:r>
        <w:rPr>
          <w:rFonts w:ascii="Arial" w:cs="Arial" w:eastAsia="Arial" w:hAnsi="Arial"/>
          <w:sz w:val="18"/>
          <w:szCs w:val="18"/>
          <w:color w:val="auto"/>
        </w:rPr>
        <w:t xml:space="preserve">” means any unsecured or subordinated unsecured Indebtedness incurred by the Company and any Subsidiary, so long as the Company and its Subsidiaries shall be in Pro Forma Compliance with the Financial Covenant;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Indebtedness (i) will not mature prior to the date that is ninety-one (91) days after the Latest Maturity Date at the time of the issuance of such Indebtedness, (ii) will not have mandatory prepayment or mandatory amortization, redemption, sinking fund or similar prepayments (other than asset sale and change of control mandatory offers to repurchase customary for high-yield debt securities) prior to the date that is ninety-one (91) days after the Latest Maturity Date at the time of the issuance of such Indebtedness and (iii) that is incurred by Subsidiaries that are Non-Loan Parties, after giving Pro Forma Effect to such incurrence, the aggregate amount of Indebtedness of Non-Loan Parties incurred pursuant to </w:t>
      </w:r>
      <w:r>
        <w:rPr>
          <w:rFonts w:ascii="Arial" w:cs="Arial" w:eastAsia="Arial" w:hAnsi="Arial"/>
          <w:sz w:val="18"/>
          <w:szCs w:val="18"/>
          <w:u w:val="single" w:color="auto"/>
          <w:color w:val="auto"/>
        </w:rPr>
        <w:t>Section 7.03(x)</w:t>
      </w:r>
      <w:r>
        <w:rPr>
          <w:rFonts w:ascii="Arial" w:cs="Arial" w:eastAsia="Arial" w:hAnsi="Arial"/>
          <w:sz w:val="18"/>
          <w:szCs w:val="18"/>
          <w:color w:val="auto"/>
        </w:rPr>
        <w:t xml:space="preserve"> and then outstanding shall not exceed the greater of (x) $55,000,000 and (y) 2.0% of Total Assets.</w:t>
      </w:r>
    </w:p>
    <w:p>
      <w:pPr>
        <w:spacing w:after="0" w:line="176"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Refinancing</w:t>
      </w:r>
      <w:r>
        <w:rPr>
          <w:rFonts w:ascii="Arial" w:cs="Arial" w:eastAsia="Arial" w:hAnsi="Arial"/>
          <w:sz w:val="18"/>
          <w:szCs w:val="18"/>
          <w:color w:val="auto"/>
        </w:rPr>
        <w:t xml:space="preserve">” means, with respect to any Person, any modification, refinancing, refunding, renewal, extension or replacement of any Indebtedness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thereof does not exceed the principal amount (or accreted value, if applicable) of the Indebtedness so modified, refinanced, refunded, renewed, extended or replaced except by an amount equal to unpaid accrued interest and premium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other reasonable amount paid, and fees and expenses reasonably incurred, in connection with such modification, refinancing, refunding, renewal, extension or replacement and by an amount equal to any existing commitments unutilized thereunder, (b)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such modification, refinancing, refunding, renewal, extension or replacement has a final maturity equal to or later than the final maturity of the Indebtedness being modified, refinanced, refunded, renewed, extended or replaced (or, if earlier, the date that is 91 days after the Latest Maturity Date), and has a Weighted Average Life to Maturity no shorter than the remaining Weighted Average Life to Maturity of, the Indebtedness being modified, refinanced, refunded, renewed, extended or replaced (as originally in effect prior to any amortization or prepayments thereof), (c) other than with respect to a Permitted Refinancing in respect of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at the time thereof, no Event of Default shall have occurred and be continuing, and (d)</w:t>
      </w:r>
    </w:p>
    <w:p>
      <w:pPr>
        <w:spacing w:after="0" w:line="3" w:lineRule="exact"/>
        <w:rPr>
          <w:sz w:val="20"/>
          <w:szCs w:val="20"/>
          <w:color w:val="auto"/>
        </w:rPr>
      </w:pPr>
    </w:p>
    <w:p>
      <w:pPr>
        <w:jc w:val="both"/>
        <w:ind w:left="280" w:hanging="2"/>
        <w:spacing w:after="0" w:line="254" w:lineRule="auto"/>
        <w:tabs>
          <w:tab w:leader="none" w:pos="52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to the extent such Indebtedness being modified, refinanced, refunded, renewed, extended or replaced is subordinated in right of payment to the Obligations (or the Liens securing such Indebtedness were originally contractually subordinated to the Liens securing the Collateral pursuant to the Collateral Documents), such modification, refinancing, refunding, renewal, extension or replacement is subordinated in right of payment to the Obligations (or the Liens securing such Indebtedness shall be subordinated to the Liens securing the Collateral pursuant to the Collateral Documents) on terms at least as favorable to the Lenders as those contained in the documentation governing the Indebtedness being modified, refinanced, refunded, renewed, extended or replaced, (ii) other than with respect to a Permitted Refinancing in respect of Indebtedness permitted pursuant to </w:t>
      </w:r>
      <w:r>
        <w:rPr>
          <w:rFonts w:ascii="Arial" w:cs="Arial" w:eastAsia="Arial" w:hAnsi="Arial"/>
          <w:sz w:val="19"/>
          <w:szCs w:val="19"/>
          <w:u w:val="single" w:color="auto"/>
          <w:color w:val="auto"/>
        </w:rPr>
        <w:t>Section 7.03(e)</w:t>
      </w:r>
      <w:r>
        <w:rPr>
          <w:rFonts w:ascii="Arial" w:cs="Arial" w:eastAsia="Arial" w:hAnsi="Arial"/>
          <w:sz w:val="19"/>
          <w:szCs w:val="19"/>
          <w:color w:val="auto"/>
        </w:rPr>
        <w:t>, the terms and conditions (including, if applicable, as to collateral but excluding as to subordination, interest rate and redemption premium) of any such modified, refinanced, refunded, renewed, extended or replaced Indebtedness, taken as a whole, are not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64" w:name="page165"/>
    <w:bookmarkEnd w:id="164"/>
    <w:p>
      <w:pPr>
        <w:jc w:val="both"/>
        <w:ind w:left="280"/>
        <w:spacing w:after="0" w:line="272" w:lineRule="auto"/>
        <w:rPr>
          <w:sz w:val="20"/>
          <w:szCs w:val="20"/>
          <w:color w:val="auto"/>
        </w:rPr>
      </w:pPr>
      <w:r>
        <w:rPr>
          <w:rFonts w:ascii="Arial" w:cs="Arial" w:eastAsia="Arial" w:hAnsi="Arial"/>
          <w:sz w:val="18"/>
          <w:szCs w:val="18"/>
          <w:color w:val="auto"/>
        </w:rPr>
        <w:t xml:space="preserve">materially less favorable to the Loan Parties or the Lenders than the terms and conditions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Responsible Officer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Borrowers have determined in good faith that such terms and conditions satisfy the foregoing requirement shall be conclusive evidence that such terms and conditions satisfy the foregoing requirement unless the Administrative Agent notifies the Borrowers within such five (5) Business Day period that it disagrees with such determination (including a reasonable description of the basis upon which it disagrees) and (iii) such modification, refinancing, refunding, renewal, extension or replacement is incurred by the Person who is the obligor of the Indebtedness being modified, refinanced, refunded, renewed, extended or replaced and is guaranteed only by those Persons that are guarantors of the Indebtedness being modified, refinanced, refunded, renewed, extended or replaced.</w:t>
      </w:r>
    </w:p>
    <w:p>
      <w:pPr>
        <w:spacing w:after="0" w:line="17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Permitted Unsecured Refinancing Debt</w:t>
      </w:r>
      <w:r>
        <w:rPr>
          <w:rFonts w:ascii="Arial" w:cs="Arial" w:eastAsia="Arial" w:hAnsi="Arial"/>
          <w:sz w:val="19"/>
          <w:szCs w:val="19"/>
          <w:color w:val="auto"/>
        </w:rPr>
        <w:t xml:space="preserve">” means unsecured Indebtedness incurred by any Borrower in the form of one or more series of senior unsecured notes or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 in the case of any notes, does not mature or have scheduled amortization payments of principal or payments of principal and is not subject to mandatory redemption, repurchase, prepayment or sinking fund obligations (except customary asset sale, event of loss or change of control provisions that provide for the prior repayment in full of the Loans and the other Obligations), in each case prior to the Latest Maturity Date at the time such Indebtedness is incurred and (ii) is not at any time guaranteed by any Person other than a Guarantor.</w:t>
      </w:r>
    </w:p>
    <w:p>
      <w:pPr>
        <w:spacing w:after="0" w:line="173"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means any “employee benefit plan” (as such term is defined in Section 3(3) of ERISA) established or contributed to by any Loan Party or, with respect to any such plan that is subject to Section 412 of the Code or Section 302 or Title IV of ERISA, any ERISA Affiliate.</w:t>
      </w:r>
    </w:p>
    <w:p>
      <w:pPr>
        <w:spacing w:after="0" w:line="191"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Principal L/C Issuer</w:t>
      </w:r>
      <w:r>
        <w:rPr>
          <w:rFonts w:ascii="Arial" w:cs="Arial" w:eastAsia="Arial" w:hAnsi="Arial"/>
          <w:sz w:val="20"/>
          <w:szCs w:val="20"/>
          <w:color w:val="auto"/>
        </w:rPr>
        <w:t>” means Wells Fargo and any L/C Issuer that has issued Letters of Credit having an aggregate Outstanding Amount in excess of $500,000.</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Pro Forma Basis</w:t>
      </w:r>
      <w:r>
        <w:rPr>
          <w:rFonts w:ascii="Arial" w:cs="Arial" w:eastAsia="Arial" w:hAnsi="Arial"/>
          <w:sz w:val="20"/>
          <w:szCs w:val="20"/>
          <w:color w:val="auto"/>
        </w:rPr>
        <w:t>”, “</w:t>
      </w:r>
      <w:r>
        <w:rPr>
          <w:rFonts w:ascii="Arial" w:cs="Arial" w:eastAsia="Arial" w:hAnsi="Arial"/>
          <w:sz w:val="20"/>
          <w:szCs w:val="20"/>
          <w:b w:val="1"/>
          <w:bCs w:val="1"/>
          <w:u w:val="single" w:color="auto"/>
          <w:color w:val="auto"/>
        </w:rPr>
        <w:t>Pro Forma Compliance</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Pro Forma Effect</w:t>
      </w:r>
      <w:r>
        <w:rPr>
          <w:rFonts w:ascii="Arial" w:cs="Arial" w:eastAsia="Arial" w:hAnsi="Arial"/>
          <w:sz w:val="20"/>
          <w:szCs w:val="20"/>
          <w:color w:val="auto"/>
        </w:rPr>
        <w:t xml:space="preserve">”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78" w:lineRule="exact"/>
        <w:rPr>
          <w:sz w:val="20"/>
          <w:szCs w:val="20"/>
          <w:color w:val="auto"/>
        </w:rPr>
      </w:pPr>
    </w:p>
    <w:p>
      <w:pPr>
        <w:jc w:val="both"/>
        <w:ind w:left="28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 Share</w:t>
      </w:r>
      <w:r>
        <w:rPr>
          <w:rFonts w:ascii="Arial" w:cs="Arial" w:eastAsia="Arial" w:hAnsi="Arial"/>
          <w:sz w:val="18"/>
          <w:szCs w:val="18"/>
          <w:color w:val="auto"/>
        </w:rPr>
        <w:t xml:space="preserve">” means, with respect to each Lender at any time, a fraction (expressed as a percentage, carried out to the ninth decimal place), the numerator of which is the amount of the Commitment and, if applicable and without duplication, Term Loans of such Lender under the applicable Facility or Facilities at such time and the denominator of which is the amount of the Aggregate Commitments of all Lenders under the applicable Facility or Facilities at such time and, if applicable and without duplication, Term Loans of all Lenders under the applicable Facility or Facilities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Revolving Credit Facility, if such Commitment has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Projections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6.01(c)</w:t>
      </w:r>
      <w:r>
        <w:rPr>
          <w:rFonts w:ascii="Arial" w:cs="Arial" w:eastAsia="Arial" w:hAnsi="Arial"/>
          <w:sz w:val="20"/>
          <w:szCs w:val="20"/>
          <w:color w:val="auto"/>
        </w:rPr>
        <w: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65" w:name="page166"/>
    <w:bookmarkEnd w:id="165"/>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Qualified Equity Interests</w:t>
      </w:r>
      <w:r>
        <w:rPr>
          <w:rFonts w:ascii="Arial" w:cs="Arial" w:eastAsia="Arial" w:hAnsi="Arial"/>
          <w:sz w:val="20"/>
          <w:szCs w:val="20"/>
          <w:color w:val="auto"/>
        </w:rPr>
        <w:t>” means any Equity Interests that are not Disqualified Equity Interests.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Recipient</w:t>
      </w:r>
      <w:r>
        <w:rPr>
          <w:rFonts w:ascii="Arial" w:cs="Arial" w:eastAsia="Arial" w:hAnsi="Arial"/>
          <w:sz w:val="20"/>
          <w:szCs w:val="20"/>
          <w:color w:val="auto"/>
        </w:rPr>
        <w:t>” means (a) the Administrative Agent, (b) any Lender, (c) any L/C Issuer and (d) the Swing Line Lender.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Refinanced Debt</w:t>
      </w:r>
      <w:r>
        <w:rPr>
          <w:rFonts w:ascii="Arial" w:cs="Arial" w:eastAsia="Arial" w:hAnsi="Arial"/>
          <w:sz w:val="20"/>
          <w:szCs w:val="20"/>
          <w:color w:val="auto"/>
        </w:rPr>
        <w:t>” has the meaning specified in the definition of Credit Agreement Refinancing Indebtedness.</w:t>
      </w:r>
    </w:p>
    <w:p>
      <w:pPr>
        <w:spacing w:after="0" w:line="229"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Refinancing Amendment</w:t>
      </w:r>
      <w:r>
        <w:rPr>
          <w:rFonts w:ascii="Arial" w:cs="Arial" w:eastAsia="Arial" w:hAnsi="Arial"/>
          <w:sz w:val="20"/>
          <w:szCs w:val="20"/>
          <w:color w:val="auto"/>
        </w:rPr>
        <w:t xml:space="preserve">” means an amendment to this Agreement executed by each of (a) the Borrowers, (b) the Administrative Agent, (c) each Additional Refinancing Lender and (d) each Lender that agrees to provide any portion of Other Term Loans, Other Term Loan Commitments, Other Revolving Credit Commitments or Other Revolving Credit Loans incurred pursuant thereto, in accordance with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84"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Refinancing Series</w:t>
      </w:r>
      <w:r>
        <w:rPr>
          <w:rFonts w:ascii="Arial" w:cs="Arial" w:eastAsia="Arial" w:hAnsi="Arial"/>
          <w:sz w:val="20"/>
          <w:szCs w:val="20"/>
          <w:color w:val="auto"/>
        </w:rPr>
        <w:t>” means all Other Term Loans or Other Term Loan Commitments that are established pursuant to the same Refinancing Amendment (or any subsequent Refinancing Amendment to the extent such Refinancing Amendment expressly provides that the Other Term Loans or Other Term Loan Commitments provided for therein are intended to be a part of any previously established Refinancing Series) and that provide for the same All-In Yield and amortization schedule.</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10.07(d)</w:t>
      </w:r>
      <w:r>
        <w:rPr>
          <w:rFonts w:ascii="Arial" w:cs="Arial" w:eastAsia="Arial" w:hAnsi="Arial"/>
          <w:sz w:val="20"/>
          <w:szCs w:val="20"/>
          <w:color w:val="auto"/>
        </w:rPr>
        <w:t>.</w:t>
      </w:r>
    </w:p>
    <w:p>
      <w:pPr>
        <w:spacing w:after="0" w:line="216" w:lineRule="exact"/>
        <w:rPr>
          <w:sz w:val="20"/>
          <w:szCs w:val="20"/>
          <w:color w:val="auto"/>
        </w:rPr>
      </w:pPr>
    </w:p>
    <w:p>
      <w:pPr>
        <w:ind w:left="280" w:right="4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Regulation D</w:t>
      </w:r>
      <w:r>
        <w:rPr>
          <w:rFonts w:ascii="Arial" w:cs="Arial" w:eastAsia="Arial" w:hAnsi="Arial"/>
          <w:sz w:val="20"/>
          <w:szCs w:val="20"/>
          <w:color w:val="auto"/>
        </w:rPr>
        <w:t>” shall mean Regulation D of the FRB as from time to time in effect and any successor to all or a portion thereof establishing reserve requirements.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Replacement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Reportable Event</w:t>
      </w:r>
      <w:r>
        <w:rPr>
          <w:rFonts w:ascii="Arial" w:cs="Arial" w:eastAsia="Arial" w:hAnsi="Arial"/>
          <w:sz w:val="20"/>
          <w:szCs w:val="20"/>
          <w:color w:val="auto"/>
        </w:rPr>
        <w:t>” means any of the events set forth in Section 4043(c) of ERISA or the regulations issued thereunder, other than events for which the thirty (30) day notice period has been waived.</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Request for Credit Extension</w:t>
      </w:r>
      <w:r>
        <w:rPr>
          <w:rFonts w:ascii="Arial" w:cs="Arial" w:eastAsia="Arial" w:hAnsi="Arial"/>
          <w:sz w:val="20"/>
          <w:szCs w:val="20"/>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91" w:lineRule="exact"/>
        <w:rPr>
          <w:sz w:val="20"/>
          <w:szCs w:val="20"/>
          <w:color w:val="auto"/>
        </w:rPr>
      </w:pPr>
    </w:p>
    <w:p>
      <w:pPr>
        <w:jc w:val="both"/>
        <w:ind w:lef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Required Facility Lenders</w:t>
      </w:r>
      <w:r>
        <w:rPr>
          <w:rFonts w:ascii="Arial" w:cs="Arial" w:eastAsia="Arial" w:hAnsi="Arial"/>
          <w:sz w:val="18"/>
          <w:szCs w:val="18"/>
          <w:color w:val="auto"/>
        </w:rPr>
        <w:t xml:space="preserve">” means, as of any date of determination, with respect to one or more Facilities, Lenders having more than 50% of the sum of (a) the Total Outstandings under such Facility or Facilities (with the aggregate amount of each Lender’s risk participation and funded participation in L/C Obligations and Swing Line Loans, as applicable, under such Facility or Facilities being deemed “held” by such Lender for purposes of this definition) and (b) the aggregate unused Commitments under such Facility or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Commitments of, and the portion of the Total Outstandings under such Facility or Facilities held or deemed held by, any Defaulting Lender shall be excluded for purposes of making a determination of the Required Facility Lenders.</w:t>
      </w:r>
    </w:p>
    <w:p>
      <w:pPr>
        <w:spacing w:after="0" w:line="160" w:lineRule="exact"/>
        <w:rPr>
          <w:sz w:val="20"/>
          <w:szCs w:val="20"/>
          <w:color w:val="auto"/>
        </w:rPr>
      </w:pPr>
    </w:p>
    <w:p>
      <w:pPr>
        <w:jc w:val="both"/>
        <w:ind w:left="280"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Required Lenders</w:t>
      </w:r>
      <w:r>
        <w:rPr>
          <w:rFonts w:ascii="Arial" w:cs="Arial" w:eastAsia="Arial" w:hAnsi="Arial"/>
          <w:sz w:val="18"/>
          <w:szCs w:val="18"/>
          <w:color w:val="auto"/>
        </w:rPr>
        <w:t xml:space="preserve">” means, as of any date of determination, Lenders having more than 50% of the sum of the (a) Total Outstandings (with the aggregate amount of each Lender’s risk participation and funded participation in L/C Obligations and Swing Line Loans being deemed “held” by such Lender for purposes of this definition), (b) aggregate unused Term Commitments and (c) aggregate unused Revolving Credit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Commitments of, and the portion of the Total Outstandings held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66" w:name="page167"/>
    <w:bookmarkEnd w:id="166"/>
    <w:p>
      <w:pPr>
        <w:ind w:left="280"/>
        <w:spacing w:after="0"/>
        <w:rPr>
          <w:sz w:val="20"/>
          <w:szCs w:val="20"/>
          <w:color w:val="auto"/>
        </w:rPr>
      </w:pPr>
      <w:r>
        <w:rPr>
          <w:rFonts w:ascii="Arial" w:cs="Arial" w:eastAsia="Arial" w:hAnsi="Arial"/>
          <w:sz w:val="20"/>
          <w:szCs w:val="20"/>
          <w:color w:val="auto"/>
        </w:rPr>
        <w:t>deemed held by, any Defaulting Lender shall be excluded for purposes of making a determination of Required Lenders.</w:t>
      </w:r>
    </w:p>
    <w:p>
      <w:pPr>
        <w:spacing w:after="0" w:line="223" w:lineRule="exact"/>
        <w:rPr>
          <w:sz w:val="20"/>
          <w:szCs w:val="20"/>
          <w:color w:val="auto"/>
        </w:rPr>
      </w:pPr>
    </w:p>
    <w:p>
      <w:pPr>
        <w:jc w:val="both"/>
        <w:ind w:left="280" w:firstLine="648"/>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Responsible Officer</w:t>
      </w:r>
      <w:r>
        <w:rPr>
          <w:rFonts w:ascii="Arial" w:cs="Arial" w:eastAsia="Arial" w:hAnsi="Arial"/>
          <w:sz w:val="19"/>
          <w:szCs w:val="19"/>
          <w:color w:val="auto"/>
        </w:rPr>
        <w:t>” means the chief executive officer, president, vice president, chief financial officer, treasurer or assistant treasurer or other similar officer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5" w:lineRule="exact"/>
        <w:rPr>
          <w:sz w:val="20"/>
          <w:szCs w:val="20"/>
          <w:color w:val="auto"/>
        </w:rPr>
      </w:pPr>
    </w:p>
    <w:p>
      <w:pPr>
        <w:jc w:val="both"/>
        <w:ind w:left="280" w:firstLine="648"/>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Restaurant LP</w:t>
      </w:r>
      <w:r>
        <w:rPr>
          <w:rFonts w:ascii="Arial" w:cs="Arial" w:eastAsia="Arial" w:hAnsi="Arial"/>
          <w:sz w:val="19"/>
          <w:szCs w:val="19"/>
          <w:color w:val="auto"/>
        </w:rPr>
        <w:t xml:space="preserve">” means a Domestic Subsidiary which is organized as a limited partnership (or similar entity) (a) in which either a Borrower or a Wholly Owned Subsidiary is a general partner and (b) which operates a restaurant that it owns or leases. As of the Closing Date and except as set forth on </w:t>
      </w:r>
      <w:r>
        <w:rPr>
          <w:rFonts w:ascii="Arial" w:cs="Arial" w:eastAsia="Arial" w:hAnsi="Arial"/>
          <w:sz w:val="19"/>
          <w:szCs w:val="19"/>
          <w:u w:val="single" w:color="auto"/>
          <w:color w:val="auto"/>
        </w:rPr>
        <w:t>Schedule 1.01E</w:t>
      </w:r>
      <w:r>
        <w:rPr>
          <w:rFonts w:ascii="Arial" w:cs="Arial" w:eastAsia="Arial" w:hAnsi="Arial"/>
          <w:sz w:val="19"/>
          <w:szCs w:val="19"/>
          <w:color w:val="auto"/>
        </w:rPr>
        <w:t>, all of the Restaurant LP’s are Wholly Owned Subsidiaries, and, in the case of the ones that are Domestic Subsidiaries and not Excluded Concept Subsidiaries, are Guarantors.</w:t>
      </w:r>
    </w:p>
    <w:p>
      <w:pPr>
        <w:spacing w:after="0" w:line="179"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 of the Company or any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any Borrower’s stockholders, partners or members (or the equivalent Persons thereof).</w:t>
      </w:r>
    </w:p>
    <w:p>
      <w:pPr>
        <w:spacing w:after="0" w:line="199"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Returns</w:t>
      </w:r>
      <w:r>
        <w:rPr>
          <w:rFonts w:ascii="Arial" w:cs="Arial" w:eastAsia="Arial" w:hAnsi="Arial"/>
          <w:sz w:val="20"/>
          <w:szCs w:val="20"/>
          <w:color w:val="auto"/>
        </w:rPr>
        <w:t xml:space="preserve">” means, with respect to any Investment, any repayments, interest, returns, profits, distributions, proceeds, fees and similar amounts actually received in cash or Cash Equivalents (or actually converted into cash or Cash Equivalents) by the Company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each of </w:t>
      </w:r>
      <w:r>
        <w:rPr>
          <w:rFonts w:ascii="Arial" w:cs="Arial" w:eastAsia="Arial" w:hAnsi="Arial"/>
          <w:sz w:val="20"/>
          <w:szCs w:val="20"/>
          <w:u w:val="single" w:color="auto"/>
          <w:color w:val="auto"/>
        </w:rPr>
        <w:t>Sections 7.02(c)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7.02(i)(B)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7.02(l)</w:t>
      </w:r>
      <w:r>
        <w:rPr>
          <w:rFonts w:ascii="Arial" w:cs="Arial" w:eastAsia="Arial" w:hAnsi="Arial"/>
          <w:sz w:val="20"/>
          <w:szCs w:val="20"/>
          <w:color w:val="auto"/>
        </w:rPr>
        <w:t>, the aggregate amount of repayments, interest, returns, profits, distributions, proceeds, fees and similar amounts constituting Returns shall not exceed the original amount of all Investments made pursuant to each such Section.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Revolver Extension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Revolver Extension Series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Commitment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Borrowing</w:t>
      </w:r>
      <w:r>
        <w:rPr>
          <w:rFonts w:ascii="Arial" w:cs="Arial" w:eastAsia="Arial" w:hAnsi="Arial"/>
          <w:sz w:val="20"/>
          <w:szCs w:val="20"/>
          <w:color w:val="auto"/>
        </w:rPr>
        <w:t xml:space="preserve">” means a borrowing consisting of simultaneous Revolving Credit Loans of the same Type and, in the case of Eurocurrency Rate Loans, having the same Interest Period made by each of the Revolving Credit Lenders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or under any Incremental Amendment, Extension Amendment or Refinancing Amendment.</w:t>
      </w:r>
    </w:p>
    <w:p>
      <w:pPr>
        <w:spacing w:after="0" w:line="272"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Commitment</w:t>
      </w:r>
      <w:r>
        <w:rPr>
          <w:rFonts w:ascii="Arial" w:cs="Arial" w:eastAsia="Arial" w:hAnsi="Arial"/>
          <w:sz w:val="20"/>
          <w:szCs w:val="20"/>
          <w:color w:val="auto"/>
        </w:rPr>
        <w:t xml:space="preserve">” means, as to each Revolving Credit Lender, its obligation to (a) make Revolving Credit Loans to the Borrowers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 xml:space="preserve">,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“Revolving Credit Commitment” or in the Assignment and Assumption Agreement pursuant to which such Lender becomes a party hereto, as applicable, as such amount may be adjusted from time to time in accordance with this Agreement (including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10.07(b)</w:t>
      </w:r>
      <w:r>
        <w:rPr>
          <w:rFonts w:ascii="Arial" w:cs="Arial" w:eastAsia="Arial" w:hAnsi="Arial"/>
          <w:sz w:val="20"/>
          <w:szCs w:val="20"/>
          <w:color w:val="auto"/>
        </w:rPr>
        <w:t>). The aggregate Revolving Credit Commitments of all Revolving Credit Lenders on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67" w:name="page168"/>
    <w:bookmarkEnd w:id="167"/>
    <w:p>
      <w:pPr>
        <w:ind w:left="280"/>
        <w:spacing w:after="0"/>
        <w:rPr>
          <w:sz w:val="20"/>
          <w:szCs w:val="20"/>
          <w:color w:val="auto"/>
        </w:rPr>
      </w:pPr>
      <w:r>
        <w:rPr>
          <w:rFonts w:ascii="Arial" w:cs="Arial" w:eastAsia="Arial" w:hAnsi="Arial"/>
          <w:sz w:val="18"/>
          <w:szCs w:val="18"/>
          <w:color w:val="auto"/>
        </w:rPr>
        <w:t>Closing Date shall be $1,000,000,000, as such amount may be adjusted from time to time in accordance with the terms of this Agreement.</w:t>
      </w:r>
    </w:p>
    <w:p>
      <w:pPr>
        <w:spacing w:after="0" w:line="24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Exposure</w:t>
      </w:r>
      <w:r>
        <w:rPr>
          <w:rFonts w:ascii="Arial" w:cs="Arial" w:eastAsia="Arial" w:hAnsi="Arial"/>
          <w:sz w:val="20"/>
          <w:szCs w:val="20"/>
          <w:color w:val="auto"/>
        </w:rPr>
        <w:t>” means, at any time, as to each Revolving Credit Lender, the sum of the outstanding principal amount of such Revolving Credit Lender’s Revolving Credit Loans at such time and its Pro Rata Share of the L/C Obligations and the Swing Line Obligations at such time.</w:t>
      </w:r>
    </w:p>
    <w:p>
      <w:pPr>
        <w:spacing w:after="0" w:line="191"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Facility</w:t>
      </w:r>
      <w:r>
        <w:rPr>
          <w:rFonts w:ascii="Arial" w:cs="Arial" w:eastAsia="Arial" w:hAnsi="Arial"/>
          <w:sz w:val="20"/>
          <w:szCs w:val="20"/>
          <w:color w:val="auto"/>
        </w:rPr>
        <w:t>” means, at any time, the aggregate amount of the Revolving Credit Lenders’ Revolving Credit Commitments at such time.</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Lender</w:t>
      </w:r>
      <w:r>
        <w:rPr>
          <w:rFonts w:ascii="Arial" w:cs="Arial" w:eastAsia="Arial" w:hAnsi="Arial"/>
          <w:sz w:val="20"/>
          <w:szCs w:val="20"/>
          <w:color w:val="auto"/>
        </w:rPr>
        <w:t>” means, at any time, any Lender that has a Revolving Credit Commitment at such time or, if the Revolving Credit Commitments have been terminated, which has outstanding Revolving Credit Loans or other Revolving Credit Exposure at such time.</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Revolving Credit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Revolving Credit Note</w:t>
      </w:r>
      <w:r>
        <w:rPr>
          <w:rFonts w:ascii="Arial" w:cs="Arial" w:eastAsia="Arial" w:hAnsi="Arial"/>
          <w:sz w:val="19"/>
          <w:szCs w:val="19"/>
          <w:color w:val="auto"/>
        </w:rPr>
        <w:t xml:space="preserve">” means, as the context requires, a promissory note of each Borrower payable to any Revolving Credit Lender or its registered assigns, in substantially the form of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evidencing the aggregate Indebtedness of the Borrowers to such Revolving Credit Lender resulting from the Revolving Credit Loans made by such Revolving Credit Lender.</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S&amp;P</w:t>
      </w:r>
      <w:r>
        <w:rPr>
          <w:rFonts w:ascii="Arial" w:cs="Arial" w:eastAsia="Arial" w:hAnsi="Arial"/>
          <w:sz w:val="20"/>
          <w:szCs w:val="20"/>
          <w:color w:val="auto"/>
        </w:rPr>
        <w:t>” means Standard &amp; Poor’s Financial Services LLC, a part of McGraw-Hill Financial, and any successor thereto.</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Same Day Funds</w:t>
      </w:r>
      <w:r>
        <w:rPr>
          <w:rFonts w:ascii="Arial" w:cs="Arial" w:eastAsia="Arial" w:hAnsi="Arial"/>
          <w:sz w:val="20"/>
          <w:szCs w:val="20"/>
          <w:color w:val="auto"/>
        </w:rPr>
        <w:t>” means, with respect to disbursements and payments, immediately available funds in Dollars.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Sanctioned Country</w:t>
      </w:r>
      <w:r>
        <w:rPr>
          <w:rFonts w:ascii="Arial" w:cs="Arial" w:eastAsia="Arial" w:hAnsi="Arial"/>
          <w:sz w:val="20"/>
          <w:szCs w:val="20"/>
          <w:color w:val="auto"/>
        </w:rPr>
        <w:t>” means, at any time, a country or territory which is the subject or target of any Sanctions.</w:t>
      </w:r>
    </w:p>
    <w:p>
      <w:pPr>
        <w:spacing w:after="0" w:line="229" w:lineRule="exact"/>
        <w:rPr>
          <w:sz w:val="20"/>
          <w:szCs w:val="20"/>
          <w:color w:val="auto"/>
        </w:rPr>
      </w:pPr>
    </w:p>
    <w:p>
      <w:pPr>
        <w:jc w:val="both"/>
        <w:ind w:left="28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the Office of Foreign Assets Control of the U.S. Department of the Treasury, the U.S. Department of State, the European Union or Her Majesty’s Treasury of the United Kingdom and (b) any other Person resident, located or organized in a Sanctioned Country or owned or controlled (as determined by applicable law) by any Person that is a Sanctioned Person.</w:t>
      </w:r>
    </w:p>
    <w:p>
      <w:pPr>
        <w:spacing w:after="0" w:line="197"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Sanctions</w:t>
      </w:r>
      <w:r>
        <w:rPr>
          <w:rFonts w:ascii="Arial" w:cs="Arial" w:eastAsia="Arial" w:hAnsi="Arial"/>
          <w:sz w:val="19"/>
          <w:szCs w:val="19"/>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73"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Secured Hedge Agreement</w:t>
      </w:r>
      <w:r>
        <w:rPr>
          <w:rFonts w:ascii="Arial" w:cs="Arial" w:eastAsia="Arial" w:hAnsi="Arial"/>
          <w:sz w:val="20"/>
          <w:szCs w:val="20"/>
          <w:color w:val="auto"/>
        </w:rPr>
        <w:t xml:space="preserve">” means any Swap Contract permitted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entered into by and between any Loan Party or any Subsidiary and any Hedge Bank.</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Secured Obligations</w:t>
      </w:r>
      <w:r>
        <w:rPr>
          <w:rFonts w:ascii="Arial" w:cs="Arial" w:eastAsia="Arial" w:hAnsi="Arial"/>
          <w:sz w:val="20"/>
          <w:szCs w:val="20"/>
          <w:color w:val="auto"/>
        </w:rPr>
        <w:t>” has the meaning specified in the Security Agreement.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68" w:name="page169"/>
    <w:bookmarkEnd w:id="168"/>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Secured Parties</w:t>
      </w:r>
      <w:r>
        <w:rPr>
          <w:rFonts w:ascii="Arial" w:cs="Arial" w:eastAsia="Arial" w:hAnsi="Arial"/>
          <w:sz w:val="20"/>
          <w:szCs w:val="20"/>
          <w:color w:val="auto"/>
        </w:rPr>
        <w:t xml:space="preserve">” means, collectively, the Administrative Agent, the Collateral Agent, the Lenders, the Hedge Banks, the Cash Management Banks, the Supplemental Administrative Agent and each co-agent or sub-agent appointed by the Administrative Agent from time to time pursuant to </w:t>
      </w:r>
      <w:r>
        <w:rPr>
          <w:rFonts w:ascii="Arial" w:cs="Arial" w:eastAsia="Arial" w:hAnsi="Arial"/>
          <w:sz w:val="20"/>
          <w:szCs w:val="20"/>
          <w:u w:val="single" w:color="auto"/>
          <w:color w:val="auto"/>
        </w:rPr>
        <w:t>Section 9.01(c)</w:t>
      </w:r>
      <w:r>
        <w:rPr>
          <w:rFonts w:ascii="Arial" w:cs="Arial" w:eastAsia="Arial" w:hAnsi="Arial"/>
          <w:sz w:val="20"/>
          <w:szCs w:val="20"/>
          <w:color w:val="auto"/>
        </w:rPr>
        <w: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Securities Act</w:t>
      </w:r>
      <w:r>
        <w:rPr>
          <w:rFonts w:ascii="Arial" w:cs="Arial" w:eastAsia="Arial" w:hAnsi="Arial"/>
          <w:sz w:val="20"/>
          <w:szCs w:val="20"/>
          <w:color w:val="auto"/>
        </w:rPr>
        <w:t>” means the Securities Act of 1933, as amended.</w:t>
      </w:r>
    </w:p>
    <w:p>
      <w:pPr>
        <w:spacing w:after="0" w:line="21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Security Agreement</w:t>
      </w:r>
      <w:r>
        <w:rPr>
          <w:rFonts w:ascii="Arial" w:cs="Arial" w:eastAsia="Arial" w:hAnsi="Arial"/>
          <w:sz w:val="20"/>
          <w:szCs w:val="20"/>
          <w:color w:val="auto"/>
        </w:rPr>
        <w:t xml:space="preserve">” means, collectively, the Amended and Restated Security Agreement executed by the Loan Parties,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(as the same may be amended, restated, supplemented or otherwise modified from time to time), together with each other security agreement supplement executed and delivered pursuant to </w:t>
      </w:r>
      <w:r>
        <w:rPr>
          <w:rFonts w:ascii="Arial" w:cs="Arial" w:eastAsia="Arial" w:hAnsi="Arial"/>
          <w:sz w:val="20"/>
          <w:szCs w:val="20"/>
          <w:u w:val="single" w:color="auto"/>
          <w:color w:val="auto"/>
        </w:rPr>
        <w:t>Section 6.11</w:t>
      </w:r>
      <w:r>
        <w:rPr>
          <w:rFonts w:ascii="Arial" w:cs="Arial" w:eastAsia="Arial" w:hAnsi="Arial"/>
          <w:sz w:val="20"/>
          <w:szCs w:val="20"/>
          <w:color w:val="auto"/>
        </w:rPr>
        <w: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Security Agreement Supplement</w:t>
      </w:r>
      <w:r>
        <w:rPr>
          <w:rFonts w:ascii="Arial" w:cs="Arial" w:eastAsia="Arial" w:hAnsi="Arial"/>
          <w:sz w:val="20"/>
          <w:szCs w:val="20"/>
          <w:color w:val="auto"/>
        </w:rPr>
        <w:t>” has the meaning specified in the Security Agreement.</w:t>
      </w:r>
    </w:p>
    <w:p>
      <w:pPr>
        <w:spacing w:after="0" w:line="216"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Senior Representative</w:t>
      </w:r>
      <w:r>
        <w:rPr>
          <w:rFonts w:ascii="Arial" w:cs="Arial" w:eastAsia="Arial" w:hAnsi="Arial"/>
          <w:sz w:val="19"/>
          <w:szCs w:val="19"/>
          <w:color w:val="auto"/>
        </w:rPr>
        <w:t>” means, with respect to any series of Permitted Pari Passu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59"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Solvent</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10.07(h)</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Specified Default</w:t>
      </w:r>
      <w:r>
        <w:rPr>
          <w:rFonts w:ascii="Arial" w:cs="Arial" w:eastAsia="Arial" w:hAnsi="Arial"/>
          <w:sz w:val="20"/>
          <w:szCs w:val="20"/>
          <w:color w:val="auto"/>
        </w:rPr>
        <w:t xml:space="preserve">” means any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Specified Proceeds</w:t>
      </w:r>
      <w:r>
        <w:rPr>
          <w:rFonts w:ascii="Arial" w:cs="Arial" w:eastAsia="Arial" w:hAnsi="Arial"/>
          <w:sz w:val="20"/>
          <w:szCs w:val="20"/>
          <w:color w:val="auto"/>
        </w:rPr>
        <w:t>” means contributions made to the common equity of the Company in cash.</w:t>
      </w:r>
    </w:p>
    <w:p>
      <w:pPr>
        <w:spacing w:after="0" w:line="216"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Specified Transaction</w:t>
      </w:r>
      <w:r>
        <w:rPr>
          <w:rFonts w:ascii="Arial" w:cs="Arial" w:eastAsia="Arial" w:hAnsi="Arial"/>
          <w:sz w:val="20"/>
          <w:szCs w:val="20"/>
          <w:color w:val="auto"/>
        </w:rPr>
        <w:t>” means (i) any Permitted Acquisition, (ii) any Disposition that results in a Subsidiary ceasing to be a Subsidiary of any Borrower, (iii) any Investment constituting an acquisition of assets constituting a business unit, line of business or division of, or all or substantially all of the Equity Interests of, another Person, (iv) any Disposition of a business unit, line of business or division of a Borrower or a Subsidiary, in each case whether by merger, consolidation, amalgamation or otherwise or any incurrence or repayment of Indebtedness (other than Indebtedness incurred or repaid under any revolving credit facility or line of credit, unless such Indebtedness (x) has been permanently repaid and has not been replaced or (y) the proceeds therefrom are used for other than working capital purposes or general corporate purposes in the ordinary course of business), Restricted Payment, Revolving Commitment Increase or Incremental Term Loan that by the terms of this Agreement requires such test to be calculated on a “Pro Forma Basis” or after giving “Pro Forma Effect.”</w:t>
      </w:r>
    </w:p>
    <w:p>
      <w:pPr>
        <w:spacing w:after="0" w:line="200"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69" w:name="page170"/>
    <w:bookmarkEnd w:id="169"/>
    <w:p>
      <w:pPr>
        <w:jc w:val="both"/>
        <w:ind w:left="280"/>
        <w:spacing w:after="0" w:line="263" w:lineRule="auto"/>
        <w:rPr>
          <w:sz w:val="20"/>
          <w:szCs w:val="20"/>
          <w:color w:val="auto"/>
        </w:rPr>
      </w:pPr>
      <w:r>
        <w:rPr>
          <w:rFonts w:ascii="Arial" w:cs="Arial" w:eastAsia="Arial" w:hAnsi="Arial"/>
          <w:sz w:val="19"/>
          <w:szCs w:val="19"/>
          <w:color w:val="auto"/>
        </w:rPr>
        <w:t>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4" w:lineRule="exact"/>
        <w:rPr>
          <w:sz w:val="20"/>
          <w:szCs w:val="20"/>
          <w:color w:val="auto"/>
        </w:rPr>
      </w:pPr>
    </w:p>
    <w:p>
      <w:pPr>
        <w:ind w:left="280" w:right="46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Subsidiary Guarantor</w:t>
      </w:r>
      <w:r>
        <w:rPr>
          <w:rFonts w:ascii="Arial" w:cs="Arial" w:eastAsia="Arial" w:hAnsi="Arial"/>
          <w:sz w:val="20"/>
          <w:szCs w:val="20"/>
          <w:color w:val="auto"/>
        </w:rPr>
        <w:t>” means, collectively, the Subsidiaries of each Borrower that are required to guarantee the Obligations pursuant to the Collateral and Guarantee Requirement.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Successor Company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7.04(d)</w:t>
      </w:r>
      <w:r>
        <w:rPr>
          <w:rFonts w:ascii="Arial" w:cs="Arial" w:eastAsia="Arial" w:hAnsi="Arial"/>
          <w:sz w:val="20"/>
          <w:szCs w:val="20"/>
          <w:color w:val="auto"/>
        </w:rPr>
        <w:t>.</w:t>
      </w:r>
    </w:p>
    <w:p>
      <w:pPr>
        <w:spacing w:after="0" w:line="216" w:lineRule="exact"/>
        <w:rPr>
          <w:sz w:val="20"/>
          <w:szCs w:val="20"/>
          <w:color w:val="auto"/>
        </w:rPr>
      </w:pPr>
    </w:p>
    <w:p>
      <w:pPr>
        <w:jc w:val="both"/>
        <w:ind w:left="280"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Supplemental Administrative Agent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and “Supplemental Administrative Agents” shall have the corresponding meaning.</w:t>
      </w:r>
    </w:p>
    <w:p>
      <w:pPr>
        <w:spacing w:after="0" w:line="164" w:lineRule="exact"/>
        <w:rPr>
          <w:sz w:val="20"/>
          <w:szCs w:val="20"/>
          <w:color w:val="auto"/>
        </w:rPr>
      </w:pPr>
    </w:p>
    <w:p>
      <w:pPr>
        <w:jc w:val="both"/>
        <w:ind w:left="280"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(a)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80"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64" w:lineRule="exact"/>
        <w:rPr>
          <w:sz w:val="20"/>
          <w:szCs w:val="20"/>
          <w:color w:val="auto"/>
        </w:rPr>
      </w:pPr>
    </w:p>
    <w:p>
      <w:pPr>
        <w:jc w:val="both"/>
        <w:ind w:left="28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Swap Termination Value</w:t>
      </w:r>
      <w:r>
        <w:rPr>
          <w:rFonts w:ascii="Arial" w:cs="Arial" w:eastAsia="Arial" w:hAnsi="Arial"/>
          <w:sz w:val="20"/>
          <w:szCs w:val="20"/>
          <w:color w:val="auto"/>
        </w:rPr>
        <w:t>” means, in respect of any one or more Swap Contracts, after taking into account the effect of any legally enforceable netting agreement relating to such Swap Contracts, (a) for any date on or after the date such Swap Contract has been closed out and termination value(s) determined in accordance therewith, such termination value(s), and (b) for any date prior to the date referenced in clause (a), the amount(s) determined as the mark-to-market value(s) for such Swap Contract, as determined based upon one or more mid-market or other readily available quotations provided by any recognized dealer in such Swap Contracts (which may include a Lender or any Affiliate of a Lender).</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Swing Line Facility</w:t>
      </w:r>
      <w:r>
        <w:rPr>
          <w:rFonts w:ascii="Arial" w:cs="Arial" w:eastAsia="Arial" w:hAnsi="Arial"/>
          <w:sz w:val="19"/>
          <w:szCs w:val="19"/>
          <w:color w:val="auto"/>
        </w:rPr>
        <w:t xml:space="preserve">” means the revolving credit facility made available by the Swing Line Lender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w:t>
      </w:r>
    </w:p>
    <w:p>
      <w:pPr>
        <w:spacing w:after="0" w:line="227" w:lineRule="exact"/>
        <w:rPr>
          <w:sz w:val="20"/>
          <w:szCs w:val="20"/>
          <w:color w:val="auto"/>
        </w:rPr>
      </w:pPr>
    </w:p>
    <w:p>
      <w:pPr>
        <w:ind w:left="280" w:right="4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Lender</w:t>
      </w:r>
      <w:r>
        <w:rPr>
          <w:rFonts w:ascii="Arial" w:cs="Arial" w:eastAsia="Arial" w:hAnsi="Arial"/>
          <w:sz w:val="20"/>
          <w:szCs w:val="20"/>
          <w:color w:val="auto"/>
        </w:rPr>
        <w:t>” means Wells Fargo, in its capacity as provider of Swing Line Loans, or any successor swing line lender hereunder.</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70" w:name="page171"/>
    <w:bookmarkEnd w:id="170"/>
    <w:p>
      <w:pPr>
        <w:ind w:left="280" w:right="3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64"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Note</w:t>
      </w:r>
      <w:r>
        <w:rPr>
          <w:rFonts w:ascii="Arial" w:cs="Arial" w:eastAsia="Arial" w:hAnsi="Arial"/>
          <w:sz w:val="20"/>
          <w:szCs w:val="20"/>
          <w:color w:val="auto"/>
        </w:rPr>
        <w:t xml:space="preserve">” means a promissory note of each Borrower payable to any Swing Line Lender or its registered assigns, in substantially the form of </w:t>
      </w:r>
      <w:r>
        <w:rPr>
          <w:rFonts w:ascii="Arial" w:cs="Arial" w:eastAsia="Arial" w:hAnsi="Arial"/>
          <w:sz w:val="20"/>
          <w:szCs w:val="20"/>
          <w:u w:val="single" w:color="auto"/>
          <w:color w:val="auto"/>
        </w:rPr>
        <w:t>Exhibit C-3</w:t>
      </w:r>
      <w:r>
        <w:rPr>
          <w:rFonts w:ascii="Arial" w:cs="Arial" w:eastAsia="Arial" w:hAnsi="Arial"/>
          <w:sz w:val="20"/>
          <w:szCs w:val="20"/>
          <w:color w:val="auto"/>
        </w:rPr>
        <w:t>, evidencing the aggregate Indebtedness of the Borrowers to such Swing Line Lender resulting from the Swing Line Loans made by such Swing Line Lender.</w:t>
      </w:r>
    </w:p>
    <w:p>
      <w:pPr>
        <w:spacing w:after="0" w:line="191"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Obligations</w:t>
      </w:r>
      <w:r>
        <w:rPr>
          <w:rFonts w:ascii="Arial" w:cs="Arial" w:eastAsia="Arial" w:hAnsi="Arial"/>
          <w:sz w:val="20"/>
          <w:szCs w:val="20"/>
          <w:color w:val="auto"/>
        </w:rPr>
        <w:t>” means, as at any date of determination, the aggregate principal amount of all Swing Line Loans outstanding.</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Swing Line Sublimit</w:t>
      </w:r>
      <w:r>
        <w:rPr>
          <w:rFonts w:ascii="Arial" w:cs="Arial" w:eastAsia="Arial" w:hAnsi="Arial"/>
          <w:sz w:val="20"/>
          <w:szCs w:val="20"/>
          <w:color w:val="auto"/>
        </w:rPr>
        <w:t>” means an amount equal to the lesser of (a) $50,000,000 and (b) the aggregate amount of the Revolving Credit Commitments. The Swing Line Sublimit is part of, and not in addition to, the Revolving Credit Commitments.</w:t>
      </w:r>
    </w:p>
    <w:p>
      <w:pPr>
        <w:spacing w:after="0" w:line="177"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8"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Borrowing</w:t>
      </w:r>
      <w:r>
        <w:rPr>
          <w:rFonts w:ascii="Arial" w:cs="Arial" w:eastAsia="Arial" w:hAnsi="Arial"/>
          <w:sz w:val="20"/>
          <w:szCs w:val="20"/>
          <w:color w:val="auto"/>
        </w:rPr>
        <w:t xml:space="preserve">” means a borrowing consisting of simultaneous Term Loans of the same Type and, in the case of Eurocurrency Rate Loans, having the same Interest Period made by each of the Term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or under any Incremental Amendment, Extension Amendment or Refinancing Amendment.</w:t>
      </w:r>
    </w:p>
    <w:p>
      <w:pPr>
        <w:spacing w:after="0" w:line="191"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 Commitments</w:t>
      </w:r>
      <w:r>
        <w:rPr>
          <w:rFonts w:ascii="Arial" w:cs="Arial" w:eastAsia="Arial" w:hAnsi="Arial"/>
          <w:sz w:val="18"/>
          <w:szCs w:val="18"/>
          <w:color w:val="auto"/>
        </w:rPr>
        <w:t xml:space="preserve">” means, as to each Term Lender, its obligation to make the Initial Term Loan to the Borrowers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an aggregate amount not to exceed the amount specified opposite such Lender’s name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hereto under the caption “Term Commitment” or in the Assignment and Assumption Agreement pursuant to which such Term Lender becomes a party hereto, as applicable, as such commitment may be (a) reduced from time to time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(b) reduced or increased from time to time pursuant to (i) assignments by or to such Term Lender pursuant to an Assignment and Assumption Agreement, (ii) an Incremental Amendment, (iii) a Refinancing Amendment or (iv) an Extension. The initial amount of each Term Lender’s Commitment is specified in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hereto under the caption “Term Commitment” or, otherwise, in the Assignment and Assumption Agreement, Incremental Amendment, Refinancing Amendment or Extension Amendment, pursuant to which such Lender shall have assumed its Loans or Commitment, as the case may be. The initial aggregate amount of the Term Commitments is $500,000,000.</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Facility</w:t>
      </w:r>
      <w:r>
        <w:rPr>
          <w:rFonts w:ascii="Arial" w:cs="Arial" w:eastAsia="Arial" w:hAnsi="Arial"/>
          <w:sz w:val="20"/>
          <w:szCs w:val="20"/>
          <w:color w:val="auto"/>
        </w:rPr>
        <w:t>” means any Facility consisting of Term Loans and/or Term Commitments.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 Lender</w:t>
      </w:r>
      <w:r>
        <w:rPr>
          <w:rFonts w:ascii="Arial" w:cs="Arial" w:eastAsia="Arial" w:hAnsi="Arial"/>
          <w:sz w:val="19"/>
          <w:szCs w:val="19"/>
          <w:color w:val="auto"/>
        </w:rPr>
        <w:t>” means, at any time, any Lender that has a Term Commitment or an outstanding Term Loan at such time.</w:t>
      </w:r>
    </w:p>
    <w:p>
      <w:pPr>
        <w:spacing w:after="0" w:line="241" w:lineRule="exact"/>
        <w:rPr>
          <w:sz w:val="20"/>
          <w:szCs w:val="20"/>
          <w:color w:val="auto"/>
        </w:rPr>
      </w:pPr>
    </w:p>
    <w:p>
      <w:pPr>
        <w:ind w:left="280" w:right="2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Loan</w:t>
      </w:r>
      <w:r>
        <w:rPr>
          <w:rFonts w:ascii="Arial" w:cs="Arial" w:eastAsia="Arial" w:hAnsi="Arial"/>
          <w:sz w:val="20"/>
          <w:szCs w:val="20"/>
          <w:color w:val="auto"/>
        </w:rPr>
        <w:t>” means the Initial Term Loan, or any Incremental Term Loan, any Extended Term Loan or any Other Term Loan, as the context may require.</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Loan Extension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Loan Extension Series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Loan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27" w:right="239" w:bottom="1440" w:gutter="0" w:footer="0" w:header="0"/>
        </w:sectPr>
      </w:pPr>
    </w:p>
    <w:bookmarkStart w:id="171" w:name="page172"/>
    <w:bookmarkEnd w:id="171"/>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 Note</w:t>
      </w:r>
      <w:r>
        <w:rPr>
          <w:rFonts w:ascii="Arial" w:cs="Arial" w:eastAsia="Arial" w:hAnsi="Arial"/>
          <w:sz w:val="18"/>
          <w:szCs w:val="18"/>
          <w:color w:val="auto"/>
        </w:rPr>
        <w:t xml:space="preserve">” means, as the context requires (including with respect to any Incremental Term Loan of the same Class), a promissory note of each Borrower payable to any Term Lender or its registered assigns, in substantially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evidencing the aggregate Indebtedness of the Borrowers to such Term Lender resulting from the Term Loans made by such Term Lender.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Test Period</w:t>
      </w:r>
      <w:r>
        <w:rPr>
          <w:rFonts w:ascii="Arial" w:cs="Arial" w:eastAsia="Arial" w:hAnsi="Arial"/>
          <w:sz w:val="18"/>
          <w:szCs w:val="18"/>
          <w:color w:val="auto"/>
        </w:rPr>
        <w:t>” means, for any determination under this Agreement, the four consecutive fiscal quarters of the Company then last</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ended.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Threshold Amount</w:t>
      </w:r>
      <w:r>
        <w:rPr>
          <w:rFonts w:ascii="Arial" w:cs="Arial" w:eastAsia="Arial" w:hAnsi="Arial"/>
          <w:sz w:val="20"/>
          <w:szCs w:val="20"/>
          <w:color w:val="auto"/>
        </w:rPr>
        <w:t>” means $50,000,000.</w:t>
      </w:r>
    </w:p>
    <w:p>
      <w:pPr>
        <w:spacing w:after="0" w:line="216"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Total Assets</w:t>
      </w:r>
      <w:r>
        <w:rPr>
          <w:rFonts w:ascii="Arial" w:cs="Arial" w:eastAsia="Arial" w:hAnsi="Arial"/>
          <w:sz w:val="20"/>
          <w:szCs w:val="20"/>
          <w:color w:val="auto"/>
        </w:rPr>
        <w:t xml:space="preserve">” means, as of any date of determination, the total assets of the Company and its Subsidiaries on a consolidated basis in accordance with GAAP, as shown on the most recent balance sheet of the Company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(b) (and, in the case of any determination relating to any incurrence of Indebtedness or any Investment or other acquisition, on a Pro Forma Basis including any property or assets being acquired in connection therewith); it being understood that, for purposes of determining compliance of a transaction with any restriction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is based upon a specified percentage of Total Assets, compliance of such transaction with the applicable restriction shall be determined solely with reference to Total Assets as determined above in this definition as of the date of such transaction.</w:t>
      </w:r>
    </w:p>
    <w:p>
      <w:pPr>
        <w:spacing w:after="0" w:line="18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Total Net Leverage Ratio</w:t>
      </w:r>
      <w:r>
        <w:rPr>
          <w:rFonts w:ascii="Arial" w:cs="Arial" w:eastAsia="Arial" w:hAnsi="Arial"/>
          <w:sz w:val="20"/>
          <w:szCs w:val="20"/>
          <w:color w:val="auto"/>
        </w:rPr>
        <w:t>” means, with respect to any Test Period, the ratio of (a) Consolidated Total Debt as of the last day of such Test Period to (b) Consolidated EBITDA for such Test Period.</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Total Outstandings</w:t>
      </w:r>
      <w:r>
        <w:rPr>
          <w:rFonts w:ascii="Arial" w:cs="Arial" w:eastAsia="Arial" w:hAnsi="Arial"/>
          <w:sz w:val="18"/>
          <w:szCs w:val="18"/>
          <w:color w:val="auto"/>
        </w:rPr>
        <w:t>” means, at any time, the aggregate Outstanding Amount of all Loans and all L/C Obligations at such time.</w:t>
      </w:r>
    </w:p>
    <w:p>
      <w:pPr>
        <w:spacing w:after="0" w:line="239"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Transaction</w:t>
      </w:r>
      <w:r>
        <w:rPr>
          <w:rFonts w:ascii="Arial" w:cs="Arial" w:eastAsia="Arial" w:hAnsi="Arial"/>
          <w:sz w:val="19"/>
          <w:szCs w:val="19"/>
          <w:color w:val="auto"/>
        </w:rPr>
        <w:t>” means the borrowings hereunder on the Closing Date, the refinancing of the Existing Credit Agreement, the consummation of any other transactions in connection with the foregoing, and the payment of the fees and expenses incurred in connection with any of the foregoing, each as in effect on the Closing Date, and the application of proceeds therefrom.</w:t>
      </w:r>
    </w:p>
    <w:p>
      <w:pPr>
        <w:spacing w:after="0" w:line="159" w:lineRule="exact"/>
        <w:rPr>
          <w:sz w:val="20"/>
          <w:szCs w:val="20"/>
          <w:color w:val="auto"/>
        </w:rPr>
      </w:pPr>
    </w:p>
    <w:p>
      <w:pPr>
        <w:jc w:val="both"/>
        <w:ind w:left="280"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Transaction Expenses</w:t>
      </w:r>
      <w:r>
        <w:rPr>
          <w:rFonts w:ascii="Arial" w:cs="Arial" w:eastAsia="Arial" w:hAnsi="Arial"/>
          <w:sz w:val="19"/>
          <w:szCs w:val="19"/>
          <w:color w:val="auto"/>
        </w:rPr>
        <w:t>” means any fees or expenses incurred or paid by any Borrower or any Subsidiary in connection with the Transaction, this Agreement and the other Loan Documents and the transactions contemplated hereby and thereby.</w:t>
      </w:r>
    </w:p>
    <w:p>
      <w:pPr>
        <w:spacing w:after="0" w:line="142" w:lineRule="exact"/>
        <w:rPr>
          <w:sz w:val="20"/>
          <w:szCs w:val="20"/>
          <w:color w:val="auto"/>
        </w:rPr>
      </w:pPr>
    </w:p>
    <w:p>
      <w:pPr>
        <w:ind w:left="900"/>
        <w:spacing w:after="0"/>
        <w:tabs>
          <w:tab w:leader="none" w:pos="874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Type</w:t>
      </w:r>
      <w:r>
        <w:rPr>
          <w:rFonts w:ascii="Arial" w:cs="Arial" w:eastAsia="Arial" w:hAnsi="Arial"/>
          <w:sz w:val="19"/>
          <w:szCs w:val="19"/>
          <w:color w:val="auto"/>
        </w:rPr>
        <w:t>” means, with respect to a Loan, its character as a Base Rate Loan or a Eurocurrency Rate</w:t>
      </w:r>
      <w:r>
        <w:rPr>
          <w:sz w:val="20"/>
          <w:szCs w:val="20"/>
          <w:color w:val="auto"/>
        </w:rPr>
        <w:tab/>
      </w:r>
      <w:r>
        <w:rPr>
          <w:rFonts w:ascii="Arial" w:cs="Arial" w:eastAsia="Arial" w:hAnsi="Arial"/>
          <w:sz w:val="18"/>
          <w:szCs w:val="18"/>
          <w:color w:val="auto"/>
        </w:rPr>
        <w:t>Loan.</w:t>
      </w:r>
    </w:p>
    <w:p>
      <w:pPr>
        <w:spacing w:after="0" w:line="227" w:lineRule="exact"/>
        <w:rPr>
          <w:sz w:val="20"/>
          <w:szCs w:val="20"/>
          <w:color w:val="auto"/>
        </w:rPr>
      </w:pPr>
    </w:p>
    <w:p>
      <w:pPr>
        <w:jc w:val="both"/>
        <w:ind w:left="28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Unaudited Financial Statements</w:t>
      </w:r>
      <w:r>
        <w:rPr>
          <w:rFonts w:ascii="Arial" w:cs="Arial" w:eastAsia="Arial" w:hAnsi="Arial"/>
          <w:sz w:val="18"/>
          <w:szCs w:val="18"/>
          <w:color w:val="auto"/>
        </w:rPr>
        <w:t>” means the unaudited consolidated balance sheets and related statements of income, stockholders’ equity and cash flows of the Company and its Subsidiaries, as may have been restated prior to the Closing Date, for each fiscal quarter ended after December 31, 2013 and at least forty five (45) days before the Closing Date, prepared in accordance with GAAP.</w:t>
      </w:r>
    </w:p>
    <w:p>
      <w:pPr>
        <w:spacing w:after="0" w:line="158"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Uniform Commercial Code</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UCC</w:t>
      </w:r>
      <w:r>
        <w:rPr>
          <w:rFonts w:ascii="Arial" w:cs="Arial" w:eastAsia="Arial" w:hAnsi="Arial"/>
          <w:sz w:val="20"/>
          <w:szCs w:val="20"/>
          <w:color w:val="auto"/>
        </w:rPr>
        <w:t>” mean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United States</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U.S.</w:t>
      </w:r>
      <w:r>
        <w:rPr>
          <w:rFonts w:ascii="Arial" w:cs="Arial" w:eastAsia="Arial" w:hAnsi="Arial"/>
          <w:sz w:val="20"/>
          <w:szCs w:val="20"/>
          <w:color w:val="auto"/>
        </w:rPr>
        <w:t>” mean the United States of America.</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38" w:right="239" w:bottom="1440" w:gutter="0" w:footer="0" w:header="0"/>
        </w:sectPr>
      </w:pPr>
    </w:p>
    <w:bookmarkStart w:id="172" w:name="page173"/>
    <w:bookmarkEnd w:id="172"/>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37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3.01(g)</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Wells Fargo</w:t>
      </w:r>
      <w:r>
        <w:rPr>
          <w:rFonts w:ascii="Arial" w:cs="Arial" w:eastAsia="Arial" w:hAnsi="Arial"/>
          <w:sz w:val="18"/>
          <w:szCs w:val="18"/>
          <w:color w:val="auto"/>
        </w:rPr>
        <w:t>” means Wells Fargo Bank, National Association and any successor thereto by merger, consolidation or otherwise.</w:t>
      </w:r>
    </w:p>
    <w:p>
      <w:pPr>
        <w:spacing w:after="0" w:line="252"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Wholly Owned</w:t>
      </w:r>
      <w:r>
        <w:rPr>
          <w:rFonts w:ascii="Arial" w:cs="Arial" w:eastAsia="Arial" w:hAnsi="Arial"/>
          <w:sz w:val="20"/>
          <w:szCs w:val="20"/>
          <w:color w:val="auto"/>
        </w:rPr>
        <w:t>” means, with respect to a Subsidiary of a Person, a Subsidiary of such Person all of the outstanding Equity Interests of which (other than (a) director’s qualifying shares and (b) shares issued to foreign nationals to the extent required by applicable Law) are owned by such Person and/or by one or more wholly owned Subsidiaries of such Person.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Withholding Agent</w:t>
      </w:r>
      <w:r>
        <w:rPr>
          <w:rFonts w:ascii="Arial" w:cs="Arial" w:eastAsia="Arial" w:hAnsi="Arial"/>
          <w:sz w:val="20"/>
          <w:szCs w:val="20"/>
          <w:color w:val="auto"/>
        </w:rPr>
        <w:t>” means each Borrower and the Administrative Agent.</w:t>
      </w:r>
    </w:p>
    <w:p>
      <w:pPr>
        <w:spacing w:after="0" w:line="216" w:lineRule="exact"/>
        <w:rPr>
          <w:sz w:val="20"/>
          <w:szCs w:val="20"/>
          <w:color w:val="auto"/>
        </w:rPr>
      </w:pPr>
    </w:p>
    <w:p>
      <w:pPr>
        <w:jc w:val="both"/>
        <w:ind w:left="28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Loan Document, unless otherwise specified herein or in such other Loan Document:</w:t>
      </w:r>
    </w:p>
    <w:p>
      <w:pPr>
        <w:spacing w:after="0" w:line="204" w:lineRule="exact"/>
        <w:rPr>
          <w:sz w:val="20"/>
          <w:szCs w:val="20"/>
          <w:color w:val="auto"/>
        </w:rPr>
      </w:pPr>
    </w:p>
    <w:p>
      <w:pPr>
        <w:ind w:left="2440" w:hanging="865"/>
        <w:spacing w:after="0"/>
        <w:tabs>
          <w:tab w:leader="none" w:pos="24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meanings of defined terms are equally applicable to the singular and plural forms of the defined terms.</w:t>
      </w:r>
    </w:p>
    <w:p>
      <w:pPr>
        <w:spacing w:after="0" w:line="267" w:lineRule="exact"/>
        <w:rPr>
          <w:rFonts w:ascii="Arial" w:cs="Arial" w:eastAsia="Arial" w:hAnsi="Arial"/>
          <w:sz w:val="19"/>
          <w:szCs w:val="19"/>
          <w:color w:val="auto"/>
        </w:rPr>
      </w:pPr>
    </w:p>
    <w:p>
      <w:pPr>
        <w:ind w:left="1580" w:hanging="5"/>
        <w:spacing w:after="0" w:line="289" w:lineRule="auto"/>
        <w:tabs>
          <w:tab w:leader="none" w:pos="2459"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 The words “herein”, “hereto”, “hereof” and “hereunder” and words of similar import when used in any Loan Document shall refer to such Loan Document as a whole and not to any particular provision thereof.</w:t>
      </w:r>
    </w:p>
    <w:p>
      <w:pPr>
        <w:spacing w:after="0" w:line="175" w:lineRule="exact"/>
        <w:rPr>
          <w:rFonts w:ascii="Arial" w:cs="Arial" w:eastAsia="Arial" w:hAnsi="Arial"/>
          <w:sz w:val="20"/>
          <w:szCs w:val="20"/>
          <w:color w:val="auto"/>
        </w:rPr>
      </w:pPr>
    </w:p>
    <w:p>
      <w:pPr>
        <w:ind w:left="2560" w:hanging="418"/>
        <w:spacing w:after="0"/>
        <w:tabs>
          <w:tab w:leader="none" w:pos="25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Article, Section, Exhibit and Schedule references are to the Loan Document in which such reference appears.</w:t>
      </w:r>
    </w:p>
    <w:p>
      <w:pPr>
        <w:spacing w:after="0" w:line="252" w:lineRule="exact"/>
        <w:rPr>
          <w:rFonts w:ascii="Arial" w:cs="Arial" w:eastAsia="Arial" w:hAnsi="Arial"/>
          <w:sz w:val="18"/>
          <w:szCs w:val="18"/>
          <w:color w:val="auto"/>
        </w:rPr>
      </w:pPr>
    </w:p>
    <w:p>
      <w:pPr>
        <w:ind w:left="2780" w:hanging="638"/>
        <w:spacing w:after="0"/>
        <w:tabs>
          <w:tab w:leader="none" w:pos="278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term “including” is by way of example and not limitation.</w:t>
      </w:r>
    </w:p>
    <w:p>
      <w:pPr>
        <w:spacing w:after="0" w:line="215" w:lineRule="exact"/>
        <w:rPr>
          <w:rFonts w:ascii="Arial" w:cs="Arial" w:eastAsia="Arial" w:hAnsi="Arial"/>
          <w:sz w:val="20"/>
          <w:szCs w:val="20"/>
          <w:color w:val="auto"/>
        </w:rPr>
      </w:pPr>
    </w:p>
    <w:p>
      <w:pPr>
        <w:ind w:left="1500" w:firstLine="642"/>
        <w:spacing w:after="0" w:line="287" w:lineRule="auto"/>
        <w:tabs>
          <w:tab w:leader="none" w:pos="2641"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term “documents” includes any and all instruments, documents, agreements, certificates, notices, reports, financial statements and other writings, however evidenced, whether in physical or electronic form.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1" w:right="239" w:bottom="1440" w:gutter="0" w:footer="0" w:header="0"/>
        </w:sectPr>
      </w:pPr>
    </w:p>
    <w:bookmarkStart w:id="173" w:name="page174"/>
    <w:bookmarkEnd w:id="173"/>
    <w:p>
      <w:pPr>
        <w:ind w:left="920" w:right="20" w:firstLine="655"/>
        <w:spacing w:after="0" w:line="347" w:lineRule="auto"/>
        <w:tabs>
          <w:tab w:leader="none" w:pos="24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11" w:lineRule="exact"/>
        <w:rPr>
          <w:rFonts w:ascii="Arial" w:cs="Arial" w:eastAsia="Arial" w:hAnsi="Arial"/>
          <w:sz w:val="18"/>
          <w:szCs w:val="18"/>
          <w:color w:val="auto"/>
        </w:rPr>
      </w:pPr>
    </w:p>
    <w:p>
      <w:pPr>
        <w:ind w:left="920" w:firstLine="655"/>
        <w:spacing w:after="0" w:line="289" w:lineRule="auto"/>
        <w:tabs>
          <w:tab w:leader="none" w:pos="244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5" w:lineRule="exact"/>
        <w:rPr>
          <w:rFonts w:ascii="Arial" w:cs="Arial" w:eastAsia="Arial" w:hAnsi="Arial"/>
          <w:sz w:val="20"/>
          <w:szCs w:val="20"/>
          <w:color w:val="auto"/>
        </w:rPr>
      </w:pPr>
    </w:p>
    <w:p>
      <w:pPr>
        <w:jc w:val="both"/>
        <w:ind w:left="920" w:firstLine="655"/>
        <w:spacing w:after="0" w:line="273" w:lineRule="auto"/>
        <w:tabs>
          <w:tab w:leader="none" w:pos="2436"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any Section of </w:t>
      </w:r>
      <w:r>
        <w:rPr>
          <w:rFonts w:ascii="Arial" w:cs="Arial" w:eastAsia="Arial" w:hAnsi="Arial"/>
          <w:sz w:val="20"/>
          <w:szCs w:val="20"/>
          <w:u w:val="single" w:color="auto"/>
          <w:color w:val="auto"/>
        </w:rPr>
        <w:t>Article VII</w:t>
      </w:r>
      <w:r>
        <w:rPr>
          <w:rFonts w:ascii="Arial" w:cs="Arial" w:eastAsia="Arial" w:hAnsi="Arial"/>
          <w:sz w:val="20"/>
          <w:szCs w:val="20"/>
          <w:color w:val="auto"/>
        </w:rPr>
        <w:t>, in the event that any Lien, Investment, Indebtedness, Disposition, Restricted Payment, Affiliate transaction, Contractual Obligation, or prepayment of Indebtedness meets the criteria of one or more of the categories of transactions permitted pursuant to any clause of such Sections, such transaction (or portion thereof) at any time, shall be permitted under one or more of such clauses as determined by the Company in its sole discretion at such time.</w:t>
      </w:r>
    </w:p>
    <w:p>
      <w:pPr>
        <w:spacing w:after="0" w:line="191"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Accounting Terms</w:t>
      </w:r>
      <w:r>
        <w:rPr>
          <w:rFonts w:ascii="Arial" w:cs="Arial" w:eastAsia="Arial" w:hAnsi="Arial"/>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the foregoing, for purposes of determining compliance with any covenant contained herein (including, without limitation, any financial covenant), any lease that is treated as an operating lease for purposes of GAAP as of the Closing Date shall not be treated as Indebtedness and shall continue to be treated as an operating lease (and any future lease that would be treated as an operating lease for purposes of GAAP as of the Closing Date shall be similarly treated).</w:t>
      </w:r>
    </w:p>
    <w:p>
      <w:pPr>
        <w:spacing w:after="0" w:line="207"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Rounding</w:t>
      </w:r>
      <w:r>
        <w:rPr>
          <w:rFonts w:ascii="Arial" w:cs="Arial" w:eastAsia="Arial" w:hAnsi="Arial"/>
          <w:sz w:val="19"/>
          <w:szCs w:val="19"/>
          <w:color w:val="auto"/>
        </w:rPr>
        <w:t>. 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90"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References to Agreements, Laws, Etc</w:t>
      </w:r>
      <w:r>
        <w:rPr>
          <w:rFonts w:ascii="Arial" w:cs="Arial" w:eastAsia="Arial" w:hAnsi="Arial"/>
          <w:sz w:val="20"/>
          <w:szCs w:val="20"/>
          <w:color w:val="auto"/>
        </w:rPr>
        <w:t>. Unless otherwise expressly provided herein, (a) references to Organization Documents, agreements (including the Loan Documents) and other contractual instruments shall be deemed to include all subsequent amendments, restatements, amendments and restatements, extensions, supplements and other modifications thereto, but only to the extent that such amendments, restatements, amendments and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97"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90"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Timing of Payment of Performance</w:t>
      </w:r>
      <w:r>
        <w:rPr>
          <w:rFonts w:ascii="Arial" w:cs="Arial" w:eastAsia="Arial" w:hAnsi="Arial"/>
          <w:sz w:val="19"/>
          <w:szCs w:val="19"/>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0"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u w:val="single" w:color="auto"/>
          <w:color w:val="auto"/>
        </w:rPr>
        <w:t>Currency Equivalents Generally</w:t>
      </w:r>
      <w:r>
        <w:rPr>
          <w:rFonts w:ascii="Arial" w:cs="Arial" w:eastAsia="Arial" w:hAnsi="Arial"/>
          <w:sz w:val="20"/>
          <w:szCs w:val="20"/>
          <w:color w:val="auto"/>
        </w:rPr>
        <w:t xml:space="preserve">. Any amount specified in this Agreement (other than in </w:t>
      </w:r>
      <w:r>
        <w:rPr>
          <w:rFonts w:ascii="Arial" w:cs="Arial" w:eastAsia="Arial" w:hAnsi="Arial"/>
          <w:sz w:val="20"/>
          <w:szCs w:val="20"/>
          <w:u w:val="single" w:color="auto"/>
          <w:color w:val="auto"/>
        </w:rPr>
        <w:t>Articles 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w:t>
      </w:r>
      <w:r>
        <w:rPr>
          <w:rFonts w:ascii="Arial" w:cs="Arial" w:eastAsia="Arial" w:hAnsi="Arial"/>
          <w:sz w:val="20"/>
          <w:szCs w:val="20"/>
          <w:color w:val="auto"/>
        </w:rPr>
        <w:t>) or any of the other Loan Documents to be in Dollars shall also include the equivalent of such amount in any currency other than Dollars, such equivalent amount to be determined at the rate of exchange quoted by the Reuters World Currency Page for the applicable currency at 11:00 a.m. (London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74" w:name="page175"/>
    <w:bookmarkEnd w:id="174"/>
    <w:p>
      <w:pPr>
        <w:jc w:val="both"/>
        <w:ind w:left="280"/>
        <w:spacing w:after="0" w:line="256" w:lineRule="auto"/>
        <w:rPr>
          <w:sz w:val="20"/>
          <w:szCs w:val="20"/>
          <w:color w:val="auto"/>
        </w:rPr>
      </w:pPr>
      <w:r>
        <w:rPr>
          <w:rFonts w:ascii="Arial" w:cs="Arial" w:eastAsia="Arial" w:hAnsi="Arial"/>
          <w:sz w:val="19"/>
          <w:szCs w:val="19"/>
          <w:color w:val="auto"/>
        </w:rPr>
        <w:t xml:space="preserve">on such day (or, in the event such rate does not appear on any Reuters World Currency Page, by reference to such other publicly available service for displaying exchange rates as may be agreed upon by the Administrative Agent and each Borrower, or, in the absence of such agreement, such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(2) Business Days later). Notwithstanding the foregoing, for purposes of determining compliance with </w:t>
      </w:r>
      <w:r>
        <w:rPr>
          <w:rFonts w:ascii="Arial" w:cs="Arial" w:eastAsia="Arial" w:hAnsi="Arial"/>
          <w:sz w:val="19"/>
          <w:szCs w:val="19"/>
          <w:u w:val="single" w:color="auto"/>
          <w:color w:val="auto"/>
        </w:rPr>
        <w:t>Sections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with respect to any amount of Indebtedness or Investment in a currency other than Dollars, no Default shall be deemed to have occurred solely as a result of changes in rates of exchange occurring after the time such Indebtedness or Investment is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foregoing provisions of this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shall otherwise apply to such Sections, including with respect to determining whether any Indebtedness or Investment may be incurred at any time under such Sections.</w:t>
      </w:r>
    </w:p>
    <w:p>
      <w:pPr>
        <w:spacing w:after="0" w:line="195"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u w:val="single" w:color="auto"/>
          <w:color w:val="auto"/>
        </w:rPr>
        <w:t>Change of Currency</w:t>
      </w:r>
      <w:r>
        <w:rPr>
          <w:rFonts w:ascii="Arial" w:cs="Arial" w:eastAsia="Arial" w:hAnsi="Arial"/>
          <w:sz w:val="20"/>
          <w:szCs w:val="20"/>
          <w:color w:val="auto"/>
        </w:rPr>
        <w:t>. Each provision of this Agreement shall be subject to such reasonable changes of construction as the Administrative Agent may from time to time specify with each Borrower’s consent to appropriately reflect a change in currency of any country and any relevant market conventions or practices relating to such change in currency.</w:t>
      </w:r>
    </w:p>
    <w:p>
      <w:pPr>
        <w:spacing w:after="0" w:line="200"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Cumulative Growth Amount Transactions</w:t>
      </w:r>
      <w:r>
        <w:rPr>
          <w:rFonts w:ascii="Arial" w:cs="Arial" w:eastAsia="Arial" w:hAnsi="Arial"/>
          <w:sz w:val="20"/>
          <w:szCs w:val="20"/>
          <w:color w:val="auto"/>
        </w:rPr>
        <w:t>. If more than one action occurs on any given date the permissibility of the taking of which is determined hereunder by reference to the amount of the Cumulative Growth Amount immediately prior to the taking of such action, the permissibility of the taking of such action shall be determined independently and in no event may any two or more such actions be treated as occurring simultaneously.</w:t>
      </w:r>
    </w:p>
    <w:p>
      <w:pPr>
        <w:spacing w:after="0" w:line="205"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Pro Forma and Other Calculations</w:t>
      </w:r>
      <w:r>
        <w:rPr>
          <w:rFonts w:ascii="Arial" w:cs="Arial" w:eastAsia="Arial" w:hAnsi="Arial"/>
          <w:sz w:val="19"/>
          <w:szCs w:val="19"/>
          <w:color w:val="auto"/>
        </w:rPr>
        <w:t xml:space="preserve">. (a) Notwithstanding anything to the contrary herein, financial ratios and tests, including the Consolidated Senior Secured Net Leverage Ratio and the Total Net Leverage Ratio shall be calculated in the manner prescribed by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clauses (b), (c), (d) or (e)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when calculating the Total Net Leverage Ratio for purposes of the definition of “Applicable Rate” and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(other than for the purpose of determining pro forma compliance with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the events described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that occurred subsequent to the end of the applicable Test Period shall not be given pro forma effect. In addition, whenever a financial ratio or test is to be calculated on a pro forma basis, the reference to “Test Period” for purposes of calculating such financial ratio or test shall be deemed to be a reference to, and shall be based on, the most recently ended Test Period for which financial statements of the Company have been delivered to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(it being understood that for purposes of determining pro forma compliance with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if no Test Period with an applicable level cited in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has passed, the applicable level shall be the level for the first Test Period cited in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with an indicated level).</w:t>
      </w:r>
    </w:p>
    <w:p>
      <w:pPr>
        <w:spacing w:after="0" w:line="202" w:lineRule="exact"/>
        <w:rPr>
          <w:sz w:val="20"/>
          <w:szCs w:val="20"/>
          <w:color w:val="auto"/>
        </w:rPr>
      </w:pPr>
    </w:p>
    <w:p>
      <w:pPr>
        <w:jc w:val="both"/>
        <w:ind w:left="280" w:firstLine="646"/>
        <w:spacing w:after="0" w:line="271" w:lineRule="auto"/>
        <w:tabs>
          <w:tab w:leader="none" w:pos="180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For purposes of calculating any financial ratio or test (or Total Assets), Specified Transactions (with any incurrence or repayment of any Indebtedness in connection therewith to be subject to clause (d) of this </w:t>
      </w:r>
      <w:r>
        <w:rPr>
          <w:rFonts w:ascii="Arial" w:cs="Arial" w:eastAsia="Arial" w:hAnsi="Arial"/>
          <w:sz w:val="20"/>
          <w:szCs w:val="20"/>
          <w:u w:val="single" w:color="auto"/>
          <w:color w:val="auto"/>
        </w:rPr>
        <w:t>Section 1.11</w:t>
      </w:r>
      <w:r>
        <w:rPr>
          <w:rFonts w:ascii="Arial" w:cs="Arial" w:eastAsia="Arial" w:hAnsi="Arial"/>
          <w:sz w:val="20"/>
          <w:szCs w:val="20"/>
          <w:color w:val="auto"/>
        </w:rPr>
        <w:t>) that have been made (i) during the applicable Test Period or (ii) if applicable as described in clause (a) above, subsequent to such Test Period and prior to or simultaneously with the event for which the calculation of any such ratio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Total Assets, on the last day of the applicable Test Period).</w:t>
      </w:r>
    </w:p>
    <w:p>
      <w:pPr>
        <w:spacing w:after="0" w:line="194" w:lineRule="exact"/>
        <w:rPr>
          <w:rFonts w:ascii="Arial" w:cs="Arial" w:eastAsia="Arial" w:hAnsi="Arial"/>
          <w:sz w:val="20"/>
          <w:szCs w:val="20"/>
          <w:color w:val="auto"/>
        </w:rPr>
      </w:pPr>
    </w:p>
    <w:p>
      <w:pPr>
        <w:jc w:val="both"/>
        <w:ind w:left="280" w:firstLine="646"/>
        <w:spacing w:after="0" w:line="278" w:lineRule="auto"/>
        <w:tabs>
          <w:tab w:leader="none" w:pos="1796" w:val="left"/>
        </w:tabs>
        <w:numPr>
          <w:ilvl w:val="0"/>
          <w:numId w:val="118"/>
        </w:numPr>
        <w:rPr>
          <w:rFonts w:ascii="Arial" w:cs="Arial" w:eastAsia="Arial" w:hAnsi="Arial"/>
          <w:sz w:val="20"/>
          <w:szCs w:val="20"/>
          <w:color w:val="auto"/>
        </w:rPr>
      </w:pPr>
      <w:r>
        <w:rPr>
          <w:rFonts w:ascii="Arial" w:cs="Arial" w:eastAsia="Arial" w:hAnsi="Arial"/>
          <w:sz w:val="20"/>
          <w:szCs w:val="20"/>
          <w:color w:val="auto"/>
        </w:rPr>
        <w:t>Whenever pro forma effect is to be given to a Specified Transaction, the pro forma calculations shall be made in good faith by a responsible financial or accounting officer of the Company and may include, for the avoidance of doubt, the amount of “run-rate” cost savings, operating expense reductions and synergies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75" w:name="page176"/>
    <w:bookmarkEnd w:id="175"/>
    <w:p>
      <w:pPr>
        <w:jc w:val="both"/>
        <w:ind w:left="280"/>
        <w:spacing w:after="0" w:line="301" w:lineRule="auto"/>
        <w:rPr>
          <w:sz w:val="20"/>
          <w:szCs w:val="20"/>
          <w:color w:val="auto"/>
        </w:rPr>
      </w:pPr>
      <w:r>
        <w:rPr>
          <w:rFonts w:ascii="Arial" w:cs="Arial" w:eastAsia="Arial" w:hAnsi="Arial"/>
          <w:sz w:val="18"/>
          <w:szCs w:val="18"/>
          <w:color w:val="auto"/>
        </w:rPr>
        <w:t xml:space="preserve">projected by the Company in good faith to be realized as a result of specified actions taken, committed to be taken or expected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“run-rate” means the full recurring benefit for a period that is associated with any action taken, committed to be taken or expected to be taken (including any savings expected to result from the elimination of a public target’s compliance costs with public company requirements)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amounts are reasonably identifiable and factually supportable in the good faith judgment of the Company, (B) such actions are taken, committed to be taken or with respect to which substantial steps have been taken or are expected in good faith to be taken no later than eighteen (18) months after the date of such Specified Transaction, (C) no amounts shall be added to the extent duplicative of any amounts that are otherwise added back in computing Consolidated EBITDA (or any other components thereof), whether through a pro forma adjustment or otherwise, with respect to such period and (D) any increase to Consolidated EBITDA as a result of cost savings, operating expense reductions and synergies pursuant to this </w:t>
      </w:r>
      <w:r>
        <w:rPr>
          <w:rFonts w:ascii="Arial" w:cs="Arial" w:eastAsia="Arial" w:hAnsi="Arial"/>
          <w:sz w:val="18"/>
          <w:szCs w:val="18"/>
          <w:u w:val="single" w:color="auto"/>
          <w:color w:val="auto"/>
        </w:rPr>
        <w:t>Section 1.11(c)</w:t>
      </w:r>
      <w:r>
        <w:rPr>
          <w:rFonts w:ascii="Arial" w:cs="Arial" w:eastAsia="Arial" w:hAnsi="Arial"/>
          <w:sz w:val="18"/>
          <w:szCs w:val="18"/>
          <w:color w:val="auto"/>
        </w:rPr>
        <w:t xml:space="preserve"> shall be subject to the limitation set forth in the further proviso of clause (xi) of the definition of “Consolidated EBITDA”.</w:t>
      </w:r>
    </w:p>
    <w:p>
      <w:pPr>
        <w:spacing w:after="0" w:line="174" w:lineRule="exact"/>
        <w:rPr>
          <w:sz w:val="20"/>
          <w:szCs w:val="20"/>
          <w:color w:val="auto"/>
        </w:rPr>
      </w:pPr>
    </w:p>
    <w:p>
      <w:pPr>
        <w:jc w:val="both"/>
        <w:ind w:left="280" w:firstLine="646"/>
        <w:spacing w:after="0" w:line="303" w:lineRule="auto"/>
        <w:tabs>
          <w:tab w:leader="none" w:pos="18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that (w) any Borrower or any Subsidiary incurs (including by assumption or guarantees) or repays (including by redemption, repayment, retirement or extinguishment) any Indebtedness (other than Indebtedness incurred or repaid under any revolving credit facility unless such Indebtedness (a) has been permanently repaid and not replaced or (b) the proceeds therefrom are used for other than working capital purposes or general corporate purposes in the ordinary course of business), (x) any Borrower or any Subsidiary issues, repurchases or redeems Disqualified Equity Interests or (y) any Subsidiary issues, repurchases or redeems preferred stock,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stock, in each case to the extent required, as if the same had occurred on the last day of the applicable Test Period.</w:t>
      </w:r>
    </w:p>
    <w:p>
      <w:pPr>
        <w:spacing w:after="0" w:line="187" w:lineRule="exact"/>
        <w:rPr>
          <w:rFonts w:ascii="Arial" w:cs="Arial" w:eastAsia="Arial" w:hAnsi="Arial"/>
          <w:sz w:val="18"/>
          <w:szCs w:val="18"/>
          <w:color w:val="auto"/>
        </w:rPr>
      </w:pPr>
    </w:p>
    <w:p>
      <w:pPr>
        <w:jc w:val="both"/>
        <w:ind w:left="280" w:firstLine="646"/>
        <w:spacing w:after="0" w:line="273" w:lineRule="auto"/>
        <w:tabs>
          <w:tab w:leader="none" w:pos="179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Interest on a Capitalized Lease Obligation shall be deemed to accrue at an interest rate reasonably determined by a Responsible Officer of the Company to be the rate of interest implicit in such Capitalized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any Borrower or Subsidiary may designate.</w:t>
      </w:r>
    </w:p>
    <w:p>
      <w:pPr>
        <w:spacing w:after="0" w:line="191"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Limited Condition Acquisitions</w:t>
      </w:r>
      <w:r>
        <w:rPr>
          <w:rFonts w:ascii="Arial" w:cs="Arial" w:eastAsia="Arial" w:hAnsi="Arial"/>
          <w:sz w:val="19"/>
          <w:szCs w:val="19"/>
          <w:color w:val="auto"/>
        </w:rPr>
        <w:t xml:space="preserve">. In the event that the Company notifies the Administrative Agent in writing that any proposed acquisition is a Limited Condition Acquisition and that the Company wishes to test the conditions to such acquisition and the availability of the Incremental Term Loans that is to be used to finance such acquisition in accordance with this </w:t>
      </w:r>
      <w:r>
        <w:rPr>
          <w:rFonts w:ascii="Arial" w:cs="Arial" w:eastAsia="Arial" w:hAnsi="Arial"/>
          <w:sz w:val="19"/>
          <w:szCs w:val="19"/>
          <w:u w:val="single" w:color="auto"/>
          <w:color w:val="auto"/>
        </w:rPr>
        <w:t>Section 1.12</w:t>
      </w:r>
      <w:r>
        <w:rPr>
          <w:rFonts w:ascii="Arial" w:cs="Arial" w:eastAsia="Arial" w:hAnsi="Arial"/>
          <w:sz w:val="19"/>
          <w:szCs w:val="19"/>
          <w:color w:val="auto"/>
        </w:rPr>
        <w:t>, then, so long as agreed to by the lenders providing such Incremental Term Loan, the following provisions shall apply:</w:t>
      </w:r>
    </w:p>
    <w:p>
      <w:pPr>
        <w:spacing w:after="0" w:line="204" w:lineRule="exact"/>
        <w:rPr>
          <w:sz w:val="20"/>
          <w:szCs w:val="20"/>
          <w:color w:val="auto"/>
        </w:rPr>
      </w:pPr>
    </w:p>
    <w:p>
      <w:pPr>
        <w:jc w:val="both"/>
        <w:ind w:left="280" w:firstLine="1295"/>
        <w:spacing w:after="0" w:line="314" w:lineRule="auto"/>
        <w:tabs>
          <w:tab w:leader="none" w:pos="24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condition to such acquisition or such Incremental Term Loan that requires that no Default or Event of Default shall have occurred and be continuing at the time of such acquisition or the incurrence of such Incremental Term Loan, shall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Arial" w:cs="Arial" w:eastAsia="Arial" w:hAnsi="Arial"/>
          <w:sz w:val="18"/>
          <w:szCs w:val="18"/>
          <w:u w:val="single" w:color="auto"/>
          <w:color w:val="auto"/>
        </w:rPr>
        <w:t>Sections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76" w:name="page177"/>
    <w:bookmarkEnd w:id="176"/>
    <w:p>
      <w:pPr>
        <w:ind w:left="280"/>
        <w:spacing w:after="0" w:line="289" w:lineRule="auto"/>
        <w:rPr>
          <w:sz w:val="20"/>
          <w:szCs w:val="20"/>
          <w:color w:val="auto"/>
        </w:rPr>
      </w:pPr>
      <w:r>
        <w:rPr>
          <w:rFonts w:ascii="Arial" w:cs="Arial" w:eastAsia="Arial" w:hAnsi="Arial"/>
          <w:sz w:val="20"/>
          <w:szCs w:val="20"/>
          <w:u w:val="single" w:color="auto"/>
          <w:color w:val="auto"/>
        </w:rPr>
        <w:t>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8.01(g)</w:t>
      </w:r>
      <w:r>
        <w:rPr>
          <w:rFonts w:ascii="Arial" w:cs="Arial" w:eastAsia="Arial" w:hAnsi="Arial"/>
          <w:sz w:val="20"/>
          <w:szCs w:val="20"/>
          <w:color w:val="auto"/>
        </w:rPr>
        <w:t xml:space="preserve"> shall have occurred and be continuing both immediately before and immediately after giving effect to such acquisition and any Indebtedness incurred in connection therewith (including such Incremental Term Loan);</w:t>
      </w:r>
    </w:p>
    <w:p>
      <w:pPr>
        <w:spacing w:after="0" w:line="175" w:lineRule="exact"/>
        <w:rPr>
          <w:sz w:val="20"/>
          <w:szCs w:val="20"/>
          <w:color w:val="auto"/>
        </w:rPr>
      </w:pPr>
    </w:p>
    <w:p>
      <w:pPr>
        <w:jc w:val="both"/>
        <w:ind w:left="280" w:firstLine="1295"/>
        <w:spacing w:after="0" w:line="343" w:lineRule="auto"/>
        <w:tabs>
          <w:tab w:leader="none" w:pos="245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condition to such acquisition or such Incremental Term Loan that the representations and warranties in this Agreement and the other Loan Documents shall be true and correct in all material respects (except to the extent any such representation and warranty is qualified by materiality or reference to Material Adverse Effect, in which case, such representation and warranty shall be true and correct in all respects) at the time of such acquisition or the incurrence of such Incremental Term Loan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Incremental Term Loan shall be true and correct, but only to the extent that the Company or its applicable Subsidiary has the right to terminate its obligations under such agreement as a result of a breach of such representations and warranties or the failure of those representations and warranties to be true and correct), so long as all representations and warranties in this Agreement and the other Loan Documents are true and correct in all material respects (except to the extent any such representation and warranty is qualified by materiality or reference to Material Adverse Effect, in which case, such representation and warranty shall be true and correct in all respects) at the time of execution of the definitive purchase agreement, merger agreement or other acquisition agreement governing such acquisition;</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jc w:val="both"/>
        <w:ind w:left="280" w:firstLine="1295"/>
        <w:spacing w:after="0" w:line="287" w:lineRule="auto"/>
        <w:tabs>
          <w:tab w:leader="none" w:pos="24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any financial ratio test or condition, may upon the written election of the Company delivered to the Administrative Agent on or prior to the date of execution of the definitive agreement for such acquisition, be tested either (i) upon 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deliver a notice under this </w:t>
      </w:r>
      <w:r>
        <w:rPr>
          <w:rFonts w:ascii="Arial" w:cs="Arial" w:eastAsia="Arial" w:hAnsi="Arial"/>
          <w:sz w:val="19"/>
          <w:szCs w:val="19"/>
          <w:u w:val="single" w:color="auto"/>
          <w:color w:val="auto"/>
        </w:rPr>
        <w:t>Section 1.12(c)</w:t>
      </w:r>
      <w:r>
        <w:rPr>
          <w:rFonts w:ascii="Arial" w:cs="Arial" w:eastAsia="Arial" w:hAnsi="Arial"/>
          <w:sz w:val="19"/>
          <w:szCs w:val="19"/>
          <w:color w:val="auto"/>
        </w:rPr>
        <w:t xml:space="preserve"> on or prior to the date of execution of the definitive agreement for such Limited Condition Acquisition shall be deemed an election to test the applicable financial ratio under subclause (ii) of this </w:t>
      </w:r>
      <w:r>
        <w:rPr>
          <w:rFonts w:ascii="Arial" w:cs="Arial" w:eastAsia="Arial" w:hAnsi="Arial"/>
          <w:sz w:val="19"/>
          <w:szCs w:val="19"/>
          <w:u w:val="single" w:color="auto"/>
          <w:color w:val="auto"/>
        </w:rPr>
        <w:t>Section 1.12(c)</w:t>
      </w:r>
      <w:r>
        <w:rPr>
          <w:rFonts w:ascii="Arial" w:cs="Arial" w:eastAsia="Arial" w:hAnsi="Arial"/>
          <w:sz w:val="19"/>
          <w:szCs w:val="19"/>
          <w:color w:val="auto"/>
        </w:rPr>
        <w:t>; and</w:t>
      </w:r>
    </w:p>
    <w:p>
      <w:pPr>
        <w:spacing w:after="0" w:line="183" w:lineRule="exact"/>
        <w:rPr>
          <w:rFonts w:ascii="Arial" w:cs="Arial" w:eastAsia="Arial" w:hAnsi="Arial"/>
          <w:sz w:val="19"/>
          <w:szCs w:val="19"/>
          <w:color w:val="auto"/>
        </w:rPr>
      </w:pPr>
    </w:p>
    <w:p>
      <w:pPr>
        <w:jc w:val="both"/>
        <w:ind w:left="280" w:firstLine="1295"/>
        <w:spacing w:after="0" w:line="302" w:lineRule="auto"/>
        <w:tabs>
          <w:tab w:leader="none" w:pos="24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if the Company has made an election with respect to any Limited Condition Acquisition to test a financial ratio test or condition at the time specified in clause (c)(i) of this Section, then, except as provided in the next sentence, in connection with any subsequent calculation of any ratio or basket on or following the relevant date of execution of the definitive agreement with respect to such Limited Condition Acquisition and prior to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(x) on a Pro Forma Basis assuming such Limited Condition Acquisition and other transactions in connection therewith (including the incurrence or assumption of Indebtedness) have been consummated and (y) assuming such Limited Condition Acquisition and other transactions in connection therewith (including the incurrence or assumption of Indebtedness) have not been consummated. Notwithstanding the foregoing, any calculation of a ratio in connection with determining the Applicable Rate and determining whether or not the Borrower is in compliance with the requirements of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shall, in each case be calculated assuming such Limited Condition Acquisition and other transactions in connection therewith (including the incurrence or assumption of Indebtedness) have not been consummated.</w:t>
      </w:r>
    </w:p>
    <w:p>
      <w:pPr>
        <w:spacing w:after="0" w:line="170"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separately tested. Notwithstanding anything to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77" w:name="page178"/>
    <w:bookmarkEnd w:id="177"/>
    <w:p>
      <w:pPr>
        <w:ind w:left="280"/>
        <w:spacing w:after="0"/>
        <w:rPr>
          <w:sz w:val="20"/>
          <w:szCs w:val="20"/>
          <w:color w:val="auto"/>
        </w:rPr>
      </w:pPr>
      <w:r>
        <w:rPr>
          <w:rFonts w:ascii="Arial" w:cs="Arial" w:eastAsia="Arial" w:hAnsi="Arial"/>
          <w:sz w:val="20"/>
          <w:szCs w:val="20"/>
          <w:color w:val="auto"/>
        </w:rPr>
        <w:t>contrary herein, in no event shall there be more than two Limited Condition Acquisitions at any time outstanding.</w:t>
      </w:r>
    </w:p>
    <w:p>
      <w:pPr>
        <w:spacing w:after="0" w:line="189"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20"/>
          <w:szCs w:val="20"/>
          <w:u w:val="single" w:color="auto"/>
          <w:color w:val="auto"/>
        </w:rPr>
        <w:t>The Commitments and Credit Extensions</w:t>
      </w:r>
    </w:p>
    <w:p>
      <w:pPr>
        <w:spacing w:after="0" w:line="200" w:lineRule="exact"/>
        <w:rPr>
          <w:sz w:val="20"/>
          <w:szCs w:val="20"/>
          <w:color w:val="auto"/>
        </w:rPr>
      </w:pPr>
    </w:p>
    <w:p>
      <w:pPr>
        <w:spacing w:after="0" w:line="229"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u w:val="single" w:color="auto"/>
          <w:color w:val="auto"/>
        </w:rPr>
        <w:t>The Loans</w:t>
      </w:r>
      <w:r>
        <w:rPr>
          <w:rFonts w:ascii="Arial" w:cs="Arial" w:eastAsia="Arial" w:hAnsi="Arial"/>
          <w:sz w:val="16"/>
          <w:szCs w:val="16"/>
          <w:color w:val="auto"/>
        </w:rPr>
        <w:t>.</w:t>
      </w:r>
    </w:p>
    <w:p>
      <w:pPr>
        <w:spacing w:after="0" w:line="229" w:lineRule="exact"/>
        <w:rPr>
          <w:sz w:val="20"/>
          <w:szCs w:val="20"/>
          <w:color w:val="auto"/>
        </w:rPr>
      </w:pPr>
    </w:p>
    <w:p>
      <w:pPr>
        <w:jc w:val="both"/>
        <w:ind w:left="280" w:firstLine="646"/>
        <w:spacing w:after="0" w:line="274" w:lineRule="auto"/>
        <w:tabs>
          <w:tab w:leader="none" w:pos="1796"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The Term Borrowing</w:t>
      </w:r>
      <w:r>
        <w:rPr>
          <w:rFonts w:ascii="Arial" w:cs="Arial" w:eastAsia="Arial" w:hAnsi="Arial"/>
          <w:sz w:val="20"/>
          <w:szCs w:val="20"/>
          <w:color w:val="auto"/>
        </w:rPr>
        <w:t xml:space="preserve">. Subject to the terms and conditions set forth herein, each Term Lender severally agrees to make to the Borrowers a single loan denominated in Dollars in a principal amount equal to such Term Lender’s Term Commitment on the Closing Date. Amounts borrowed under this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and repaid or prepaid may not be reborrowed. Term Loans may be Base Rate Loans or Eurocurrency Rate Loans, as further provided herein.</w:t>
      </w:r>
    </w:p>
    <w:p>
      <w:pPr>
        <w:spacing w:after="0" w:line="192" w:lineRule="exact"/>
        <w:rPr>
          <w:rFonts w:ascii="Arial" w:cs="Arial" w:eastAsia="Arial" w:hAnsi="Arial"/>
          <w:sz w:val="20"/>
          <w:szCs w:val="20"/>
          <w:color w:val="auto"/>
        </w:rPr>
      </w:pPr>
    </w:p>
    <w:p>
      <w:pPr>
        <w:jc w:val="both"/>
        <w:ind w:left="280" w:firstLine="646"/>
        <w:spacing w:after="0" w:line="303" w:lineRule="auto"/>
        <w:tabs>
          <w:tab w:leader="none" w:pos="1807"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The Revolving Credit Borrowings</w:t>
      </w:r>
      <w:r>
        <w:rPr>
          <w:rFonts w:ascii="Arial" w:cs="Arial" w:eastAsia="Arial" w:hAnsi="Arial"/>
          <w:sz w:val="18"/>
          <w:szCs w:val="18"/>
          <w:color w:val="auto"/>
        </w:rPr>
        <w:t>. Subject to the terms and conditions set forth herein, each Revolving Credit Lender severally agrees to make loans denominated in Dollars to the Borrowers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from time to time, on any Business Day from and including the Closing Date until the Maturity Date for the Revolving Credit Facility, in an aggregate principal amount not to exceed at any time outstanding the amount of such Revolving Credit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Revolving Credit Borrowing, the aggregate Outstanding Amount of the Revolving Credit Loans of any Revolving Credit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Credit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Credit Lender’s Pro Rata Share of the Outstanding Amount of all Swing Line Loans shall not exceed such Revolving Credit Lender’s Revolving Credit Commitment. Within the limits of each Revolving Credit Lender’s Revolving Credit Commitment, and subject to the other terms and conditions hereof, the Borrowers may 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Revolving Credit Loans may be Base Rate Loans or Eurocurrency Rate Loans, as further provided herein.</w:t>
      </w:r>
    </w:p>
    <w:p>
      <w:pPr>
        <w:spacing w:after="0" w:line="169"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 xml:space="preserve">. (a) Each Term Borrowing, each Revolving Credit Borrowing, each conversion of Term Loans or Revolving Credit Loans from one Type to the other, and each continuation of Eurocurrency Rate Loans shall be made upon the applicable Borrower’s irrevocable notice to the Administrative Agent, which may be given by telephone. Each such notice must be received by the Administrative Agent not later than 12:00 p.m. (i) three (3) Business Days prior to the requested date of any Borrowing or continuation of Eurocurrency Rate Loans or any conversion of Base Rate Loans to Eurocurrency Rate Loans, and (ii) one (1) Business Day before the requested date of any Borrowing of Base Rate Loans or conversion of any Eurocurrency Rate Loans to Base Rate Loans. Each telephonic notice by the applicable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Committed Loan Notice, appropriately completed and signed by a Responsible Officer of such Borrower. Each Borrowing of, conversion to or continuation of Eurocurrency Rate Loans shall be in a principal amount of $1,000,000 or a whole multiple of $500,000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each Borrowing of or conversion to Base Rate Loans shall be in a principal amount of $500,000 or a whole multiple of $100,000 in excess thereof. Each Committed Loan Notice (whether telephonic or written) shall specify (i) whether the applicable Borrower is requesting a Term Borrowing, a Revolving Credit Borrowing, a conversion of Term Loans or Revolving Credit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and (v) if applicable, the duration of the Interest Period with respect thereto. If the applicable Borrower fails to specify a Type of Loan in a Committed Loan Notice or fails to give a timely notice requesting a conversion or continuation, then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78" w:name="page179"/>
    <w:bookmarkEnd w:id="178"/>
    <w:p>
      <w:pPr>
        <w:jc w:val="both"/>
        <w:ind w:left="280"/>
        <w:spacing w:after="0" w:line="270" w:lineRule="auto"/>
        <w:rPr>
          <w:sz w:val="20"/>
          <w:szCs w:val="20"/>
          <w:color w:val="auto"/>
        </w:rPr>
      </w:pPr>
      <w:r>
        <w:rPr>
          <w:rFonts w:ascii="Arial" w:cs="Arial" w:eastAsia="Arial" w:hAnsi="Arial"/>
          <w:sz w:val="18"/>
          <w:szCs w:val="18"/>
          <w:color w:val="auto"/>
        </w:rPr>
        <w:t>applicable Term Loans or Revolving Credit Loans shall be made as, or converted to, Base Rate Loans. Any such automatic conversion to Base Rate Loans shall be effective as of the last day of the Interest Period then in effect with respect to the applicable Eurocurrency Rate Loans. If the applicable Borrower requests a Borrowing of, conversion to, or continuation of Eurocurrency Rate Loans in any such Committed Loan Notice, but fails to specify an Interest Period, it will be deemed to have specified an Interest Period of one</w:t>
      </w:r>
    </w:p>
    <w:p>
      <w:pPr>
        <w:spacing w:after="0" w:line="3" w:lineRule="exact"/>
        <w:rPr>
          <w:sz w:val="20"/>
          <w:szCs w:val="20"/>
          <w:color w:val="auto"/>
        </w:rPr>
      </w:pPr>
    </w:p>
    <w:p>
      <w:pPr>
        <w:ind w:left="560" w:hanging="282"/>
        <w:spacing w:after="0"/>
        <w:tabs>
          <w:tab w:leader="none" w:pos="56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month.</w:t>
      </w:r>
    </w:p>
    <w:p>
      <w:pPr>
        <w:spacing w:after="0" w:line="213" w:lineRule="exact"/>
        <w:rPr>
          <w:rFonts w:ascii="Arial" w:cs="Arial" w:eastAsia="Arial" w:hAnsi="Arial"/>
          <w:sz w:val="20"/>
          <w:szCs w:val="20"/>
          <w:color w:val="auto"/>
        </w:rPr>
      </w:pPr>
    </w:p>
    <w:p>
      <w:pPr>
        <w:jc w:val="both"/>
        <w:ind w:left="280" w:firstLine="646"/>
        <w:spacing w:after="0" w:line="301" w:lineRule="auto"/>
        <w:tabs>
          <w:tab w:leader="none" w:pos="180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Following receipt of a Committed Loan Notice, the Administrative Agent shall promptly notify each Lender of the amount of its Pro Rata Share of the applicable Class of Loans, and if no timely notice of a conversion or continuation is provided by the applicable Borrower, the Administrative Agent shall notify each Lender of the details of any automatic conversion to Base Rate Loans or continuation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 the case of each Borrowing, each Appropriate Lender shall make the amount of its Loan available to the Administrative Agent in Same Day Funds at the Administrative Agent’s Office not later than 1:00 p.m., in each case on the Business Day specified in the applicable Committed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Borrowers in like funds as received by the Administrative Agent either by (i) crediting the account of the Borrowers on the books of the Administrative Agent with the amount of such funds or (ii) wire transfer of such funds, in each case in accordance with instructions provided to (and reasonably acceptable to) the Administrative Agent by the applicable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the date the Committed Loan Notice with respect to such Borrowing is given by the such Borrower, there are Swing Line Loans or L/C Borrowings outstanding, then the proceeds of such Borrowing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in full of any such L/C Borrowings,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in full of any such Swing Line Loans, and </w:t>
      </w:r>
      <w:r>
        <w:rPr>
          <w:rFonts w:ascii="Arial" w:cs="Arial" w:eastAsia="Arial" w:hAnsi="Arial"/>
          <w:sz w:val="18"/>
          <w:szCs w:val="18"/>
          <w:u w:val="single" w:color="auto"/>
          <w:color w:val="auto"/>
        </w:rPr>
        <w:t>third</w:t>
      </w:r>
      <w:r>
        <w:rPr>
          <w:rFonts w:ascii="Arial" w:cs="Arial" w:eastAsia="Arial" w:hAnsi="Arial"/>
          <w:sz w:val="18"/>
          <w:szCs w:val="18"/>
          <w:color w:val="auto"/>
        </w:rPr>
        <w:t>, to the Borrowers as provided above.</w:t>
      </w:r>
    </w:p>
    <w:p>
      <w:pPr>
        <w:spacing w:after="0" w:line="177"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Except as otherwise provided herein, a Eurocurrency Rate Loan may be continued or converted only on the last day of an Interest Period for such Eurocurrency Rate Loan unless the Borrowers pay the amount due, if any, under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in connection therewith. During the existence of an Event of Default, the Administrative Agent or the Required Lenders may require that no Loans may be converted to or continued as Eurocurrency Rate Loans.</w:t>
      </w:r>
    </w:p>
    <w:p>
      <w:pPr>
        <w:spacing w:after="0" w:line="205" w:lineRule="exact"/>
        <w:rPr>
          <w:rFonts w:ascii="Arial" w:cs="Arial" w:eastAsia="Arial" w:hAnsi="Arial"/>
          <w:sz w:val="20"/>
          <w:szCs w:val="20"/>
          <w:color w:val="auto"/>
        </w:rPr>
      </w:pPr>
    </w:p>
    <w:p>
      <w:pPr>
        <w:jc w:val="both"/>
        <w:ind w:left="280" w:firstLine="646"/>
        <w:spacing w:after="0" w:line="290" w:lineRule="auto"/>
        <w:tabs>
          <w:tab w:leader="none" w:pos="1807"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Borrowers and the Lenders of the interest rate applicable to any Interest Period for Eurocurrency Rate Loans upon determination of such interest rate. The determination of the Eurocurrency Rate by the Administrative Agent shall be conclusive in the absence of manifest error. At any time that Base Rate Loans are outstanding, the Administrative Agent shall notify the Borrowers and the Lenders of any change in the Administrative Agent’s prime rate used in determining the Base Rate promptly following the public announcement of such change.</w:t>
      </w:r>
    </w:p>
    <w:p>
      <w:pPr>
        <w:spacing w:after="0" w:line="192" w:lineRule="exact"/>
        <w:rPr>
          <w:rFonts w:ascii="Arial" w:cs="Arial" w:eastAsia="Arial" w:hAnsi="Arial"/>
          <w:sz w:val="19"/>
          <w:szCs w:val="19"/>
          <w:color w:val="auto"/>
        </w:rPr>
      </w:pPr>
    </w:p>
    <w:p>
      <w:pPr>
        <w:jc w:val="both"/>
        <w:ind w:left="280" w:firstLine="646"/>
        <w:spacing w:after="0" w:line="322" w:lineRule="auto"/>
        <w:tabs>
          <w:tab w:leader="none" w:pos="179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After giving effect to all Term Borrowings, all Revolving Credit Borrowings, all conversions of Term Loans or Revolving Credit Loans from one Type to the other, and all continuations of Term Loans or Revolving Credit Loans as the same Type, there shall not be more than ten (10) Interest Periods in effect (or such greater number as may be acceptable to the Administrative Agent).</w:t>
      </w:r>
    </w:p>
    <w:p>
      <w:pPr>
        <w:spacing w:after="0" w:line="152" w:lineRule="exact"/>
        <w:rPr>
          <w:rFonts w:ascii="Arial" w:cs="Arial" w:eastAsia="Arial" w:hAnsi="Arial"/>
          <w:sz w:val="18"/>
          <w:szCs w:val="18"/>
          <w:color w:val="auto"/>
        </w:rPr>
      </w:pPr>
    </w:p>
    <w:p>
      <w:pPr>
        <w:jc w:val="both"/>
        <w:ind w:left="280" w:firstLine="646"/>
        <w:spacing w:after="0" w:line="299" w:lineRule="auto"/>
        <w:tabs>
          <w:tab w:leader="none" w:pos="177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79" w:name="page180"/>
    <w:bookmarkEnd w:id="179"/>
    <w:p>
      <w:pPr>
        <w:jc w:val="both"/>
        <w:ind w:left="280" w:firstLine="646"/>
        <w:spacing w:after="0" w:line="300" w:lineRule="auto"/>
        <w:tabs>
          <w:tab w:leader="none" w:pos="18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date of any Borrowing, or in the case of any Borrowing of Base Rate Loans, prior to 1:00 p.m. on the date of such Borrowing, that such Lender will not make available to the Administrative Agent such Lender’s Pro Rata Share or other applicable share provided for under this Agreement of such Borrowing, the Administrative Agent may assume that such Lender has made such Pro Rata Share or other applicable share provided for under this Agreement available to the Administrative Agent on the date of such Borrowing in accordance with paragraph (b) above, and the Administrative Agent may, in reliance upon such assumption, make available to the Borrowers on such date a corresponding amount. If the Administrative Agent shall have so made funds available, then, to the extent that such Lender and the Borrowers severally agree to repay to the Administrative Agent forthwith on demand such corresponding amount together with interest thereon, for each day from the date such amount is made available to the Borrowers until the date such amount is repaid to the Administrative Agent at (i) in the case of the Borrowers, the interest rate applicable at the time to the Loans comprising such Borrowing and (ii) in the case of such Lender, the Federal Funds Rate, plus any administrative, processing or similar fees customarily charged by the Administrative Agent in accordance with the foregoing. A certificate of the Administrative Agent submitted to any Lender with respect to any amounts owing under this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shall be conclusive in the absence of manifest error. If the Borrowers and such Lender shall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such payment to the Administrative Agent.</w:t>
      </w:r>
    </w:p>
    <w:p>
      <w:pPr>
        <w:spacing w:after="0" w:line="180"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9" w:lineRule="exact"/>
        <w:rPr>
          <w:sz w:val="20"/>
          <w:szCs w:val="20"/>
          <w:color w:val="auto"/>
        </w:rPr>
      </w:pPr>
    </w:p>
    <w:p>
      <w:pPr>
        <w:ind w:left="1760" w:hanging="834"/>
        <w:spacing w:after="0"/>
        <w:tabs>
          <w:tab w:leader="none" w:pos="176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500" w:firstLine="642"/>
        <w:spacing w:after="0" w:line="297" w:lineRule="auto"/>
        <w:tabs>
          <w:tab w:leader="none" w:pos="295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 xml:space="preserve">On and after the Closing Date, the Existing Letters of Credit for purposes hereof will be deemed to have been issued on the Closing Date under the Revolving Credit Facility. Subject to the terms and conditions set forth herein, (A) each L/C Issuer agrees, in reliance upon the agreements of the other Revolving Credit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1500" w:hanging="6"/>
        <w:spacing w:after="0" w:line="297" w:lineRule="auto"/>
        <w:tabs>
          <w:tab w:leader="none" w:pos="178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from time to time on any Business Day during the period from and including the Closing Date until the Letter of Credit Expiration Date, to issue Letters of Credit denominated in Dollars on a sight basis for the account of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be for the benefit of any Subsidiary of any Borrower) and to amend or renew Letters of Credit previously issued by 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 and (2) to honor drafts under the Letters of Credit and</w:t>
      </w:r>
    </w:p>
    <w:p>
      <w:pPr>
        <w:spacing w:after="0" w:line="1" w:lineRule="exact"/>
        <w:rPr>
          <w:rFonts w:ascii="Arial" w:cs="Arial" w:eastAsia="Arial" w:hAnsi="Arial"/>
          <w:sz w:val="18"/>
          <w:szCs w:val="18"/>
          <w:color w:val="auto"/>
        </w:rPr>
      </w:pPr>
    </w:p>
    <w:p>
      <w:pPr>
        <w:jc w:val="both"/>
        <w:ind w:left="1500"/>
        <w:spacing w:after="0" w:line="270" w:lineRule="auto"/>
        <w:rPr>
          <w:rFonts w:ascii="Arial" w:cs="Arial" w:eastAsia="Arial" w:hAnsi="Arial"/>
          <w:sz w:val="18"/>
          <w:szCs w:val="18"/>
          <w:color w:val="auto"/>
        </w:rPr>
      </w:pPr>
      <w:r>
        <w:rPr>
          <w:rFonts w:ascii="Arial" w:cs="Arial" w:eastAsia="Arial" w:hAnsi="Arial"/>
          <w:sz w:val="20"/>
          <w:szCs w:val="20"/>
          <w:color w:val="auto"/>
        </w:rPr>
        <w:t xml:space="preserve">(B) the Revolving Credit Lenders severally agree to participate in Letters of Credit issued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L/C Issuer shall be obligated to make any L/C Credit Extension with respect to any Letter of Credit, and no Lender shall be obligated to participate in any Letter of Credit if as of the date of such L/C Credit Extension, (x) the Revolving Credit Exposure of any Lender would exceed such Lender’s Revolving Credit Commitment, (y) the L/C Commitment of any L/C Issuer would exceed such L/C Issuer’s L/C Commitment or (z) the Outstanding Amount of the L/C Obligations would exceed the Letter of Credit Sublimit. Within the foregoing limits, and subject to the terms and conditions hereof, each Borrower’s ability to obtain Letters of Credit shall be fully revolving, and accordingly each Borrower may, during the foregoing period, obtain Letters of Credit to replace Letters of Credit that have expired or that have been drawn upon and reimbursed.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180" w:name="page181"/>
    <w:bookmarkEnd w:id="180"/>
    <w:p>
      <w:pPr>
        <w:ind w:left="3000" w:hanging="858"/>
        <w:spacing w:after="0"/>
        <w:tabs>
          <w:tab w:leader="none" w:pos="3000" w:val="left"/>
        </w:tabs>
        <w:numPr>
          <w:ilvl w:val="2"/>
          <w:numId w:val="126"/>
        </w:numPr>
        <w:rPr>
          <w:rFonts w:ascii="Arial" w:cs="Arial" w:eastAsia="Arial" w:hAnsi="Arial"/>
          <w:sz w:val="20"/>
          <w:szCs w:val="20"/>
          <w:color w:val="auto"/>
        </w:rPr>
      </w:pPr>
      <w:r>
        <w:rPr>
          <w:rFonts w:ascii="Arial" w:cs="Arial" w:eastAsia="Arial" w:hAnsi="Arial"/>
          <w:sz w:val="20"/>
          <w:szCs w:val="20"/>
          <w:color w:val="auto"/>
        </w:rPr>
        <w:t>An L/C Issuer shall be under no obligation to issue any Letter of Credit if:</w:t>
      </w:r>
    </w:p>
    <w:p>
      <w:pPr>
        <w:spacing w:after="0" w:line="94" w:lineRule="exact"/>
        <w:rPr>
          <w:rFonts w:ascii="Arial" w:cs="Arial" w:eastAsia="Arial" w:hAnsi="Arial"/>
          <w:sz w:val="20"/>
          <w:szCs w:val="20"/>
          <w:color w:val="auto"/>
        </w:rPr>
      </w:pPr>
    </w:p>
    <w:p>
      <w:pPr>
        <w:jc w:val="both"/>
        <w:ind w:left="2220" w:firstLine="651"/>
        <w:spacing w:after="0" w:line="286" w:lineRule="auto"/>
        <w:tabs>
          <w:tab w:leader="none" w:pos="3791" w:val="left"/>
        </w:tabs>
        <w:numPr>
          <w:ilvl w:val="3"/>
          <w:numId w:val="126"/>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spacing w:after="0" w:line="195" w:lineRule="exact"/>
        <w:rPr>
          <w:rFonts w:ascii="Arial" w:cs="Arial" w:eastAsia="Arial" w:hAnsi="Arial"/>
          <w:sz w:val="19"/>
          <w:szCs w:val="19"/>
          <w:color w:val="auto"/>
        </w:rPr>
      </w:pPr>
    </w:p>
    <w:p>
      <w:pPr>
        <w:jc w:val="both"/>
        <w:ind w:left="2220" w:right="20" w:firstLine="651"/>
        <w:spacing w:after="0" w:line="278" w:lineRule="auto"/>
        <w:tabs>
          <w:tab w:leader="none" w:pos="3780" w:val="left"/>
        </w:tabs>
        <w:numPr>
          <w:ilvl w:val="3"/>
          <w:numId w:val="126"/>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such requested Letter of Credit would occur more than twelve months after the date of issuance or last renewal, unless the Required Lenders have approved such expiry date;</w:t>
      </w:r>
    </w:p>
    <w:p>
      <w:pPr>
        <w:spacing w:after="0" w:line="200" w:lineRule="exact"/>
        <w:rPr>
          <w:rFonts w:ascii="Arial" w:cs="Arial" w:eastAsia="Arial" w:hAnsi="Arial"/>
          <w:sz w:val="20"/>
          <w:szCs w:val="20"/>
          <w:color w:val="auto"/>
        </w:rPr>
      </w:pPr>
    </w:p>
    <w:p>
      <w:pPr>
        <w:ind w:left="2220" w:right="20" w:firstLine="651"/>
        <w:spacing w:after="0" w:line="289" w:lineRule="auto"/>
        <w:tabs>
          <w:tab w:leader="none" w:pos="3780" w:val="left"/>
        </w:tabs>
        <w:numPr>
          <w:ilvl w:val="3"/>
          <w:numId w:val="126"/>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Expiration Date, unless all the Revolving Credit Lenders have approved such expiry date;</w:t>
      </w:r>
    </w:p>
    <w:p>
      <w:pPr>
        <w:spacing w:after="0" w:line="188" w:lineRule="exact"/>
        <w:rPr>
          <w:rFonts w:ascii="Arial" w:cs="Arial" w:eastAsia="Arial" w:hAnsi="Arial"/>
          <w:sz w:val="20"/>
          <w:szCs w:val="20"/>
          <w:color w:val="auto"/>
        </w:rPr>
      </w:pPr>
    </w:p>
    <w:p>
      <w:pPr>
        <w:ind w:left="3800" w:hanging="929"/>
        <w:spacing w:after="0"/>
        <w:tabs>
          <w:tab w:leader="none" w:pos="3800" w:val="left"/>
        </w:tabs>
        <w:numPr>
          <w:ilvl w:val="3"/>
          <w:numId w:val="126"/>
        </w:numPr>
        <w:rPr>
          <w:rFonts w:ascii="Arial" w:cs="Arial" w:eastAsia="Arial" w:hAnsi="Arial"/>
          <w:sz w:val="18"/>
          <w:szCs w:val="18"/>
          <w:color w:val="auto"/>
        </w:rPr>
      </w:pPr>
      <w:r>
        <w:rPr>
          <w:rFonts w:ascii="Arial" w:cs="Arial" w:eastAsia="Arial" w:hAnsi="Arial"/>
          <w:sz w:val="18"/>
          <w:szCs w:val="18"/>
          <w:color w:val="auto"/>
        </w:rPr>
        <w:t>the issuance of such Letter of Credit would violate any Laws binding upon such L/C Issuer; or</w:t>
      </w:r>
    </w:p>
    <w:p>
      <w:pPr>
        <w:spacing w:after="0" w:line="265" w:lineRule="exact"/>
        <w:rPr>
          <w:rFonts w:ascii="Arial" w:cs="Arial" w:eastAsia="Arial" w:hAnsi="Arial"/>
          <w:sz w:val="18"/>
          <w:szCs w:val="18"/>
          <w:color w:val="auto"/>
        </w:rPr>
      </w:pPr>
    </w:p>
    <w:p>
      <w:pPr>
        <w:jc w:val="both"/>
        <w:ind w:left="2220" w:firstLine="651"/>
        <w:spacing w:after="0" w:line="314" w:lineRule="auto"/>
        <w:tabs>
          <w:tab w:leader="none" w:pos="3769" w:val="left"/>
        </w:tabs>
        <w:numPr>
          <w:ilvl w:val="3"/>
          <w:numId w:val="126"/>
        </w:numPr>
        <w:rPr>
          <w:rFonts w:ascii="Arial" w:cs="Arial" w:eastAsia="Arial" w:hAnsi="Arial"/>
          <w:sz w:val="18"/>
          <w:szCs w:val="18"/>
          <w:color w:val="auto"/>
        </w:rPr>
      </w:pPr>
      <w:r>
        <w:rPr>
          <w:rFonts w:ascii="Arial" w:cs="Arial" w:eastAsia="Arial" w:hAnsi="Arial"/>
          <w:sz w:val="18"/>
          <w:szCs w:val="18"/>
          <w:color w:val="auto"/>
        </w:rPr>
        <w:t xml:space="preserve">any Revolving Credit Lender is a Defaulting Lender at such time, unless such L/C Issuer has entered into arrangements reasonably satisfactory to it and the Borrowers to eliminate such L/C Issuer’s risk (after giving effect to </w:t>
      </w:r>
      <w:r>
        <w:rPr>
          <w:rFonts w:ascii="Arial" w:cs="Arial" w:eastAsia="Arial" w:hAnsi="Arial"/>
          <w:sz w:val="18"/>
          <w:szCs w:val="18"/>
          <w:u w:val="single" w:color="auto"/>
          <w:color w:val="auto"/>
        </w:rPr>
        <w:t>Section 2.17(a)</w:t>
      </w:r>
      <w:r>
        <w:rPr>
          <w:rFonts w:ascii="Arial" w:cs="Arial" w:eastAsia="Arial" w:hAnsi="Arial"/>
          <w:sz w:val="18"/>
          <w:szCs w:val="18"/>
          <w:color w:val="auto"/>
        </w:rPr>
        <w:t>) with respect to the participation in Letters of Credit by such Defaulting Lender, including by cash collateralizing such Defaulting Lender’s Pro Rata Share of the L/C Obligations.</w:t>
      </w:r>
    </w:p>
    <w:p>
      <w:pPr>
        <w:spacing w:after="0" w:line="172" w:lineRule="exact"/>
        <w:rPr>
          <w:rFonts w:ascii="Arial" w:cs="Arial" w:eastAsia="Arial" w:hAnsi="Arial"/>
          <w:sz w:val="18"/>
          <w:szCs w:val="18"/>
          <w:color w:val="auto"/>
        </w:rPr>
      </w:pPr>
    </w:p>
    <w:p>
      <w:pPr>
        <w:jc w:val="both"/>
        <w:ind w:left="1500" w:firstLine="642"/>
        <w:spacing w:after="0" w:line="278" w:lineRule="auto"/>
        <w:tabs>
          <w:tab w:leader="none" w:pos="3066" w:val="left"/>
        </w:tabs>
        <w:numPr>
          <w:ilvl w:val="2"/>
          <w:numId w:val="126"/>
        </w:numPr>
        <w:rPr>
          <w:rFonts w:ascii="Arial" w:cs="Arial" w:eastAsia="Arial" w:hAnsi="Arial"/>
          <w:sz w:val="20"/>
          <w:szCs w:val="20"/>
          <w:color w:val="auto"/>
        </w:rPr>
      </w:pPr>
      <w:r>
        <w:rPr>
          <w:rFonts w:ascii="Arial" w:cs="Arial" w:eastAsia="Arial" w:hAnsi="Arial"/>
          <w:sz w:val="20"/>
          <w:szCs w:val="20"/>
          <w:color w:val="auto"/>
        </w:rPr>
        <w:t>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73" w:lineRule="exact"/>
        <w:rPr>
          <w:rFonts w:ascii="Arial" w:cs="Arial" w:eastAsia="Arial" w:hAnsi="Arial"/>
          <w:sz w:val="20"/>
          <w:szCs w:val="20"/>
          <w:color w:val="auto"/>
        </w:rPr>
      </w:pPr>
    </w:p>
    <w:p>
      <w:pPr>
        <w:ind w:left="1540" w:hanging="614"/>
        <w:spacing w:after="0"/>
        <w:tabs>
          <w:tab w:leader="none" w:pos="154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Auto-Renewal Letters of Credit</w:t>
      </w:r>
      <w:r>
        <w:rPr>
          <w:rFonts w:ascii="Arial" w:cs="Arial" w:eastAsia="Arial" w:hAnsi="Arial"/>
          <w:sz w:val="20"/>
          <w:szCs w:val="20"/>
          <w:color w:val="auto"/>
        </w:rPr>
        <w:t>.</w:t>
      </w:r>
    </w:p>
    <w:p>
      <w:pPr>
        <w:spacing w:after="0" w:line="323" w:lineRule="exact"/>
        <w:rPr>
          <w:rFonts w:ascii="Arial" w:cs="Arial" w:eastAsia="Arial" w:hAnsi="Arial"/>
          <w:sz w:val="20"/>
          <w:szCs w:val="20"/>
          <w:color w:val="auto"/>
        </w:rPr>
      </w:pPr>
    </w:p>
    <w:p>
      <w:pPr>
        <w:jc w:val="both"/>
        <w:ind w:left="1480" w:firstLine="648"/>
        <w:spacing w:after="0" w:line="285" w:lineRule="auto"/>
        <w:tabs>
          <w:tab w:leader="none" w:pos="2963" w:val="left"/>
        </w:tabs>
        <w:numPr>
          <w:ilvl w:val="1"/>
          <w:numId w:val="127"/>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any Borrower delivered to an L/C Issuer (with a copy to the Administrative Agent) in the form of a Letter of Credit Application, appropriately completed and signed by a Responsible Officer of the relevant Borrower. Such Letter of Credit Application must be received by the relevant L/C Issuer and the Administrative Agent not later than 12:00 p.m. at least two (2)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thereof; (c) the expiry date thereof; (d) the name and address of the beneficiary thereof; (e) the documents to be presented by such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81" w:name="page182"/>
    <w:bookmarkEnd w:id="181"/>
    <w:p>
      <w:pPr>
        <w:jc w:val="both"/>
        <w:ind w:left="1480"/>
        <w:spacing w:after="0" w:line="288" w:lineRule="auto"/>
        <w:rPr>
          <w:sz w:val="20"/>
          <w:szCs w:val="20"/>
          <w:color w:val="auto"/>
        </w:rPr>
      </w:pPr>
      <w:r>
        <w:rPr>
          <w:rFonts w:ascii="Arial" w:cs="Arial" w:eastAsia="Arial" w:hAnsi="Arial"/>
          <w:sz w:val="19"/>
          <w:szCs w:val="19"/>
          <w:color w:val="auto"/>
        </w:rPr>
        <w:t>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w:t>
      </w:r>
    </w:p>
    <w:p>
      <w:pPr>
        <w:spacing w:after="0" w:line="183" w:lineRule="exact"/>
        <w:rPr>
          <w:sz w:val="20"/>
          <w:szCs w:val="20"/>
          <w:color w:val="auto"/>
        </w:rPr>
      </w:pPr>
    </w:p>
    <w:p>
      <w:pPr>
        <w:jc w:val="both"/>
        <w:ind w:left="1500" w:firstLine="642"/>
        <w:spacing w:after="0" w:line="345" w:lineRule="auto"/>
        <w:tabs>
          <w:tab w:leader="none" w:pos="301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Promptly after receipt of any Letter of Credit Application, the relevant L/C Issuer will confirm with the Administrative Agent (by telephone or in writing) that the Administrative Agent has received a copy of such Letter of Credit Application from any Borrower and, if not, such L/C Issuer will provide the Administrative Agent with a copy thereof. Upon receipt by the relevant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relevant Borrower or enter into the applicable amendment, as the case may be. Immediately upon the issuance of each Letter of Credit, each Revolving Credit Lender shall be deemed to, and hereby irrevocably and unconditionally agrees to, purchase from the relevant L/C Issuer a risk participation in such Letter of Credit in an amount equal to the product of such Lender’s Pro Rata Share times the amount of such Letter of Credit.</w:t>
      </w:r>
    </w:p>
    <w:p>
      <w:pPr>
        <w:spacing w:after="0" w:line="159" w:lineRule="exact"/>
        <w:rPr>
          <w:sz w:val="20"/>
          <w:szCs w:val="20"/>
          <w:color w:val="auto"/>
        </w:rPr>
      </w:pPr>
    </w:p>
    <w:p>
      <w:pPr>
        <w:jc w:val="both"/>
        <w:ind w:left="1480" w:firstLine="648"/>
        <w:spacing w:after="0" w:line="284" w:lineRule="auto"/>
        <w:tabs>
          <w:tab w:leader="none" w:pos="307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any Borrower so requests in any applicable Letter of Credit Application, the relevant L/C Issuer shall agree to issue a Letter of Credit that has automatic renewal provisions (each, an “</w:t>
      </w:r>
      <w:r>
        <w:rPr>
          <w:rFonts w:ascii="Arial" w:cs="Arial" w:eastAsia="Arial" w:hAnsi="Arial"/>
          <w:sz w:val="19"/>
          <w:szCs w:val="19"/>
          <w:u w:val="single" w:color="auto"/>
          <w:color w:val="auto"/>
        </w:rPr>
        <w:t>Auto-Renewal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Auto-Renewal Letter of Credit must permit the relevant L/C Issuer to prevent any such renewal at least once in each twelve 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Nonrenewal Notice Date</w:t>
      </w:r>
      <w:r>
        <w:rPr>
          <w:rFonts w:ascii="Arial" w:cs="Arial" w:eastAsia="Arial" w:hAnsi="Arial"/>
          <w:sz w:val="19"/>
          <w:szCs w:val="19"/>
          <w:color w:val="auto"/>
        </w:rPr>
        <w:t xml:space="preserve">”) in each such twelve month period to be agreed upon at the time such Letter of Credit is issued. Unless otherwise directed by the relevant L/C Issuer, the relevant Borrower shall not be required to make a specific request to the relevant L/C Issuer for any such renewal. Once an Auto-Renewal Letter of Credit has been issued, the Lenders shall be deemed to have authorized (but may not require) the relevant L/C Issuer to permit the renewal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Arial" w:cs="Arial" w:eastAsia="Arial" w:hAnsi="Arial"/>
          <w:sz w:val="19"/>
          <w:szCs w:val="19"/>
          <w:u w:val="single" w:color="auto"/>
          <w:color w:val="auto"/>
        </w:rPr>
        <w:t>Section 2.03(a)(ii)</w:t>
      </w:r>
      <w:r>
        <w:rPr>
          <w:rFonts w:ascii="Arial" w:cs="Arial" w:eastAsia="Arial" w:hAnsi="Arial"/>
          <w:sz w:val="19"/>
          <w:szCs w:val="19"/>
          <w:color w:val="auto"/>
        </w:rPr>
        <w:t xml:space="preserve"> or otherwise), or (B) it has received notice (which may be by telephone or in writing) on or before the day that is five (5) Business Days before the Nonrenewal Notice Date from the Administrative Agent, any Revolving Credit Lender or the relevant Borrower that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w:t>
      </w:r>
    </w:p>
    <w:p>
      <w:pPr>
        <w:spacing w:after="0" w:line="186" w:lineRule="exact"/>
        <w:rPr>
          <w:rFonts w:ascii="Arial" w:cs="Arial" w:eastAsia="Arial" w:hAnsi="Arial"/>
          <w:sz w:val="19"/>
          <w:szCs w:val="19"/>
          <w:color w:val="auto"/>
        </w:rPr>
      </w:pPr>
    </w:p>
    <w:p>
      <w:pPr>
        <w:jc w:val="both"/>
        <w:ind w:left="1500" w:firstLine="642"/>
        <w:spacing w:after="0" w:line="299" w:lineRule="auto"/>
        <w:tabs>
          <w:tab w:leader="none" w:pos="305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relevant L/C Issuer will also deliver to the relevant Borrower and the Administrative Agent a true and complete copy of such Letter of Credit or amendment.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182" w:name="page183"/>
    <w:bookmarkEnd w:id="182"/>
    <w:p>
      <w:pPr>
        <w:ind w:left="1760" w:hanging="834"/>
        <w:spacing w:after="0"/>
        <w:tabs>
          <w:tab w:leader="none" w:pos="176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480" w:firstLine="648"/>
        <w:spacing w:after="0" w:line="301" w:lineRule="auto"/>
        <w:tabs>
          <w:tab w:leader="none" w:pos="296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relevant L/C Issuer shall notify promptly the relevant Borrower and the Administrative Agent thereof. Not later than 11:00 a.m. on the second Business Day following any payment by an L/C Issuer under a Letter of Credit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Borrowers shall reimburse such L/C Issuer through the Administrative Agent in an amount equal to the amount of such drawing, together with interest on the amount so paid or disbursed by such L/C Issuer, to the extent not reimbursed on the date of such payment of disbursement. If the Borrowers do not reimburse such L/C Issuer by such time, the Administrative Agent shall promptly notify each Appropriate Lender of the Honor Date, the amount of the unreimbursed drawing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Appropriate Lender’s Pro Rata Share thereof. In such event, the Borrowers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Revolving Credit Commitments of the Appropriate Lenders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 Any notice given by an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84" w:lineRule="exact"/>
        <w:rPr>
          <w:rFonts w:ascii="Arial" w:cs="Arial" w:eastAsia="Arial" w:hAnsi="Arial"/>
          <w:sz w:val="18"/>
          <w:szCs w:val="18"/>
          <w:color w:val="auto"/>
        </w:rPr>
      </w:pPr>
    </w:p>
    <w:p>
      <w:pPr>
        <w:jc w:val="both"/>
        <w:ind w:left="1500" w:firstLine="642"/>
        <w:spacing w:after="0" w:line="271" w:lineRule="auto"/>
        <w:tabs>
          <w:tab w:leader="none" w:pos="3011" w:val="left"/>
        </w:tabs>
        <w:numPr>
          <w:ilvl w:val="2"/>
          <w:numId w:val="130"/>
        </w:numPr>
        <w:rPr>
          <w:rFonts w:ascii="Arial" w:cs="Arial" w:eastAsia="Arial" w:hAnsi="Arial"/>
          <w:sz w:val="20"/>
          <w:szCs w:val="20"/>
          <w:color w:val="auto"/>
        </w:rPr>
      </w:pPr>
      <w:r>
        <w:rPr>
          <w:rFonts w:ascii="Arial" w:cs="Arial" w:eastAsia="Arial" w:hAnsi="Arial"/>
          <w:sz w:val="20"/>
          <w:szCs w:val="20"/>
          <w:color w:val="auto"/>
        </w:rPr>
        <w:t xml:space="preserve">Each Appropriate Lender (including any Appropriate Lender acting as an L/C Issuer) shall upon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to the Administrative Agent for the account of the relevant L/C Issuer, in Dollars, at the Administrative Agent’s Office for payments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Appropriate Lender that so makes funds available shall be deemed to have made a Base Rate Loan to the Borrowers in such amount. The Administrative Agent shall remit the funds so received to the relevant L/C Issuer.</w:t>
      </w:r>
    </w:p>
    <w:p>
      <w:pPr>
        <w:spacing w:after="0" w:line="194" w:lineRule="exact"/>
        <w:rPr>
          <w:rFonts w:ascii="Arial" w:cs="Arial" w:eastAsia="Arial" w:hAnsi="Arial"/>
          <w:sz w:val="20"/>
          <w:szCs w:val="20"/>
          <w:color w:val="auto"/>
        </w:rPr>
      </w:pPr>
    </w:p>
    <w:p>
      <w:pPr>
        <w:jc w:val="both"/>
        <w:ind w:left="1500" w:firstLine="642"/>
        <w:spacing w:after="0" w:line="270" w:lineRule="auto"/>
        <w:tabs>
          <w:tab w:leader="none" w:pos="3066" w:val="left"/>
        </w:tabs>
        <w:numPr>
          <w:ilvl w:val="2"/>
          <w:numId w:val="130"/>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Revolving Credit Borrowing of Base Rate Loans because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cannot be satisfied or for any other reason, the Borrowers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Appropriate Lender’s payment to the Administrative Agent for the account of the relevant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1500" w:firstLine="642"/>
        <w:spacing w:after="0" w:line="299" w:lineRule="auto"/>
        <w:tabs>
          <w:tab w:leader="none" w:pos="3055" w:val="left"/>
        </w:tabs>
        <w:numPr>
          <w:ilvl w:val="2"/>
          <w:numId w:val="130"/>
        </w:numPr>
        <w:rPr>
          <w:rFonts w:ascii="Arial" w:cs="Arial" w:eastAsia="Arial" w:hAnsi="Arial"/>
          <w:sz w:val="19"/>
          <w:szCs w:val="19"/>
          <w:color w:val="auto"/>
        </w:rPr>
      </w:pPr>
      <w:r>
        <w:rPr>
          <w:rFonts w:ascii="Arial" w:cs="Arial" w:eastAsia="Arial" w:hAnsi="Arial"/>
          <w:sz w:val="19"/>
          <w:szCs w:val="19"/>
          <w:color w:val="auto"/>
        </w:rPr>
        <w:t xml:space="preserve">Until each Appropriate Lender funds its Revolving Credit Loan or L/C Advance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to reimburse the relevant L/C Issuer for any amount drawn under any Letter of Credit, interest in respect of such Lender’s Pro Rata Share of such amount shall be solely for the account of the relevant L/C Issuer.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58" w:right="239" w:bottom="1440" w:gutter="0" w:footer="0" w:header="0"/>
        </w:sectPr>
      </w:pPr>
    </w:p>
    <w:bookmarkStart w:id="183" w:name="page184"/>
    <w:bookmarkEnd w:id="183"/>
    <w:p>
      <w:pPr>
        <w:jc w:val="both"/>
        <w:ind w:left="1500" w:firstLine="642"/>
        <w:spacing w:after="0" w:line="285" w:lineRule="auto"/>
        <w:tabs>
          <w:tab w:leader="none" w:pos="3000" w:val="left"/>
        </w:tabs>
        <w:numPr>
          <w:ilvl w:val="2"/>
          <w:numId w:val="131"/>
        </w:numPr>
        <w:rPr>
          <w:rFonts w:ascii="Arial" w:cs="Arial" w:eastAsia="Arial" w:hAnsi="Arial"/>
          <w:sz w:val="19"/>
          <w:szCs w:val="19"/>
          <w:color w:val="auto"/>
        </w:rPr>
      </w:pPr>
      <w:r>
        <w:rPr>
          <w:rFonts w:ascii="Arial" w:cs="Arial" w:eastAsia="Arial" w:hAnsi="Arial"/>
          <w:sz w:val="19"/>
          <w:szCs w:val="19"/>
          <w:color w:val="auto"/>
        </w:rPr>
        <w:t xml:space="preserve">Each Revolving Credit Lender’s obligation to make Revolving Credit Loans or L/C Advances to reimburse an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relevant L/C Issuer, any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Revolving Credit Lender’s obligation to make Revolving Credit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Company of a Committed Loan Notice). No such making of an L/C Advance shall relieve or otherwise impair the obligation of the Borrowers to reimburse the relevant L/C Issuer for the amount of any payment made by such L/C Issuer under any Letter of Credit, together with interest as provided herein.</w:t>
      </w:r>
    </w:p>
    <w:p>
      <w:pPr>
        <w:spacing w:after="0" w:line="187" w:lineRule="exact"/>
        <w:rPr>
          <w:rFonts w:ascii="Arial" w:cs="Arial" w:eastAsia="Arial" w:hAnsi="Arial"/>
          <w:sz w:val="19"/>
          <w:szCs w:val="19"/>
          <w:color w:val="auto"/>
        </w:rPr>
      </w:pPr>
    </w:p>
    <w:p>
      <w:pPr>
        <w:jc w:val="both"/>
        <w:ind w:left="1500" w:firstLine="642"/>
        <w:spacing w:after="0" w:line="286" w:lineRule="auto"/>
        <w:tabs>
          <w:tab w:leader="none" w:pos="3055" w:val="left"/>
        </w:tabs>
        <w:numPr>
          <w:ilvl w:val="2"/>
          <w:numId w:val="131"/>
        </w:numPr>
        <w:rPr>
          <w:rFonts w:ascii="Arial" w:cs="Arial" w:eastAsia="Arial" w:hAnsi="Arial"/>
          <w:sz w:val="19"/>
          <w:szCs w:val="19"/>
          <w:color w:val="auto"/>
        </w:rPr>
      </w:pPr>
      <w:r>
        <w:rPr>
          <w:rFonts w:ascii="Arial" w:cs="Arial" w:eastAsia="Arial" w:hAnsi="Arial"/>
          <w:sz w:val="19"/>
          <w:szCs w:val="19"/>
          <w:color w:val="auto"/>
        </w:rPr>
        <w:t xml:space="preserve">If any Revolving Credit Lender fails to make available to the Administrative Agent for the account of the relevant L/C Issuer any amount required to be paid by such Lender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Federal Funds Rate from time to time in effect. A certificate of the relevant L/C Issuer submitted to any Revolving Credit Lender (through the Administrative Agent) with respect to any amounts owing under this </w:t>
      </w:r>
      <w:r>
        <w:rPr>
          <w:rFonts w:ascii="Arial" w:cs="Arial" w:eastAsia="Arial" w:hAnsi="Arial"/>
          <w:sz w:val="19"/>
          <w:szCs w:val="19"/>
          <w:u w:val="single" w:color="auto"/>
          <w:color w:val="auto"/>
        </w:rPr>
        <w:t>Section 2.03(c)(vi)</w:t>
      </w:r>
      <w:r>
        <w:rPr>
          <w:rFonts w:ascii="Arial" w:cs="Arial" w:eastAsia="Arial" w:hAnsi="Arial"/>
          <w:sz w:val="19"/>
          <w:szCs w:val="19"/>
          <w:color w:val="auto"/>
        </w:rPr>
        <w:t xml:space="preserve"> shall be conclusive absent manifest error.</w:t>
      </w:r>
    </w:p>
    <w:p>
      <w:pPr>
        <w:spacing w:after="0" w:line="172" w:lineRule="exact"/>
        <w:rPr>
          <w:rFonts w:ascii="Arial" w:cs="Arial" w:eastAsia="Arial" w:hAnsi="Arial"/>
          <w:sz w:val="19"/>
          <w:szCs w:val="19"/>
          <w:color w:val="auto"/>
        </w:rPr>
      </w:pPr>
    </w:p>
    <w:p>
      <w:pPr>
        <w:ind w:left="1540" w:hanging="614"/>
        <w:spacing w:after="0"/>
        <w:tabs>
          <w:tab w:leader="none" w:pos="1540" w:val="left"/>
        </w:tabs>
        <w:numPr>
          <w:ilvl w:val="1"/>
          <w:numId w:val="132"/>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500" w:firstLine="642"/>
        <w:spacing w:after="0" w:line="287" w:lineRule="auto"/>
        <w:tabs>
          <w:tab w:leader="none" w:pos="2956" w:val="left"/>
        </w:tabs>
        <w:numPr>
          <w:ilvl w:val="2"/>
          <w:numId w:val="132"/>
        </w:numPr>
        <w:rPr>
          <w:rFonts w:ascii="Arial" w:cs="Arial" w:eastAsia="Arial" w:hAnsi="Arial"/>
          <w:sz w:val="19"/>
          <w:szCs w:val="19"/>
          <w:color w:val="auto"/>
        </w:rPr>
      </w:pPr>
      <w:r>
        <w:rPr>
          <w:rFonts w:ascii="Arial" w:cs="Arial" w:eastAsia="Arial" w:hAnsi="Arial"/>
          <w:sz w:val="19"/>
          <w:szCs w:val="19"/>
          <w:color w:val="auto"/>
        </w:rPr>
        <w:t xml:space="preserve">If, at any time after an L/C Issuer has made a payment under any Letter of Credit and has received from any Revolving Credit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196" w:lineRule="exact"/>
        <w:rPr>
          <w:rFonts w:ascii="Arial" w:cs="Arial" w:eastAsia="Arial" w:hAnsi="Arial"/>
          <w:sz w:val="19"/>
          <w:szCs w:val="19"/>
          <w:color w:val="auto"/>
        </w:rPr>
      </w:pPr>
    </w:p>
    <w:p>
      <w:pPr>
        <w:jc w:val="both"/>
        <w:ind w:left="1500" w:firstLine="642"/>
        <w:spacing w:after="0" w:line="272" w:lineRule="auto"/>
        <w:tabs>
          <w:tab w:leader="none" w:pos="3011" w:val="left"/>
        </w:tabs>
        <w:numPr>
          <w:ilvl w:val="2"/>
          <w:numId w:val="132"/>
        </w:numPr>
        <w:rPr>
          <w:rFonts w:ascii="Arial" w:cs="Arial" w:eastAsia="Arial" w:hAnsi="Arial"/>
          <w:sz w:val="20"/>
          <w:szCs w:val="20"/>
          <w:color w:val="auto"/>
        </w:rPr>
      </w:pPr>
      <w:r>
        <w:rPr>
          <w:rFonts w:ascii="Arial" w:cs="Arial" w:eastAsia="Arial" w:hAnsi="Arial"/>
          <w:sz w:val="20"/>
          <w:szCs w:val="20"/>
          <w:color w:val="auto"/>
        </w:rPr>
        <w:t xml:space="preserve">If any payment received by the Administrative Agent for the account of an L/C Issuer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2.03(c)(i)</w:t>
      </w:r>
      <w:r>
        <w:rPr>
          <w:rFonts w:ascii="Arial" w:cs="Arial" w:eastAsia="Arial" w:hAnsi="Arial"/>
          <w:sz w:val="20"/>
          <w:szCs w:val="20"/>
          <w:color w:val="auto"/>
        </w:rPr>
        <w:t xml:space="preserve"> is required to be returned under any of the circumstances described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(including pursuant to any settlement entered into by such L/C Issuer in its discretion), each Appropriate Lender shall pay to the Administrative Agent for the account of such L/C Issuer its Pro Rata Share thereof on demand of the Administrative Agent, plus interest thereon from the date of such demand to the date such amount is returned by such Lender, at a rate per annum equal to the Federal Funds Rate from time to time in effect.</w:t>
      </w:r>
    </w:p>
    <w:p>
      <w:pPr>
        <w:spacing w:after="0" w:line="205" w:lineRule="exact"/>
        <w:rPr>
          <w:rFonts w:ascii="Arial" w:cs="Arial" w:eastAsia="Arial" w:hAnsi="Arial"/>
          <w:sz w:val="20"/>
          <w:szCs w:val="20"/>
          <w:color w:val="auto"/>
        </w:rPr>
      </w:pPr>
    </w:p>
    <w:p>
      <w:pPr>
        <w:jc w:val="both"/>
        <w:ind w:left="340" w:firstLine="559"/>
        <w:spacing w:after="0" w:line="278" w:lineRule="auto"/>
        <w:tabs>
          <w:tab w:leader="none" w:pos="1532"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84" w:name="page185"/>
    <w:bookmarkEnd w:id="184"/>
    <w:p>
      <w:pPr>
        <w:ind w:left="1500" w:firstLine="642"/>
        <w:spacing w:after="0" w:line="289" w:lineRule="auto"/>
        <w:tabs>
          <w:tab w:leader="none" w:pos="295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agreement or instrument relating thereto;</w:t>
      </w:r>
    </w:p>
    <w:p>
      <w:pPr>
        <w:spacing w:after="0" w:line="175" w:lineRule="exact"/>
        <w:rPr>
          <w:rFonts w:ascii="Arial" w:cs="Arial" w:eastAsia="Arial" w:hAnsi="Arial"/>
          <w:sz w:val="20"/>
          <w:szCs w:val="20"/>
          <w:color w:val="auto"/>
        </w:rPr>
      </w:pPr>
    </w:p>
    <w:p>
      <w:pPr>
        <w:jc w:val="both"/>
        <w:ind w:left="1500" w:firstLine="642"/>
        <w:spacing w:after="0" w:line="273" w:lineRule="auto"/>
        <w:tabs>
          <w:tab w:leader="none" w:pos="301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spacing w:after="0" w:line="204" w:lineRule="exact"/>
        <w:rPr>
          <w:rFonts w:ascii="Arial" w:cs="Arial" w:eastAsia="Arial" w:hAnsi="Arial"/>
          <w:sz w:val="20"/>
          <w:szCs w:val="20"/>
          <w:color w:val="auto"/>
        </w:rPr>
      </w:pPr>
    </w:p>
    <w:p>
      <w:pPr>
        <w:jc w:val="both"/>
        <w:ind w:left="1500" w:firstLine="642"/>
        <w:spacing w:after="0" w:line="274" w:lineRule="auto"/>
        <w:tabs>
          <w:tab w:leader="none" w:pos="3066"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205" w:lineRule="exact"/>
        <w:rPr>
          <w:rFonts w:ascii="Arial" w:cs="Arial" w:eastAsia="Arial" w:hAnsi="Arial"/>
          <w:sz w:val="20"/>
          <w:szCs w:val="20"/>
          <w:color w:val="auto"/>
        </w:rPr>
      </w:pPr>
    </w:p>
    <w:p>
      <w:pPr>
        <w:jc w:val="both"/>
        <w:ind w:left="1500" w:firstLine="642"/>
        <w:spacing w:after="0" w:line="310" w:lineRule="auto"/>
        <w:tabs>
          <w:tab w:leader="none" w:pos="30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5" w:lineRule="exact"/>
        <w:rPr>
          <w:rFonts w:ascii="Arial" w:cs="Arial" w:eastAsia="Arial" w:hAnsi="Arial"/>
          <w:sz w:val="18"/>
          <w:szCs w:val="18"/>
          <w:color w:val="auto"/>
        </w:rPr>
      </w:pPr>
    </w:p>
    <w:p>
      <w:pPr>
        <w:jc w:val="both"/>
        <w:ind w:left="1500" w:right="20" w:firstLine="642"/>
        <w:spacing w:after="0" w:line="278" w:lineRule="auto"/>
        <w:tabs>
          <w:tab w:leader="none" w:pos="30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exchange, release or nonperfection of any Collateral, or any release or amendment or waiver of or consent to departure from the Guaranty or any other guarantee, for all or any of the Obligations any Loan Party in respect of such Letter of Credit; or</w:t>
      </w:r>
    </w:p>
    <w:p>
      <w:pPr>
        <w:spacing w:after="0" w:line="186" w:lineRule="exact"/>
        <w:rPr>
          <w:rFonts w:ascii="Arial" w:cs="Arial" w:eastAsia="Arial" w:hAnsi="Arial"/>
          <w:sz w:val="20"/>
          <w:szCs w:val="20"/>
          <w:color w:val="auto"/>
        </w:rPr>
      </w:pPr>
    </w:p>
    <w:p>
      <w:pPr>
        <w:ind w:left="1500" w:firstLine="642"/>
        <w:spacing w:after="0" w:line="347" w:lineRule="auto"/>
        <w:tabs>
          <w:tab w:leader="none" w:pos="30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any Loan Party;</w:t>
      </w:r>
    </w:p>
    <w:p>
      <w:pPr>
        <w:spacing w:after="0" w:line="131" w:lineRule="exact"/>
        <w:rPr>
          <w:sz w:val="20"/>
          <w:szCs w:val="20"/>
          <w:color w:val="auto"/>
        </w:rPr>
      </w:pPr>
    </w:p>
    <w:p>
      <w:pPr>
        <w:jc w:val="both"/>
        <w:ind w:left="900"/>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L/C Issuer from liability to any Borrower to the extent of any direct damages (as opposed to special, punitive, indirect or consequential damages, claims in respect of which are waived by each Borrower to the extent permitted by applicable Law) suffered by such Borrower that are caused by such L/C Issuer’s gross negligence or willful misconduct (in each case, as determined by a court of competent jurisdiction in a final and non- appealable judgment) when determining whether drafts and other documents presented under a Letter of Credit comply with the terms thereof.</w:t>
      </w:r>
    </w:p>
    <w:p>
      <w:pPr>
        <w:spacing w:after="0" w:line="192" w:lineRule="exact"/>
        <w:rPr>
          <w:sz w:val="20"/>
          <w:szCs w:val="20"/>
          <w:color w:val="auto"/>
        </w:rPr>
      </w:pPr>
    </w:p>
    <w:p>
      <w:pPr>
        <w:jc w:val="both"/>
        <w:ind w:left="280" w:firstLine="646"/>
        <w:spacing w:after="0" w:line="285" w:lineRule="auto"/>
        <w:tabs>
          <w:tab w:leader="none" w:pos="177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Role of L/C Issuers</w:t>
      </w:r>
      <w:r>
        <w:rPr>
          <w:rFonts w:ascii="Arial" w:cs="Arial" w:eastAsia="Arial" w:hAnsi="Arial"/>
          <w:sz w:val="19"/>
          <w:szCs w:val="19"/>
          <w:color w:val="auto"/>
        </w:rPr>
        <w:t xml:space="preserve">. Each Lender and each Borrower agree that, in paying any drawing under a Letter of Credit, the relevant L/C Issuer shall not have any responsibility to obtain any document (other than any draft, demand, certificate or other document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Letter of Credit Application. Each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assumption is not intended to, and shall not, preclude such Borrower’s pursuing such rights and remedies as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85" w:name="page186"/>
    <w:bookmarkEnd w:id="185"/>
    <w:p>
      <w:pPr>
        <w:jc w:val="both"/>
        <w:ind w:left="280"/>
        <w:spacing w:after="0" w:line="284" w:lineRule="auto"/>
        <w:rPr>
          <w:sz w:val="20"/>
          <w:szCs w:val="20"/>
          <w:color w:val="auto"/>
        </w:rPr>
      </w:pPr>
      <w:r>
        <w:rPr>
          <w:rFonts w:ascii="Arial" w:cs="Arial" w:eastAsia="Arial" w:hAnsi="Arial"/>
          <w:sz w:val="19"/>
          <w:szCs w:val="19"/>
          <w:color w:val="auto"/>
        </w:rPr>
        <w:t xml:space="preserve">it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clauses (i) through (vi)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anything in such clauses to the contrary notwithstanding, any Borrower may have a claim against an L/C Issuer, and such L/C Issuer may be liable to such Borrower, to the extent, but only to the extent, of any direct, as opposed to special, punitive, indirect, consequential or exemplary damages suffered by such Borrower which such Borrower proves were caused by such L/C Issuer’s willful misconduct or gross negligence or such L/C Issuer’s willful or grossly negligent failure to pay under any Letter of Credit after the presentation to it by the beneficiary of a draft, demand, certificate or other document strictly complying with the terms and conditions of a Letter of Credit (in each case, as determined by a court of competent jurisdiction in a final and non-appealable judgment).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4" w:lineRule="exact"/>
        <w:rPr>
          <w:sz w:val="20"/>
          <w:szCs w:val="20"/>
          <w:color w:val="auto"/>
        </w:rPr>
      </w:pPr>
    </w:p>
    <w:p>
      <w:pPr>
        <w:jc w:val="both"/>
        <w:ind w:left="280" w:firstLine="646"/>
        <w:spacing w:after="0" w:line="299" w:lineRule="auto"/>
        <w:tabs>
          <w:tab w:leader="none" w:pos="180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 If any Event of Default occurs and is continuing and the Administrative Agent or the Required Lenders, as applicable, require the Borrowers to Cash Collateralize the L/C Obligations pursuant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or (ii) an Event of Default set forth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occurs and is continuing, then the Borrowers shall Cash Collateralize the then Outstanding Amount of all L/C Obligations (in an amount equal to such Outstanding Amount determined as of the date of such Event of Default), and shall do so not later than 2:00 p.m. on (x) in the case of the immediately preceding clause (i), (1) the Business Day that the Borrowers receive notice thereof, if such notice is received on such day prior to 12:00 Noon, or (2) if clause (1) above does not apply, the Business Day immediately following the day that the Borrowers receive such notice and (y) in the case of the immediately preceding clause (ii), the Business Day on which an Event of Default set forth under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occurs or, if such day is not a Business Day, the Business Day immediately succeeding such day. For purposes hereof, “</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relevant L/C Issuer and the Lenders, as collateral for the L/C Obligations, cash or deposit account balances (“</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pursuant to documentation in form and substance reasonably satisfactory to the Administrative Agent and the relevant L/C Issuer (which documents are hereby consented to by the Lenders). Derivatives of such term have corresponding meanings. Each Borrower hereby grants to the Administrative Agent, for the benefit of the L/C Issuers and the Lenders, a security interest in all such cash, deposit accounts and all balances therein and all proceeds of the foregoing. Cash Collateral shall be maintained in blocked accounts at the Administrative Agent and may be invested in readily available Cash Equivalents.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Borrowers will, forthwith upon demand by the Administrative Agent, pay to the Administrative Agent, as additional funds to be deposited and held in the deposit accounts at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and so long as no Event of Default has occurred and is continuing, the excess shall be refunded to the Borrowers. To the extent any Event of Default giving rise to the requirement to Cash Collateralize any Letter of Credit pursuant to this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is cured or otherwise waived by the Required Lenders, then so long as no other Event of Default has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86" w:name="page187"/>
    <w:bookmarkEnd w:id="186"/>
    <w:p>
      <w:pPr>
        <w:ind w:left="280"/>
        <w:spacing w:after="0"/>
        <w:rPr>
          <w:sz w:val="20"/>
          <w:szCs w:val="20"/>
          <w:color w:val="auto"/>
        </w:rPr>
      </w:pPr>
      <w:r>
        <w:rPr>
          <w:rFonts w:ascii="Arial" w:cs="Arial" w:eastAsia="Arial" w:hAnsi="Arial"/>
          <w:sz w:val="18"/>
          <w:szCs w:val="18"/>
          <w:color w:val="auto"/>
        </w:rPr>
        <w:t>occurred and is continuing, all Cash Collateral pledged to Cash Collateralize such Letter of Credit shall be refunded to the Borrowers.</w:t>
      </w:r>
    </w:p>
    <w:p>
      <w:pPr>
        <w:spacing w:after="0" w:line="279" w:lineRule="exact"/>
        <w:rPr>
          <w:sz w:val="20"/>
          <w:szCs w:val="20"/>
          <w:color w:val="auto"/>
        </w:rPr>
      </w:pPr>
    </w:p>
    <w:p>
      <w:pPr>
        <w:jc w:val="both"/>
        <w:ind w:left="280" w:firstLine="646"/>
        <w:spacing w:after="0" w:line="270" w:lineRule="auto"/>
        <w:tabs>
          <w:tab w:leader="none" w:pos="180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The Borrowers shall pay to the Administrative Agent, for the account of each Revolving Credit Lender in accordance with its Pro Rata Share, a Letter of Credit fee for each Letter of Credit issued pursuant to this Agreement equal to the Applicable Rate times the daily maximum amount then available to be drawn under such Letter of Credit (determined without regard to whether any conditions to drawing could then be met). Such Letter of Credit fees shall be computed on a quarterly basis in arrears. Such Letter of Credit fees shall be due and payable in Dollars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210" w:lineRule="exact"/>
        <w:rPr>
          <w:rFonts w:ascii="Arial" w:cs="Arial" w:eastAsia="Arial" w:hAnsi="Arial"/>
          <w:sz w:val="20"/>
          <w:szCs w:val="20"/>
          <w:color w:val="auto"/>
        </w:rPr>
      </w:pPr>
    </w:p>
    <w:p>
      <w:pPr>
        <w:jc w:val="both"/>
        <w:ind w:left="280" w:firstLine="646"/>
        <w:spacing w:after="0" w:line="303" w:lineRule="auto"/>
        <w:tabs>
          <w:tab w:leader="none" w:pos="1763"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Issuers</w:t>
      </w:r>
      <w:r>
        <w:rPr>
          <w:rFonts w:ascii="Arial" w:cs="Arial" w:eastAsia="Arial" w:hAnsi="Arial"/>
          <w:sz w:val="18"/>
          <w:szCs w:val="18"/>
          <w:color w:val="auto"/>
        </w:rPr>
        <w:t>. The relevant Borrower shall pay directly to each L/C Issuer, for its own account, a fronting fee with respect to each Letter of Credit issued by it equal to 0.125% per annum of the daily maximum amount then available to be drawn under such Letter of Credit (determined without regard to whether any conditions to drawing could then be met). Such fronting fees shall be (x) computed on a quarterly basis in arrears and (y) due and payable on the first Business Day after the end of each March, June, September and December, commencing with the first such date to occur after the issuance of such Letter of Credit, on the Letter of Credit Expiration Date and thereafter on demand. In addition, the relevant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spacing w:after="0" w:line="173" w:lineRule="exact"/>
        <w:rPr>
          <w:rFonts w:ascii="Arial" w:cs="Arial" w:eastAsia="Arial" w:hAnsi="Arial"/>
          <w:sz w:val="18"/>
          <w:szCs w:val="18"/>
          <w:color w:val="auto"/>
        </w:rPr>
      </w:pPr>
    </w:p>
    <w:p>
      <w:pPr>
        <w:ind w:left="280" w:right="20" w:firstLine="646"/>
        <w:spacing w:after="0" w:line="287" w:lineRule="auto"/>
        <w:tabs>
          <w:tab w:leader="none" w:pos="129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Conflict with Letter of Credit Application</w:t>
      </w:r>
      <w:r>
        <w:rPr>
          <w:rFonts w:ascii="Arial" w:cs="Arial" w:eastAsia="Arial" w:hAnsi="Arial"/>
          <w:sz w:val="19"/>
          <w:szCs w:val="19"/>
          <w:color w:val="auto"/>
        </w:rPr>
        <w:t>. Notwithstanding anything else to the contrary in this Agreement, in the event of any conflict between the terms hereof and the terms of any Letter of Credit Application, the terms hereof shall control.</w:t>
      </w:r>
    </w:p>
    <w:p>
      <w:pPr>
        <w:spacing w:after="0" w:line="152" w:lineRule="exact"/>
        <w:rPr>
          <w:rFonts w:ascii="Arial" w:cs="Arial" w:eastAsia="Arial" w:hAnsi="Arial"/>
          <w:sz w:val="19"/>
          <w:szCs w:val="19"/>
          <w:color w:val="auto"/>
        </w:rPr>
      </w:pPr>
    </w:p>
    <w:p>
      <w:pPr>
        <w:jc w:val="both"/>
        <w:ind w:left="280" w:firstLine="646"/>
        <w:spacing w:after="0" w:line="250" w:lineRule="auto"/>
        <w:tabs>
          <w:tab w:leader="none" w:pos="1379"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Addition of an L/C Issuer</w:t>
      </w:r>
      <w:r>
        <w:rPr>
          <w:rFonts w:ascii="Arial" w:cs="Arial" w:eastAsia="Arial" w:hAnsi="Arial"/>
          <w:sz w:val="20"/>
          <w:szCs w:val="20"/>
          <w:color w:val="auto"/>
        </w:rPr>
        <w:t>. A Revolving Credit Lender may become an additional L/C Issuer hereunder pursuant to a written agreement among each Borrower, the Administrative Agent and such Revolving Credit Lender. The Administrative Agent shall notify the Revolving Credit Lenders of any such additional L/C Issuer.</w:t>
      </w:r>
    </w:p>
    <w:p>
      <w:pPr>
        <w:spacing w:after="0" w:line="199" w:lineRule="exact"/>
        <w:rPr>
          <w:rFonts w:ascii="Arial" w:cs="Arial" w:eastAsia="Arial" w:hAnsi="Arial"/>
          <w:sz w:val="20"/>
          <w:szCs w:val="20"/>
          <w:color w:val="auto"/>
        </w:rPr>
      </w:pPr>
    </w:p>
    <w:p>
      <w:pPr>
        <w:jc w:val="both"/>
        <w:ind w:left="280" w:firstLine="646"/>
        <w:spacing w:after="0" w:line="255" w:lineRule="auto"/>
        <w:tabs>
          <w:tab w:leader="none" w:pos="1403"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Provisions Related to Extended Revolving Credit Commitments</w:t>
      </w:r>
      <w:r>
        <w:rPr>
          <w:rFonts w:ascii="Arial" w:cs="Arial" w:eastAsia="Arial" w:hAnsi="Arial"/>
          <w:sz w:val="19"/>
          <w:szCs w:val="19"/>
          <w:color w:val="auto"/>
        </w:rPr>
        <w:t xml:space="preserve">. If the Letter of Credit Expiration Date in respect of any tranche of Revolving Credit Commitments occurs prior to the expiry date of any Letter of Credit, then (i) if consented to by the L/C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9"/>
          <w:szCs w:val="19"/>
          <w:u w:val="single" w:color="auto"/>
          <w:color w:val="auto"/>
        </w:rPr>
        <w:t>Sections 2.03(c)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under (and ratably participated in by Revolving Credit Lenders pursuant to) the Revolving Credit Commitments in respect of such non-terminating tranches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immediately preceding clause (i) and unless provisions reasonably satisfactory to the applicable L/C Issuer for the treatment of such Letter of Credit as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87" w:name="page188"/>
    <w:bookmarkEnd w:id="187"/>
    <w:p>
      <w:pPr>
        <w:jc w:val="both"/>
        <w:ind w:left="280"/>
        <w:spacing w:after="0" w:line="259" w:lineRule="auto"/>
        <w:rPr>
          <w:sz w:val="20"/>
          <w:szCs w:val="20"/>
          <w:color w:val="auto"/>
        </w:rPr>
      </w:pPr>
      <w:r>
        <w:rPr>
          <w:rFonts w:ascii="Arial" w:cs="Arial" w:eastAsia="Arial" w:hAnsi="Arial"/>
          <w:sz w:val="19"/>
          <w:szCs w:val="19"/>
          <w:color w:val="auto"/>
        </w:rPr>
        <w:t xml:space="preserve">letter of credit under a successor credit facility have been agreed upon, the applicable Borrower shall, on or prior to the applicable Maturity Date, cause all such Letters of Credit to be replaced and returned to the applicable L/C Issuer undrawn and marked “cancelled” or to the extent that the applicable Borrower is unable to so replace and return any Letter(s) of Credit, such Letter(s) of Credit shall be secured by a “back to back” letter of credit reasonably satisfactory to the applicable L/C Issuer or the Borrowers shall Cash Collateralize any such Letter of Credit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Commencing with the Maturity Date of any tranche of Revolving Credit Commitments, the sublimit for Letters of Credit shall be agreed solely with the L/C Issuer.</w:t>
      </w:r>
    </w:p>
    <w:p>
      <w:pPr>
        <w:spacing w:after="0" w:line="192" w:lineRule="exact"/>
        <w:rPr>
          <w:sz w:val="20"/>
          <w:szCs w:val="20"/>
          <w:color w:val="auto"/>
        </w:rPr>
      </w:pPr>
    </w:p>
    <w:p>
      <w:pPr>
        <w:jc w:val="both"/>
        <w:ind w:left="280" w:firstLine="646"/>
        <w:spacing w:after="0" w:line="255" w:lineRule="auto"/>
        <w:tabs>
          <w:tab w:leader="none" w:pos="143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Reporting of Letter of Credit Information and L/C Commitment</w:t>
      </w:r>
      <w:r>
        <w:rPr>
          <w:rFonts w:ascii="Arial" w:cs="Arial" w:eastAsia="Arial" w:hAnsi="Arial"/>
          <w:sz w:val="19"/>
          <w:szCs w:val="19"/>
          <w:color w:val="auto"/>
        </w:rPr>
        <w:t xml:space="preserve">. At any time that there is an L/C Issuer that is not also the financial institution acting as Administrative Agent, then (a) on the last Business Day of each calendar month, (b) on each date that a Letter of Credit is amended, terminated or otherwise expires, (c) on each date that a Letter of Credit is issued or the expiry date of a Letter of Credit is extended, and (d) upon the request of the Administrative Agent, each L/C Issuer (or, in the case of clauses (b), (c) or (d) of this Section,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 addition, each L/C Issuer shall provide notice to the Administrative Agent of its L/C Commitment, or any change thereto, promptly upon it becoming an L/C Issuer or making any change to its L/C Commitment. No failure on the part of any L/C Issuer to provide such information pursuant to this </w:t>
      </w:r>
      <w:r>
        <w:rPr>
          <w:rFonts w:ascii="Arial" w:cs="Arial" w:eastAsia="Arial" w:hAnsi="Arial"/>
          <w:sz w:val="19"/>
          <w:szCs w:val="19"/>
          <w:u w:val="single" w:color="auto"/>
          <w:color w:val="auto"/>
        </w:rPr>
        <w:t>Section 2.03(m)</w:t>
      </w:r>
      <w:r>
        <w:rPr>
          <w:rFonts w:ascii="Arial" w:cs="Arial" w:eastAsia="Arial" w:hAnsi="Arial"/>
          <w:sz w:val="19"/>
          <w:szCs w:val="19"/>
          <w:color w:val="auto"/>
        </w:rPr>
        <w:t xml:space="preserve"> shall limit the obligations of any Borrower or any Revolving Credit Lender hereunder with respect to its reimbursement and participation obligations hereunder.</w:t>
      </w:r>
    </w:p>
    <w:p>
      <w:pPr>
        <w:spacing w:after="0" w:line="188"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300" w:lineRule="auto"/>
        <w:tabs>
          <w:tab w:leader="none" w:pos="1796"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Subject to the terms and conditions set forth herein, the Swing Line Lender agrees to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the Borrowers from time to time on any Business Day from and including the Closing Date until the Maturity Date for the Revolving Credit Facility in an aggregate amount not to exceed at any time outstanding the amount of the Swing Line Sublimit, notwithstanding the fact that such Swing Line Loans, when aggregated with the Pro Rata Share of the Outstanding Amount of Revolving Credit Loans and L/C Obligations of the Lender acting as Swing Line Lender, may exceed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after giving effect to any Swing Line Loan, the aggregate Outstanding Amount of the Revolving Credit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Pro Rata Share of the Outstanding Amount of all Swing Line Loans shall not exceed such Lender’s Revolving Credit Commitment then in effect and (ii) notwithstanding the foregoing, the Swing Line Lender shall not be obligated to make any Swing Line Loans at a time when a Revolving Credit Lender is a Defaulting Lender, unless the Swing Line Lender has entered into arrangements reasonably satisfactory to it and the Borrowers to eliminate the Swing Line Lender’s risk with respect to the Defaulting Lender’s participation in such Swing Line Loans, including by cash collateralizing such Defaulting Lender’s Pro Rata Share of the outstanding amount of Swing Line Loans;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Each Swing Line Loan shall be a Base Rate Loan. Swing Line Loans shall only be denominated in Dollars. Immediately upon the making of a Swing Line Loan, each Revolving Credit Lender shall be deemed to, and hereby irrevocably and unconditionally agrees to, purchase from the Swing Line Lender a risk participation in such Swing Line Loan in an amount equal to the product of such Lender’s Pro Rata Share times the amount of such Swing Line Loan.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88" w:name="page189"/>
    <w:bookmarkEnd w:id="188"/>
    <w:p>
      <w:pPr>
        <w:jc w:val="both"/>
        <w:ind w:left="280" w:firstLine="646"/>
        <w:spacing w:after="0" w:line="284" w:lineRule="auto"/>
        <w:tabs>
          <w:tab w:leader="none" w:pos="1807"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Borrowing Procedures</w:t>
      </w:r>
      <w:r>
        <w:rPr>
          <w:rFonts w:ascii="Arial" w:cs="Arial" w:eastAsia="Arial" w:hAnsi="Arial"/>
          <w:sz w:val="19"/>
          <w:szCs w:val="19"/>
          <w:color w:val="auto"/>
        </w:rPr>
        <w:t xml:space="preserve">. Each Swing Line Borrowing shall be made upon the applicable Borrower’s irrevocable notice to the Swing Line Lender and the Administrative Agent, which may be given by telephone. Each such notice must be received by the Swing Line Lender and the Administrative Agent not later than 12:00 p.m. on the requested borrowing date, and shall specify (i) the amount to be borrowed, which shall be a minimum of $100,000 or a whole multiple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applicable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proviso to the first sentence of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or (B) that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86" w:lineRule="exact"/>
        <w:rPr>
          <w:rFonts w:ascii="Arial" w:cs="Arial" w:eastAsia="Arial" w:hAnsi="Arial"/>
          <w:sz w:val="19"/>
          <w:szCs w:val="19"/>
          <w:color w:val="auto"/>
        </w:rPr>
      </w:pPr>
    </w:p>
    <w:p>
      <w:pPr>
        <w:ind w:left="1760" w:hanging="834"/>
        <w:spacing w:after="0"/>
        <w:tabs>
          <w:tab w:leader="none" w:pos="176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480" w:firstLine="648"/>
        <w:spacing w:after="0" w:line="284" w:lineRule="auto"/>
        <w:tabs>
          <w:tab w:leader="none" w:pos="2963" w:val="left"/>
        </w:tabs>
        <w:numPr>
          <w:ilvl w:val="1"/>
          <w:numId w:val="140"/>
        </w:numPr>
        <w:rPr>
          <w:rFonts w:ascii="Arial" w:cs="Arial" w:eastAsia="Arial" w:hAnsi="Arial"/>
          <w:sz w:val="19"/>
          <w:szCs w:val="19"/>
          <w:color w:val="auto"/>
        </w:rPr>
      </w:pPr>
      <w:r>
        <w:rPr>
          <w:rFonts w:ascii="Arial" w:cs="Arial" w:eastAsia="Arial" w:hAnsi="Arial"/>
          <w:sz w:val="19"/>
          <w:szCs w:val="19"/>
          <w:color w:val="auto"/>
        </w:rPr>
        <w:t xml:space="preserve">The Swing Line Lender at any time in its sole and absolute discretion may request, on behalf of each Borrower (which hereby irrevocably authorizes the Swing Line Lender to so request on its behalf), that each Revolving Credit Lender make a Base Rate Loan in an amount equal to such Lender’s Pro Rata Share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aggregate Revolving Credit Commitments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 Line Lender shall furnish the Borrowers with a copy of the applicable Committed Loan Notice promptly after delivering such notice to the Administrative Agent. Each Revolving Credit Lender shall make an amount equal to its Pro Rata Share of the amount specified in such Committed Loan Notice available to the Administrative Agent in Same Day Funds for the account of the Swing Line Lender at the Administrative Agent’s Office not later than 1:00 p.m. on the day specified in such Committed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Credit Lender that so makes funds available shall be deemed to have made a Base Rate Loan to the Borrowers in such amount. The Administrative Agent shall remit the funds so received to the Swing Line Lender.</w:t>
      </w:r>
    </w:p>
    <w:p>
      <w:pPr>
        <w:spacing w:after="0" w:line="188" w:lineRule="exact"/>
        <w:rPr>
          <w:rFonts w:ascii="Arial" w:cs="Arial" w:eastAsia="Arial" w:hAnsi="Arial"/>
          <w:sz w:val="19"/>
          <w:szCs w:val="19"/>
          <w:color w:val="auto"/>
        </w:rPr>
      </w:pPr>
    </w:p>
    <w:p>
      <w:pPr>
        <w:jc w:val="both"/>
        <w:ind w:left="1500" w:firstLine="642"/>
        <w:spacing w:after="0" w:line="272" w:lineRule="auto"/>
        <w:tabs>
          <w:tab w:leader="none" w:pos="3011" w:val="left"/>
        </w:tabs>
        <w:numPr>
          <w:ilvl w:val="2"/>
          <w:numId w:val="140"/>
        </w:numPr>
        <w:rPr>
          <w:rFonts w:ascii="Arial" w:cs="Arial" w:eastAsia="Arial" w:hAnsi="Arial"/>
          <w:sz w:val="20"/>
          <w:szCs w:val="20"/>
          <w:color w:val="auto"/>
        </w:rPr>
      </w:pPr>
      <w:r>
        <w:rPr>
          <w:rFonts w:ascii="Arial" w:cs="Arial" w:eastAsia="Arial" w:hAnsi="Arial"/>
          <w:sz w:val="20"/>
          <w:szCs w:val="20"/>
          <w:color w:val="auto"/>
        </w:rPr>
        <w:t xml:space="preserve">If for any reason any Swing Line Loan cannot be refinanced by such a Revolving Credit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191" w:lineRule="exact"/>
        <w:rPr>
          <w:rFonts w:ascii="Arial" w:cs="Arial" w:eastAsia="Arial" w:hAnsi="Arial"/>
          <w:sz w:val="20"/>
          <w:szCs w:val="20"/>
          <w:color w:val="auto"/>
        </w:rPr>
      </w:pPr>
    </w:p>
    <w:p>
      <w:pPr>
        <w:ind w:left="1500" w:firstLine="642"/>
        <w:spacing w:after="0" w:line="289" w:lineRule="auto"/>
        <w:tabs>
          <w:tab w:leader="none" w:pos="3066" w:val="left"/>
        </w:tabs>
        <w:numPr>
          <w:ilvl w:val="2"/>
          <w:numId w:val="140"/>
        </w:numPr>
        <w:rPr>
          <w:rFonts w:ascii="Arial" w:cs="Arial" w:eastAsia="Arial" w:hAnsi="Arial"/>
          <w:sz w:val="20"/>
          <w:szCs w:val="20"/>
          <w:color w:val="auto"/>
        </w:rPr>
      </w:pPr>
      <w:r>
        <w:rPr>
          <w:rFonts w:ascii="Arial" w:cs="Arial" w:eastAsia="Arial" w:hAnsi="Arial"/>
          <w:sz w:val="20"/>
          <w:szCs w:val="20"/>
          <w:color w:val="auto"/>
        </w:rPr>
        <w:t>If any Revolving Credit Lender fails to make available to the Administrative Agent for the account of the Swing Line Lender any amount required to be paid by such Lender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189" w:name="page190"/>
    <w:bookmarkEnd w:id="189"/>
    <w:p>
      <w:pPr>
        <w:jc w:val="both"/>
        <w:ind w:left="1500"/>
        <w:spacing w:after="0" w:line="288" w:lineRule="auto"/>
        <w:rPr>
          <w:sz w:val="20"/>
          <w:szCs w:val="20"/>
          <w:color w:val="auto"/>
        </w:rPr>
      </w:pPr>
      <w:r>
        <w:rPr>
          <w:rFonts w:ascii="Arial" w:cs="Arial" w:eastAsia="Arial" w:hAnsi="Arial"/>
          <w:sz w:val="19"/>
          <w:szCs w:val="19"/>
          <w:color w:val="auto"/>
        </w:rPr>
        <w:t xml:space="preserve">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Rate from time to time in effect. A certificate of the Swing Line Lender submitted to any Lender (through the Administrative Agent) with respect to any amounts owing under this clause (iii) shall be conclusive absent manifest error.</w:t>
      </w:r>
    </w:p>
    <w:p>
      <w:pPr>
        <w:spacing w:after="0" w:line="196" w:lineRule="exact"/>
        <w:rPr>
          <w:sz w:val="20"/>
          <w:szCs w:val="20"/>
          <w:color w:val="auto"/>
        </w:rPr>
      </w:pPr>
    </w:p>
    <w:p>
      <w:pPr>
        <w:jc w:val="both"/>
        <w:ind w:left="1500" w:firstLine="642"/>
        <w:spacing w:after="0" w:line="304" w:lineRule="auto"/>
        <w:tabs>
          <w:tab w:leader="none" w:pos="30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Borrowers to repay Swing Line Loans, together with interest as provided herein.</w:t>
      </w:r>
    </w:p>
    <w:p>
      <w:pPr>
        <w:spacing w:after="0" w:line="171" w:lineRule="exact"/>
        <w:rPr>
          <w:rFonts w:ascii="Arial" w:cs="Arial" w:eastAsia="Arial" w:hAnsi="Arial"/>
          <w:sz w:val="18"/>
          <w:szCs w:val="18"/>
          <w:color w:val="auto"/>
        </w:rPr>
      </w:pPr>
    </w:p>
    <w:p>
      <w:pPr>
        <w:ind w:left="1540" w:hanging="614"/>
        <w:spacing w:after="0"/>
        <w:tabs>
          <w:tab w:leader="none" w:pos="154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500" w:firstLine="642"/>
        <w:spacing w:after="0" w:line="273" w:lineRule="auto"/>
        <w:tabs>
          <w:tab w:leader="none" w:pos="2956" w:val="left"/>
        </w:tabs>
        <w:numPr>
          <w:ilvl w:val="1"/>
          <w:numId w:val="142"/>
        </w:numPr>
        <w:rPr>
          <w:rFonts w:ascii="Arial" w:cs="Arial" w:eastAsia="Arial" w:hAnsi="Arial"/>
          <w:sz w:val="20"/>
          <w:szCs w:val="20"/>
          <w:color w:val="auto"/>
        </w:rPr>
      </w:pPr>
      <w:r>
        <w:rPr>
          <w:rFonts w:ascii="Arial" w:cs="Arial" w:eastAsia="Arial" w:hAnsi="Arial"/>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204" w:lineRule="exact"/>
        <w:rPr>
          <w:rFonts w:ascii="Arial" w:cs="Arial" w:eastAsia="Arial" w:hAnsi="Arial"/>
          <w:sz w:val="20"/>
          <w:szCs w:val="20"/>
          <w:color w:val="auto"/>
        </w:rPr>
      </w:pPr>
    </w:p>
    <w:p>
      <w:pPr>
        <w:jc w:val="both"/>
        <w:ind w:left="1500" w:firstLine="642"/>
        <w:spacing w:after="0" w:line="307" w:lineRule="auto"/>
        <w:tabs>
          <w:tab w:leader="none" w:pos="3011"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(including pursuant to any settlement entered into by the Swing Line Lender in its discretion), each Revolving Credit Lender shall pay to the Swing Line Lender its Pro Rata Share thereof on demand of the Administrative Agent, plus interest thereon from the date of such demand to the date such amount is returned, at a rate per annum equal to the Federal Funds Rate. The Administrative Agent will make such demand upon the request of the Swing Line Lender.</w:t>
      </w:r>
    </w:p>
    <w:p>
      <w:pPr>
        <w:spacing w:after="0" w:line="180"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Borrowers for interest on the Swing Line Loans. Until each Revolving Credit Lender funds its Base Rate Loan or risk participation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to refinance such Lender’s Pro Rata Share of any Swing Line Loan, interest in respect of such Pro Rata Share shall be solely for the account of the Swing Line Lender.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190" w:name="page191"/>
    <w:bookmarkEnd w:id="190"/>
    <w:p>
      <w:pPr>
        <w:ind w:left="280" w:right="20" w:firstLine="646"/>
        <w:spacing w:after="0" w:line="289" w:lineRule="auto"/>
        <w:tabs>
          <w:tab w:leader="none" w:pos="1774"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Borrowers shall make all payments of principal and interest in respect of the Swing Line Loans directly to the Swing Line Lender.</w:t>
      </w:r>
    </w:p>
    <w:p>
      <w:pPr>
        <w:spacing w:after="0" w:line="188" w:lineRule="exact"/>
        <w:rPr>
          <w:rFonts w:ascii="Arial" w:cs="Arial" w:eastAsia="Arial" w:hAnsi="Arial"/>
          <w:sz w:val="20"/>
          <w:szCs w:val="20"/>
          <w:color w:val="auto"/>
        </w:rPr>
      </w:pPr>
    </w:p>
    <w:p>
      <w:pPr>
        <w:jc w:val="both"/>
        <w:ind w:left="280" w:firstLine="646"/>
        <w:spacing w:after="0" w:line="284" w:lineRule="auto"/>
        <w:tabs>
          <w:tab w:leader="none" w:pos="1807"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Provisions Related to Extended Revolving Credit Commitments</w:t>
      </w:r>
      <w:r>
        <w:rPr>
          <w:rFonts w:ascii="Arial" w:cs="Arial" w:eastAsia="Arial" w:hAnsi="Arial"/>
          <w:sz w:val="19"/>
          <w:szCs w:val="19"/>
          <w:color w:val="auto"/>
        </w:rPr>
        <w:t>. If the Maturity Date shall have occurred in respect of any tranche of Revolving Credit Commitments (the “</w:t>
      </w:r>
      <w:r>
        <w:rPr>
          <w:rFonts w:ascii="Arial" w:cs="Arial" w:eastAsia="Arial" w:hAnsi="Arial"/>
          <w:sz w:val="19"/>
          <w:szCs w:val="19"/>
          <w:u w:val="single" w:color="auto"/>
          <w:color w:val="auto"/>
        </w:rPr>
        <w:t>Expiring Credit Commitment</w:t>
      </w:r>
      <w:r>
        <w:rPr>
          <w:rFonts w:ascii="Arial" w:cs="Arial" w:eastAsia="Arial" w:hAnsi="Arial"/>
          <w:sz w:val="19"/>
          <w:szCs w:val="19"/>
          <w:color w:val="auto"/>
        </w:rPr>
        <w:t>”) at a time when another tranche or tranches of Revolving Credit Commitments is or are in effect with a longer Maturity Date (each a “</w:t>
      </w:r>
      <w:r>
        <w:rPr>
          <w:rFonts w:ascii="Arial" w:cs="Arial" w:eastAsia="Arial" w:hAnsi="Arial"/>
          <w:sz w:val="19"/>
          <w:szCs w:val="19"/>
          <w:u w:val="single" w:color="auto"/>
          <w:color w:val="auto"/>
        </w:rPr>
        <w:t>Non-Expiring Credit Commitment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Non-Expiring Credit Commitments</w:t>
      </w:r>
      <w:r>
        <w:rPr>
          <w:rFonts w:ascii="Arial" w:cs="Arial" w:eastAsia="Arial" w:hAnsi="Arial"/>
          <w:sz w:val="19"/>
          <w:szCs w:val="19"/>
          <w:color w:val="auto"/>
        </w:rPr>
        <w:t xml:space="preserve">”), then with respect to each outstanding Swing Line Loan, if consented to by the Swing Line Lender, on the earliest occurring Maturity Date such Swing Line Loan shall be deemed reallocated to the tranche or tranches of the Non-Expiring Credit Commitments on a pro rata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to the extent that the amount of such reallocation would cause the aggregate credit exposure to exceed the aggregate amount of such Non-Expiring Credit Commitments, immediately prior to such reallocation (after giving effect to any repayments of Revolving Credit Loans and any reallocation of Letter of Credit participations as contemplated in </w:t>
      </w:r>
      <w:r>
        <w:rPr>
          <w:rFonts w:ascii="Arial" w:cs="Arial" w:eastAsia="Arial" w:hAnsi="Arial"/>
          <w:sz w:val="19"/>
          <w:szCs w:val="19"/>
          <w:u w:val="single" w:color="auto"/>
          <w:color w:val="auto"/>
        </w:rPr>
        <w:t>Section 2.03(l)</w:t>
      </w:r>
      <w:r>
        <w:rPr>
          <w:rFonts w:ascii="Arial" w:cs="Arial" w:eastAsia="Arial" w:hAnsi="Arial"/>
          <w:sz w:val="19"/>
          <w:szCs w:val="19"/>
          <w:color w:val="auto"/>
        </w:rPr>
        <w:t>) the amount of Swing Line Loans to be reallocated equal to such excess shall be repaid and (y) notwithstanding the foregoing, if a Specified Default has occurred and is continuing, the Borrowers shall still be obligated to pay Swing Line Loans allocated to the Revolving Credit Lenders holding the Expiring Credit Commitments at the Maturity Date of the Expiring Credit Commitment or if the Loans have been accelerated prior to the maturity date of the Expiring Credit Commitment. Commencing with the Maturity Date of any tranche of Revolving Credit Commitments, the sublimit for Swing Line Loans shall be agreed solely with the Swing Line Lender.</w:t>
      </w:r>
    </w:p>
    <w:p>
      <w:pPr>
        <w:spacing w:after="0" w:line="175"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540" w:hanging="614"/>
        <w:spacing w:after="0"/>
        <w:tabs>
          <w:tab w:leader="none" w:pos="154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480" w:firstLine="648"/>
        <w:spacing w:after="0" w:line="297" w:lineRule="auto"/>
        <w:tabs>
          <w:tab w:leader="none" w:pos="2963" w:val="left"/>
        </w:tabs>
        <w:numPr>
          <w:ilvl w:val="2"/>
          <w:numId w:val="144"/>
        </w:numPr>
        <w:rPr>
          <w:rFonts w:ascii="Arial" w:cs="Arial" w:eastAsia="Arial" w:hAnsi="Arial"/>
          <w:sz w:val="18"/>
          <w:szCs w:val="18"/>
          <w:color w:val="auto"/>
        </w:rPr>
      </w:pPr>
      <w:r>
        <w:rPr>
          <w:rFonts w:ascii="Arial" w:cs="Arial" w:eastAsia="Arial" w:hAnsi="Arial"/>
          <w:sz w:val="18"/>
          <w:szCs w:val="18"/>
          <w:color w:val="auto"/>
        </w:rPr>
        <w:t xml:space="preserve">Except as otherwise provided below in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the Borrowers may, upon notice from a Borrower to the Administrative Agent, at any time or from time to time voluntarily prepay Term Loans and Revolving Credit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notice must be received by the Administrative Agent not later than 12:00 p.m. (A) three (3) Business Days prior to any date of prepayment of Eurocurrency Rate Loans and</w:t>
      </w:r>
    </w:p>
    <w:p>
      <w:pPr>
        <w:spacing w:after="0" w:line="1" w:lineRule="exact"/>
        <w:rPr>
          <w:rFonts w:ascii="Arial" w:cs="Arial" w:eastAsia="Arial" w:hAnsi="Arial"/>
          <w:sz w:val="18"/>
          <w:szCs w:val="18"/>
          <w:color w:val="auto"/>
        </w:rPr>
      </w:pPr>
    </w:p>
    <w:p>
      <w:pPr>
        <w:jc w:val="both"/>
        <w:ind w:left="1480"/>
        <w:spacing w:after="0" w:line="284" w:lineRule="auto"/>
        <w:tabs>
          <w:tab w:leader="none" w:pos="180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on the date of prepayment of Base Rate Loans; (2) any prepayment of Eurocurrency Rate Loans shall be in a principal amount of $1,000,000 or a whole multiple of $500,000 in excess thereof; and (3) any prepayment of Base Rate Loans shall be in a principal amount of $500,000 or a whole multiple of $100,000 in excess thereof or, in each case, if less, the entire principal amount thereof then outstanding. Each such notice shall specify the date and amount of such prepayment, the Class(es) and Type(s) of Loans to be prepaid and in the case of a prepayment of Term Loans, the manner in which the Borrowers elect to have such prepayment applied to the remaining repayments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such notice fails to specify the manner in which the respective prepayment of Term Loans shall be applied to repayments thereof required pursuant to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such prepayment of Term Loans shall be applied in direct order of maturity to repayments thereof required pursuant to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The Administrative Agent will promptly notify each Appropriate Lender of its receipt of each such notice, and of the amount of such Lender’s Pro Rata Share of such prepayment. If such notice is given by a Borrower, the Borrowers shall make such prepayment and the payment amount specified in such notice shall be due and payable on the date specified therein. Any prepayment of a Eurocurrency Rate Loan shall be accompanied by all accrued interest thereon,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Each prepayment of the Loans pursuant to this </w:t>
      </w:r>
      <w:r>
        <w:rPr>
          <w:rFonts w:ascii="Arial" w:cs="Arial" w:eastAsia="Arial" w:hAnsi="Arial"/>
          <w:sz w:val="19"/>
          <w:szCs w:val="19"/>
          <w:u w:val="single" w:color="auto"/>
          <w:color w:val="auto"/>
        </w:rPr>
        <w:t>Section 2.05(a)</w:t>
      </w:r>
      <w:r>
        <w:rPr>
          <w:rFonts w:ascii="Arial" w:cs="Arial" w:eastAsia="Arial" w:hAnsi="Arial"/>
          <w:sz w:val="19"/>
          <w:szCs w:val="19"/>
          <w:color w:val="auto"/>
        </w:rPr>
        <w:t xml:space="preserve"> shall be paid to the Appropriate Lenders in accordance with their respective Pro Rata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6" w:right="239" w:bottom="1440" w:gutter="0" w:footer="0" w:header="0"/>
        </w:sectPr>
      </w:pPr>
    </w:p>
    <w:bookmarkStart w:id="191" w:name="page192"/>
    <w:bookmarkEnd w:id="191"/>
    <w:p>
      <w:pPr>
        <w:jc w:val="both"/>
        <w:ind w:left="1500" w:firstLine="642"/>
        <w:spacing w:after="0" w:line="270" w:lineRule="auto"/>
        <w:tabs>
          <w:tab w:leader="none" w:pos="3011" w:val="left"/>
        </w:tabs>
        <w:numPr>
          <w:ilvl w:val="2"/>
          <w:numId w:val="145"/>
        </w:numPr>
        <w:rPr>
          <w:rFonts w:ascii="Arial" w:cs="Arial" w:eastAsia="Arial" w:hAnsi="Arial"/>
          <w:sz w:val="20"/>
          <w:szCs w:val="20"/>
          <w:color w:val="auto"/>
        </w:rPr>
      </w:pPr>
      <w:r>
        <w:rPr>
          <w:rFonts w:ascii="Arial" w:cs="Arial" w:eastAsia="Arial" w:hAnsi="Arial"/>
          <w:sz w:val="20"/>
          <w:szCs w:val="20"/>
          <w:color w:val="auto"/>
        </w:rPr>
        <w:t xml:space="preserve">The Borrowers may, upon notice to the Swing Line Lender (with a copy to the Administrative Agent), at any time or from time to time, voluntarily prepay Swing Line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such notice must be received by the Swing Line Lender and the Administrative Agent not later than 12:00 p.m. on the date of the prepayment, and (2) any such prepayment shall be in a minimum principal amount of $100,000 or a whole multiple of $100,000 in excess thereof or, if less, the entire principal amount thereof then outstanding. Each such notice shall specify the date and amount of such prepayment. If such notice is given by a Borrower, the Borrowers shall make such prepayment and the payment amount specified in such notice shall be due and payable on the date specified therein.</w:t>
      </w:r>
    </w:p>
    <w:p>
      <w:pPr>
        <w:spacing w:after="0" w:line="199" w:lineRule="exact"/>
        <w:rPr>
          <w:rFonts w:ascii="Arial" w:cs="Arial" w:eastAsia="Arial" w:hAnsi="Arial"/>
          <w:sz w:val="20"/>
          <w:szCs w:val="20"/>
          <w:color w:val="auto"/>
        </w:rPr>
      </w:pPr>
    </w:p>
    <w:p>
      <w:pPr>
        <w:jc w:val="both"/>
        <w:ind w:left="1500" w:firstLine="642"/>
        <w:spacing w:after="0" w:line="299" w:lineRule="auto"/>
        <w:tabs>
          <w:tab w:leader="none" w:pos="3066" w:val="left"/>
        </w:tabs>
        <w:numPr>
          <w:ilvl w:val="2"/>
          <w:numId w:val="14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the applicable Borrower may rescind any notice of prepayment under </w:t>
      </w:r>
      <w:r>
        <w:rPr>
          <w:rFonts w:ascii="Arial" w:cs="Arial" w:eastAsia="Arial" w:hAnsi="Arial"/>
          <w:sz w:val="19"/>
          <w:szCs w:val="19"/>
          <w:u w:val="single" w:color="auto"/>
          <w:color w:val="auto"/>
        </w:rPr>
        <w:t>Section 2.05(a)(i)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2.05(a)(ii)</w:t>
      </w:r>
      <w:r>
        <w:rPr>
          <w:rFonts w:ascii="Arial" w:cs="Arial" w:eastAsia="Arial" w:hAnsi="Arial"/>
          <w:sz w:val="19"/>
          <w:szCs w:val="19"/>
          <w:color w:val="auto"/>
        </w:rPr>
        <w:t xml:space="preserve"> if such prepayment would have resulted from a refinancing in total of a Facility, which refinancing shall not be consummated or shall otherwise be delayed.</w:t>
      </w:r>
    </w:p>
    <w:p>
      <w:pPr>
        <w:spacing w:after="0" w:line="169" w:lineRule="exact"/>
        <w:rPr>
          <w:rFonts w:ascii="Arial" w:cs="Arial" w:eastAsia="Arial" w:hAnsi="Arial"/>
          <w:sz w:val="19"/>
          <w:szCs w:val="19"/>
          <w:color w:val="auto"/>
        </w:rPr>
      </w:pPr>
    </w:p>
    <w:p>
      <w:pPr>
        <w:ind w:left="1540" w:hanging="614"/>
        <w:spacing w:after="0"/>
        <w:tabs>
          <w:tab w:leader="none" w:pos="154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500" w:firstLine="642"/>
        <w:spacing w:after="0" w:line="297" w:lineRule="auto"/>
        <w:tabs>
          <w:tab w:leader="none" w:pos="2956"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xml:space="preserve">Within five (5) Business Days after financial statements have been delivered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has been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the Borrowers shall cause to be prepaid Term Loans in an aggregate principal amount equal to (A) 50% of Excess Cash Flow, if any, for the fiscal year covered by such financial statements (commencing with the fiscal year ending December 30, 2018)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(without duplication) (1) all voluntary prepayments of Term Loans during such fiscal year (excluding any voluntary prepayments of Term Loans made during such fiscal year that reduced the amount required to be prepaid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in the prior fiscal year) or after year-end and prior to when such Excess Cash Flow prepayment is due and</w:t>
      </w:r>
    </w:p>
    <w:p>
      <w:pPr>
        <w:spacing w:after="0" w:line="3" w:lineRule="exact"/>
        <w:rPr>
          <w:rFonts w:ascii="Arial" w:cs="Arial" w:eastAsia="Arial" w:hAnsi="Arial"/>
          <w:sz w:val="18"/>
          <w:szCs w:val="18"/>
          <w:color w:val="auto"/>
        </w:rPr>
      </w:pPr>
    </w:p>
    <w:p>
      <w:pPr>
        <w:jc w:val="both"/>
        <w:ind w:left="1500" w:hanging="6"/>
        <w:spacing w:after="0" w:line="286" w:lineRule="auto"/>
        <w:tabs>
          <w:tab w:leader="none" w:pos="179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all voluntary prepayments of Revolving Credit Loans during such fiscal year (excluding any voluntary prepayments of Revolving Credit Loans made during such fiscal year that reduced the amount required to be prepaid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2.05(b)(i)</w:t>
      </w:r>
      <w:r>
        <w:rPr>
          <w:rFonts w:ascii="Arial" w:cs="Arial" w:eastAsia="Arial" w:hAnsi="Arial"/>
          <w:sz w:val="19"/>
          <w:szCs w:val="19"/>
          <w:color w:val="auto"/>
        </w:rPr>
        <w:t xml:space="preserve"> in the prior fiscal year) or after year-end and prior to when such Excess Cash Flow prepayment is due to the extent the Revolving Credit Commitments are permanently reduced by the amount of such payments, but in the case of each of the immediately preceding clauses (1) and (2), to the extent such prepayments are funded with Internally Generated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payment of any Term Loans shall be required under this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if the Consolidated Senior Secured Net Leverage Ratio as of the last day of the fiscal year covered by such financial statements was less than or equal to 3.50:1.00.</w:t>
      </w:r>
    </w:p>
    <w:p>
      <w:pPr>
        <w:spacing w:after="0" w:line="185" w:lineRule="exact"/>
        <w:rPr>
          <w:rFonts w:ascii="Arial" w:cs="Arial" w:eastAsia="Arial" w:hAnsi="Arial"/>
          <w:sz w:val="19"/>
          <w:szCs w:val="19"/>
          <w:color w:val="auto"/>
        </w:rPr>
      </w:pPr>
    </w:p>
    <w:p>
      <w:pPr>
        <w:jc w:val="both"/>
        <w:ind w:left="1500" w:firstLine="642"/>
        <w:spacing w:after="0" w:line="303" w:lineRule="auto"/>
        <w:tabs>
          <w:tab w:leader="none" w:pos="301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 xml:space="preserve">(A) If (x) the Company or any Subsidiary Disposes of any property or assets (other than any Disposition of any property or assets permitted by </w:t>
      </w:r>
      <w:r>
        <w:rPr>
          <w:rFonts w:ascii="Arial" w:cs="Arial" w:eastAsia="Arial" w:hAnsi="Arial"/>
          <w:sz w:val="18"/>
          <w:szCs w:val="18"/>
          <w:u w:val="single" w:color="auto"/>
          <w:color w:val="auto"/>
        </w:rPr>
        <w:t>Section 7.05(a)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(to the extent constituting a Disposition by any Subsidiary to a Loan Party),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(j), (l)</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w:t>
      </w:r>
      <w:r>
        <w:rPr>
          <w:rFonts w:ascii="Arial" w:cs="Arial" w:eastAsia="Arial" w:hAnsi="Arial"/>
          <w:sz w:val="18"/>
          <w:szCs w:val="18"/>
          <w:color w:val="auto"/>
        </w:rPr>
        <w:t xml:space="preserve">) or (y) any Casualty Event occurs, which in the aggregate results in the realization or receipt by the Company or such Subsidiary of Net Cash Proceeds, the Borrowers shall cause to be prepaid on or prior to the date which is ten (10) Business Days after the date of the realization or receipt of such Net Cash Proceeds, Term Loans in an aggregate principal amount equal to 100% of all Net Cash Proceeds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that any such prepayment would be required, any Borrower is required to offer to repurchase Permitted Pari Passu Secured Refinancing Debt (or any Indebtedness pursuant to a Permitted Refinancing in respect thereof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pursuant to the terms of the documentation governing such Indebtedness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192" w:name="page193"/>
    <w:bookmarkEnd w:id="192"/>
    <w:p>
      <w:pPr>
        <w:jc w:val="both"/>
        <w:ind w:left="1500"/>
        <w:spacing w:after="0" w:line="339" w:lineRule="auto"/>
        <w:rPr>
          <w:sz w:val="20"/>
          <w:szCs w:val="20"/>
          <w:color w:val="auto"/>
        </w:rPr>
      </w:pPr>
      <w:r>
        <w:rPr>
          <w:rFonts w:ascii="Arial" w:cs="Arial" w:eastAsia="Arial" w:hAnsi="Arial"/>
          <w:sz w:val="16"/>
          <w:szCs w:val="16"/>
          <w:color w:val="auto"/>
        </w:rPr>
        <w:t>such Net Cash Proceeds, (such Permitted Pari Passu Secured Refinancing Debt (or any Indebtedness pursuant to a Permitted Refinancing in respect thereof) required to be offered to be so repurchased, “</w:t>
      </w:r>
      <w:r>
        <w:rPr>
          <w:rFonts w:ascii="Arial" w:cs="Arial" w:eastAsia="Arial" w:hAnsi="Arial"/>
          <w:sz w:val="16"/>
          <w:szCs w:val="16"/>
          <w:u w:val="single" w:color="auto"/>
          <w:color w:val="auto"/>
        </w:rPr>
        <w:t>Other Applicable Indebtedness</w:t>
      </w:r>
      <w:r>
        <w:rPr>
          <w:rFonts w:ascii="Arial" w:cs="Arial" w:eastAsia="Arial" w:hAnsi="Arial"/>
          <w:sz w:val="16"/>
          <w:szCs w:val="16"/>
          <w:color w:val="auto"/>
        </w:rPr>
        <w:t xml:space="preserve">”), then the Borrowers may apply such Net Cash Proceeds on a pro rata basis (determined on the basis of the aggregate outstanding principal amount of the Term Loans and Other 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to the prepayment of the Term Loans and to the repurchase or prepayment of Other Applicable Indebtedness, and the amount of prepayment of the Term Loans that would have otherwise been required pursuant to this </w:t>
      </w:r>
      <w:r>
        <w:rPr>
          <w:rFonts w:ascii="Arial" w:cs="Arial" w:eastAsia="Arial" w:hAnsi="Arial"/>
          <w:sz w:val="16"/>
          <w:szCs w:val="16"/>
          <w:u w:val="single" w:color="auto"/>
          <w:color w:val="auto"/>
        </w:rPr>
        <w:t>Section 2.05(b)(ii)(A)</w:t>
      </w:r>
      <w:r>
        <w:rPr>
          <w:rFonts w:ascii="Arial" w:cs="Arial" w:eastAsia="Arial" w:hAnsi="Arial"/>
          <w:sz w:val="16"/>
          <w:szCs w:val="16"/>
          <w:color w:val="auto"/>
        </w:rPr>
        <w:t xml:space="preserve"> shall be reduced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the holders of Other Applicable Indebtedness decline to have such Indebtedness repurchased or prepaid, the declined amount shall promptly (and in any event within ten (10) Business Days after the date of such rejection) be applied to prepay the Term Loans in accordance with the terms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prepayment shall be required pursuant to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with respect to such portion of such Net Cash Proceeds that such Borrower shall have, on or prior to such date, given written notice to the Administrative Agent of its intent to reinvest in accordance with </w:t>
      </w:r>
      <w:r>
        <w:rPr>
          <w:rFonts w:ascii="Arial" w:cs="Arial" w:eastAsia="Arial" w:hAnsi="Arial"/>
          <w:sz w:val="16"/>
          <w:szCs w:val="16"/>
          <w:u w:val="single" w:color="auto"/>
          <w:color w:val="auto"/>
        </w:rPr>
        <w:t>Section 2.05(b)(ii)(B)</w:t>
      </w:r>
      <w:r>
        <w:rPr>
          <w:rFonts w:ascii="Arial" w:cs="Arial" w:eastAsia="Arial" w:hAnsi="Arial"/>
          <w:sz w:val="16"/>
          <w:szCs w:val="16"/>
          <w:color w:val="auto"/>
        </w:rPr>
        <w:t xml:space="preserve"> but only so long as such Borrower is not otherwise required to pay (or make an offer to pay) any Other Applicable Indebtedness with such Net Cash Proceeds (which notice may only be provided if no Event of Default has occurred and is then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payment of any Term Loans shall be required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2.05(b)(ii)</w:t>
      </w:r>
      <w:r>
        <w:rPr>
          <w:rFonts w:ascii="Arial" w:cs="Arial" w:eastAsia="Arial" w:hAnsi="Arial"/>
          <w:sz w:val="16"/>
          <w:szCs w:val="16"/>
          <w:color w:val="auto"/>
        </w:rPr>
        <w:t xml:space="preserve"> if, on the date of such Disposition, the Consolidated Senior Secured Net Leverage Ratio is less than 3.50:1.00 as of the last day of the Test Period most recently ended for which financial statements have been delivered to the Lenders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after giving effect to any such Disposition on a Pro Forma Basis;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2220" w:firstLine="651"/>
        <w:spacing w:after="0" w:line="269" w:lineRule="auto"/>
        <w:tabs>
          <w:tab w:leader="none" w:pos="31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With respect to any Net Cash Proceeds realized or received with respect to any Disposition (other than any Disposition specifically excluded from the application of </w:t>
      </w:r>
      <w:r>
        <w:rPr>
          <w:rFonts w:ascii="Arial" w:cs="Arial" w:eastAsia="Arial" w:hAnsi="Arial"/>
          <w:sz w:val="18"/>
          <w:szCs w:val="18"/>
          <w:u w:val="single" w:color="auto"/>
          <w:color w:val="auto"/>
        </w:rPr>
        <w:t>Section 2.05(b)(ii)(A)</w:t>
      </w:r>
      <w:r>
        <w:rPr>
          <w:rFonts w:ascii="Arial" w:cs="Arial" w:eastAsia="Arial" w:hAnsi="Arial"/>
          <w:sz w:val="18"/>
          <w:szCs w:val="18"/>
          <w:color w:val="auto"/>
        </w:rPr>
        <w:t xml:space="preserve">) or any Casualty Event, at the option of the applicable Borrower, such Borrower may reinvest all or any portion of such Net Cash Proceeds in assets useful for its business or its Subsidiaries within (x) twelve (12) months following receipt of such Net Cash Proceeds or (y) if such Borrower enters into a legally binding commitment to reinvest such Net Cash Proceeds within twelve (12) months following receipt thereof, within the later of (a) one hundred and eighty (180) days following the date of such legally binding commitment and (b) twelve (12) months following receipt of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so long as an Event of Default shall have occurred and be continuing, such Borrower (x) shall not be permitted to make any such reinvestments (other than pursuant to a legally binding commitment that such Borrower entered into at a time when no Event of Default is continuing) and (y) shall not be required to apply such Net Cash Proceeds which have been previously applied to prepay Revolving Credit Loans to the prepayment of Term Loans until such time as the relevant investment period has expired and no Event of Default is continuing and (ii) if any Net Cash Proceeds are no longer intended to be or cannot be so reinvested (whether because the applicable reinvestment period has expired or otherwise) at any time after delivery of a notice of reinvestment election, an amount equal to any such Net Cash Proceeds shall be applied within five (5) Business Days after such Borrower reasonably determines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193" w:name="page194"/>
    <w:bookmarkEnd w:id="193"/>
    <w:p>
      <w:pPr>
        <w:ind w:left="2220"/>
        <w:spacing w:after="0" w:line="260" w:lineRule="auto"/>
        <w:rPr>
          <w:sz w:val="20"/>
          <w:szCs w:val="20"/>
          <w:color w:val="auto"/>
        </w:rPr>
      </w:pPr>
      <w:r>
        <w:rPr>
          <w:rFonts w:ascii="Arial" w:cs="Arial" w:eastAsia="Arial" w:hAnsi="Arial"/>
          <w:sz w:val="20"/>
          <w:szCs w:val="20"/>
          <w:color w:val="auto"/>
        </w:rPr>
        <w:t xml:space="preserve">that such Net Cash Proceeds are no longer intended to be or cannot be so reinvested to the prepayment of the Term Loans as set forth in this </w:t>
      </w:r>
      <w:r>
        <w:rPr>
          <w:rFonts w:ascii="Arial" w:cs="Arial" w:eastAsia="Arial" w:hAnsi="Arial"/>
          <w:sz w:val="20"/>
          <w:szCs w:val="20"/>
          <w:u w:val="single" w:color="auto"/>
          <w:color w:val="auto"/>
        </w:rPr>
        <w:t>Section 2.05</w:t>
      </w:r>
      <w:r>
        <w:rPr>
          <w:rFonts w:ascii="Arial" w:cs="Arial" w:eastAsia="Arial" w:hAnsi="Arial"/>
          <w:sz w:val="20"/>
          <w:szCs w:val="20"/>
          <w:color w:val="auto"/>
        </w:rPr>
        <w:t>.</w:t>
      </w:r>
    </w:p>
    <w:p>
      <w:pPr>
        <w:spacing w:after="0" w:line="190" w:lineRule="exact"/>
        <w:rPr>
          <w:sz w:val="20"/>
          <w:szCs w:val="20"/>
          <w:color w:val="auto"/>
        </w:rPr>
      </w:pPr>
    </w:p>
    <w:p>
      <w:pPr>
        <w:jc w:val="both"/>
        <w:ind w:left="1480" w:firstLine="648"/>
        <w:spacing w:after="0" w:line="273" w:lineRule="auto"/>
        <w:tabs>
          <w:tab w:leader="none" w:pos="307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 xml:space="preserve">If the Company or any Subsidiary incurs or issues any Indebtedness (A) not expressly permitted to be incurred or issued pursuant to any clause of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(B) that constitute Credit Agreement Refinancing Indebtedness, the Borrowers shall cause to be prepaid Term Loans in an aggregate principal amount equal to 100% of all Net Cash Proceeds received therefrom on or prior to the date which is five (5) Business Days after the receipt of such Net Cash Proceeds.</w:t>
      </w:r>
    </w:p>
    <w:p>
      <w:pPr>
        <w:spacing w:after="0" w:line="204" w:lineRule="exact"/>
        <w:rPr>
          <w:rFonts w:ascii="Arial" w:cs="Arial" w:eastAsia="Arial" w:hAnsi="Arial"/>
          <w:sz w:val="20"/>
          <w:szCs w:val="20"/>
          <w:color w:val="auto"/>
        </w:rPr>
      </w:pPr>
    </w:p>
    <w:p>
      <w:pPr>
        <w:jc w:val="both"/>
        <w:ind w:left="1500" w:firstLine="642"/>
        <w:spacing w:after="0" w:line="334" w:lineRule="auto"/>
        <w:tabs>
          <w:tab w:leader="none" w:pos="3055" w:val="left"/>
        </w:tabs>
        <w:numPr>
          <w:ilvl w:val="2"/>
          <w:numId w:val="149"/>
        </w:numPr>
        <w:rPr>
          <w:rFonts w:ascii="Arial" w:cs="Arial" w:eastAsia="Arial" w:hAnsi="Arial"/>
          <w:sz w:val="16"/>
          <w:szCs w:val="16"/>
          <w:color w:val="auto"/>
        </w:rPr>
      </w:pPr>
      <w:r>
        <w:rPr>
          <w:rFonts w:ascii="Arial" w:cs="Arial" w:eastAsia="Arial" w:hAnsi="Arial"/>
          <w:sz w:val="16"/>
          <w:szCs w:val="16"/>
          <w:color w:val="auto"/>
        </w:rPr>
        <w:t xml:space="preserve">If for any reason the aggregate Revolving Credit Exposures at any time exceeds the aggregate Revolving Credit Commitments then in effect, the Borrowers shall promptly prepay or cause to be promptly prepaid Revolving Credit Loans and Swing Line Loans and/or Cash Collateralize the L/C Obligations in an aggregate amount equal to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Cash Collateralize the L/C Obligations pursuant to this </w:t>
      </w:r>
      <w:r>
        <w:rPr>
          <w:rFonts w:ascii="Arial" w:cs="Arial" w:eastAsia="Arial" w:hAnsi="Arial"/>
          <w:sz w:val="16"/>
          <w:szCs w:val="16"/>
          <w:u w:val="single" w:color="auto"/>
          <w:color w:val="auto"/>
        </w:rPr>
        <w:t>Section 2.05(b)</w:t>
      </w:r>
    </w:p>
    <w:p>
      <w:pPr>
        <w:spacing w:after="0" w:line="2" w:lineRule="exact"/>
        <w:rPr>
          <w:rFonts w:ascii="Arial" w:cs="Arial" w:eastAsia="Arial" w:hAnsi="Arial"/>
          <w:sz w:val="16"/>
          <w:szCs w:val="16"/>
          <w:color w:val="auto"/>
        </w:rPr>
      </w:pPr>
    </w:p>
    <w:p>
      <w:pPr>
        <w:ind w:left="1500" w:hanging="6"/>
        <w:spacing w:after="0" w:line="289" w:lineRule="auto"/>
        <w:tabs>
          <w:tab w:leader="none" w:pos="1851" w:val="left"/>
        </w:tabs>
        <w:numPr>
          <w:ilvl w:val="0"/>
          <w:numId w:val="150"/>
        </w:numPr>
        <w:rPr>
          <w:rFonts w:ascii="Arial" w:cs="Arial" w:eastAsia="Arial" w:hAnsi="Arial"/>
          <w:sz w:val="20"/>
          <w:szCs w:val="20"/>
          <w:u w:val="single" w:color="auto"/>
          <w:color w:val="auto"/>
        </w:rPr>
      </w:pPr>
      <w:r>
        <w:rPr>
          <w:rFonts w:ascii="Arial" w:cs="Arial" w:eastAsia="Arial" w:hAnsi="Arial"/>
          <w:sz w:val="20"/>
          <w:szCs w:val="20"/>
          <w:color w:val="auto"/>
        </w:rPr>
        <w:t>unless after the prepayment in full of the Revolving Credit Loans and Swing Line Loans, such aggregate Outstanding Amount exceeds the aggregate Revolving Credit Commitments then in effect.</w:t>
      </w:r>
    </w:p>
    <w:p>
      <w:pPr>
        <w:spacing w:after="0" w:line="175" w:lineRule="exact"/>
        <w:rPr>
          <w:rFonts w:ascii="Arial" w:cs="Arial" w:eastAsia="Arial" w:hAnsi="Arial"/>
          <w:sz w:val="20"/>
          <w:szCs w:val="20"/>
          <w:u w:val="single" w:color="auto"/>
          <w:color w:val="auto"/>
        </w:rPr>
      </w:pPr>
    </w:p>
    <w:p>
      <w:pPr>
        <w:jc w:val="both"/>
        <w:ind w:left="1480" w:firstLine="648"/>
        <w:spacing w:after="0" w:line="287" w:lineRule="auto"/>
        <w:tabs>
          <w:tab w:leader="none" w:pos="3007"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Each prepayment of Term Loans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ratably between the Initial Term Loans and (unless otherwise agreed by the applicable Incremental Lenders) any Incremental Term Loans to reduce in direct order of maturity the remaining scheduled principal installments of the Initial Term Loans (and, as determined by the Borrowers and the applicable Incremental Lenders, to reduce the remaining scheduled principal installments of any Incremental Term Loans) required pursuant to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and shall be paid to the Appropriate Lenders in accordance with their respective Pro Rata Shares. Any prepayment of a Eurocurrency Rate Loan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accompanied by all accrued interest thereon.</w:t>
      </w:r>
    </w:p>
    <w:p>
      <w:pPr>
        <w:spacing w:after="0" w:line="183" w:lineRule="exact"/>
        <w:rPr>
          <w:rFonts w:ascii="Arial" w:cs="Arial" w:eastAsia="Arial" w:hAnsi="Arial"/>
          <w:sz w:val="19"/>
          <w:szCs w:val="19"/>
          <w:color w:val="auto"/>
        </w:rPr>
      </w:pPr>
    </w:p>
    <w:p>
      <w:pPr>
        <w:jc w:val="both"/>
        <w:ind w:left="1500" w:firstLine="642"/>
        <w:spacing w:after="0" w:line="300" w:lineRule="auto"/>
        <w:tabs>
          <w:tab w:leader="none" w:pos="3055" w:val="left"/>
        </w:tabs>
        <w:numPr>
          <w:ilvl w:val="2"/>
          <w:numId w:val="150"/>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w:t>
      </w:r>
      <w:r>
        <w:rPr>
          <w:rFonts w:ascii="Arial" w:cs="Arial" w:eastAsia="Arial" w:hAnsi="Arial"/>
          <w:sz w:val="18"/>
          <w:szCs w:val="18"/>
          <w:u w:val="single" w:color="auto"/>
          <w:color w:val="auto"/>
        </w:rPr>
        <w:t>Section 2.05</w:t>
      </w:r>
      <w:r>
        <w:rPr>
          <w:rFonts w:ascii="Arial" w:cs="Arial" w:eastAsia="Arial" w:hAnsi="Arial"/>
          <w:sz w:val="18"/>
          <w:szCs w:val="18"/>
          <w:color w:val="auto"/>
        </w:rPr>
        <w:t>, (i) to the extent that any of or all the Net Cash Proceeds of any Disposition by a Foreign Subsidiary (“</w:t>
      </w:r>
      <w:r>
        <w:rPr>
          <w:rFonts w:ascii="Arial" w:cs="Arial" w:eastAsia="Arial" w:hAnsi="Arial"/>
          <w:sz w:val="18"/>
          <w:szCs w:val="18"/>
          <w:u w:val="single" w:color="auto"/>
          <w:color w:val="auto"/>
        </w:rPr>
        <w:t>Foreign Disposition</w:t>
      </w:r>
      <w:r>
        <w:rPr>
          <w:rFonts w:ascii="Arial" w:cs="Arial" w:eastAsia="Arial" w:hAnsi="Arial"/>
          <w:sz w:val="18"/>
          <w:szCs w:val="18"/>
          <w:color w:val="auto"/>
        </w:rPr>
        <w:t>”), the Net Cash Proceeds of any Casualty Event from a Foreign Subsidiary (a “</w:t>
      </w:r>
      <w:r>
        <w:rPr>
          <w:rFonts w:ascii="Arial" w:cs="Arial" w:eastAsia="Arial" w:hAnsi="Arial"/>
          <w:sz w:val="18"/>
          <w:szCs w:val="18"/>
          <w:u w:val="single" w:color="auto"/>
          <w:color w:val="auto"/>
        </w:rPr>
        <w:t>Foreign Casualty Event</w:t>
      </w:r>
      <w:r>
        <w:rPr>
          <w:rFonts w:ascii="Arial" w:cs="Arial" w:eastAsia="Arial" w:hAnsi="Arial"/>
          <w:sz w:val="18"/>
          <w:szCs w:val="18"/>
          <w:color w:val="auto"/>
        </w:rPr>
        <w:t xml:space="preserve">”) or Excess Cash Flow attributable to Foreign Subsidiaries are prohibited or delayed by applicable local law from being repatriated to the United States, the portion of such Net Cash Proceeds or Excess Cash Flow so affected will not be required to be applied to repay Term Loans at the times provided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but may be retained by the applicable Foreign Subsidiary so long, but only so long, as the applicable local law will not permit repatriation to the United States (each Borrower hereby agreeing to use commercially reasonable efforts to cause the applicable Foreign Subsidiary to promptly take all actions reasonably required by the applicable local law to permit such repatriation), and once such repatriation of any of such affected Net Cash Proceeds or Excess Cash Flow is permitted under the applicable local law, such repatriation will be promptly effected and an amount equal to such repatriated Net Cash Proceeds or Excess Cash Flow will be promptly (and in any event not later than two (2) Business Days after such repatriation) applied (net of additional taxes payable or reserved against as a result thereof) to the repayment of the Term Loans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to the extent provided herein and (ii) to the extent that the Borrowers have determined in good faith that repatriation of any of or all the Net Cash Proceeds of any Foreign Disposition or any Foreign Casualty Event or Excess Cash Flow attributable to Foreign Subsidiaries would have material adverse tax consequences with respect to such Net Cash Proceeds or Excess Cash Flow, such Net Cash Proceeds or Excess Cash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194" w:name="page195"/>
    <w:bookmarkEnd w:id="194"/>
    <w:p>
      <w:pPr>
        <w:jc w:val="both"/>
        <w:ind w:left="1500"/>
        <w:spacing w:after="0" w:line="274" w:lineRule="auto"/>
        <w:rPr>
          <w:sz w:val="20"/>
          <w:szCs w:val="20"/>
          <w:color w:val="auto"/>
        </w:rPr>
      </w:pPr>
      <w:r>
        <w:rPr>
          <w:rFonts w:ascii="Arial" w:cs="Arial" w:eastAsia="Arial" w:hAnsi="Arial"/>
          <w:sz w:val="20"/>
          <w:szCs w:val="20"/>
          <w:color w:val="auto"/>
        </w:rPr>
        <w:t xml:space="preserve">Flow so affected will not be required to be applied to repay Term Loans at the times provided in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but may be retained by the applicable Foreign Subsidiary until such time as it may repatriate such amount without incurring such material adverse tax consequences (at which time such amount shall be repatriated to the Borrowers and applied to repay the Term Loans).</w:t>
      </w:r>
    </w:p>
    <w:p>
      <w:pPr>
        <w:spacing w:after="0" w:line="192" w:lineRule="exact"/>
        <w:rPr>
          <w:sz w:val="20"/>
          <w:szCs w:val="20"/>
          <w:color w:val="auto"/>
        </w:rPr>
      </w:pPr>
    </w:p>
    <w:p>
      <w:pPr>
        <w:jc w:val="both"/>
        <w:ind w:left="280" w:firstLine="646"/>
        <w:spacing w:after="0" w:line="270" w:lineRule="auto"/>
        <w:tabs>
          <w:tab w:leader="none" w:pos="134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Funding Losses, Etc</w:t>
      </w:r>
      <w:r>
        <w:rPr>
          <w:rFonts w:ascii="Arial" w:cs="Arial" w:eastAsia="Arial" w:hAnsi="Arial"/>
          <w:sz w:val="18"/>
          <w:szCs w:val="18"/>
          <w:color w:val="auto"/>
        </w:rPr>
        <w:t xml:space="preserve">. All prepayments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shall be made together with, in the case of any such prepayment of a Eurocurrency Rate Loan on a date prior to the last day of an Interest Period therefor, any amounts owing in respect of such Eurocurrency Rate Loan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Notwithstanding any of the other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so long as no Event of Default shall have occurred and be continuing, if any prepayment of Eurocurrency Rate Loans is required to be made under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(but excluding prepayments required under clause (iv)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prior to the last day of the Interest Period therefor, in lieu of making any payment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in respect of any such Eurocurrency Rate Loan prior to the last day of the Interest Period therefor, the Borrowers may, in their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any Borrower or any other Loan Party) to apply such amount to the prepayment of such Loans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Upon the occurrence and during the continuance of any Event of Default, the Administrative Agent shall also be authorized (without any further action by or notice to or from any Borrower or any other Loan Party) to apply such amount to the prepayment of the outstanding Loans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and the Borrowers shall be responsible for any amounts owing in respect of any Eurocurrency Rate Loan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74"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285" w:lineRule="auto"/>
        <w:tabs>
          <w:tab w:leader="none" w:pos="179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Company may, upon written notice to the Administrative Agent, terminate the unused Commitments of any Class, or from time to time permanently reduce the unused Commitments of any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at least three (3) Business Days prior to the date of termination or reduction, (ii) any such partial reduction shall be in an aggregate amount of $500,000 or any whole multiple of $100,000 in excess thereof and (iii) if, after giving effect to any reduction of the Revolving Credit Commitments, the Letter of Credit Sublimit or the Swing Line Sublimit exceeds the amount of the Revolving Credit Facility, such sublimit shall be automatically reduced by the amount of such excess. The amount of any such Revolving Credit Commitment reduction shall not be applied to the Letter of Credit Sublimit or the Swing Line Sublimit unless otherwise specified by the Company or as otherwise provided in the immediately preceding sentence. Notwithstanding the foregoing, the Company may rescind or postpone any notice of termination of the Commitments if such termination would have resulted from a refinancing in total of a Facility, which refinancing shall not be consummated or otherwise shall be delayed.</w:t>
      </w:r>
    </w:p>
    <w:p>
      <w:pPr>
        <w:spacing w:after="0" w:line="201" w:lineRule="exact"/>
        <w:rPr>
          <w:rFonts w:ascii="Arial" w:cs="Arial" w:eastAsia="Arial" w:hAnsi="Arial"/>
          <w:sz w:val="19"/>
          <w:szCs w:val="19"/>
          <w:color w:val="auto"/>
        </w:rPr>
      </w:pPr>
    </w:p>
    <w:p>
      <w:pPr>
        <w:jc w:val="both"/>
        <w:ind w:left="280" w:firstLine="646"/>
        <w:spacing w:after="0" w:line="272" w:lineRule="auto"/>
        <w:tabs>
          <w:tab w:leader="none" w:pos="1807"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xml:space="preserve">. The Term Commitment of each Term Lender shall be automatically and permanently reduced to $0 upon the making of such Term Lender’s Term Loans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The Revolving Credit Commitment of each Revolving Credit Lender shall automatically and permanently terminate on the Maturity Date for the Revolving Credit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the foregoing shall not release any Revolving Credit Lender from any liability it may have for its failure to fund Revolving Credit Loans, L/C Advances or participations in Swing Line Loans that were required to be funded by it on or prior to such Maturity Date and (y) the foregoing will not release any Revolving</w:t>
      </w:r>
    </w:p>
    <w:p>
      <w:pPr>
        <w:spacing w:after="0" w:line="30" w:lineRule="exact"/>
        <w:rPr>
          <w:sz w:val="20"/>
          <w:szCs w:val="20"/>
          <w:color w:val="auto"/>
        </w:rPr>
      </w:pPr>
    </w:p>
    <w:p>
      <w:pPr>
        <w:ind w:left="280" w:right="460"/>
        <w:spacing w:after="0" w:line="260" w:lineRule="auto"/>
        <w:rPr>
          <w:sz w:val="20"/>
          <w:szCs w:val="20"/>
          <w:color w:val="auto"/>
        </w:rPr>
      </w:pPr>
      <w:r>
        <w:rPr>
          <w:rFonts w:ascii="Arial" w:cs="Arial" w:eastAsia="Arial" w:hAnsi="Arial"/>
          <w:sz w:val="20"/>
          <w:szCs w:val="20"/>
          <w:color w:val="auto"/>
        </w:rPr>
        <w:t>Credit Lender from any obligation to fund its portion of L/C Advances or participations in Swing Line Loans with respect to Letters of Credit issued or Swing Line Loans made prior to such Maturity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195" w:name="page196"/>
    <w:bookmarkEnd w:id="195"/>
    <w:p>
      <w:pPr>
        <w:jc w:val="both"/>
        <w:ind w:left="260" w:firstLine="639"/>
        <w:spacing w:after="0" w:line="288" w:lineRule="auto"/>
        <w:tabs>
          <w:tab w:leader="none" w:pos="1756" w:val="left"/>
        </w:tabs>
        <w:numPr>
          <w:ilvl w:val="0"/>
          <w:numId w:val="153"/>
        </w:numPr>
        <w:rPr>
          <w:rFonts w:ascii="Arial" w:cs="Arial" w:eastAsia="Arial" w:hAnsi="Arial"/>
          <w:sz w:val="17"/>
          <w:szCs w:val="17"/>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unused portions of the Letter of Credit Sublimit, the Swing Line Sublimit or the unused Commitments of any Class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Upon any reduction of unused Commitments of any Class, the Commitment of each Lender of such Class shall be reduced by such Lender’s Pro Rata Share of the amount by which such Commitments are reduced (other than the termination of the Commitment of any Lender as provided in </w:t>
      </w:r>
      <w:r>
        <w:rPr>
          <w:rFonts w:ascii="Arial" w:cs="Arial" w:eastAsia="Arial" w:hAnsi="Arial"/>
          <w:sz w:val="19"/>
          <w:szCs w:val="19"/>
          <w:u w:val="single" w:color="auto"/>
          <w:color w:val="auto"/>
        </w:rPr>
        <w:t>Section 3.07</w:t>
      </w:r>
      <w:r>
        <w:rPr>
          <w:rFonts w:ascii="Arial" w:cs="Arial" w:eastAsia="Arial" w:hAnsi="Arial"/>
          <w:sz w:val="19"/>
          <w:szCs w:val="19"/>
          <w:color w:val="auto"/>
        </w:rPr>
        <w:t>). All commitment fees accrued until the effective date of any termination of the Aggregate Commitments shall be paid on the effective date of such termination.</w:t>
      </w:r>
    </w:p>
    <w:p>
      <w:pPr>
        <w:spacing w:after="0" w:line="250" w:lineRule="exact"/>
        <w:rPr>
          <w:sz w:val="20"/>
          <w:szCs w:val="20"/>
          <w:color w:val="auto"/>
        </w:rPr>
      </w:pPr>
    </w:p>
    <w:p>
      <w:pPr>
        <w:ind w:left="900"/>
        <w:spacing w:after="0"/>
        <w:tabs>
          <w:tab w:leader="none" w:pos="206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6"/>
          <w:szCs w:val="16"/>
          <w:u w:val="single" w:color="auto"/>
          <w:color w:val="auto"/>
        </w:rPr>
        <w:t>Repayment of Loans</w:t>
      </w:r>
    </w:p>
    <w:p>
      <w:pPr>
        <w:spacing w:after="0" w:line="229" w:lineRule="exact"/>
        <w:rPr>
          <w:sz w:val="20"/>
          <w:szCs w:val="20"/>
          <w:color w:val="auto"/>
        </w:rPr>
      </w:pPr>
    </w:p>
    <w:p>
      <w:pPr>
        <w:ind w:left="1760" w:hanging="834"/>
        <w:spacing w:after="0"/>
        <w:tabs>
          <w:tab w:leader="none" w:pos="176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Term Loan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500" w:firstLine="642"/>
        <w:spacing w:after="0" w:line="293" w:lineRule="auto"/>
        <w:tabs>
          <w:tab w:leader="none" w:pos="295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The Borrowers shall repay to the Administrative Agent for the ratable account of the Term Lenders (A) in consecutive quarterly installments on the last day of each fiscal quarter of the Company, commencing with April 1, 2018, the aggregate outstanding principal amount of the Term Loan as set forth below (which payments shall be reduced as a result of the application of prepayments in accordance with the order of priority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294" w:lineRule="exact"/>
        <w:rPr>
          <w:sz w:val="20"/>
          <w:szCs w:val="20"/>
          <w:color w:val="auto"/>
        </w:rPr>
      </w:pPr>
    </w:p>
    <w:tbl>
      <w:tblPr>
        <w:tblLayout w:type="fixed"/>
        <w:tblInd w:w="1270" w:type="dxa"/>
        <w:tblCellMar>
          <w:top w:w="0" w:type="dxa"/>
          <w:left w:w="0" w:type="dxa"/>
          <w:bottom w:w="0" w:type="dxa"/>
          <w:right w:w="0" w:type="dxa"/>
        </w:tblCellMar>
      </w:tblPr>
      <w:tr>
        <w:trPr>
          <w:trHeight w:val="247"/>
        </w:trPr>
        <w:tc>
          <w:tcPr>
            <w:tcW w:w="2500" w:type="dxa"/>
            <w:vAlign w:val="bottom"/>
            <w:tcBorders>
              <w:top w:val="single" w:sz="8" w:color="auto"/>
              <w:left w:val="single" w:sz="8" w:color="auto"/>
              <w:right w:val="single" w:sz="8" w:color="auto"/>
            </w:tcBorders>
          </w:tcPr>
          <w:p>
            <w:pPr>
              <w:jc w:val="right"/>
              <w:ind w:right="1041"/>
              <w:spacing w:after="0"/>
              <w:rPr>
                <w:sz w:val="20"/>
                <w:szCs w:val="20"/>
                <w:color w:val="auto"/>
              </w:rPr>
            </w:pPr>
            <w:r>
              <w:rPr>
                <w:rFonts w:ascii="Arial" w:cs="Arial" w:eastAsia="Arial" w:hAnsi="Arial"/>
                <w:sz w:val="20"/>
                <w:szCs w:val="20"/>
                <w:b w:val="1"/>
                <w:bCs w:val="1"/>
                <w:color w:val="auto"/>
              </w:rPr>
              <w:t>FISCAL YEAR</w:t>
            </w:r>
          </w:p>
        </w:tc>
        <w:tc>
          <w:tcPr>
            <w:tcW w:w="2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 DATE</w:t>
            </w: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PRINCIPAL</w:t>
            </w: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244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INSTALLMENT</w:t>
            </w:r>
          </w:p>
        </w:tc>
      </w:tr>
      <w:tr>
        <w:trPr>
          <w:trHeight w:val="256"/>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spacing w:after="0"/>
              <w:rPr>
                <w:sz w:val="22"/>
                <w:szCs w:val="22"/>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2018</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1, 2018</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 2018</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30, 2018</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30, 2018</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2019</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31, 2019</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30, 2019</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29, 2019</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29, 2019</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2020</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29, 2020</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28, 2020</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27, 2020</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27, 2020</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$6,250,000</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2021</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28, 2021</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$9,375,000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27, 2021</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$9,375,000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26, 2021</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$9,375,000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26, 2021</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$9,375,000</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jc w:val="right"/>
              <w:ind w:right="1061"/>
              <w:spacing w:after="0"/>
              <w:rPr>
                <w:sz w:val="20"/>
                <w:szCs w:val="20"/>
                <w:color w:val="auto"/>
              </w:rPr>
            </w:pPr>
            <w:r>
              <w:rPr>
                <w:rFonts w:ascii="Arial" w:cs="Arial" w:eastAsia="Arial" w:hAnsi="Arial"/>
                <w:sz w:val="20"/>
                <w:szCs w:val="20"/>
                <w:color w:val="auto"/>
              </w:rPr>
              <w:t>2022</w:t>
            </w: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27, 2022</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$12,500,000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26, 2022</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$12,500,000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54"/>
        </w:trPr>
        <w:tc>
          <w:tcPr>
            <w:tcW w:w="2500" w:type="dxa"/>
            <w:vAlign w:val="bottom"/>
            <w:tcBorders>
              <w:left w:val="single" w:sz="8" w:color="auto"/>
              <w:right w:val="single" w:sz="8" w:color="auto"/>
            </w:tcBorders>
          </w:tcPr>
          <w:p>
            <w:pPr>
              <w:spacing w:after="0"/>
              <w:rPr>
                <w:sz w:val="22"/>
                <w:szCs w:val="22"/>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25, 2022</w:t>
            </w:r>
          </w:p>
        </w:tc>
        <w:tc>
          <w:tcPr>
            <w:tcW w:w="242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$12,500,000</w:t>
            </w:r>
          </w:p>
        </w:tc>
      </w:tr>
      <w:tr>
        <w:trPr>
          <w:trHeight w:val="23"/>
        </w:trPr>
        <w:tc>
          <w:tcPr>
            <w:tcW w:w="2500" w:type="dxa"/>
            <w:vAlign w:val="bottom"/>
            <w:tcBorders>
              <w:left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233"/>
        </w:trPr>
        <w:tc>
          <w:tcPr>
            <w:tcW w:w="2500" w:type="dxa"/>
            <w:vAlign w:val="bottom"/>
            <w:tcBorders>
              <w:left w:val="single" w:sz="8" w:color="auto"/>
              <w:right w:val="single" w:sz="8" w:color="auto"/>
            </w:tcBorders>
          </w:tcPr>
          <w:p>
            <w:pPr>
              <w:spacing w:after="0"/>
              <w:rPr>
                <w:sz w:val="20"/>
                <w:szCs w:val="20"/>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Maturity Date for Term</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The aggregate outstanding</w:t>
            </w:r>
          </w:p>
        </w:tc>
      </w:tr>
      <w:tr>
        <w:trPr>
          <w:trHeight w:val="230"/>
        </w:trPr>
        <w:tc>
          <w:tcPr>
            <w:tcW w:w="2500" w:type="dxa"/>
            <w:vAlign w:val="bottom"/>
            <w:tcBorders>
              <w:left w:val="single" w:sz="8" w:color="auto"/>
              <w:right w:val="single" w:sz="8" w:color="auto"/>
            </w:tcBorders>
          </w:tcPr>
          <w:p>
            <w:pPr>
              <w:spacing w:after="0"/>
              <w:rPr>
                <w:sz w:val="19"/>
                <w:szCs w:val="19"/>
                <w:color w:val="auto"/>
              </w:rPr>
            </w:pPr>
          </w:p>
        </w:tc>
        <w:tc>
          <w:tcPr>
            <w:tcW w:w="2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Loans</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principal amount of all Term</w:t>
            </w:r>
          </w:p>
        </w:tc>
      </w:tr>
      <w:tr>
        <w:trPr>
          <w:trHeight w:val="250"/>
        </w:trPr>
        <w:tc>
          <w:tcPr>
            <w:tcW w:w="2500" w:type="dxa"/>
            <w:vAlign w:val="bottom"/>
            <w:tcBorders>
              <w:left w:val="single" w:sz="8" w:color="auto"/>
              <w:right w:val="single" w:sz="8" w:color="auto"/>
            </w:tcBorders>
          </w:tcPr>
          <w:p>
            <w:pPr>
              <w:spacing w:after="0"/>
              <w:rPr>
                <w:sz w:val="21"/>
                <w:szCs w:val="21"/>
                <w:color w:val="auto"/>
              </w:rPr>
            </w:pPr>
          </w:p>
        </w:tc>
        <w:tc>
          <w:tcPr>
            <w:tcW w:w="2440" w:type="dxa"/>
            <w:vAlign w:val="bottom"/>
            <w:tcBorders>
              <w:right w:val="single" w:sz="8" w:color="auto"/>
            </w:tcBorders>
          </w:tcPr>
          <w:p>
            <w:pPr>
              <w:spacing w:after="0"/>
              <w:rPr>
                <w:sz w:val="21"/>
                <w:szCs w:val="21"/>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w:t>
            </w:r>
          </w:p>
        </w:tc>
      </w:tr>
      <w:tr>
        <w:trPr>
          <w:trHeight w:val="2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459"/>
        </w:trPr>
        <w:tc>
          <w:tcPr>
            <w:tcW w:w="2500" w:type="dxa"/>
            <w:vAlign w:val="bottom"/>
          </w:tcPr>
          <w:p>
            <w:pPr>
              <w:spacing w:after="0"/>
              <w:rPr>
                <w:sz w:val="24"/>
                <w:szCs w:val="24"/>
                <w:color w:val="auto"/>
              </w:rPr>
            </w:pPr>
          </w:p>
        </w:tc>
        <w:tc>
          <w:tcPr>
            <w:tcW w:w="2440" w:type="dxa"/>
            <w:vAlign w:val="bottom"/>
          </w:tcPr>
          <w:p>
            <w:pPr>
              <w:ind w:left="1860"/>
              <w:spacing w:after="0"/>
              <w:rPr>
                <w:sz w:val="20"/>
                <w:szCs w:val="20"/>
                <w:color w:val="auto"/>
              </w:rPr>
            </w:pPr>
            <w:r>
              <w:rPr>
                <w:rFonts w:ascii="Arial" w:cs="Arial" w:eastAsia="Arial" w:hAnsi="Arial"/>
                <w:sz w:val="20"/>
                <w:szCs w:val="20"/>
                <w:color w:val="auto"/>
              </w:rPr>
              <w:t>70</w:t>
            </w:r>
          </w:p>
        </w:tc>
        <w:tc>
          <w:tcPr>
            <w:tcW w:w="242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196" w:name="page197"/>
    <w:bookmarkEnd w:id="196"/>
    <w:p>
      <w:pPr>
        <w:ind w:left="920"/>
        <w:spacing w:after="0"/>
        <w:rPr>
          <w:sz w:val="20"/>
          <w:szCs w:val="20"/>
          <w:color w:val="auto"/>
        </w:rPr>
      </w:pPr>
      <w:r>
        <w:rPr>
          <w:rFonts w:ascii="Arial" w:cs="Arial" w:eastAsia="Arial" w:hAnsi="Arial"/>
          <w:sz w:val="18"/>
          <w:szCs w:val="18"/>
          <w:color w:val="auto"/>
        </w:rPr>
        <w:t>and (B) on the Maturity Date for the Term Loans, the aggregate principal amount of all Term Loans outstanding on such date.</w:t>
      </w:r>
    </w:p>
    <w:p>
      <w:pPr>
        <w:spacing w:after="0" w:line="266" w:lineRule="exact"/>
        <w:rPr>
          <w:sz w:val="20"/>
          <w:szCs w:val="20"/>
          <w:color w:val="auto"/>
        </w:rPr>
      </w:pPr>
    </w:p>
    <w:p>
      <w:pPr>
        <w:jc w:val="both"/>
        <w:ind w:left="1500" w:firstLine="642"/>
        <w:spacing w:after="0" w:line="310" w:lineRule="auto"/>
        <w:tabs>
          <w:tab w:leader="none" w:pos="301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amount of any such payment set forth in clause (i) above shall be adjusted to account for the addition of any Incremental Term Loans, Extended Term Loans or Other Term Loans to contemplate (A) the reduction in the aggregate principal amount of any Term Loans that were paid down in connection with the incurrence of such Incremental Term Loans, Extended Term Loans or Other Term Loans, and (B) any increase to payments to the extent and as required pursuant to the terms of any applicable Incremental Amendment, Extension Amendment or Refinancing Amendment.</w:t>
      </w:r>
    </w:p>
    <w:p>
      <w:pPr>
        <w:spacing w:after="0" w:line="162" w:lineRule="exact"/>
        <w:rPr>
          <w:rFonts w:ascii="Arial" w:cs="Arial" w:eastAsia="Arial" w:hAnsi="Arial"/>
          <w:sz w:val="18"/>
          <w:szCs w:val="18"/>
          <w:color w:val="auto"/>
        </w:rPr>
      </w:pPr>
    </w:p>
    <w:p>
      <w:pPr>
        <w:jc w:val="both"/>
        <w:ind w:left="280" w:firstLine="646"/>
        <w:spacing w:after="0" w:line="278" w:lineRule="auto"/>
        <w:tabs>
          <w:tab w:leader="none" w:pos="1807"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The Borrowers shall repay to the Administrative Agent for the ratable account of the Appropriate Lenders on the Maturity Date for the Revolving Credit Facility the aggregate principal amount of all of their Revolving Credit Loans outstanding on such date.</w:t>
      </w:r>
    </w:p>
    <w:p>
      <w:pPr>
        <w:spacing w:after="0" w:line="200" w:lineRule="exact"/>
        <w:rPr>
          <w:rFonts w:ascii="Arial" w:cs="Arial" w:eastAsia="Arial" w:hAnsi="Arial"/>
          <w:sz w:val="20"/>
          <w:szCs w:val="20"/>
          <w:color w:val="auto"/>
        </w:rPr>
      </w:pPr>
    </w:p>
    <w:p>
      <w:pPr>
        <w:ind w:left="280" w:right="20" w:firstLine="646"/>
        <w:spacing w:after="0" w:line="289" w:lineRule="auto"/>
        <w:tabs>
          <w:tab w:leader="none" w:pos="1796"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 The Borrowers shall repay their Swing Line Loans on the earlier to occur of (i) the date five (5) Business Days after such Swing Line Loan is made and (ii) the Maturity Date for the Revolving Credit Facility.</w:t>
      </w:r>
    </w:p>
    <w:p>
      <w:pPr>
        <w:spacing w:after="0" w:line="175"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Subject to the provisions of </w:t>
      </w:r>
      <w:r>
        <w:rPr>
          <w:rFonts w:ascii="Arial" w:cs="Arial" w:eastAsia="Arial" w:hAnsi="Arial"/>
          <w:sz w:val="20"/>
          <w:szCs w:val="20"/>
          <w:u w:val="single" w:color="auto"/>
          <w:color w:val="auto"/>
        </w:rPr>
        <w:t>Section 2.08(b)</w:t>
      </w:r>
      <w:r>
        <w:rPr>
          <w:rFonts w:ascii="Arial" w:cs="Arial" w:eastAsia="Arial" w:hAnsi="Arial"/>
          <w:sz w:val="20"/>
          <w:szCs w:val="20"/>
          <w:color w:val="auto"/>
        </w:rPr>
        <w:t xml:space="preserve">, (i) each Eurocurrency Rate Loan shall bear interest on the outstanding principal amount thereof for each Interest Period at a rate per annum equal to the Eurocurrency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for Revolving Credit Loans.</w:t>
      </w:r>
    </w:p>
    <w:p>
      <w:pPr>
        <w:spacing w:after="0" w:line="210" w:lineRule="exact"/>
        <w:rPr>
          <w:sz w:val="20"/>
          <w:szCs w:val="20"/>
          <w:color w:val="auto"/>
        </w:rPr>
      </w:pPr>
    </w:p>
    <w:p>
      <w:pPr>
        <w:jc w:val="both"/>
        <w:ind w:left="280" w:firstLine="646"/>
        <w:spacing w:after="0" w:line="278" w:lineRule="auto"/>
        <w:tabs>
          <w:tab w:leader="none" w:pos="1807"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Borrowers shall pay interest on past due amounts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86" w:lineRule="exact"/>
        <w:rPr>
          <w:rFonts w:ascii="Arial" w:cs="Arial" w:eastAsia="Arial" w:hAnsi="Arial"/>
          <w:sz w:val="20"/>
          <w:szCs w:val="20"/>
          <w:color w:val="auto"/>
        </w:rPr>
      </w:pPr>
    </w:p>
    <w:p>
      <w:pPr>
        <w:jc w:val="both"/>
        <w:ind w:left="280" w:firstLine="646"/>
        <w:spacing w:after="0" w:line="278" w:lineRule="auto"/>
        <w:tabs>
          <w:tab w:leader="none" w:pos="179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6" w:lineRule="exact"/>
        <w:rPr>
          <w:rFonts w:ascii="Arial" w:cs="Arial" w:eastAsia="Arial" w:hAnsi="Arial"/>
          <w:sz w:val="20"/>
          <w:szCs w:val="20"/>
          <w:color w:val="auto"/>
        </w:rPr>
      </w:pPr>
    </w:p>
    <w:p>
      <w:pPr>
        <w:ind w:left="1780" w:hanging="854"/>
        <w:spacing w:after="0"/>
        <w:tabs>
          <w:tab w:leader="none" w:pos="178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All computations of interest hereunder shall be made in accordance with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229"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u w:val="single" w:color="auto"/>
          <w:color w:val="auto"/>
        </w:rPr>
        <w:t xml:space="preserve"> Sections 2.03(h)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(i)</w:t>
      </w:r>
      <w:r>
        <w:rPr>
          <w:rFonts w:ascii="Arial" w:cs="Arial" w:eastAsia="Arial" w:hAnsi="Arial"/>
          <w:sz w:val="16"/>
          <w:szCs w:val="16"/>
          <w:color w:val="auto"/>
        </w:rPr>
        <w:t>:</w:t>
      </w:r>
    </w:p>
    <w:p>
      <w:pPr>
        <w:spacing w:after="0" w:line="229" w:lineRule="exact"/>
        <w:rPr>
          <w:sz w:val="20"/>
          <w:szCs w:val="20"/>
          <w:color w:val="auto"/>
        </w:rPr>
      </w:pPr>
    </w:p>
    <w:p>
      <w:pPr>
        <w:jc w:val="both"/>
        <w:ind w:left="920" w:firstLine="655"/>
        <w:spacing w:after="0" w:line="304" w:lineRule="auto"/>
        <w:tabs>
          <w:tab w:leader="none" w:pos="243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Borrowers shall pay to the Administrative Agent for the account of each Revolving Credit Lender in accordance with its Pro Rata Share, a commitment fee equal to the Applicable Rate with respect to commitment fees times the actual daily amount by which the aggregate Revolving Credit Commitment exceeds the sum of (A) Outstanding Amount of Revolving Credit Loans (for the avoidance of doubt, excluding any Swing Line Loans) and (B) the Outstanding Amount of L/C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 accrued with respect to any of the Revolving Credit Commitments of a Defaulting Lender during the period prior to the time such Lender became a Defaulting Lender and unpaid at such time shall not be payable by the Borrowers so long as such Lender shall be a Defaulting Lender except to the extent that such commitment fee shall otherwise have been due and payable by the Borrowers prior to such time;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197" w:name="page198"/>
    <w:bookmarkEnd w:id="197"/>
    <w:p>
      <w:pPr>
        <w:jc w:val="both"/>
        <w:ind w:left="920"/>
        <w:spacing w:after="0" w:line="270" w:lineRule="auto"/>
        <w:rPr>
          <w:sz w:val="20"/>
          <w:szCs w:val="20"/>
          <w:color w:val="auto"/>
        </w:rPr>
      </w:pPr>
      <w:r>
        <w:rPr>
          <w:rFonts w:ascii="Arial" w:cs="Arial" w:eastAsia="Arial" w:hAnsi="Arial"/>
          <w:sz w:val="20"/>
          <w:szCs w:val="20"/>
          <w:color w:val="auto"/>
        </w:rPr>
        <w:t xml:space="preserve">that no commitment fee shall accrue on any of the Revolving Credit Commitments of a Defaulting Lender so long as such Lender shall be a Defaulting Lender. The commitment fee shall accrue at all times from the Closing Date until the Maturity Date for the Revolving Credit Facility, including at any time during which one or more of the conditions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not met, and shall be due and payable quarterly in arrears on the last Business Day of each March, June, September and December, commencing with the first such date to occur after the Closing Date, and on the Maturity Date for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13" w:lineRule="exact"/>
        <w:rPr>
          <w:sz w:val="20"/>
          <w:szCs w:val="20"/>
          <w:color w:val="auto"/>
        </w:rPr>
      </w:pPr>
    </w:p>
    <w:p>
      <w:pPr>
        <w:jc w:val="both"/>
        <w:ind w:left="920" w:firstLine="655"/>
        <w:spacing w:after="0" w:line="299" w:lineRule="auto"/>
        <w:tabs>
          <w:tab w:leader="none" w:pos="2447"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 The Borrower shall pay to the Agents such fees as shall have been separately agreed upon in writing in the amounts and at the times so specified. Such fees shall be fully earned when paid and shall not be refundable for any reason whatsoever (except as expressly agreed between the Borrowers and the applicable Agent).</w:t>
      </w:r>
    </w:p>
    <w:p>
      <w:pPr>
        <w:spacing w:after="0" w:line="169"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xml:space="preserve">. All computations of interest for Base Rate Loans when the Base Rate is determined by the Administrative Agent’s “prime rate” shall be made on the basis of a year of three hundred and sixty-five (365) days (or three hundred and sixty six (366) days, as the case may be) and actual days elapsed. All other computations of fees and interest shall be made on the basis of a three hundred and sixty (360) day year and actual days elapsed.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subject to </w:t>
      </w: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(1) day. In computing interest on any Loan, the first day of an Interest Period applicable to such Loan or, with respect to a Base Rate Loan being converted from a Eurocurrency Rate Loan, the date of conversion of such Eurocurrency Rate Loan to such Base Rate Loan, as the case may be, shall be included, and the expiration date of an Interest Period applicable to such Loan or, with respect to a Base Rate Loan being converted to a Eurocurrency Rate Loan, the date of conversion of such Base Rate Loan to such Eurocurrency Rate Loan, as the case may be, shall be excluded. Each determination by the Administrative Agent of an interest rate or fee hereunder shall be conclusive and binding for all purposes, absent manifest error.</w:t>
      </w:r>
    </w:p>
    <w:p>
      <w:pPr>
        <w:spacing w:after="0" w:line="185"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Evidence of Indebtedness</w:t>
      </w:r>
      <w:r>
        <w:rPr>
          <w:rFonts w:ascii="Arial" w:cs="Arial" w:eastAsia="Arial" w:hAnsi="Arial"/>
          <w:sz w:val="18"/>
          <w:szCs w:val="18"/>
          <w:color w:val="auto"/>
        </w:rPr>
        <w:t xml:space="preserve">. (a) 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each Borrower, in each case in the ordinary course of business. The accounts or records maintained by the Administrative Agent and each Lender shall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each Borrower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271" w:lineRule="exact"/>
        <w:rPr>
          <w:sz w:val="20"/>
          <w:szCs w:val="20"/>
          <w:color w:val="auto"/>
        </w:rPr>
      </w:pPr>
    </w:p>
    <w:p>
      <w:pPr>
        <w:ind w:left="280" w:right="20" w:firstLine="646"/>
        <w:spacing w:after="0" w:line="289" w:lineRule="auto"/>
        <w:tabs>
          <w:tab w:leader="none" w:pos="180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and, in the case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198" w:name="page199"/>
    <w:bookmarkEnd w:id="198"/>
    <w:p>
      <w:pPr>
        <w:jc w:val="both"/>
        <w:ind w:left="280"/>
        <w:spacing w:after="0" w:line="274" w:lineRule="auto"/>
        <w:rPr>
          <w:sz w:val="20"/>
          <w:szCs w:val="20"/>
          <w:color w:val="auto"/>
        </w:rPr>
      </w:pPr>
      <w:r>
        <w:rPr>
          <w:rFonts w:ascii="Arial" w:cs="Arial" w:eastAsia="Arial" w:hAnsi="Arial"/>
          <w:sz w:val="20"/>
          <w:szCs w:val="20"/>
          <w:color w:val="auto"/>
        </w:rPr>
        <w:t xml:space="preserve">of the Administrative Agent, entries in the Register in accordance with the provisions of </w:t>
      </w:r>
      <w:r>
        <w:rPr>
          <w:rFonts w:ascii="Arial" w:cs="Arial" w:eastAsia="Arial" w:hAnsi="Arial"/>
          <w:sz w:val="20"/>
          <w:szCs w:val="20"/>
          <w:u w:val="single" w:color="auto"/>
          <w:color w:val="auto"/>
        </w:rPr>
        <w:t>Section 10.07(d)</w:t>
      </w:r>
      <w:r>
        <w:rPr>
          <w:rFonts w:ascii="Arial" w:cs="Arial" w:eastAsia="Arial" w:hAnsi="Arial"/>
          <w:sz w:val="20"/>
          <w:szCs w:val="20"/>
          <w:color w:val="auto"/>
        </w:rPr>
        <w:t>, evidencing the purchases and sales by such Lender of participations in Letters of Credit and Swing Line Loans. In the event of any conflict between the accounts and records maintained by the Administrative Agent in the Register and the accounts and records of any Lender in respect of such matters, the Register shall control in the absence of manifest error.</w:t>
      </w:r>
    </w:p>
    <w:p>
      <w:pPr>
        <w:spacing w:after="0" w:line="206" w:lineRule="exact"/>
        <w:rPr>
          <w:sz w:val="20"/>
          <w:szCs w:val="20"/>
          <w:color w:val="auto"/>
        </w:rPr>
      </w:pPr>
    </w:p>
    <w:p>
      <w:pPr>
        <w:jc w:val="both"/>
        <w:ind w:left="280" w:firstLine="646"/>
        <w:spacing w:after="0" w:line="288" w:lineRule="auto"/>
        <w:tabs>
          <w:tab w:leader="none" w:pos="179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Entries made in good faith by the Administrative Agent in the Register, and by each Lender in its account or accounts pursuant to </w:t>
      </w:r>
      <w:r>
        <w:rPr>
          <w:rFonts w:ascii="Arial" w:cs="Arial" w:eastAsia="Arial" w:hAnsi="Arial"/>
          <w:sz w:val="19"/>
          <w:szCs w:val="19"/>
          <w:u w:val="single" w:color="auto"/>
          <w:color w:val="auto"/>
        </w:rPr>
        <w:t>Sections 2.11(a)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amount of principal and interest due and payable or to become due and payable from the Borrowers to, in the case of the Register, each Lender and, in the case of such account or accounts, such Lender, under this Agreement and the other Loan Documents,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Administrative Agent or such Lender to make an entry, or any finding that an entry is incorrect, in the Register or such account or accounts shall not limit or otherwise affect the obligations of the Borrowers under this Agreement and the other Loan Documents.</w:t>
      </w:r>
    </w:p>
    <w:p>
      <w:pPr>
        <w:spacing w:after="0" w:line="183"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Payments Generally</w:t>
      </w:r>
      <w:r>
        <w:rPr>
          <w:rFonts w:ascii="Arial" w:cs="Arial" w:eastAsia="Arial" w:hAnsi="Arial"/>
          <w:sz w:val="18"/>
          <w:szCs w:val="18"/>
          <w:color w:val="auto"/>
        </w:rPr>
        <w:t>. (a)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p.m. shall in each case be deemed received on the next succeeding Business Day and any applicable interest or fee shall continue to accrue.</w:t>
      </w:r>
    </w:p>
    <w:p>
      <w:pPr>
        <w:spacing w:after="0" w:line="259" w:lineRule="exact"/>
        <w:rPr>
          <w:sz w:val="20"/>
          <w:szCs w:val="20"/>
          <w:color w:val="auto"/>
        </w:rPr>
      </w:pPr>
    </w:p>
    <w:p>
      <w:pPr>
        <w:jc w:val="both"/>
        <w:ind w:left="280" w:firstLine="646"/>
        <w:spacing w:after="0" w:line="293" w:lineRule="auto"/>
        <w:tabs>
          <w:tab w:leader="none" w:pos="180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If any payment to be made by the Borrowers shall come due on a day other than a Business Day, payment shall be made on the next following Business Day, and such extension of time shall be reflected in computing interest or fees,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extension would cause payment of interest on or principal of Eurocurrency Rate Loans to be made in the next succeeding calendar month, such payment shall be made on the immediately preceding Business Day.</w:t>
      </w:r>
    </w:p>
    <w:p>
      <w:pPr>
        <w:spacing w:after="0" w:line="175" w:lineRule="exact"/>
        <w:rPr>
          <w:rFonts w:ascii="Arial" w:cs="Arial" w:eastAsia="Arial" w:hAnsi="Arial"/>
          <w:sz w:val="19"/>
          <w:szCs w:val="19"/>
          <w:color w:val="auto"/>
        </w:rPr>
      </w:pPr>
    </w:p>
    <w:p>
      <w:pPr>
        <w:jc w:val="both"/>
        <w:ind w:left="280" w:firstLine="646"/>
        <w:spacing w:after="0" w:line="310" w:lineRule="auto"/>
        <w:tabs>
          <w:tab w:leader="none" w:pos="17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Unless the Company or any Lender has notified the Administrative Agent, prior to the date any payment is required to be made by it to the Administrative Agent hereunder, that the Borrowers or such Lender, as the case may be, will not make such payment, the Administrative Agent may assume that the Borrowers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Same Day Funds, then:</w:t>
      </w:r>
    </w:p>
    <w:p>
      <w:pPr>
        <w:spacing w:after="0" w:line="175" w:lineRule="exact"/>
        <w:rPr>
          <w:rFonts w:ascii="Arial" w:cs="Arial" w:eastAsia="Arial" w:hAnsi="Arial"/>
          <w:sz w:val="18"/>
          <w:szCs w:val="18"/>
          <w:color w:val="auto"/>
        </w:rPr>
      </w:pPr>
    </w:p>
    <w:p>
      <w:pPr>
        <w:jc w:val="both"/>
        <w:ind w:left="1500" w:firstLine="642"/>
        <w:spacing w:after="0" w:line="273" w:lineRule="auto"/>
        <w:tabs>
          <w:tab w:leader="none" w:pos="2956" w:val="left"/>
        </w:tabs>
        <w:numPr>
          <w:ilvl w:val="1"/>
          <w:numId w:val="162"/>
        </w:numPr>
        <w:rPr>
          <w:rFonts w:ascii="Arial" w:cs="Arial" w:eastAsia="Arial" w:hAnsi="Arial"/>
          <w:sz w:val="20"/>
          <w:szCs w:val="20"/>
          <w:color w:val="auto"/>
        </w:rPr>
      </w:pPr>
      <w:r>
        <w:rPr>
          <w:rFonts w:ascii="Arial" w:cs="Arial" w:eastAsia="Arial" w:hAnsi="Arial"/>
          <w:sz w:val="20"/>
          <w:szCs w:val="20"/>
          <w:color w:val="auto"/>
        </w:rPr>
        <w:t>if the Borrowers failed to make such payment, each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Federal Funds Rate from time to time in effect; and</w:t>
      </w:r>
    </w:p>
    <w:p>
      <w:pPr>
        <w:spacing w:after="0" w:line="204" w:lineRule="exact"/>
        <w:rPr>
          <w:rFonts w:ascii="Arial" w:cs="Arial" w:eastAsia="Arial" w:hAnsi="Arial"/>
          <w:sz w:val="20"/>
          <w:szCs w:val="20"/>
          <w:color w:val="auto"/>
        </w:rPr>
      </w:pPr>
    </w:p>
    <w:p>
      <w:pPr>
        <w:jc w:val="both"/>
        <w:ind w:left="1500" w:firstLine="642"/>
        <w:spacing w:after="0" w:line="293" w:lineRule="auto"/>
        <w:tabs>
          <w:tab w:leader="none" w:pos="3011" w:val="left"/>
        </w:tabs>
        <w:numPr>
          <w:ilvl w:val="1"/>
          <w:numId w:val="162"/>
        </w:numPr>
        <w:rPr>
          <w:rFonts w:ascii="Arial" w:cs="Arial" w:eastAsia="Arial" w:hAnsi="Arial"/>
          <w:sz w:val="19"/>
          <w:szCs w:val="19"/>
          <w:color w:val="auto"/>
        </w:rPr>
      </w:pPr>
      <w:r>
        <w:rPr>
          <w:rFonts w:ascii="Arial" w:cs="Arial" w:eastAsia="Arial" w:hAnsi="Arial"/>
          <w:sz w:val="19"/>
          <w:szCs w:val="19"/>
          <w:color w:val="auto"/>
        </w:rPr>
        <w:t>if any Lender failed to make such payment, such Lender shall forthwith on demand pay to the Administrative Agent the amount thereof in Same Day Funds, together with interest thereon for the period from the date such amount was made available by the Administrative Agent to the Borrowers to the date such amount is recovered by the Administrative Agent (the “</w:t>
      </w:r>
      <w:r>
        <w:rPr>
          <w:rFonts w:ascii="Arial" w:cs="Arial" w:eastAsia="Arial" w:hAnsi="Arial"/>
          <w:sz w:val="19"/>
          <w:szCs w:val="19"/>
          <w:u w:val="single" w:color="auto"/>
          <w:color w:val="auto"/>
        </w:rPr>
        <w:t>Compensation Period</w:t>
      </w:r>
      <w:r>
        <w:rPr>
          <w:rFonts w:ascii="Arial" w:cs="Arial" w:eastAsia="Arial" w:hAnsi="Arial"/>
          <w:sz w:val="19"/>
          <w:szCs w:val="19"/>
          <w:color w:val="auto"/>
        </w:rPr>
        <w:t>”) at a rate per annum equal to the applicable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199" w:name="page200"/>
    <w:bookmarkEnd w:id="199"/>
    <w:p>
      <w:pPr>
        <w:jc w:val="both"/>
        <w:ind w:left="1500"/>
        <w:spacing w:after="0" w:line="286" w:lineRule="auto"/>
        <w:rPr>
          <w:sz w:val="20"/>
          <w:szCs w:val="20"/>
          <w:color w:val="auto"/>
        </w:rPr>
      </w:pPr>
      <w:r>
        <w:rPr>
          <w:rFonts w:ascii="Arial" w:cs="Arial" w:eastAsia="Arial" w:hAnsi="Arial"/>
          <w:sz w:val="19"/>
          <w:szCs w:val="19"/>
          <w:color w:val="auto"/>
        </w:rPr>
        <w:t>Federal Funds Rate from time to time in effect.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 Borrowing. If such Lender does not pay such amount forthwith upon the Administrative Agent’s demand therefor, the Administrative Agent may make a demand therefor upon the Borrowers, and the Borrowers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which the Administrative Agent or any Borrower may have against any Lender as a result of any default by such Lender hereunder.</w:t>
      </w:r>
    </w:p>
    <w:p>
      <w:pPr>
        <w:spacing w:after="0" w:line="182" w:lineRule="exact"/>
        <w:rPr>
          <w:sz w:val="20"/>
          <w:szCs w:val="20"/>
          <w:color w:val="auto"/>
        </w:rPr>
      </w:pPr>
    </w:p>
    <w:p>
      <w:pPr>
        <w:ind w:left="280" w:right="180" w:firstLine="1296"/>
        <w:spacing w:after="0" w:line="260" w:lineRule="auto"/>
        <w:rPr>
          <w:sz w:val="20"/>
          <w:szCs w:val="20"/>
          <w:color w:val="auto"/>
        </w:rPr>
      </w:pPr>
      <w:r>
        <w:rPr>
          <w:rFonts w:ascii="Arial" w:cs="Arial" w:eastAsia="Arial" w:hAnsi="Arial"/>
          <w:sz w:val="20"/>
          <w:szCs w:val="20"/>
          <w:color w:val="auto"/>
        </w:rPr>
        <w:t xml:space="preserve">A notice of the Administrative Agent to any Lender or any Borrower with respect to any amount owing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2.12(c)</w:t>
      </w:r>
      <w:r>
        <w:rPr>
          <w:rFonts w:ascii="Arial" w:cs="Arial" w:eastAsia="Arial" w:hAnsi="Arial"/>
          <w:sz w:val="20"/>
          <w:szCs w:val="20"/>
          <w:color w:val="auto"/>
        </w:rPr>
        <w:t xml:space="preserve"> shall be conclusive, absent manifest error.</w:t>
      </w:r>
    </w:p>
    <w:p>
      <w:pPr>
        <w:spacing w:after="0" w:line="190" w:lineRule="exact"/>
        <w:rPr>
          <w:sz w:val="20"/>
          <w:szCs w:val="20"/>
          <w:color w:val="auto"/>
        </w:rPr>
      </w:pPr>
    </w:p>
    <w:p>
      <w:pPr>
        <w:jc w:val="both"/>
        <w:ind w:left="280" w:firstLine="646"/>
        <w:spacing w:after="0" w:line="314" w:lineRule="auto"/>
        <w:tabs>
          <w:tab w:leader="none" w:pos="18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Borrowers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promptly return such funds (in like funds as received from such Lender) to such Lender, without interest.</w:t>
      </w:r>
    </w:p>
    <w:p>
      <w:pPr>
        <w:spacing w:after="0" w:line="172"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205" w:lineRule="exact"/>
        <w:rPr>
          <w:rFonts w:ascii="Arial" w:cs="Arial" w:eastAsia="Arial" w:hAnsi="Arial"/>
          <w:sz w:val="20"/>
          <w:szCs w:val="20"/>
          <w:color w:val="auto"/>
        </w:rPr>
      </w:pPr>
    </w:p>
    <w:p>
      <w:pPr>
        <w:ind w:left="280" w:firstLine="646"/>
        <w:spacing w:after="0" w:line="347" w:lineRule="auto"/>
        <w:tabs>
          <w:tab w:leader="none" w:pos="17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4" w:lineRule="exact"/>
        <w:rPr>
          <w:rFonts w:ascii="Arial" w:cs="Arial" w:eastAsia="Arial" w:hAnsi="Arial"/>
          <w:sz w:val="18"/>
          <w:szCs w:val="18"/>
          <w:color w:val="auto"/>
        </w:rPr>
      </w:pPr>
    </w:p>
    <w:p>
      <w:pPr>
        <w:jc w:val="both"/>
        <w:ind w:left="280" w:firstLine="646"/>
        <w:spacing w:after="0" w:line="303" w:lineRule="auto"/>
        <w:tabs>
          <w:tab w:leader="none" w:pos="18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00" w:name="page201"/>
    <w:bookmarkEnd w:id="200"/>
    <w:p>
      <w:pPr>
        <w:jc w:val="both"/>
        <w:ind w:left="280" w:firstLine="646"/>
        <w:spacing w:after="0" w:line="347" w:lineRule="auto"/>
        <w:tabs>
          <w:tab w:leader="none" w:pos="180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Borrowers shall be jointly and severally liable for the Obligations. The obligations of each Borrower hereunder are independent of the obligations of any other Borrower and a separate action or actions may be brought and prosecuted against each Borrower whether or not action is brought against any other Borrower and whether or not any other Borrower be joined in any such action or actions. The Administrative Agent and the other Secured Parties may in accordance with the terms of the Loan Documents, at their election, exercise any right or remedy available to them against any Borrower, without affecting or impairing in any way the liability of any other Borrower hereunder except to the extent the Obligations have been indefeasibly paid in full in cash. To the fullest extent permitted by applicable Law, each Borrower waives any defense arising out of any such election even though such election operates, pursuant to applicable Law, to impair or to extinguish any right of reimbursement or subrogation or other right or remedy of such Borrower against the other Borrower.</w:t>
      </w:r>
    </w:p>
    <w:p>
      <w:pPr>
        <w:spacing w:after="0" w:line="141"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Sharing of Payments</w:t>
      </w:r>
      <w:r>
        <w:rPr>
          <w:rFonts w:ascii="Arial" w:cs="Arial" w:eastAsia="Arial" w:hAnsi="Arial"/>
          <w:sz w:val="18"/>
          <w:szCs w:val="18"/>
          <w:color w:val="auto"/>
        </w:rPr>
        <w:t xml:space="preserve">.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or any portion of such excess payment is thereafter recovered from the purchasing Lender under any of the circumstances described in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the avoidance of doubt, the provisions of this paragraph shall not be construed to apply to (A) any payment made by the Borrowers pursuant to and in accordance with the express terms of this Agreement as in effect from time to time (including the application of funds arising from the existence of a Defaulting Lender) or (B) any payment obtained by a Lender as consideration for the assignment of or sale of a participation in any of its Loans to any assignee or participant permitted hereunder. The Borrowers agree that any Lender so purchasing a participation from another Lender may, to the fullest extent permitted by applicable Law, exercise all its rights of payment (including the right of setoff, but subject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with respect to such participation as fully as if such Lender were the direct creditor of the Borrowers in the amount of such participation. The Administrative Agent will keep records (which shall be conclusive and binding in the absence of manifest error) of participations purchased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will in each case notify the Lenders following any such purchases or repayments. Each Lender that purchases a participation pursuant to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93"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Extension of Term Loans; Extension of Revolving Credit Loans</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274" w:lineRule="auto"/>
        <w:tabs>
          <w:tab w:leader="none" w:pos="1796"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Extension of Term Loans</w:t>
      </w:r>
      <w:r>
        <w:rPr>
          <w:rFonts w:ascii="Arial" w:cs="Arial" w:eastAsia="Arial" w:hAnsi="Arial"/>
          <w:sz w:val="20"/>
          <w:szCs w:val="20"/>
          <w:color w:val="auto"/>
        </w:rPr>
        <w:t>. The Borrowers may at any time and from time to time request that all or a portion of the Term Loans of a given Class (each, an “</w:t>
      </w:r>
      <w:r>
        <w:rPr>
          <w:rFonts w:ascii="Arial" w:cs="Arial" w:eastAsia="Arial" w:hAnsi="Arial"/>
          <w:sz w:val="20"/>
          <w:szCs w:val="20"/>
          <w:u w:val="single" w:color="auto"/>
          <w:color w:val="auto"/>
        </w:rPr>
        <w:t>Existing Term Loan Tranche</w:t>
      </w:r>
      <w:r>
        <w:rPr>
          <w:rFonts w:ascii="Arial" w:cs="Arial" w:eastAsia="Arial" w:hAnsi="Arial"/>
          <w:sz w:val="20"/>
          <w:szCs w:val="20"/>
          <w:color w:val="auto"/>
        </w:rPr>
        <w:t>”) be amended to extend the scheduled Maturity Date(s) with respect to all or a portion of any principal amount of such Term Loans (any such Term Loans which have been so amended, “</w:t>
      </w:r>
      <w:r>
        <w:rPr>
          <w:rFonts w:ascii="Arial" w:cs="Arial" w:eastAsia="Arial" w:hAnsi="Arial"/>
          <w:sz w:val="20"/>
          <w:szCs w:val="20"/>
          <w:u w:val="single" w:color="auto"/>
          <w:color w:val="auto"/>
        </w:rPr>
        <w:t>Extended Term Loans</w:t>
      </w:r>
      <w:r>
        <w:rPr>
          <w:rFonts w:ascii="Arial" w:cs="Arial" w:eastAsia="Arial" w:hAnsi="Arial"/>
          <w:sz w:val="20"/>
          <w:szCs w:val="20"/>
          <w:color w:val="auto"/>
        </w:rPr>
        <w:t>” and the Term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01" w:name="page202"/>
    <w:bookmarkEnd w:id="201"/>
    <w:p>
      <w:pPr>
        <w:jc w:val="both"/>
        <w:ind w:left="280"/>
        <w:spacing w:after="0" w:line="341" w:lineRule="auto"/>
        <w:rPr>
          <w:sz w:val="20"/>
          <w:szCs w:val="20"/>
          <w:color w:val="auto"/>
        </w:rPr>
      </w:pPr>
      <w:r>
        <w:rPr>
          <w:rFonts w:ascii="Arial" w:cs="Arial" w:eastAsia="Arial" w:hAnsi="Arial"/>
          <w:sz w:val="16"/>
          <w:szCs w:val="16"/>
          <w:color w:val="auto"/>
        </w:rPr>
        <w:t>Commitments relating thereto, the “</w:t>
      </w:r>
      <w:r>
        <w:rPr>
          <w:rFonts w:ascii="Arial" w:cs="Arial" w:eastAsia="Arial" w:hAnsi="Arial"/>
          <w:sz w:val="16"/>
          <w:szCs w:val="16"/>
          <w:u w:val="single" w:color="auto"/>
          <w:color w:val="auto"/>
        </w:rPr>
        <w:t>Extended Term Loan Commitments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2.14</w:t>
      </w:r>
      <w:r>
        <w:rPr>
          <w:rFonts w:ascii="Arial" w:cs="Arial" w:eastAsia="Arial" w:hAnsi="Arial"/>
          <w:sz w:val="16"/>
          <w:szCs w:val="16"/>
          <w:color w:val="auto"/>
        </w:rPr>
        <w:t>. In order to establish any Extended Term Loans, the Company shall provide a notice to the Administrative Agent (who shall provide a copy of such notice to each of the Lenders under the applicable Existing Term Loan Tranche) (each, a “</w:t>
      </w:r>
      <w:r>
        <w:rPr>
          <w:rFonts w:ascii="Arial" w:cs="Arial" w:eastAsia="Arial" w:hAnsi="Arial"/>
          <w:sz w:val="16"/>
          <w:szCs w:val="16"/>
          <w:u w:val="single" w:color="auto"/>
          <w:color w:val="auto"/>
        </w:rPr>
        <w:t>Term Loan Extension Request</w:t>
      </w:r>
      <w:r>
        <w:rPr>
          <w:rFonts w:ascii="Arial" w:cs="Arial" w:eastAsia="Arial" w:hAnsi="Arial"/>
          <w:sz w:val="16"/>
          <w:szCs w:val="16"/>
          <w:color w:val="auto"/>
        </w:rPr>
        <w:t xml:space="preserve">”) setting forth the proposed terms of the Extended Term Loans to be established, which shall (x) be identical as offered to each Lender under such Existing Term Loan Tranche (including as to the proposed interest rates and fees payable, but excluding any arrangement, structuring or other fees payable in connection therewith that are not generally shared with all relevant Lenders) and offered pro rata to each Lender under such Existing Term Loan Tranche and (y) be identical to the Term Loans under the Existing Term Loan Tranche from which such Extended Term Loans are intended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no time shall there be Classes of Term Loans hereunder (including Other Term Loans, Incremental Term Loans and Extended Term Loans) which have more than three (3) different Maturity Dates (unless otherwise consented to by the Administrative Agent); (ii) the All-In Yield with respect to the Extended Term Loans (whether in the form of interest rate margin, upfront fees, original issue discount or otherwise) may be different from the All-In Yield for the Term Loans of such Existing Term Loan Tranche, in each case, to the extent provided in the applicable Extension Amendment;</w:t>
      </w:r>
    </w:p>
    <w:p>
      <w:pPr>
        <w:spacing w:after="0" w:line="194" w:lineRule="exact"/>
        <w:rPr>
          <w:sz w:val="20"/>
          <w:szCs w:val="20"/>
          <w:color w:val="auto"/>
        </w:rPr>
      </w:pPr>
    </w:p>
    <w:p>
      <w:pPr>
        <w:jc w:val="both"/>
        <w:ind w:left="280" w:hanging="2"/>
        <w:spacing w:after="0" w:line="297" w:lineRule="auto"/>
        <w:tabs>
          <w:tab w:leader="none" w:pos="62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Extension Amendment may provide for other covenants and terms that apply solely to any period after the Latest Maturity Date that is in effect on the effective date of the Extension Amendment (immediately prior to the establishment of such Extended Term Loans); and</w:t>
      </w:r>
    </w:p>
    <w:p>
      <w:pPr>
        <w:jc w:val="both"/>
        <w:ind w:left="280" w:hanging="2"/>
        <w:spacing w:after="0" w:line="339" w:lineRule="auto"/>
        <w:tabs>
          <w:tab w:leader="none" w:pos="61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Extended Term Loans may have call protection as may be agreed by the Borrowers and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Extended Term Loans may be optionally prepaid prior to the date on which all Term Loans with an earlier final stated maturity (including Term Loans under the Existing Term Loan Tranche from which they were amended) are repaid in full, unless such optional prepayment of principal is accompanied by a pro rata optional prepayment of such other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no Default shall have occurred and be continuing at the time a Term Loan Extension Request is delivered to Lenders, (B) in no event shall the Maturity Date of any Extended Term Loans of a given Term Loan Extension Series at the time of establishment thereof be earlier than the then Latest Maturity Date of any other Term Loans hereunder, (C) the Weighted Average Life to Maturity of any Extended Term Loans of a given Term Loan Extension Series at the time of establishment thereof shall be no shorter than the remaining Weighted Average Life to Maturity of any Existing Term Loan Tranche (as originally in effect prior to any amortization or prepayments thereto), (D) any such Extended Term Loans (and the Liens securing the same) shall be permitted by the terms of the First Lien Intercreditor Agreement (to the extent any First Lien Intercreditor Agreement is then in effect), (E) all documentation in respect of such Extension Amendment shall be consistent with the foregoing and (F) any Extended Term Loans may participate on a pro rata basis or less than a pro rata basis (but not greater than a pro rata basis) in any voluntary or mandatory repayments or prepayments of principal hereunder, in each case as specified in the respective Term Loan Extension Request. Any Extended Term Loans amended pursuant to any Term Loan Extension Request shall be designated a series (each, a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 Extension Series</w:t>
      </w:r>
      <w:r>
        <w:rPr>
          <w:rFonts w:ascii="Arial" w:cs="Arial" w:eastAsia="Arial" w:hAnsi="Arial"/>
          <w:sz w:val="16"/>
          <w:szCs w:val="16"/>
          <w:color w:val="auto"/>
        </w:rPr>
        <w:t xml:space="preserve">”) of Extended Term Loans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proportionately increased). Each request for a Term Loan Extension Series of Extended Term Loans proposed to be incurred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shall be in an aggregate principal amount that is not less than $25,000,000 (it being understood that the actual principal amount thereof provided by the applicable Lenders may be lower than such minimum amount).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jc w:val="both"/>
        <w:ind w:left="280" w:firstLine="646"/>
        <w:spacing w:after="0" w:line="278" w:lineRule="auto"/>
        <w:tabs>
          <w:tab w:leader="none" w:pos="1780" w:val="left"/>
        </w:tabs>
        <w:numPr>
          <w:ilvl w:val="1"/>
          <w:numId w:val="166"/>
        </w:numPr>
        <w:rPr>
          <w:rFonts w:ascii="Arial" w:cs="Arial" w:eastAsia="Arial" w:hAnsi="Arial"/>
          <w:sz w:val="20"/>
          <w:szCs w:val="20"/>
          <w:color w:val="auto"/>
        </w:rPr>
      </w:pPr>
      <w:r>
        <w:rPr>
          <w:rFonts w:ascii="Arial" w:cs="Arial" w:eastAsia="Arial" w:hAnsi="Arial"/>
          <w:sz w:val="20"/>
          <w:szCs w:val="20"/>
          <w:u w:val="single" w:color="auto"/>
          <w:color w:val="auto"/>
        </w:rPr>
        <w:t>Extension of Revolving Credit Commitments</w:t>
      </w:r>
      <w:r>
        <w:rPr>
          <w:rFonts w:ascii="Arial" w:cs="Arial" w:eastAsia="Arial" w:hAnsi="Arial"/>
          <w:sz w:val="20"/>
          <w:szCs w:val="20"/>
          <w:color w:val="auto"/>
        </w:rPr>
        <w:t>. The Borrowers may, at any time and from time to time request that all or a portion of the Revolving Credit Commitments (and related Revolving Credit Loans and other related extensions of credit) of a given Class (each, an “</w:t>
      </w:r>
      <w:r>
        <w:rPr>
          <w:rFonts w:ascii="Arial" w:cs="Arial" w:eastAsia="Arial" w:hAnsi="Arial"/>
          <w:sz w:val="20"/>
          <w:szCs w:val="20"/>
          <w:u w:val="single" w:color="auto"/>
          <w:color w:val="auto"/>
        </w:rPr>
        <w:t>Existing Revolver Tranche</w:t>
      </w:r>
      <w:r>
        <w:rPr>
          <w:rFonts w:ascii="Arial" w:cs="Arial" w:eastAsia="Arial" w:hAnsi="Arial"/>
          <w:sz w:val="20"/>
          <w:szCs w:val="20"/>
          <w:color w:val="auto"/>
        </w:rPr>
        <w:t>”) be amended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202" w:name="page203"/>
    <w:bookmarkEnd w:id="202"/>
    <w:p>
      <w:pPr>
        <w:jc w:val="both"/>
        <w:ind w:left="280"/>
        <w:spacing w:after="0" w:line="297" w:lineRule="auto"/>
        <w:rPr>
          <w:sz w:val="20"/>
          <w:szCs w:val="20"/>
          <w:color w:val="auto"/>
        </w:rPr>
      </w:pPr>
      <w:r>
        <w:rPr>
          <w:rFonts w:ascii="Arial" w:cs="Arial" w:eastAsia="Arial" w:hAnsi="Arial"/>
          <w:sz w:val="18"/>
          <w:szCs w:val="18"/>
          <w:color w:val="auto"/>
        </w:rPr>
        <w:t>to extend the scheduled Maturity Date(s) with respect to all or a portion of such Revolving Credit Commitments (any such Revolving Credit Commitments which have been so amended, “</w:t>
      </w:r>
      <w:r>
        <w:rPr>
          <w:rFonts w:ascii="Arial" w:cs="Arial" w:eastAsia="Arial" w:hAnsi="Arial"/>
          <w:sz w:val="18"/>
          <w:szCs w:val="18"/>
          <w:u w:val="single" w:color="auto"/>
          <w:color w:val="auto"/>
        </w:rPr>
        <w:t>Extended Revolving Credit Commitments</w:t>
      </w:r>
      <w:r>
        <w:rPr>
          <w:rFonts w:ascii="Arial" w:cs="Arial" w:eastAsia="Arial" w:hAnsi="Arial"/>
          <w:sz w:val="18"/>
          <w:szCs w:val="18"/>
          <w:color w:val="auto"/>
        </w:rPr>
        <w:t>” and the revolving loans thereunder,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2.14</w:t>
      </w:r>
      <w:r>
        <w:rPr>
          <w:rFonts w:ascii="Arial" w:cs="Arial" w:eastAsia="Arial" w:hAnsi="Arial"/>
          <w:sz w:val="18"/>
          <w:szCs w:val="18"/>
          <w:color w:val="auto"/>
        </w:rPr>
        <w:t>. In order to establish any Extended Revolving Credit Commitments, the Company shall provide a notice to the Administrative Agent (who shall provide a copy of such notice to each of the Lenders under the applicable Existing Revolver Tranche) (each, a “</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setting forth the proposed terms of the Extended Revolving Credit Commitments to be established, which shall (x) be identical as offered to each Lender under such Existing Revolver Tranche (including as to the proposed interest rates and fees payable, but excluding any arrangement, structuring or other fees payable in connection therewith that are not generally shared with all relevant Lenders)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no time shall there be Classes of Revolving Credit Commitments hereunder (including Other Revolving Credit Commitments and Extended Revolving Credit Commitments) which have more than three (3) different Maturity Dates (unless otherwise consented to by the Administrative Agent); (ii) the All-In Yield with respect to extensions of credit under the Extended Revolving Credit Commitments (whether in the form of interest rate margin, upfront fees or otherwise) may be different than the All-In Yield for extensions of credit under the Revolving Credit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and (iv) all borrowings under the applicable Revolving Credit Commitments (i.e., the Existing Revolver Tranche and the Extended Revolving Credit Commitments of the applicable Revolver Extension Series) and repayments and commitment reductions thereunder shall be made on a pro rata basis (except for (I) payments of interest and fees at different rates on Extended Revolving Credit Commitments (and related outstandings) and</w:t>
      </w:r>
    </w:p>
    <w:p>
      <w:pPr>
        <w:spacing w:after="0" w:line="10" w:lineRule="exact"/>
        <w:rPr>
          <w:sz w:val="20"/>
          <w:szCs w:val="20"/>
          <w:color w:val="auto"/>
        </w:rPr>
      </w:pPr>
    </w:p>
    <w:p>
      <w:pPr>
        <w:jc w:val="both"/>
        <w:ind w:left="280" w:hanging="2"/>
        <w:spacing w:after="0" w:line="284" w:lineRule="auto"/>
        <w:tabs>
          <w:tab w:leader="none" w:pos="59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repayments and commitment reductions required upon the Maturity Date of the non-extending Revolving Credit Commitments) and all Swing Line Loans and Letters of Credit shall be participated on a pro rata basis by all Lenders with Revolving Credit Commitments (subject to the provisions of </w:t>
      </w:r>
      <w:r>
        <w:rPr>
          <w:rFonts w:ascii="Arial" w:cs="Arial" w:eastAsia="Arial" w:hAnsi="Arial"/>
          <w:sz w:val="19"/>
          <w:szCs w:val="19"/>
          <w:u w:val="single" w:color="auto"/>
          <w:color w:val="auto"/>
        </w:rPr>
        <w:t>Sections 2.03(l)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 no Default shall have occurred and be continuing at the time a Revolver Extension Request is delivered to Lenders, (B) in no event shall the Maturity Date of any Extended Revolving Credit Commitments of a given Revolver Extension Series at the time of establishment thereof be earlier than the then Latest Maturity Date of any other Revolving Credit Commitments hereunder, (C) any such Extended Revolving Credit Commitments (and the Liens securing the same) shall be permitted by the terms of the First Lien Intercreditor Agreement (to the extent any First Lien Intercreditor Agreement is then in effect) and (D) all documentation in respect of such Extension Amendment shall be consistent with the foregoing. Any Extended Revolving Credit Commitments amended pursuant to any Revolver Extension Request shall be designated a series (each, a “</w:t>
      </w:r>
      <w:r>
        <w:rPr>
          <w:rFonts w:ascii="Arial" w:cs="Arial" w:eastAsia="Arial" w:hAnsi="Arial"/>
          <w:sz w:val="19"/>
          <w:szCs w:val="19"/>
          <w:u w:val="single" w:color="auto"/>
          <w:color w:val="auto"/>
        </w:rPr>
        <w:t>Revolver 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Series</w:t>
      </w:r>
      <w:r>
        <w:rPr>
          <w:rFonts w:ascii="Arial" w:cs="Arial" w:eastAsia="Arial" w:hAnsi="Arial"/>
          <w:sz w:val="19"/>
          <w:szCs w:val="19"/>
          <w:color w:val="auto"/>
        </w:rPr>
        <w:t xml:space="preserve">”) of Extended Revolving Credit Commitments for all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Credit Commitments incurred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be in an aggregate amount that is not less than $25,000,000.</w:t>
      </w:r>
    </w:p>
    <w:p>
      <w:pPr>
        <w:spacing w:after="0" w:line="40" w:lineRule="exact"/>
        <w:rPr>
          <w:rFonts w:ascii="Arial" w:cs="Arial" w:eastAsia="Arial" w:hAnsi="Arial"/>
          <w:sz w:val="19"/>
          <w:szCs w:val="19"/>
          <w:color w:val="auto"/>
        </w:rPr>
      </w:pPr>
    </w:p>
    <w:p>
      <w:pPr>
        <w:jc w:val="both"/>
        <w:ind w:left="280" w:firstLine="646"/>
        <w:spacing w:after="0" w:line="274" w:lineRule="auto"/>
        <w:tabs>
          <w:tab w:leader="none" w:pos="1796"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Extension Request</w:t>
      </w:r>
      <w:r>
        <w:rPr>
          <w:rFonts w:ascii="Arial" w:cs="Arial" w:eastAsia="Arial" w:hAnsi="Arial"/>
          <w:sz w:val="20"/>
          <w:szCs w:val="20"/>
          <w:color w:val="auto"/>
        </w:rPr>
        <w:t>. The Company shall provide the applicable Extension Request at least five (5) Business Days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03" w:name="page204"/>
    <w:bookmarkEnd w:id="203"/>
    <w:p>
      <w:pPr>
        <w:jc w:val="both"/>
        <w:ind w:left="280"/>
        <w:spacing w:after="0" w:line="300" w:lineRule="auto"/>
        <w:rPr>
          <w:sz w:val="20"/>
          <w:szCs w:val="20"/>
          <w:color w:val="auto"/>
        </w:rPr>
      </w:pPr>
      <w:r>
        <w:rPr>
          <w:rFonts w:ascii="Arial" w:cs="Arial" w:eastAsia="Arial" w:hAnsi="Arial"/>
          <w:sz w:val="18"/>
          <w:szCs w:val="18"/>
          <w:color w:val="auto"/>
        </w:rPr>
        <w:t xml:space="preserve">the purposes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wishing to have all or a portion of its Term Loans under the Existing Term Loan Tranche subject to such Extension Request amended into Extended Term Loans (each, an “</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and any Revolving Credit Lender wishing to have all or a portion of its Revolving Credit Commitments under the Existing Revolver Tranche subject to such Extension Request amended into Extended Revolving Credit Commitments (each, an “</w:t>
      </w:r>
      <w:r>
        <w:rPr>
          <w:rFonts w:ascii="Arial" w:cs="Arial" w:eastAsia="Arial" w:hAnsi="Arial"/>
          <w:sz w:val="18"/>
          <w:szCs w:val="18"/>
          <w:u w:val="single" w:color="auto"/>
          <w:color w:val="auto"/>
        </w:rPr>
        <w:t>Extending Revolving Credit Lender</w:t>
      </w:r>
      <w:r>
        <w:rPr>
          <w:rFonts w:ascii="Arial" w:cs="Arial" w:eastAsia="Arial" w:hAnsi="Arial"/>
          <w:sz w:val="18"/>
          <w:szCs w:val="18"/>
          <w:color w:val="auto"/>
        </w:rPr>
        <w:t>”), as applicable, shall notify the Administrative Agent (each, an “</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w:t>
      </w:r>
      <w:r>
        <w:rPr>
          <w:rFonts w:ascii="Arial" w:cs="Arial" w:eastAsia="Arial" w:hAnsi="Arial"/>
          <w:sz w:val="18"/>
          <w:szCs w:val="18"/>
          <w:color w:val="auto"/>
        </w:rPr>
        <w:t>”)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w:t>
      </w:r>
    </w:p>
    <w:p>
      <w:pPr>
        <w:spacing w:after="0" w:line="191" w:lineRule="exact"/>
        <w:rPr>
          <w:sz w:val="20"/>
          <w:szCs w:val="20"/>
          <w:color w:val="auto"/>
        </w:rPr>
      </w:pPr>
    </w:p>
    <w:p>
      <w:pPr>
        <w:jc w:val="both"/>
        <w:ind w:left="280" w:firstLine="646"/>
        <w:spacing w:after="0" w:line="340" w:lineRule="auto"/>
        <w:tabs>
          <w:tab w:leader="none" w:pos="180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Extension Amendment</w:t>
      </w:r>
      <w:r>
        <w:rPr>
          <w:rFonts w:ascii="Arial" w:cs="Arial" w:eastAsia="Arial" w:hAnsi="Arial"/>
          <w:sz w:val="16"/>
          <w:szCs w:val="16"/>
          <w:color w:val="auto"/>
        </w:rPr>
        <w:t>. Extended Term Loans and Extended Revolving Credit Commitments shall be established pursuant to one or more amendments (each, an “</w:t>
      </w: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to this Agreement among each Borrower, the other Loan Parties, the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Arial" w:cs="Arial" w:eastAsia="Arial" w:hAnsi="Arial"/>
          <w:sz w:val="16"/>
          <w:szCs w:val="16"/>
          <w:u w:val="single" w:color="auto"/>
          <w:color w:val="auto"/>
        </w:rPr>
        <w:t>Sections 2.14(a)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respectively (but which shall not require the consent of any other Lender) and otherwise reasonably satisfactory to the Administrative Agent. The Commitments to provide Extended Term Loans or Extended Revolving Credit Commitments, as applicable, shall become effective on the date specified in the applicable Extension Amendment, subject to the satisfaction of each of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(which, for the avoidance of doubt, shall not require compliance with the Financial Covenant for any Extended Term Loans) and such other conditions as may be specified in the applicable Extension Amendment and, to the extent reasonably requested by the Administrative Agent, receipt by the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Administrative Agent shall promptly notify each Lender as to the effectiveness of each Extension Amendment. Each of the parties hereto hereby (A)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jc w:val="both"/>
        <w:ind w:left="280" w:hanging="2"/>
        <w:spacing w:after="0" w:line="274" w:lineRule="auto"/>
        <w:tabs>
          <w:tab w:leader="none" w:pos="59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modify the scheduled repayments set forth in </w:t>
      </w:r>
      <w:r>
        <w:rPr>
          <w:rFonts w:ascii="Arial" w:cs="Arial" w:eastAsia="Arial" w:hAnsi="Arial"/>
          <w:sz w:val="20"/>
          <w:szCs w:val="20"/>
          <w:u w:val="single" w:color="auto"/>
          <w:color w:val="auto"/>
        </w:rPr>
        <w:t>Section 2.07</w:t>
      </w:r>
      <w:r>
        <w:rPr>
          <w:rFonts w:ascii="Arial" w:cs="Arial" w:eastAsia="Arial" w:hAnsi="Arial"/>
          <w:sz w:val="20"/>
          <w:szCs w:val="20"/>
          <w:color w:val="auto"/>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04" w:name="page205"/>
    <w:bookmarkEnd w:id="204"/>
    <w:p>
      <w:pPr>
        <w:jc w:val="both"/>
        <w:ind w:left="280"/>
        <w:spacing w:after="0" w:line="286"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(iii) modify the prepayments set forth in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 Administrative Agent and the Borrowers, to effect the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the Required Lenders (by executing and delivering the Extension Amendment and thereby binding themselves and all successors and assigns) hereby expressly and irrevocably, for the benefit of all parties hereto, authorize the Administrative Agent to enter into any such Extension Amendment and (B) consent to the transactions contemplated by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(including, for the avoidance of doubt, payment of interest, fees or premiums in respect of any Extended Term Loans or Extended Revolving Credit Commitments on such terms as may be set forth in the relevant Extension Amendment.</w:t>
      </w:r>
    </w:p>
    <w:p>
      <w:pPr>
        <w:spacing w:after="0" w:line="199" w:lineRule="exact"/>
        <w:rPr>
          <w:sz w:val="20"/>
          <w:szCs w:val="20"/>
          <w:color w:val="auto"/>
        </w:rPr>
      </w:pPr>
    </w:p>
    <w:p>
      <w:pPr>
        <w:ind w:left="280" w:right="20" w:firstLine="646"/>
        <w:spacing w:after="0" w:line="316" w:lineRule="auto"/>
        <w:tabs>
          <w:tab w:leader="none" w:pos="1796"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No Prepayment</w:t>
      </w:r>
      <w:r>
        <w:rPr>
          <w:rFonts w:ascii="Arial" w:cs="Arial" w:eastAsia="Arial" w:hAnsi="Arial"/>
          <w:sz w:val="19"/>
          <w:szCs w:val="19"/>
          <w:color w:val="auto"/>
        </w:rPr>
        <w:t xml:space="preserve">. No conversion or extension of Loans or Commitments pursuant to any Extension Amendment in accordance with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shall constitute a voluntary or mandatory payment or prepayment for purposes of this Agreement.</w:t>
      </w:r>
    </w:p>
    <w:p>
      <w:pPr>
        <w:spacing w:after="0" w:line="140"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8"/>
          <w:szCs w:val="18"/>
          <w:u w:val="single" w:color="auto"/>
          <w:color w:val="auto"/>
        </w:rPr>
        <w:t>Incremental Borrowings</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288" w:lineRule="auto"/>
        <w:tabs>
          <w:tab w:leader="none" w:pos="1796"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Incremental Commitments</w:t>
      </w:r>
      <w:r>
        <w:rPr>
          <w:rFonts w:ascii="Arial" w:cs="Arial" w:eastAsia="Arial" w:hAnsi="Arial"/>
          <w:sz w:val="19"/>
          <w:szCs w:val="19"/>
          <w:color w:val="auto"/>
        </w:rPr>
        <w:t>. The Company may at any time or from time to time after the Closing Date, by notice to the Administrative Agent (an “</w:t>
      </w:r>
      <w:r>
        <w:rPr>
          <w:rFonts w:ascii="Arial" w:cs="Arial" w:eastAsia="Arial" w:hAnsi="Arial"/>
          <w:sz w:val="19"/>
          <w:szCs w:val="19"/>
          <w:u w:val="single" w:color="auto"/>
          <w:color w:val="auto"/>
        </w:rPr>
        <w:t>Incremental Loan Request</w:t>
      </w:r>
      <w:r>
        <w:rPr>
          <w:rFonts w:ascii="Arial" w:cs="Arial" w:eastAsia="Arial" w:hAnsi="Arial"/>
          <w:sz w:val="19"/>
          <w:szCs w:val="19"/>
          <w:color w:val="auto"/>
        </w:rPr>
        <w:t>”), request (A) one or more new commitments which may be of the same Class as any outstanding Term Loans (a “</w:t>
      </w:r>
      <w:r>
        <w:rPr>
          <w:rFonts w:ascii="Arial" w:cs="Arial" w:eastAsia="Arial" w:hAnsi="Arial"/>
          <w:sz w:val="19"/>
          <w:szCs w:val="19"/>
          <w:u w:val="single" w:color="auto"/>
          <w:color w:val="auto"/>
        </w:rPr>
        <w:t>Term Loan Increase</w:t>
      </w:r>
      <w:r>
        <w:rPr>
          <w:rFonts w:ascii="Arial" w:cs="Arial" w:eastAsia="Arial" w:hAnsi="Arial"/>
          <w:sz w:val="19"/>
          <w:szCs w:val="19"/>
          <w:color w:val="auto"/>
        </w:rPr>
        <w:t>”) or a new Class of term loans (collectively with any Term Loan Increase, the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Commitments</w:t>
      </w:r>
      <w:r>
        <w:rPr>
          <w:rFonts w:ascii="Arial" w:cs="Arial" w:eastAsia="Arial" w:hAnsi="Arial"/>
          <w:sz w:val="19"/>
          <w:szCs w:val="19"/>
          <w:color w:val="auto"/>
        </w:rPr>
        <w:t>”) and/or (B) one or more increases in the amount of the Revolving Credit Commitments (a “</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Increase</w:t>
      </w:r>
      <w:r>
        <w:rPr>
          <w:rFonts w:ascii="Arial" w:cs="Arial" w:eastAsia="Arial" w:hAnsi="Arial"/>
          <w:sz w:val="19"/>
          <w:szCs w:val="19"/>
          <w:color w:val="auto"/>
        </w:rPr>
        <w:t>”, and collectively with any Incremental Term Commitments, the “</w:t>
      </w:r>
      <w:r>
        <w:rPr>
          <w:rFonts w:ascii="Arial" w:cs="Arial" w:eastAsia="Arial" w:hAnsi="Arial"/>
          <w:sz w:val="19"/>
          <w:szCs w:val="19"/>
          <w:u w:val="single" w:color="auto"/>
          <w:color w:val="auto"/>
        </w:rPr>
        <w:t>Incremental Commitments</w:t>
      </w:r>
      <w:r>
        <w:rPr>
          <w:rFonts w:ascii="Arial" w:cs="Arial" w:eastAsia="Arial" w:hAnsi="Arial"/>
          <w:sz w:val="19"/>
          <w:szCs w:val="19"/>
          <w:color w:val="auto"/>
        </w:rPr>
        <w:t>”), whereupon the Administrative Agent shall promptly deliver a copy to each of the Lenders.</w:t>
      </w:r>
    </w:p>
    <w:p>
      <w:pPr>
        <w:spacing w:after="0" w:line="196" w:lineRule="exact"/>
        <w:rPr>
          <w:rFonts w:ascii="Arial" w:cs="Arial" w:eastAsia="Arial" w:hAnsi="Arial"/>
          <w:sz w:val="19"/>
          <w:szCs w:val="19"/>
          <w:color w:val="auto"/>
        </w:rPr>
      </w:pPr>
    </w:p>
    <w:p>
      <w:pPr>
        <w:jc w:val="both"/>
        <w:ind w:left="280" w:firstLine="646"/>
        <w:spacing w:after="0" w:line="285" w:lineRule="auto"/>
        <w:tabs>
          <w:tab w:leader="none" w:pos="1807"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Incremental Loans</w:t>
      </w:r>
      <w:r>
        <w:rPr>
          <w:rFonts w:ascii="Arial" w:cs="Arial" w:eastAsia="Arial" w:hAnsi="Arial"/>
          <w:sz w:val="19"/>
          <w:szCs w:val="19"/>
          <w:color w:val="auto"/>
        </w:rPr>
        <w:t xml:space="preserve">. Any Incremental Term Loans effected through the establishment of one or more new Term Loans made on an Incremental Facility Closing Date shall be designated a separate Class of Incremental Term Loans for all purposes of this Agreement. On any Incremental Facility Closing Date on which any Incremental Term Commitments of any Class are effected (including through any Term Loan Increase), subject to the satisfaction of the terms and conditions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(i) each Incremental Term Lender of such Class shall make a Loan to the Borrowers (an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in an amount equal to its Incremental Term Commitment of such Class and (ii) each Incremental Term Lender of such Class shall become a Lender hereunder with respect to the Incremental Term Commitment of such Class and the Incremental Term Loans of such Class made pursuant thereto. On any Incremental Facility Closing Date on which any Revolving Commitment Increase is effected, subject to the satisfaction of the terms and conditions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(i) each Incremental Revolving Credit Lender shall make its Revolving Credit Commitment available to the Borrowers and (ii) each Incremental Revolving Credit Lender shall become a Lender hereunder with respect to its portion of the Revolving Commitment Increase. Notwithstanding the foregoing, Incremental Term Loans may have identical terms to any of the Term Loans and be treated as the same Class as any of such Term Loans.</w:t>
      </w:r>
    </w:p>
    <w:p>
      <w:pPr>
        <w:spacing w:after="0" w:line="195" w:lineRule="exact"/>
        <w:rPr>
          <w:rFonts w:ascii="Arial" w:cs="Arial" w:eastAsia="Arial" w:hAnsi="Arial"/>
          <w:sz w:val="19"/>
          <w:szCs w:val="19"/>
          <w:color w:val="auto"/>
        </w:rPr>
      </w:pPr>
    </w:p>
    <w:p>
      <w:pPr>
        <w:jc w:val="both"/>
        <w:ind w:left="280" w:firstLine="646"/>
        <w:spacing w:after="0" w:line="271" w:lineRule="auto"/>
        <w:tabs>
          <w:tab w:leader="none" w:pos="1796"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Incremental Loan Request</w:t>
      </w:r>
      <w:r>
        <w:rPr>
          <w:rFonts w:ascii="Arial" w:cs="Arial" w:eastAsia="Arial" w:hAnsi="Arial"/>
          <w:sz w:val="20"/>
          <w:szCs w:val="20"/>
          <w:color w:val="auto"/>
        </w:rPr>
        <w:t xml:space="preserve">. Each Incremental Loan Request from the Company pursuant to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shall set forth the requested amount and proposed terms of the relevant Incremental Term Loans or Revolving Commitment Increase. Incremental Term Loans may be made, and Revolving Commitment Increases may be provided, by any existing Lender (but no existing Lender will have an obligation to make any Incremental Commitment, nor will the Borrowers have any obligation to approach any existing Lenders to provide any Incremental Commitment) or by any other bank or other financial institution or other institutional lenders (any such other bank, other financial institution or other institutional lenders being called an “</w:t>
      </w:r>
      <w:r>
        <w:rPr>
          <w:rFonts w:ascii="Arial" w:cs="Arial" w:eastAsia="Arial" w:hAnsi="Arial"/>
          <w:sz w:val="20"/>
          <w:szCs w:val="20"/>
          <w:u w:val="single" w:color="auto"/>
          <w:color w:val="auto"/>
        </w:rPr>
        <w:t>Additional Lender</w:t>
      </w:r>
      <w:r>
        <w:rPr>
          <w:rFonts w:ascii="Arial" w:cs="Arial" w:eastAsia="Arial" w:hAnsi="Arial"/>
          <w:sz w:val="20"/>
          <w:szCs w:val="20"/>
          <w:color w:val="auto"/>
        </w:rPr>
        <w:t>”) (each such existing Lender or Additional Lender providing such Commitment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05" w:name="page206"/>
    <w:bookmarkEnd w:id="205"/>
    <w:p>
      <w:pPr>
        <w:jc w:val="both"/>
        <w:ind w:left="280"/>
        <w:spacing w:after="0" w:line="273" w:lineRule="auto"/>
        <w:rPr>
          <w:sz w:val="20"/>
          <w:szCs w:val="20"/>
          <w:color w:val="auto"/>
        </w:rPr>
      </w:pPr>
      <w:r>
        <w:rPr>
          <w:rFonts w:ascii="Arial" w:cs="Arial" w:eastAsia="Arial" w:hAnsi="Arial"/>
          <w:sz w:val="20"/>
          <w:szCs w:val="20"/>
          <w:color w:val="auto"/>
        </w:rPr>
        <w:t>Loan, an “</w:t>
      </w:r>
      <w:r>
        <w:rPr>
          <w:rFonts w:ascii="Arial" w:cs="Arial" w:eastAsia="Arial" w:hAnsi="Arial"/>
          <w:sz w:val="20"/>
          <w:szCs w:val="20"/>
          <w:u w:val="single" w:color="auto"/>
          <w:color w:val="auto"/>
        </w:rPr>
        <w:t>Incremental Revolving Credit Lender</w:t>
      </w:r>
      <w:r>
        <w:rPr>
          <w:rFonts w:ascii="Arial" w:cs="Arial" w:eastAsia="Arial" w:hAnsi="Arial"/>
          <w:sz w:val="20"/>
          <w:szCs w:val="20"/>
          <w:color w:val="auto"/>
        </w:rPr>
        <w:t>” or “</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as applicable, and, collectively, the “</w:t>
      </w:r>
      <w:r>
        <w:rPr>
          <w:rFonts w:ascii="Arial" w:cs="Arial" w:eastAsia="Arial" w:hAnsi="Arial"/>
          <w:sz w:val="20"/>
          <w:szCs w:val="20"/>
          <w:u w:val="single" w:color="auto"/>
          <w:color w:val="auto"/>
        </w:rPr>
        <w:t>Incremental</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each Swing Line Lender and each L/C Issuer shall have consented (not to be unreasonably withheld or delayed) to such Additional Lender’s making such Incremental Term Loans or providing such Revolving Commitment Increase to the extent such consent, if any, would be required under </w:t>
      </w:r>
      <w:r>
        <w:rPr>
          <w:rFonts w:ascii="Arial" w:cs="Arial" w:eastAsia="Arial" w:hAnsi="Arial"/>
          <w:sz w:val="20"/>
          <w:szCs w:val="20"/>
          <w:u w:val="single" w:color="auto"/>
          <w:color w:val="auto"/>
        </w:rPr>
        <w:t>Section 10.07(b)</w:t>
      </w:r>
      <w:r>
        <w:rPr>
          <w:rFonts w:ascii="Arial" w:cs="Arial" w:eastAsia="Arial" w:hAnsi="Arial"/>
          <w:sz w:val="20"/>
          <w:szCs w:val="20"/>
          <w:color w:val="auto"/>
        </w:rPr>
        <w:t xml:space="preserve"> for an assignment of Loans or Revolving Credit Commitments, as applicable, to such Additional Lender.</w:t>
      </w:r>
    </w:p>
    <w:p>
      <w:pPr>
        <w:spacing w:after="0" w:line="205" w:lineRule="exact"/>
        <w:rPr>
          <w:sz w:val="20"/>
          <w:szCs w:val="20"/>
          <w:color w:val="auto"/>
        </w:rPr>
      </w:pPr>
    </w:p>
    <w:p>
      <w:pPr>
        <w:jc w:val="both"/>
        <w:ind w:left="280" w:firstLine="646"/>
        <w:spacing w:after="0" w:line="274" w:lineRule="auto"/>
        <w:tabs>
          <w:tab w:leader="none" w:pos="1807"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Effectiveness of Incremental Amendment</w:t>
      </w:r>
      <w:r>
        <w:rPr>
          <w:rFonts w:ascii="Arial" w:cs="Arial" w:eastAsia="Arial" w:hAnsi="Arial"/>
          <w:sz w:val="20"/>
          <w:szCs w:val="20"/>
          <w:color w:val="auto"/>
        </w:rPr>
        <w:t>. The effectiveness of any Incremental Amendment, and the Incremental Commitments thereunder, shall be subject to the satisfaction on the date thereof (the “</w:t>
      </w:r>
      <w:r>
        <w:rPr>
          <w:rFonts w:ascii="Arial" w:cs="Arial" w:eastAsia="Arial" w:hAnsi="Arial"/>
          <w:sz w:val="20"/>
          <w:szCs w:val="20"/>
          <w:u w:val="single" w:color="auto"/>
          <w:color w:val="auto"/>
        </w:rPr>
        <w:t>Incremental Facility Closing Date</w:t>
      </w:r>
      <w:r>
        <w:rPr>
          <w:rFonts w:ascii="Arial" w:cs="Arial" w:eastAsia="Arial" w:hAnsi="Arial"/>
          <w:sz w:val="20"/>
          <w:szCs w:val="20"/>
          <w:color w:val="auto"/>
        </w:rPr>
        <w:t xml:space="preserve">”) of each of the following conditions, which in the case of an Incremental Term Loan to be used to finance a Limited Condition Acquisition, shall be subject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left="2940" w:hanging="798"/>
        <w:spacing w:after="0"/>
        <w:tabs>
          <w:tab w:leader="none" w:pos="2940" w:val="left"/>
        </w:tabs>
        <w:numPr>
          <w:ilvl w:val="2"/>
          <w:numId w:val="172"/>
        </w:numPr>
        <w:rPr>
          <w:rFonts w:ascii="Arial" w:cs="Arial" w:eastAsia="Arial" w:hAnsi="Arial"/>
          <w:sz w:val="20"/>
          <w:szCs w:val="20"/>
          <w:color w:val="auto"/>
        </w:rPr>
      </w:pPr>
      <w:r>
        <w:rPr>
          <w:rFonts w:ascii="Arial" w:cs="Arial" w:eastAsia="Arial" w:hAnsi="Arial"/>
          <w:sz w:val="20"/>
          <w:szCs w:val="20"/>
          <w:color w:val="auto"/>
        </w:rPr>
        <w:t>no Default or Event of Default shall exist after giving effect to such Incremental Commitments;</w:t>
      </w:r>
    </w:p>
    <w:p>
      <w:pPr>
        <w:spacing w:after="0" w:line="242" w:lineRule="exact"/>
        <w:rPr>
          <w:rFonts w:ascii="Arial" w:cs="Arial" w:eastAsia="Arial" w:hAnsi="Arial"/>
          <w:sz w:val="20"/>
          <w:szCs w:val="20"/>
          <w:color w:val="auto"/>
        </w:rPr>
      </w:pPr>
    </w:p>
    <w:p>
      <w:pPr>
        <w:jc w:val="both"/>
        <w:ind w:left="1500" w:firstLine="642"/>
        <w:spacing w:after="0" w:line="307" w:lineRule="auto"/>
        <w:tabs>
          <w:tab w:leader="none" w:pos="3011" w:val="left"/>
        </w:tabs>
        <w:numPr>
          <w:ilvl w:val="2"/>
          <w:numId w:val="172"/>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Loan Party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each other Loan Document shall be true and correct in all material respects on and as of the Incremental Facility Closing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80" w:lineRule="exact"/>
        <w:rPr>
          <w:rFonts w:ascii="Arial" w:cs="Arial" w:eastAsia="Arial" w:hAnsi="Arial"/>
          <w:sz w:val="18"/>
          <w:szCs w:val="18"/>
          <w:color w:val="auto"/>
        </w:rPr>
      </w:pPr>
    </w:p>
    <w:p>
      <w:pPr>
        <w:jc w:val="both"/>
        <w:ind w:left="1480" w:firstLine="648"/>
        <w:spacing w:after="0" w:line="272" w:lineRule="auto"/>
        <w:tabs>
          <w:tab w:leader="none" w:pos="3073" w:val="left"/>
        </w:tabs>
        <w:numPr>
          <w:ilvl w:val="1"/>
          <w:numId w:val="172"/>
        </w:numPr>
        <w:rPr>
          <w:rFonts w:ascii="Arial" w:cs="Arial" w:eastAsia="Arial" w:hAnsi="Arial"/>
          <w:sz w:val="20"/>
          <w:szCs w:val="20"/>
          <w:color w:val="auto"/>
        </w:rPr>
      </w:pPr>
      <w:r>
        <w:rPr>
          <w:rFonts w:ascii="Arial" w:cs="Arial" w:eastAsia="Arial" w:hAnsi="Arial"/>
          <w:sz w:val="20"/>
          <w:szCs w:val="20"/>
          <w:color w:val="auto"/>
        </w:rPr>
        <w:t>each Incremental Term Commitment shall be in an aggregate principal amount that is not less than $25,000,000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 $25,000,000 if such amount represents all remaining availability under the limit set forth in the next sentence) and each Revolving Commitment Increase shall be in an aggregate principal amount that is not less than $10,000,000 and shall be in an increment of $1,000,000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amount may be less than $10,000,000 if such amount represents all remaining availability under the limit set forth in the next sentence);</w:t>
      </w:r>
    </w:p>
    <w:p>
      <w:pPr>
        <w:spacing w:after="0" w:line="191" w:lineRule="exact"/>
        <w:rPr>
          <w:rFonts w:ascii="Arial" w:cs="Arial" w:eastAsia="Arial" w:hAnsi="Arial"/>
          <w:sz w:val="20"/>
          <w:szCs w:val="20"/>
          <w:color w:val="auto"/>
        </w:rPr>
      </w:pPr>
    </w:p>
    <w:p>
      <w:pPr>
        <w:jc w:val="both"/>
        <w:ind w:left="1500" w:firstLine="642"/>
        <w:spacing w:after="0" w:line="303" w:lineRule="auto"/>
        <w:tabs>
          <w:tab w:leader="none" w:pos="305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the Incremental Term Loans and the Revolving Commitment Increases (together with the aggregate amount of Incremental Equivalent Debt incurred pursuant to </w:t>
      </w:r>
      <w:r>
        <w:rPr>
          <w:rFonts w:ascii="Arial" w:cs="Arial" w:eastAsia="Arial" w:hAnsi="Arial"/>
          <w:sz w:val="18"/>
          <w:szCs w:val="18"/>
          <w:u w:val="single" w:color="auto"/>
          <w:color w:val="auto"/>
        </w:rPr>
        <w:t>Section 7.03(s)</w:t>
      </w:r>
      <w:r>
        <w:rPr>
          <w:rFonts w:ascii="Arial" w:cs="Arial" w:eastAsia="Arial" w:hAnsi="Arial"/>
          <w:sz w:val="18"/>
          <w:szCs w:val="18"/>
          <w:color w:val="auto"/>
        </w:rPr>
        <w:t xml:space="preserve">) incurred after the Closing Date shall not exceed (A) $425,000,000 in the aggregate pursuant to this clause (A) or (B) at its option, up to an amount of Incremental Term Loans or Revolving Commitment Increases (and Incremental Equivalent Debt) so long as the Consolidated Senior Secured Net Leverage Ratio is no more than 3.50:1.00 as of the last day of the Test Period most recently ended for which financial statements have been delivered to the Lenders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after giving effect to any such incurrence on a Pro Forma Basis (but without giving effect to any use of the proceeds thereof to repay or prepay any revolving Indebtedness, including under the Revolving Credit Facility), and, in each case, with respect to any Revolving Commitment Increase, assuming a borrowing of the maximum amount of Loans available thereunder (such amounts under this clause (A) and (B), the “</w:t>
      </w:r>
      <w:r>
        <w:rPr>
          <w:rFonts w:ascii="Arial" w:cs="Arial" w:eastAsia="Arial" w:hAnsi="Arial"/>
          <w:sz w:val="18"/>
          <w:szCs w:val="18"/>
          <w:u w:val="single" w:color="auto"/>
          <w:color w:val="auto"/>
        </w:rPr>
        <w:t>Available Incremental Amount</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06" w:name="page207"/>
    <w:bookmarkEnd w:id="206"/>
    <w:p>
      <w:pPr>
        <w:jc w:val="both"/>
        <w:ind w:left="1500" w:firstLine="642"/>
        <w:spacing w:after="0" w:line="304" w:lineRule="auto"/>
        <w:tabs>
          <w:tab w:leader="none" w:pos="30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to the extent reasonably requested by the Administrative Agent, the receipt by the Administrative Agent of (i)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the Incremental Term Loans or Incremental Commitments, as applicable, are provided with the benefit of the applicable Loan Documents, and (B) to the extent provided in the applicable Incremental Amendment, such other conditions as the Borrowers and the Lenders providing such Incremental Commitments may agree; and</w:t>
      </w:r>
    </w:p>
    <w:p>
      <w:pPr>
        <w:spacing w:after="0" w:line="184" w:lineRule="exact"/>
        <w:rPr>
          <w:rFonts w:ascii="Arial" w:cs="Arial" w:eastAsia="Arial" w:hAnsi="Arial"/>
          <w:sz w:val="18"/>
          <w:szCs w:val="18"/>
          <w:color w:val="auto"/>
        </w:rPr>
      </w:pPr>
    </w:p>
    <w:p>
      <w:pPr>
        <w:ind w:left="1500" w:firstLine="642"/>
        <w:spacing w:after="0" w:line="289" w:lineRule="auto"/>
        <w:tabs>
          <w:tab w:leader="none" w:pos="3055"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Company and its Subsidiaries shall be in Pro Forma Compliance with the Financial Covenant after giving effect to such Incremental Commitments.</w:t>
      </w:r>
    </w:p>
    <w:p>
      <w:pPr>
        <w:spacing w:after="0" w:line="188" w:lineRule="exact"/>
        <w:rPr>
          <w:rFonts w:ascii="Arial" w:cs="Arial" w:eastAsia="Arial" w:hAnsi="Arial"/>
          <w:sz w:val="20"/>
          <w:szCs w:val="20"/>
          <w:color w:val="auto"/>
        </w:rPr>
      </w:pPr>
    </w:p>
    <w:p>
      <w:pPr>
        <w:jc w:val="both"/>
        <w:ind w:left="280" w:firstLine="646"/>
        <w:spacing w:after="0" w:line="303" w:lineRule="auto"/>
        <w:tabs>
          <w:tab w:leader="none" w:pos="1796"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Required Terms</w:t>
      </w:r>
      <w:r>
        <w:rPr>
          <w:rFonts w:ascii="Arial" w:cs="Arial" w:eastAsia="Arial" w:hAnsi="Arial"/>
          <w:sz w:val="18"/>
          <w:szCs w:val="18"/>
          <w:color w:val="auto"/>
        </w:rPr>
        <w:t xml:space="preserve">. The terms, provisions and documentation of the Incremental Term Loans and Incremental Term Commitments of any Class shall be as agreed between the Borrowers and the applicable Incremental Lenders providing such Incremental Commitments, and except as otherwise set forth herein, to the extent not identical to the Term Loans, each existing on the Incremental Facility Closing Date, shall be consistent with clauses (i) through (iii) below, as applicable, and otherwise as reasonably satisfactory to Administrative Agent (but in no event shall any such Incremental Facility have covenants and defaults materially more restrictive (taken as a whole) than those under this Agreement except for covenants and defaults applicable only to periods after the Latest Maturity Date at the time of such Incremental Facility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Term Loan Increase, the terms, provisions and documentation shall be identical (other than with respect to upfront fees, original issue discount or similar fees) to the applicable Term Loans being increased, as existing on the Incremental Facility Closing Date. In any event:</w:t>
      </w:r>
    </w:p>
    <w:p>
      <w:pPr>
        <w:spacing w:after="0" w:line="173" w:lineRule="exact"/>
        <w:rPr>
          <w:rFonts w:ascii="Arial" w:cs="Arial" w:eastAsia="Arial" w:hAnsi="Arial"/>
          <w:sz w:val="18"/>
          <w:szCs w:val="18"/>
          <w:color w:val="auto"/>
        </w:rPr>
      </w:pPr>
    </w:p>
    <w:p>
      <w:pPr>
        <w:ind w:left="2940" w:hanging="798"/>
        <w:spacing w:after="0"/>
        <w:tabs>
          <w:tab w:leader="none" w:pos="294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Incremental Term Loans:</w:t>
      </w:r>
    </w:p>
    <w:p>
      <w:pPr>
        <w:spacing w:after="0" w:line="256" w:lineRule="exact"/>
        <w:rPr>
          <w:rFonts w:ascii="Arial" w:cs="Arial" w:eastAsia="Arial" w:hAnsi="Arial"/>
          <w:sz w:val="20"/>
          <w:szCs w:val="20"/>
          <w:color w:val="auto"/>
        </w:rPr>
      </w:pPr>
    </w:p>
    <w:p>
      <w:pPr>
        <w:ind w:left="2220" w:firstLine="651"/>
        <w:spacing w:after="0" w:line="289" w:lineRule="auto"/>
        <w:tabs>
          <w:tab w:leader="none" w:pos="3764" w:val="left"/>
        </w:tabs>
        <w:numPr>
          <w:ilvl w:val="2"/>
          <w:numId w:val="174"/>
        </w:numPr>
        <w:rPr>
          <w:rFonts w:ascii="Arial" w:cs="Arial" w:eastAsia="Arial" w:hAnsi="Arial"/>
          <w:sz w:val="20"/>
          <w:szCs w:val="20"/>
          <w:color w:val="auto"/>
        </w:rPr>
      </w:pPr>
      <w:r>
        <w:rPr>
          <w:rFonts w:ascii="Arial" w:cs="Arial" w:eastAsia="Arial" w:hAnsi="Arial"/>
          <w:sz w:val="20"/>
          <w:szCs w:val="20"/>
          <w:color w:val="auto"/>
        </w:rPr>
        <w:t xml:space="preserve">shall rank (I)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and (II)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security with the Revolving Credit Loans and the Term Loans,</w:t>
      </w:r>
    </w:p>
    <w:p>
      <w:pPr>
        <w:spacing w:after="0" w:line="188" w:lineRule="exact"/>
        <w:rPr>
          <w:rFonts w:ascii="Arial" w:cs="Arial" w:eastAsia="Arial" w:hAnsi="Arial"/>
          <w:sz w:val="20"/>
          <w:szCs w:val="20"/>
          <w:color w:val="auto"/>
        </w:rPr>
      </w:pPr>
    </w:p>
    <w:p>
      <w:pPr>
        <w:jc w:val="both"/>
        <w:ind w:left="2220" w:firstLine="651"/>
        <w:spacing w:after="0" w:line="278" w:lineRule="auto"/>
        <w:tabs>
          <w:tab w:leader="none" w:pos="3780" w:val="left"/>
        </w:tabs>
        <w:numPr>
          <w:ilvl w:val="2"/>
          <w:numId w:val="174"/>
        </w:numPr>
        <w:rPr>
          <w:rFonts w:ascii="Arial" w:cs="Arial" w:eastAsia="Arial" w:hAnsi="Arial"/>
          <w:sz w:val="20"/>
          <w:szCs w:val="20"/>
          <w:color w:val="auto"/>
        </w:rPr>
      </w:pPr>
      <w:r>
        <w:rPr>
          <w:rFonts w:ascii="Arial" w:cs="Arial" w:eastAsia="Arial" w:hAnsi="Arial"/>
          <w:sz w:val="20"/>
          <w:szCs w:val="20"/>
          <w:color w:val="auto"/>
        </w:rPr>
        <w:t>as of the Incremental Facility Closing Date, shall not have a Maturity Date earlier than the Maturity Date with respect to the Term Loans (prior to giving effect to any extensions thereof occurring after the Maturity Date),</w:t>
      </w:r>
    </w:p>
    <w:p>
      <w:pPr>
        <w:spacing w:after="0" w:line="186" w:lineRule="exact"/>
        <w:rPr>
          <w:rFonts w:ascii="Arial" w:cs="Arial" w:eastAsia="Arial" w:hAnsi="Arial"/>
          <w:sz w:val="20"/>
          <w:szCs w:val="20"/>
          <w:color w:val="auto"/>
        </w:rPr>
      </w:pPr>
    </w:p>
    <w:p>
      <w:pPr>
        <w:jc w:val="both"/>
        <w:ind w:left="2220" w:firstLine="651"/>
        <w:spacing w:after="0" w:line="273" w:lineRule="auto"/>
        <w:tabs>
          <w:tab w:leader="none" w:pos="3780" w:val="left"/>
        </w:tabs>
        <w:numPr>
          <w:ilvl w:val="2"/>
          <w:numId w:val="174"/>
        </w:numPr>
        <w:rPr>
          <w:rFonts w:ascii="Arial" w:cs="Arial" w:eastAsia="Arial" w:hAnsi="Arial"/>
          <w:sz w:val="20"/>
          <w:szCs w:val="20"/>
          <w:color w:val="auto"/>
        </w:rPr>
      </w:pPr>
      <w:r>
        <w:rPr>
          <w:rFonts w:ascii="Arial" w:cs="Arial" w:eastAsia="Arial" w:hAnsi="Arial"/>
          <w:sz w:val="20"/>
          <w:szCs w:val="20"/>
          <w:color w:val="auto"/>
        </w:rPr>
        <w:t xml:space="preserve">shall have an amortization schedule as determined by the Borrowers and the applicable new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of the Incremental Facility Closing Date, such Incremental Term Loans shall have a Weighted Average Life to Maturity not shorter than the remaining Weighted Average Life to Maturity of the Term Loans (as originally in effect prior to any amortization or prepayments thereto) on the date of incurrence of such Incremental Term Loans,</w:t>
      </w:r>
    </w:p>
    <w:p>
      <w:pPr>
        <w:spacing w:after="0" w:line="42" w:lineRule="exact"/>
        <w:rPr>
          <w:rFonts w:ascii="Arial" w:cs="Arial" w:eastAsia="Arial" w:hAnsi="Arial"/>
          <w:sz w:val="20"/>
          <w:szCs w:val="20"/>
          <w:color w:val="auto"/>
        </w:rPr>
      </w:pPr>
    </w:p>
    <w:p>
      <w:pPr>
        <w:ind w:left="2220" w:firstLine="651"/>
        <w:spacing w:after="0" w:line="347" w:lineRule="auto"/>
        <w:tabs>
          <w:tab w:leader="none" w:pos="3791" w:val="left"/>
        </w:tabs>
        <w:numPr>
          <w:ilvl w:val="2"/>
          <w:numId w:val="174"/>
        </w:numPr>
        <w:rPr>
          <w:rFonts w:ascii="Arial" w:cs="Arial" w:eastAsia="Arial" w:hAnsi="Arial"/>
          <w:sz w:val="18"/>
          <w:szCs w:val="18"/>
          <w:color w:val="auto"/>
        </w:rPr>
      </w:pPr>
      <w:r>
        <w:rPr>
          <w:rFonts w:ascii="Arial" w:cs="Arial" w:eastAsia="Arial" w:hAnsi="Arial"/>
          <w:sz w:val="18"/>
          <w:szCs w:val="18"/>
          <w:color w:val="auto"/>
        </w:rPr>
        <w:t>shall have, subject to clause (e)(iii) below, an Applicable Rate and, subject to clauses (e)(i)(B) and (e)(i)(C) above, amortization determined by the Borrowers and the applicable Incremental Term Lenders,</w:t>
      </w:r>
    </w:p>
    <w:p>
      <w:pPr>
        <w:spacing w:after="0" w:line="130" w:lineRule="exact"/>
        <w:rPr>
          <w:rFonts w:ascii="Arial" w:cs="Arial" w:eastAsia="Arial" w:hAnsi="Arial"/>
          <w:sz w:val="18"/>
          <w:szCs w:val="18"/>
          <w:color w:val="auto"/>
        </w:rPr>
      </w:pPr>
    </w:p>
    <w:p>
      <w:pPr>
        <w:ind w:left="3780" w:hanging="909"/>
        <w:spacing w:after="0"/>
        <w:tabs>
          <w:tab w:leader="none" w:pos="3780" w:val="left"/>
        </w:tabs>
        <w:numPr>
          <w:ilvl w:val="2"/>
          <w:numId w:val="174"/>
        </w:numPr>
        <w:rPr>
          <w:rFonts w:ascii="Arial" w:cs="Arial" w:eastAsia="Arial" w:hAnsi="Arial"/>
          <w:sz w:val="19"/>
          <w:szCs w:val="19"/>
          <w:color w:val="auto"/>
        </w:rPr>
      </w:pPr>
      <w:r>
        <w:rPr>
          <w:rFonts w:ascii="Arial" w:cs="Arial" w:eastAsia="Arial" w:hAnsi="Arial"/>
          <w:sz w:val="19"/>
          <w:szCs w:val="19"/>
          <w:color w:val="auto"/>
        </w:rPr>
        <w:t>shall have fees determined by the Borrowers and the applicable Incremental Term Loan</w:t>
      </w:r>
    </w:p>
    <w:p>
      <w:pPr>
        <w:spacing w:after="0" w:line="38" w:lineRule="exact"/>
        <w:rPr>
          <w:rFonts w:ascii="Arial" w:cs="Arial" w:eastAsia="Arial" w:hAnsi="Arial"/>
          <w:sz w:val="19"/>
          <w:szCs w:val="19"/>
          <w:color w:val="auto"/>
        </w:rPr>
      </w:pPr>
    </w:p>
    <w:p>
      <w:pPr>
        <w:ind w:left="2220"/>
        <w:spacing w:after="0"/>
        <w:rPr>
          <w:rFonts w:ascii="Arial" w:cs="Arial" w:eastAsia="Arial" w:hAnsi="Arial"/>
          <w:sz w:val="19"/>
          <w:szCs w:val="19"/>
          <w:color w:val="auto"/>
        </w:rPr>
      </w:pPr>
      <w:r>
        <w:rPr>
          <w:rFonts w:ascii="Arial" w:cs="Arial" w:eastAsia="Arial" w:hAnsi="Arial"/>
          <w:sz w:val="20"/>
          <w:szCs w:val="20"/>
          <w:color w:val="auto"/>
        </w:rPr>
        <w:t>arranger(s),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90" w:right="239" w:bottom="1440" w:gutter="0" w:footer="0" w:header="0"/>
        </w:sectPr>
      </w:pPr>
    </w:p>
    <w:bookmarkStart w:id="207" w:name="page208"/>
    <w:bookmarkEnd w:id="207"/>
    <w:p>
      <w:pPr>
        <w:jc w:val="both"/>
        <w:ind w:left="2220" w:firstLine="651"/>
        <w:spacing w:after="0" w:line="278" w:lineRule="auto"/>
        <w:tabs>
          <w:tab w:leader="none" w:pos="3758" w:val="left"/>
        </w:tabs>
        <w:numPr>
          <w:ilvl w:val="1"/>
          <w:numId w:val="175"/>
        </w:numPr>
        <w:rPr>
          <w:rFonts w:ascii="Arial" w:cs="Arial" w:eastAsia="Arial" w:hAnsi="Arial"/>
          <w:sz w:val="20"/>
          <w:szCs w:val="20"/>
          <w:color w:val="auto"/>
        </w:rPr>
      </w:pPr>
      <w:r>
        <w:rPr>
          <w:rFonts w:ascii="Arial" w:cs="Arial" w:eastAsia="Arial" w:hAnsi="Arial"/>
          <w:sz w:val="20"/>
          <w:szCs w:val="20"/>
          <w:color w:val="auto"/>
        </w:rPr>
        <w:t xml:space="preserve">with respect to any Incremental Term Loans structured as term B loans, may include such “most favored nation” pricing protections and a lower minimum assignment amount than is required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10.07(b)(ii)(A)</w:t>
      </w:r>
      <w:r>
        <w:rPr>
          <w:rFonts w:ascii="Arial" w:cs="Arial" w:eastAsia="Arial" w:hAnsi="Arial"/>
          <w:sz w:val="20"/>
          <w:szCs w:val="20"/>
          <w:color w:val="auto"/>
        </w:rPr>
        <w:t>, as determined by the Borrowers and the applicable Lenders,</w:t>
      </w:r>
    </w:p>
    <w:p>
      <w:pPr>
        <w:spacing w:after="0" w:line="200" w:lineRule="exact"/>
        <w:rPr>
          <w:rFonts w:ascii="Arial" w:cs="Arial" w:eastAsia="Arial" w:hAnsi="Arial"/>
          <w:sz w:val="20"/>
          <w:szCs w:val="20"/>
          <w:color w:val="auto"/>
        </w:rPr>
      </w:pPr>
    </w:p>
    <w:p>
      <w:pPr>
        <w:jc w:val="both"/>
        <w:ind w:left="2220" w:firstLine="651"/>
        <w:spacing w:after="0" w:line="273" w:lineRule="auto"/>
        <w:tabs>
          <w:tab w:leader="none" w:pos="3791" w:val="left"/>
        </w:tabs>
        <w:numPr>
          <w:ilvl w:val="1"/>
          <w:numId w:val="175"/>
        </w:numPr>
        <w:rPr>
          <w:rFonts w:ascii="Arial" w:cs="Arial" w:eastAsia="Arial" w:hAnsi="Arial"/>
          <w:sz w:val="20"/>
          <w:szCs w:val="20"/>
          <w:color w:val="auto"/>
        </w:rPr>
      </w:pPr>
      <w:r>
        <w:rPr>
          <w:rFonts w:ascii="Arial" w:cs="Arial" w:eastAsia="Arial" w:hAnsi="Arial"/>
          <w:sz w:val="20"/>
          <w:szCs w:val="20"/>
          <w:color w:val="auto"/>
        </w:rPr>
        <w:t>may participate on a pro rata basis or less than pro rata basis (but not on a greater than pro rata basis) in any voluntary or mandatory prepayments of principal of Term Loans hereunder, as specified in the applicable Incremental Amendment, including, for the avoidance of doubt, on a less than pro rata basis permitting the Borrowers to repay any earlier maturing Term Loans prior to the repayment of the applicable Incremental Term Loans, and</w:t>
      </w:r>
    </w:p>
    <w:p>
      <w:pPr>
        <w:spacing w:after="0" w:line="204" w:lineRule="exact"/>
        <w:rPr>
          <w:rFonts w:ascii="Arial" w:cs="Arial" w:eastAsia="Arial" w:hAnsi="Arial"/>
          <w:sz w:val="20"/>
          <w:szCs w:val="20"/>
          <w:color w:val="auto"/>
        </w:rPr>
      </w:pPr>
    </w:p>
    <w:p>
      <w:pPr>
        <w:ind w:left="3800" w:hanging="929"/>
        <w:spacing w:after="0"/>
        <w:tabs>
          <w:tab w:leader="none" w:pos="38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may not be (x) secured by any assets other than Collateral or (y) guaranteed by any Person other</w:t>
      </w:r>
    </w:p>
    <w:p>
      <w:pPr>
        <w:spacing w:after="0" w:line="72" w:lineRule="exact"/>
        <w:rPr>
          <w:rFonts w:ascii="Arial" w:cs="Arial" w:eastAsia="Arial" w:hAnsi="Arial"/>
          <w:sz w:val="16"/>
          <w:szCs w:val="16"/>
          <w:color w:val="auto"/>
        </w:rPr>
      </w:pPr>
    </w:p>
    <w:p>
      <w:pPr>
        <w:ind w:left="2220"/>
        <w:spacing w:after="0"/>
        <w:rPr>
          <w:rFonts w:ascii="Arial" w:cs="Arial" w:eastAsia="Arial" w:hAnsi="Arial"/>
          <w:sz w:val="16"/>
          <w:szCs w:val="16"/>
          <w:color w:val="auto"/>
        </w:rPr>
      </w:pPr>
      <w:r>
        <w:rPr>
          <w:rFonts w:ascii="Arial" w:cs="Arial" w:eastAsia="Arial" w:hAnsi="Arial"/>
          <w:sz w:val="20"/>
          <w:szCs w:val="20"/>
          <w:color w:val="auto"/>
        </w:rPr>
        <w:t>than a Guarantor;</w:t>
      </w:r>
    </w:p>
    <w:p>
      <w:pPr>
        <w:spacing w:after="0" w:line="256" w:lineRule="exact"/>
        <w:rPr>
          <w:rFonts w:ascii="Arial" w:cs="Arial" w:eastAsia="Arial" w:hAnsi="Arial"/>
          <w:sz w:val="16"/>
          <w:szCs w:val="16"/>
          <w:color w:val="auto"/>
        </w:rPr>
      </w:pPr>
    </w:p>
    <w:p>
      <w:pPr>
        <w:jc w:val="both"/>
        <w:ind w:left="1500" w:firstLine="642"/>
        <w:spacing w:after="0" w:line="286" w:lineRule="auto"/>
        <w:tabs>
          <w:tab w:leader="none" w:pos="301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the terms, provisions and documentation of any Revolving Commitment Increase shall be identical to the Revolving Credit Commitments being increased, as existing on the Incremental Facility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Borrowers and the applicable new Lenders may agree to higher interest rates, upfront fees and Eurocurrency Rate or Base Rate floors in each applicable Incremental Amendment if the interest rate margins, upfront fees and Eurocurrency Rate or Base Rate floors with respect to the existing Revolving Credit Commitments are increased so as to cause the then applicable interest rate, upfront fees, and Eurocurrency Rate or Base Rate floors under this Agreement on such Revolving Credit Commitments to equal the interest rate, upfront fees, and Eurocurrency Rate or Base Rate floors then applicable to the Revolving Commitment Increase; and</w:t>
      </w:r>
    </w:p>
    <w:p>
      <w:pPr>
        <w:spacing w:after="0" w:line="199" w:lineRule="exact"/>
        <w:rPr>
          <w:sz w:val="20"/>
          <w:szCs w:val="20"/>
          <w:color w:val="auto"/>
        </w:rPr>
      </w:pPr>
    </w:p>
    <w:p>
      <w:pPr>
        <w:jc w:val="both"/>
        <w:ind w:left="1480" w:firstLine="648"/>
        <w:spacing w:after="0" w:line="301" w:lineRule="auto"/>
        <w:tabs>
          <w:tab w:leader="none" w:pos="307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the All-In Yield applicable to the Incremental Term Loans of each Class shall be determined by the Borrowers and the applicable new Lenders and shall be set forth in each applicable Incremental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All-In Yield applicable to any Incremental Term Loans that are structured as term A loans (each, an “</w:t>
      </w:r>
      <w:r>
        <w:rPr>
          <w:rFonts w:ascii="Arial" w:cs="Arial" w:eastAsia="Arial" w:hAnsi="Arial"/>
          <w:sz w:val="18"/>
          <w:szCs w:val="18"/>
          <w:u w:val="single" w:color="auto"/>
          <w:color w:val="auto"/>
        </w:rPr>
        <w:t>Incremental Term A Loan</w:t>
      </w:r>
      <w:r>
        <w:rPr>
          <w:rFonts w:ascii="Arial" w:cs="Arial" w:eastAsia="Arial" w:hAnsi="Arial"/>
          <w:sz w:val="18"/>
          <w:szCs w:val="18"/>
          <w:color w:val="auto"/>
        </w:rPr>
        <w:t xml:space="preserve">”) shall not be greater than the applicable All-In Yield payable pursuant to the terms of this Agreement as amended through the date of such calculation with respect to the Initial Term Loan plus 50 basis points per annum unless, (x) if the Incremental Amendment provides for a new Class of Incremental Term A Loan, the interest rate (together with, as provided in the proviso below, the Eurocurrency Rate or Base Rate floor) with respect to the Initial Term Loan is increased so as to cause the then applicable All-In Yield under this Agreement on the Initial Term Loan to equal the All-In Yield then applicable to the Incremental Term A Loan minus 50 basis points;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increase in All-In Yield to the Incremental Term Loan due to the application of a Eurocurrency Rate or Base Rate floor on any Incremental Term A Loan shall be effected solely through an increase in (or implementation of, as applicable) any Eurocurrency Rate or Base Rate floor applicable to the Initial Term Loan or (y) if the Incremental Amendment provides for a Term Loan Increase to the Initial Term Loan, the Borrowers pay upfront fees to the Lenders with respect to the Initial Term Loan in an aggregate amount so as to cause the then applicable All-In Yield under this Agreement on the Initial Term Loan to equal the All-In Yield then applicable to the Term Loan Increase to the Initial Term Loan minus 50 basis points.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08" w:name="page209"/>
    <w:bookmarkEnd w:id="208"/>
    <w:p>
      <w:pPr>
        <w:jc w:val="both"/>
        <w:ind w:left="280" w:firstLine="646"/>
        <w:spacing w:after="0" w:line="286" w:lineRule="auto"/>
        <w:tabs>
          <w:tab w:leader="none" w:pos="1774"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Incremental Amendment</w:t>
      </w:r>
      <w:r>
        <w:rPr>
          <w:rFonts w:ascii="Arial" w:cs="Arial" w:eastAsia="Arial" w:hAnsi="Arial"/>
          <w:sz w:val="19"/>
          <w:szCs w:val="19"/>
          <w:color w:val="auto"/>
        </w:rPr>
        <w:t>. Commitments in respect of Incremental Term Loans shall become Commitments (or in the case of a Revolving Commitment Increase, an increase in such Lender’s applicable Revolving Credit Commitment), under this Agreement pursuant to an amendment (an “</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xml:space="preserve">”) to this Agreement and, as appropriate, the other Loan Documents, executed by each Borrower, each Incremental Lender providing such Commitments and the Administrative Agent. The Incremental Amendment may, without the consent of any other Loan Party, Agent or Lender, effect such amendments to this Agreement and the other Loan Documents as may be necessary or appropriate, in the reasonable opinion of the Administrative Agent and the Borrowers, to effect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The Borrowers will use the proceeds of the Incremental Term Loans and Revolving Commitment Increases for any purpose not prohibited by this Agreement. No Lender shall be obligated to provide any Incremental Term Loans or Revolving Commitment Increase unless it so agrees.</w:t>
      </w:r>
    </w:p>
    <w:p>
      <w:pPr>
        <w:spacing w:after="0" w:line="195" w:lineRule="exact"/>
        <w:rPr>
          <w:rFonts w:ascii="Arial" w:cs="Arial" w:eastAsia="Arial" w:hAnsi="Arial"/>
          <w:sz w:val="19"/>
          <w:szCs w:val="19"/>
          <w:color w:val="auto"/>
        </w:rPr>
      </w:pPr>
    </w:p>
    <w:p>
      <w:pPr>
        <w:jc w:val="both"/>
        <w:ind w:left="280" w:firstLine="646"/>
        <w:spacing w:after="0" w:line="302" w:lineRule="auto"/>
        <w:tabs>
          <w:tab w:leader="none" w:pos="1807"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Reallocation of Revolving Credit Exposure</w:t>
      </w:r>
      <w:r>
        <w:rPr>
          <w:rFonts w:ascii="Arial" w:cs="Arial" w:eastAsia="Arial" w:hAnsi="Arial"/>
          <w:sz w:val="18"/>
          <w:szCs w:val="18"/>
          <w:color w:val="auto"/>
        </w:rPr>
        <w:t xml:space="preserve">. Upon any Incremental Facility Closing Date on which any Revolving Commitment Increase is effected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 each of the Revolving Credit Lenders shall assign to each of the Incremental Revolving Credit Lenders, and each of the Incremental Revolving Credit Lenders shall purchase from each of the Revolving Credit Lenders, at the principal amount thereof, such interests in the Revolving Credit Loans outstanding on such Incremental Facility Closing Date as shall be necessary in order that, after giving effect to all such assignments and purchases, such Revolving Credit Loans will be held by existing Revolving Credit Lenders and Incremental Revolving Credit Lenders ratably in accordance with their Revolving Credit Commitments after giving effect to such Revolving Commitment Increase, (b) each Revolving Commitment Increase shall be deemed for all purposes a Revolving Credit Commitment and each Loan made thereunder shall be deemed, for all purposes, a Revolving Credit Loan and (c) each Incremental Revolving Credit Lender shall become a Lender with respect to such Revolving Commitment Increase and all matters relating thereto. The Administrative Agent and the Lenders hereby agree that the minimum borrowing and prepayment requirements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2.05(a)</w:t>
      </w:r>
      <w:r>
        <w:rPr>
          <w:rFonts w:ascii="Arial" w:cs="Arial" w:eastAsia="Arial" w:hAnsi="Arial"/>
          <w:sz w:val="18"/>
          <w:szCs w:val="18"/>
          <w:color w:val="auto"/>
        </w:rPr>
        <w:t xml:space="preserve"> of this Agreement shall not apply to the transactions effected pursuant to the immediately preceding sentence.</w:t>
      </w:r>
    </w:p>
    <w:p>
      <w:pPr>
        <w:spacing w:after="0" w:line="160" w:lineRule="exact"/>
        <w:rPr>
          <w:rFonts w:ascii="Arial" w:cs="Arial" w:eastAsia="Arial" w:hAnsi="Arial"/>
          <w:sz w:val="18"/>
          <w:szCs w:val="18"/>
          <w:color w:val="auto"/>
        </w:rPr>
      </w:pPr>
    </w:p>
    <w:p>
      <w:pPr>
        <w:ind w:left="1540" w:hanging="614"/>
        <w:spacing w:after="0"/>
        <w:tabs>
          <w:tab w:leader="none" w:pos="154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16"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Refinancing Amendments</w:t>
      </w:r>
      <w:r>
        <w:rPr>
          <w:rFonts w:ascii="Arial" w:cs="Arial" w:eastAsia="Arial" w:hAnsi="Arial"/>
          <w:sz w:val="18"/>
          <w:szCs w:val="18"/>
          <w:color w:val="auto"/>
        </w:rPr>
        <w:t xml:space="preserve">. (a) On one or more occasions after the Closing Date, the Borrowers may obtain, from any Lender or any Additional Refinancing Lender, Credit Agreement Refinancing Indebtedness in respect of all or any portion of any Class of Term Loans and the Revolving Credit Loans (or unused Revolving Credit Commitments) then outstanding under this Agreement (which for purposes of this clause (a) will be deemed to include any then outstanding Extended Term Loans, Other Term Loans or Incremental Term Loans), in the form of Other Term Loans, Other Term Loan Commitments, Other Revolving Credit Commitments or Other Revolving Credit Loans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otherwise, (1) the borrowing and repayment (except for (A) payments of interest and fees at different rates on Other Revolving Credit Commitments (and related outstandings), (B) repayments required upon the Maturity Date of the Other Revolving Credit Commitments and</w:t>
      </w:r>
    </w:p>
    <w:p>
      <w:pPr>
        <w:spacing w:after="0" w:line="4" w:lineRule="exact"/>
        <w:rPr>
          <w:sz w:val="20"/>
          <w:szCs w:val="20"/>
          <w:color w:val="auto"/>
        </w:rPr>
      </w:pPr>
    </w:p>
    <w:p>
      <w:pPr>
        <w:jc w:val="both"/>
        <w:ind w:left="280" w:hanging="2"/>
        <w:spacing w:after="0" w:line="270" w:lineRule="auto"/>
        <w:tabs>
          <w:tab w:leader="none" w:pos="59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repayment of principal made in connection with a permanent repayment and termination of commitments (subject to clause (3) below)) of Loans with respect to Other Revolving Credit Commitments after the date of obtaining any Other Revolving Credit Commitments shall be made on a pro rata basis with all other Revolving Credit Commitments, (2) subject to the provisions of </w:t>
      </w:r>
      <w:r>
        <w:rPr>
          <w:rFonts w:ascii="Arial" w:cs="Arial" w:eastAsia="Arial" w:hAnsi="Arial"/>
          <w:sz w:val="18"/>
          <w:szCs w:val="18"/>
          <w:u w:val="single" w:color="auto"/>
          <w:color w:val="auto"/>
        </w:rPr>
        <w:t>Section 2.03(l)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2.04(g)</w:t>
      </w:r>
      <w:r>
        <w:rPr>
          <w:rFonts w:ascii="Arial" w:cs="Arial" w:eastAsia="Arial" w:hAnsi="Arial"/>
          <w:sz w:val="18"/>
          <w:szCs w:val="18"/>
          <w:color w:val="auto"/>
        </w:rPr>
        <w:t xml:space="preserve"> to the extent dealing with Swing Line Loans and Letters of Credit which mature or expire after a Maturity Date when there exist Extended Revolving Credit Commitments with a longer Maturity Date, all Swing Line Loans and Letters of Credit shall be participated on a pro rata basis by all Lenders with Commitments in accordance with their percentage of the Revolving Credit Commitments (and except as provided in </w:t>
      </w:r>
      <w:r>
        <w:rPr>
          <w:rFonts w:ascii="Arial" w:cs="Arial" w:eastAsia="Arial" w:hAnsi="Arial"/>
          <w:sz w:val="18"/>
          <w:szCs w:val="18"/>
          <w:u w:val="single" w:color="auto"/>
          <w:color w:val="auto"/>
        </w:rPr>
        <w:t>Section 2.03(l)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2.04(g)</w:t>
      </w:r>
      <w:r>
        <w:rPr>
          <w:rFonts w:ascii="Arial" w:cs="Arial" w:eastAsia="Arial" w:hAnsi="Arial"/>
          <w:sz w:val="18"/>
          <w:szCs w:val="18"/>
          <w:color w:val="auto"/>
        </w:rPr>
        <w:t>, without giving effect to changes thereto on an earlier Maturity Date with respect to Swing Line Loans and Letters of Credit theretofore incurred or issued), (3) the permanent repayment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209" w:name="page210"/>
    <w:bookmarkEnd w:id="209"/>
    <w:p>
      <w:pPr>
        <w:jc w:val="both"/>
        <w:ind w:left="280"/>
        <w:spacing w:after="0" w:line="243" w:lineRule="auto"/>
        <w:rPr>
          <w:sz w:val="20"/>
          <w:szCs w:val="20"/>
          <w:color w:val="auto"/>
        </w:rPr>
      </w:pPr>
      <w:r>
        <w:rPr>
          <w:rFonts w:ascii="Arial" w:cs="Arial" w:eastAsia="Arial" w:hAnsi="Arial"/>
          <w:sz w:val="20"/>
          <w:szCs w:val="20"/>
          <w:color w:val="auto"/>
        </w:rPr>
        <w:t>Revolving Credit Loans with respect to, and termination of, Other Revolving Credit Commitments after the date of obtaining any Other Revolving Credit Commitments shall be made on a pro rata basis with all other Revolving Credit Commitments, except that the Borrowers shall be permitted to permanently repay and terminate commitments of any such Class on a better than a pro rata basis as compared to any other Class with a later Maturity Date than such Class and (4) assignments and participations of Other Revolving Credit Commitments and Other Revolving Credit Loans shall be governed by the same assignment and participation provisions applicable to Revolving Credit Commitments and Revolving Credit Loans.</w:t>
      </w:r>
    </w:p>
    <w:p>
      <w:pPr>
        <w:spacing w:after="0" w:line="224" w:lineRule="exact"/>
        <w:rPr>
          <w:sz w:val="20"/>
          <w:szCs w:val="20"/>
          <w:color w:val="auto"/>
        </w:rPr>
      </w:pPr>
    </w:p>
    <w:p>
      <w:pPr>
        <w:jc w:val="both"/>
        <w:ind w:left="280" w:firstLine="646"/>
        <w:spacing w:after="0" w:line="286" w:lineRule="auto"/>
        <w:tabs>
          <w:tab w:leader="none" w:pos="180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effectiveness of any Refinancing Amendment shall be subject to the satisfaction on the date thereof of each of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(which, for the avoidance of doubt, shall not require compliance with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for any incurrence of Other Term Loans) and, to the extent reasonably requested by the Administrative Agent, receipt by the Administrative Agent of (i) customary legal opinions, board resolutions and officers’ certificates consistent with those delivered on the Closing Date (conformed as appropriate) other than changes to such legal opinions resulting from a change in law, change in fact or change to counsel’s form of opinion reasonably satisfactory to the Administrative Agent and (ii) reaffirmation agreements and/or such amendments to the Collateral Documents as may be reasonably requested by the Administrative Agent in order to ensure that such Credit Agreement Refinancing Indebtedness is provided with the benefit of the applicable Loan Documents.</w:t>
      </w:r>
    </w:p>
    <w:p>
      <w:pPr>
        <w:spacing w:after="0" w:line="185" w:lineRule="exact"/>
        <w:rPr>
          <w:rFonts w:ascii="Arial" w:cs="Arial" w:eastAsia="Arial" w:hAnsi="Arial"/>
          <w:sz w:val="19"/>
          <w:szCs w:val="19"/>
          <w:color w:val="auto"/>
        </w:rPr>
      </w:pPr>
    </w:p>
    <w:p>
      <w:pPr>
        <w:ind w:left="280" w:firstLine="646"/>
        <w:spacing w:after="0" w:line="289" w:lineRule="auto"/>
        <w:tabs>
          <w:tab w:leader="none" w:pos="179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Each issuance of Credit Agreement Refinancing Indebtedness under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shall be in an aggregate principal amount that is (x) not less than $25,000,000 and (y) an integral multiple of $1,000,000 in excess thereof.</w:t>
      </w:r>
    </w:p>
    <w:p>
      <w:pPr>
        <w:spacing w:after="0" w:line="188" w:lineRule="exact"/>
        <w:rPr>
          <w:rFonts w:ascii="Arial" w:cs="Arial" w:eastAsia="Arial" w:hAnsi="Arial"/>
          <w:sz w:val="20"/>
          <w:szCs w:val="20"/>
          <w:color w:val="auto"/>
        </w:rPr>
      </w:pPr>
    </w:p>
    <w:p>
      <w:pPr>
        <w:jc w:val="both"/>
        <w:ind w:left="280" w:firstLine="646"/>
        <w:spacing w:after="0" w:line="288" w:lineRule="auto"/>
        <w:tabs>
          <w:tab w:leader="none" w:pos="180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Borrowers, to effect the provisions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and the Required Lenders hereby expressly authorize the Administrative Agent to enter into any such Refinancing Amendment.</w:t>
      </w:r>
    </w:p>
    <w:p>
      <w:pPr>
        <w:spacing w:after="0" w:line="183"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9" w:lineRule="exact"/>
        <w:rPr>
          <w:sz w:val="20"/>
          <w:szCs w:val="20"/>
          <w:color w:val="auto"/>
        </w:rPr>
      </w:pPr>
    </w:p>
    <w:p>
      <w:pPr>
        <w:ind w:left="280" w:firstLine="646"/>
        <w:spacing w:after="0" w:line="316" w:lineRule="auto"/>
        <w:tabs>
          <w:tab w:leader="none" w:pos="1796"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3" w:lineRule="exact"/>
        <w:rPr>
          <w:rFonts w:ascii="Arial" w:cs="Arial" w:eastAsia="Arial" w:hAnsi="Arial"/>
          <w:sz w:val="19"/>
          <w:szCs w:val="19"/>
          <w:color w:val="auto"/>
        </w:rPr>
      </w:pPr>
    </w:p>
    <w:p>
      <w:pPr>
        <w:ind w:left="1500" w:firstLine="642"/>
        <w:spacing w:after="0" w:line="289" w:lineRule="auto"/>
        <w:tabs>
          <w:tab w:leader="none" w:pos="2956" w:val="left"/>
        </w:tabs>
        <w:numPr>
          <w:ilvl w:val="1"/>
          <w:numId w:val="181"/>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That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500" w:firstLine="642"/>
        <w:spacing w:after="0" w:line="286" w:lineRule="auto"/>
        <w:tabs>
          <w:tab w:leader="none" w:pos="3011"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Reallocation of Payments</w:t>
      </w:r>
      <w:r>
        <w:rPr>
          <w:rFonts w:ascii="Arial" w:cs="Arial" w:eastAsia="Arial" w:hAnsi="Arial"/>
          <w:sz w:val="19"/>
          <w:szCs w:val="19"/>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that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pro rata basis of any amounts owing by that Defaulting Lender to the L/C Issuer or Swing Line Lender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if so determined by the Administrative Agent or requested by the L/C Issuer or Swing Line Lender, to be held as Cash Collateral for future funding obligations of that Defaulting Lender of any participation in any Swing Line Loan or Letter of Credit; </w:t>
      </w:r>
      <w:r>
        <w:rPr>
          <w:rFonts w:ascii="Arial" w:cs="Arial" w:eastAsia="Arial" w:hAnsi="Arial"/>
          <w:sz w:val="19"/>
          <w:szCs w:val="19"/>
          <w:u w:val="single" w:color="auto"/>
          <w:color w:val="auto"/>
        </w:rPr>
        <w:t>fourth</w:t>
      </w:r>
      <w:r>
        <w:rPr>
          <w:rFonts w:ascii="Arial" w:cs="Arial" w:eastAsia="Arial" w:hAnsi="Arial"/>
          <w:sz w:val="19"/>
          <w:szCs w:val="19"/>
          <w:color w:val="auto"/>
        </w:rPr>
        <w:t>, as the Company may request (so long as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10" w:name="page211"/>
    <w:bookmarkEnd w:id="210"/>
    <w:p>
      <w:pPr>
        <w:jc w:val="both"/>
        <w:ind w:left="1500"/>
        <w:spacing w:after="0" w:line="297" w:lineRule="auto"/>
        <w:rPr>
          <w:sz w:val="20"/>
          <w:szCs w:val="20"/>
          <w:color w:val="auto"/>
        </w:rPr>
      </w:pPr>
      <w:r>
        <w:rPr>
          <w:rFonts w:ascii="Arial" w:cs="Arial" w:eastAsia="Arial" w:hAnsi="Arial"/>
          <w:sz w:val="18"/>
          <w:szCs w:val="18"/>
          <w:color w:val="auto"/>
        </w:rPr>
        <w:t xml:space="preserve">no Default has occurred and is continuing),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if so determined by the Administrative Agent and the Borrowers, to be held in a non-interest bearing deposit account and released in order to</w:t>
      </w:r>
    </w:p>
    <w:p>
      <w:pPr>
        <w:spacing w:after="0" w:line="1" w:lineRule="exact"/>
        <w:rPr>
          <w:sz w:val="20"/>
          <w:szCs w:val="20"/>
          <w:color w:val="auto"/>
        </w:rPr>
      </w:pPr>
    </w:p>
    <w:p>
      <w:pPr>
        <w:jc w:val="both"/>
        <w:ind w:left="1500" w:hanging="6"/>
        <w:spacing w:after="0" w:line="297" w:lineRule="auto"/>
        <w:tabs>
          <w:tab w:leader="none" w:pos="181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satisfy obligations of that Defaulting Lender to fund Loans under this Agreement or (y) Cash Collateralize the L/C Issuer’s future funding obligations with respect to such Defaulting Lender with respect to future Letters of Credit issued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has occurred and is continuing, to the payment of any amounts owing to any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w:t>
      </w:r>
    </w:p>
    <w:p>
      <w:pPr>
        <w:spacing w:after="0" w:line="6" w:lineRule="exact"/>
        <w:rPr>
          <w:rFonts w:ascii="Arial" w:cs="Arial" w:eastAsia="Arial" w:hAnsi="Arial"/>
          <w:sz w:val="18"/>
          <w:szCs w:val="18"/>
          <w:color w:val="auto"/>
        </w:rPr>
      </w:pPr>
    </w:p>
    <w:p>
      <w:pPr>
        <w:ind w:left="1780" w:hanging="286"/>
        <w:spacing w:after="0"/>
        <w:tabs>
          <w:tab w:leader="none" w:pos="1780" w:val="left"/>
        </w:tabs>
        <w:numPr>
          <w:ilvl w:val="0"/>
          <w:numId w:val="183"/>
        </w:numPr>
        <w:rPr>
          <w:rFonts w:ascii="Arial" w:cs="Arial" w:eastAsia="Arial" w:hAnsi="Arial"/>
          <w:sz w:val="19"/>
          <w:szCs w:val="19"/>
          <w:u w:val="single" w:color="auto"/>
          <w:color w:val="auto"/>
        </w:rPr>
      </w:pPr>
      <w:r>
        <w:rPr>
          <w:rFonts w:ascii="Arial" w:cs="Arial" w:eastAsia="Arial" w:hAnsi="Arial"/>
          <w:sz w:val="19"/>
          <w:szCs w:val="19"/>
          <w:color w:val="auto"/>
        </w:rPr>
        <w:t>shall be deemed paid to and redirected by that Defaulting Lender, and each Lender irrevocably consents hereto.</w:t>
      </w:r>
    </w:p>
    <w:p>
      <w:pPr>
        <w:spacing w:after="0" w:line="267" w:lineRule="exact"/>
        <w:rPr>
          <w:rFonts w:ascii="Arial" w:cs="Arial" w:eastAsia="Arial" w:hAnsi="Arial"/>
          <w:sz w:val="19"/>
          <w:szCs w:val="19"/>
          <w:u w:val="single" w:color="auto"/>
          <w:color w:val="auto"/>
        </w:rPr>
      </w:pPr>
    </w:p>
    <w:p>
      <w:pPr>
        <w:jc w:val="both"/>
        <w:ind w:left="1500" w:firstLine="642"/>
        <w:spacing w:after="0" w:line="301" w:lineRule="auto"/>
        <w:tabs>
          <w:tab w:leader="none" w:pos="3066"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any commitment fee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to the extent allocable to its Pro Rata Share of the stated amount of Letters of Credit for which it has provided Cash Collateral. With respect to any commitment fee or Letter of Credit fee not required to be paid to any Defaulting Lender pursuant to the foregoing clauses (x) or (y), the Borrowers shall (1)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(2) pay to the L/C Issuer and Swing Line Lender, as applicable, the amount of any such fee otherwise payable to such Defaulting Lender to the extent allocable to the L/C Issuer’s or Swing Line Lender’s future funding obligations with respect to any portion of such Defaulting Lender’s participation in L/C Obligations or Swing Line Loans that has not been reallocated to non-Defaulting Lenders or cash collateralized pursuant to this </w:t>
      </w:r>
      <w:r>
        <w:rPr>
          <w:rFonts w:ascii="Arial" w:cs="Arial" w:eastAsia="Arial" w:hAnsi="Arial"/>
          <w:sz w:val="18"/>
          <w:szCs w:val="18"/>
          <w:u w:val="single" w:color="auto"/>
          <w:color w:val="auto"/>
        </w:rPr>
        <w:t>Section 2.17(a)</w:t>
      </w:r>
      <w:r>
        <w:rPr>
          <w:rFonts w:ascii="Arial" w:cs="Arial" w:eastAsia="Arial" w:hAnsi="Arial"/>
          <w:sz w:val="18"/>
          <w:szCs w:val="18"/>
          <w:color w:val="auto"/>
        </w:rPr>
        <w:t>, and (3) not be required to pay the remaining amount of any such fee.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211" w:name="page212"/>
    <w:bookmarkEnd w:id="211"/>
    <w:p>
      <w:pPr>
        <w:jc w:val="both"/>
        <w:ind w:left="1500" w:firstLine="642"/>
        <w:spacing w:after="0" w:line="285" w:lineRule="auto"/>
        <w:tabs>
          <w:tab w:leader="none" w:pos="3055"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Reallocation of Pro Rata Share to Reduce Fronting Exposure</w:t>
      </w:r>
      <w:r>
        <w:rPr>
          <w:rFonts w:ascii="Arial" w:cs="Arial" w:eastAsia="Arial" w:hAnsi="Arial"/>
          <w:sz w:val="19"/>
          <w:szCs w:val="19"/>
          <w:color w:val="auto"/>
        </w:rPr>
        <w:t xml:space="preserve">. During any period in which there is a Defaulting Lender, for purposes of computing the amount of the obligation of each Non-Defaulting Lender to acquire, refinance or fund participations in Letters of Credit or Swing Line Loans pursuant to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2.04</w:t>
      </w:r>
      <w:r>
        <w:rPr>
          <w:rFonts w:ascii="Arial" w:cs="Arial" w:eastAsia="Arial" w:hAnsi="Arial"/>
          <w:sz w:val="19"/>
          <w:szCs w:val="19"/>
          <w:color w:val="auto"/>
        </w:rPr>
        <w:t xml:space="preserve">, the “Pro Rata Share” of each Non-Defaulting Lender’s Revolving Credit Loans and L/C Obligations shall be computed without giving effect to the Commitment of that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such reallocation shall be given effect only if, at the date the applicable Lender becomes a Defaulting Lender, no Default has occurred and is continuing; and (ii) the aggregate obligation of each Non-Defaulting Lender to acquire, refinance or fund participations in Letters of Credit and Swing Line Loans shall not exceed the positive difference, if any, of (1) the Commitment of that Non-Defaulting Lender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(2) the aggregate Outstanding Amount of the Loans of that Non-Defaulting Lender. Subject to </w:t>
      </w:r>
      <w:r>
        <w:rPr>
          <w:rFonts w:ascii="Arial" w:cs="Arial" w:eastAsia="Arial" w:hAnsi="Arial"/>
          <w:sz w:val="19"/>
          <w:szCs w:val="19"/>
          <w:u w:val="single" w:color="auto"/>
          <w:color w:val="auto"/>
        </w:rPr>
        <w:t>Section 10.23</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rFonts w:ascii="Arial" w:cs="Arial" w:eastAsia="Arial" w:hAnsi="Arial"/>
          <w:sz w:val="19"/>
          <w:szCs w:val="19"/>
          <w:color w:val="auto"/>
        </w:rPr>
      </w:pPr>
    </w:p>
    <w:p>
      <w:pPr>
        <w:jc w:val="both"/>
        <w:ind w:left="1500" w:firstLine="642"/>
        <w:spacing w:after="0" w:line="293" w:lineRule="auto"/>
        <w:tabs>
          <w:tab w:leader="none" w:pos="3000"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 Line Loans</w:t>
      </w:r>
      <w:r>
        <w:rPr>
          <w:rFonts w:ascii="Arial" w:cs="Arial" w:eastAsia="Arial" w:hAnsi="Arial"/>
          <w:sz w:val="19"/>
          <w:szCs w:val="19"/>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repay Swing Line Loans in an amount equal to the Swing Line Lender’s future funding obligations and (y) </w:t>
      </w:r>
      <w:r>
        <w:rPr>
          <w:rFonts w:ascii="Arial" w:cs="Arial" w:eastAsia="Arial" w:hAnsi="Arial"/>
          <w:sz w:val="19"/>
          <w:szCs w:val="19"/>
          <w:u w:val="single" w:color="auto"/>
          <w:color w:val="auto"/>
        </w:rPr>
        <w:t>second</w:t>
      </w:r>
      <w:r>
        <w:rPr>
          <w:rFonts w:ascii="Arial" w:cs="Arial" w:eastAsia="Arial" w:hAnsi="Arial"/>
          <w:sz w:val="19"/>
          <w:szCs w:val="19"/>
          <w:color w:val="auto"/>
        </w:rPr>
        <w:t>, Cash Collateralize the L/C Issuer’s future funding obligations.</w:t>
      </w:r>
    </w:p>
    <w:p>
      <w:pPr>
        <w:spacing w:after="0" w:line="189" w:lineRule="exact"/>
        <w:rPr>
          <w:rFonts w:ascii="Arial" w:cs="Arial" w:eastAsia="Arial" w:hAnsi="Arial"/>
          <w:sz w:val="19"/>
          <w:szCs w:val="19"/>
          <w:color w:val="auto"/>
        </w:rPr>
      </w:pPr>
    </w:p>
    <w:p>
      <w:pPr>
        <w:jc w:val="both"/>
        <w:ind w:left="280" w:firstLine="646"/>
        <w:spacing w:after="0" w:line="302" w:lineRule="auto"/>
        <w:tabs>
          <w:tab w:leader="none" w:pos="180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each Borrower, the Administrative Agent, the Swing Line Lender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Revolving Credit Loans of the applicable Facility and funded and unfunded participations in Letters of Credit and Swing Line Loans to be held on a pro rata basis by the Lenders in accordance with their Pro Rata Share of the applicable Facility (without giving effect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2.17(a)(iv)</w:t>
      </w:r>
      <w:r>
        <w:rPr>
          <w:rFonts w:ascii="Arial" w:cs="Arial" w:eastAsia="Arial" w:hAnsi="Arial"/>
          <w:sz w:val="18"/>
          <w:szCs w:val="18"/>
          <w:color w:val="auto"/>
        </w:rPr>
        <w:t xml:space="preserve">), whereupon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4"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20"/>
          <w:szCs w:val="20"/>
          <w:u w:val="single" w:color="auto"/>
          <w:color w:val="auto"/>
        </w:rPr>
        <w:t>Taxes, Increased Costs Protection and Illegality</w:t>
      </w:r>
    </w:p>
    <w:p>
      <w:pPr>
        <w:spacing w:after="0" w:line="135"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(a) For purposes of this</w:t>
      </w:r>
      <w:r>
        <w:rPr>
          <w:rFonts w:ascii="Arial" w:cs="Arial" w:eastAsia="Arial" w:hAnsi="Arial"/>
          <w:sz w:val="16"/>
          <w:szCs w:val="16"/>
          <w:u w:val="single" w:color="auto"/>
          <w:color w:val="auto"/>
        </w:rPr>
        <w:t xml:space="preserve"> Section 3.01</w:t>
      </w:r>
      <w:r>
        <w:rPr>
          <w:rFonts w:ascii="Arial" w:cs="Arial" w:eastAsia="Arial" w:hAnsi="Arial"/>
          <w:sz w:val="16"/>
          <w:szCs w:val="16"/>
          <w:color w:val="auto"/>
        </w:rPr>
        <w:t>, the term “Lender” includes each L/C Issuer and the Swing Line Lender.</w:t>
      </w:r>
    </w:p>
    <w:p>
      <w:pPr>
        <w:spacing w:after="0" w:line="243" w:lineRule="exact"/>
        <w:rPr>
          <w:sz w:val="20"/>
          <w:szCs w:val="20"/>
          <w:color w:val="auto"/>
        </w:rPr>
      </w:pPr>
    </w:p>
    <w:p>
      <w:pPr>
        <w:jc w:val="both"/>
        <w:ind w:left="260" w:firstLine="639"/>
        <w:spacing w:after="0" w:line="274" w:lineRule="auto"/>
        <w:tabs>
          <w:tab w:leader="none" w:pos="178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Borrower (the term Borrower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being deemed to include any Subsidiary for whose account a Letter of Credit is issued) under any Loan Document shall be made without deduction or withholding for any Taxes, except as required by applicable Law. If any applicable Law requires the deduction or withholding of any Tax from any such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90" w:right="239" w:bottom="1440" w:gutter="0" w:footer="0" w:header="0"/>
        </w:sectPr>
      </w:pPr>
    </w:p>
    <w:bookmarkStart w:id="212" w:name="page213"/>
    <w:bookmarkEnd w:id="212"/>
    <w:p>
      <w:pPr>
        <w:jc w:val="both"/>
        <w:ind w:left="260"/>
        <w:spacing w:after="0" w:line="310" w:lineRule="auto"/>
        <w:rPr>
          <w:sz w:val="20"/>
          <w:szCs w:val="20"/>
          <w:color w:val="auto"/>
        </w:rPr>
      </w:pPr>
      <w:r>
        <w:rPr>
          <w:rFonts w:ascii="Arial" w:cs="Arial" w:eastAsia="Arial" w:hAnsi="Arial"/>
          <w:sz w:val="18"/>
          <w:szCs w:val="18"/>
          <w:color w:val="auto"/>
        </w:rPr>
        <w:t xml:space="preserve">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Borrowers shall be increased as necessary so that after such deduction or withholding has been made (including such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deduction or withholding been made.</w:t>
      </w:r>
    </w:p>
    <w:p>
      <w:pPr>
        <w:spacing w:after="0" w:line="176" w:lineRule="exact"/>
        <w:rPr>
          <w:sz w:val="20"/>
          <w:szCs w:val="20"/>
          <w:color w:val="auto"/>
        </w:rPr>
      </w:pPr>
    </w:p>
    <w:p>
      <w:pPr>
        <w:jc w:val="both"/>
        <w:ind w:left="280" w:firstLine="646"/>
        <w:spacing w:after="0" w:line="274" w:lineRule="auto"/>
        <w:tabs>
          <w:tab w:leader="none" w:pos="179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Borrowers shall timely pay to the relevant Governmental Authority in accordance with applicable Law any Other Taxes imposed on the Borrowers, and shall timely pay or reimburse any Recipient, as the case may be, for any Other Taxes paid or payable by such Recipient upon written demand (accompanied by a certificate complying with the requirements set forth in clause (d) below) therefor.</w:t>
      </w:r>
    </w:p>
    <w:p>
      <w:pPr>
        <w:spacing w:after="0" w:line="205" w:lineRule="exact"/>
        <w:rPr>
          <w:rFonts w:ascii="Arial" w:cs="Arial" w:eastAsia="Arial" w:hAnsi="Arial"/>
          <w:sz w:val="20"/>
          <w:szCs w:val="20"/>
          <w:color w:val="auto"/>
        </w:rPr>
      </w:pPr>
    </w:p>
    <w:p>
      <w:pPr>
        <w:jc w:val="both"/>
        <w:ind w:left="280" w:firstLine="646"/>
        <w:spacing w:after="0" w:line="270" w:lineRule="auto"/>
        <w:tabs>
          <w:tab w:leader="none" w:pos="1807"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Each Borrower shall severally indemnify each Recipient, within 10 Business Days after written demand (accompanied by a certificate complying with the requirements set forth below) therefor, for the full amount of any Indemnified Taxes (including Indemnified Taxes imposed or asserted on or attributable to amounts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payable or paid by such Recipient or required to be withheld or deducted from a payment to such Recipient whether or not such Indemnified Taxes were correctly or legally imposed or asserted by the relevant Governmental Authority. A certificate setting forth in reasonable detail a description of such Indemnified Taxes and the amount of such payment or liability for Indemnified Taxes delivered to the Borrowers by a Lender (with a copy to the Administrative Agent), or by the Administrative Agent on its own behalf or on behalf of a Lender, shall be conclusive absent manifest error.</w:t>
      </w:r>
    </w:p>
    <w:p>
      <w:pPr>
        <w:spacing w:after="0" w:line="212" w:lineRule="exact"/>
        <w:rPr>
          <w:rFonts w:ascii="Arial" w:cs="Arial" w:eastAsia="Arial" w:hAnsi="Arial"/>
          <w:sz w:val="20"/>
          <w:szCs w:val="20"/>
          <w:color w:val="auto"/>
        </w:rPr>
      </w:pPr>
    </w:p>
    <w:p>
      <w:pPr>
        <w:jc w:val="both"/>
        <w:ind w:left="280" w:firstLine="646"/>
        <w:spacing w:after="0" w:line="303" w:lineRule="auto"/>
        <w:tabs>
          <w:tab w:leader="none" w:pos="179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Each Lender shall severally indemnify the Administrative Agent, within 10 Business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Arial" w:cs="Arial" w:eastAsia="Arial" w:hAnsi="Arial"/>
          <w:sz w:val="18"/>
          <w:szCs w:val="18"/>
          <w:u w:val="single" w:color="auto"/>
          <w:color w:val="auto"/>
        </w:rPr>
        <w:t>Section 10.07(e)</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82" w:lineRule="exact"/>
        <w:rPr>
          <w:rFonts w:ascii="Arial" w:cs="Arial" w:eastAsia="Arial" w:hAnsi="Arial"/>
          <w:sz w:val="18"/>
          <w:szCs w:val="18"/>
          <w:color w:val="auto"/>
        </w:rPr>
      </w:pPr>
    </w:p>
    <w:p>
      <w:pPr>
        <w:jc w:val="both"/>
        <w:ind w:left="280" w:firstLine="646"/>
        <w:spacing w:after="0" w:line="274" w:lineRule="auto"/>
        <w:tabs>
          <w:tab w:leader="none" w:pos="177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As soon as practicable after any payment of Taxes by the Borrowers to a Governmental Authority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13" w:name="page214"/>
    <w:bookmarkEnd w:id="213"/>
    <w:p>
      <w:pPr>
        <w:jc w:val="both"/>
        <w:ind w:left="280" w:firstLine="646"/>
        <w:spacing w:after="0" w:line="314" w:lineRule="auto"/>
        <w:tabs>
          <w:tab w:leader="none" w:pos="184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any Lender that is a U.S. Person and the Administrative Agent (if such Agent is a U.S. Person) shall deliver to the Borrowers and the Administrative Agent on or prior to the date on which such Recipient becomes a Recipient under this Agreement (and from time to time thereafter upon the reasonable request of any Borrower or the Administrative Agent), executed originals of IRS Form W-9 (or any successor form) certifying that such Recipient is exempt from U.S. federal backup withholding Tax;</w:t>
      </w:r>
    </w:p>
    <w:p>
      <w:pPr>
        <w:spacing w:after="0" w:line="172" w:lineRule="exact"/>
        <w:rPr>
          <w:rFonts w:ascii="Arial" w:cs="Arial" w:eastAsia="Arial" w:hAnsi="Arial"/>
          <w:sz w:val="18"/>
          <w:szCs w:val="18"/>
          <w:color w:val="auto"/>
        </w:rPr>
      </w:pPr>
    </w:p>
    <w:p>
      <w:pPr>
        <w:jc w:val="both"/>
        <w:ind w:left="1500" w:firstLine="642"/>
        <w:spacing w:after="0" w:line="274" w:lineRule="auto"/>
        <w:tabs>
          <w:tab w:leader="none" w:pos="3011" w:val="left"/>
        </w:tabs>
        <w:numPr>
          <w:ilvl w:val="1"/>
          <w:numId w:val="188"/>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upon the reasonable request of any Borrower or the Administrative Agent), whichever of the following is applicable:</w:t>
      </w:r>
    </w:p>
    <w:p>
      <w:pPr>
        <w:spacing w:after="0" w:line="205" w:lineRule="exact"/>
        <w:rPr>
          <w:rFonts w:ascii="Arial" w:cs="Arial" w:eastAsia="Arial" w:hAnsi="Arial"/>
          <w:sz w:val="20"/>
          <w:szCs w:val="20"/>
          <w:color w:val="auto"/>
        </w:rPr>
      </w:pPr>
    </w:p>
    <w:p>
      <w:pPr>
        <w:jc w:val="both"/>
        <w:ind w:left="2220" w:firstLine="651"/>
        <w:spacing w:after="0" w:line="271" w:lineRule="auto"/>
        <w:tabs>
          <w:tab w:leader="none" w:pos="3791" w:val="left"/>
        </w:tabs>
        <w:numPr>
          <w:ilvl w:val="3"/>
          <w:numId w:val="188"/>
        </w:numPr>
        <w:rPr>
          <w:rFonts w:ascii="Arial" w:cs="Arial" w:eastAsia="Arial" w:hAnsi="Arial"/>
          <w:sz w:val="20"/>
          <w:szCs w:val="20"/>
          <w:color w:val="auto"/>
        </w:rPr>
      </w:pPr>
      <w:r>
        <w:rPr>
          <w:rFonts w:ascii="Arial" w:cs="Arial" w:eastAsia="Arial" w:hAnsi="Arial"/>
          <w:sz w:val="20"/>
          <w:szCs w:val="20"/>
          <w:color w:val="auto"/>
        </w:rPr>
        <w:t>in the case of a Foreign Lender claiming the benefits of an income tax treaty to which the United States is a party (x) with respect to payments of interest under any Loan Document, duly executed originals of IRS Form W-8BEN or W-8BEN-E (or any successor form) establishing an exemption from, or reduction of, U.S. federal withholding Tax pursuant to the “interest” article of such tax treaty and (y) with respect to any other applicable payments under any Loan Document, IRS Form W-8BEN or W-8BEN-E (or any successor form) establishing an exemption from, or reduction of, U.S. federal withholding Tax pursuant to the “business profits” or “other income” article of such tax treaty;</w:t>
      </w:r>
    </w:p>
    <w:p>
      <w:pPr>
        <w:spacing w:after="0" w:line="180" w:lineRule="exact"/>
        <w:rPr>
          <w:rFonts w:ascii="Arial" w:cs="Arial" w:eastAsia="Arial" w:hAnsi="Arial"/>
          <w:sz w:val="20"/>
          <w:szCs w:val="20"/>
          <w:color w:val="auto"/>
        </w:rPr>
      </w:pPr>
    </w:p>
    <w:p>
      <w:pPr>
        <w:ind w:left="3500" w:hanging="629"/>
        <w:spacing w:after="0"/>
        <w:tabs>
          <w:tab w:leader="none" w:pos="3500" w:val="left"/>
        </w:tabs>
        <w:numPr>
          <w:ilvl w:val="3"/>
          <w:numId w:val="188"/>
        </w:numPr>
        <w:rPr>
          <w:rFonts w:ascii="Arial" w:cs="Arial" w:eastAsia="Arial" w:hAnsi="Arial"/>
          <w:sz w:val="20"/>
          <w:szCs w:val="20"/>
          <w:color w:val="auto"/>
        </w:rPr>
      </w:pPr>
      <w:r>
        <w:rPr>
          <w:rFonts w:ascii="Arial" w:cs="Arial" w:eastAsia="Arial" w:hAnsi="Arial"/>
          <w:sz w:val="20"/>
          <w:szCs w:val="20"/>
          <w:color w:val="auto"/>
        </w:rPr>
        <w:t>duly executed originals of IRS Form W-8ECI (or any successor form);</w:t>
      </w:r>
    </w:p>
    <w:p>
      <w:pPr>
        <w:spacing w:after="0" w:line="229" w:lineRule="exact"/>
        <w:rPr>
          <w:rFonts w:ascii="Arial" w:cs="Arial" w:eastAsia="Arial" w:hAnsi="Arial"/>
          <w:sz w:val="20"/>
          <w:szCs w:val="20"/>
          <w:color w:val="auto"/>
        </w:rPr>
      </w:pPr>
    </w:p>
    <w:p>
      <w:pPr>
        <w:jc w:val="both"/>
        <w:ind w:left="2220" w:firstLine="651"/>
        <w:spacing w:after="0" w:line="297" w:lineRule="auto"/>
        <w:tabs>
          <w:tab w:leader="none" w:pos="3780" w:val="left"/>
        </w:tabs>
        <w:numPr>
          <w:ilvl w:val="3"/>
          <w:numId w:val="188"/>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or 871(h) of the Code, (x) a duly executed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(D)</w:t>
      </w:r>
    </w:p>
    <w:p>
      <w:pPr>
        <w:spacing w:after="0" w:line="2" w:lineRule="exact"/>
        <w:rPr>
          <w:rFonts w:ascii="Arial" w:cs="Arial" w:eastAsia="Arial" w:hAnsi="Arial"/>
          <w:sz w:val="18"/>
          <w:szCs w:val="18"/>
          <w:color w:val="auto"/>
        </w:rPr>
      </w:pPr>
    </w:p>
    <w:p>
      <w:pPr>
        <w:ind w:left="2500" w:hanging="277"/>
        <w:spacing w:after="0"/>
        <w:tabs>
          <w:tab w:leader="none" w:pos="2500" w:val="left"/>
        </w:tabs>
        <w:numPr>
          <w:ilvl w:val="2"/>
          <w:numId w:val="188"/>
        </w:numPr>
        <w:rPr>
          <w:rFonts w:ascii="Arial" w:cs="Arial" w:eastAsia="Arial" w:hAnsi="Arial"/>
          <w:sz w:val="20"/>
          <w:szCs w:val="20"/>
          <w:color w:val="auto"/>
        </w:rPr>
      </w:pPr>
      <w:r>
        <w:rPr>
          <w:rFonts w:ascii="Arial" w:cs="Arial" w:eastAsia="Arial" w:hAnsi="Arial"/>
          <w:sz w:val="20"/>
          <w:szCs w:val="20"/>
          <w:color w:val="auto"/>
        </w:rPr>
        <w:t>duly executed originals of IRS Form W-8BEN or W-8BEN-E (or any successor form); or</w:t>
      </w:r>
    </w:p>
    <w:p>
      <w:pPr>
        <w:spacing w:after="0" w:line="256" w:lineRule="exact"/>
        <w:rPr>
          <w:rFonts w:ascii="Arial" w:cs="Arial" w:eastAsia="Arial" w:hAnsi="Arial"/>
          <w:sz w:val="20"/>
          <w:szCs w:val="20"/>
          <w:color w:val="auto"/>
        </w:rPr>
      </w:pPr>
    </w:p>
    <w:p>
      <w:pPr>
        <w:jc w:val="both"/>
        <w:ind w:left="2220" w:firstLine="651"/>
        <w:spacing w:after="0" w:line="305" w:lineRule="auto"/>
        <w:tabs>
          <w:tab w:leader="none" w:pos="3791" w:val="left"/>
        </w:tabs>
        <w:numPr>
          <w:ilvl w:val="3"/>
          <w:numId w:val="189"/>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(or any successor form), accompanied by IRS Form W-8ECI, IRS Form W-8BEN or W-8BEN-E, a duly executed U.S. Tax Compliance Certificate substantially in the form of </w:t>
      </w:r>
      <w:r>
        <w:rPr>
          <w:rFonts w:ascii="Arial" w:cs="Arial" w:eastAsia="Arial" w:hAnsi="Arial"/>
          <w:sz w:val="18"/>
          <w:szCs w:val="18"/>
          <w:u w:val="single" w:color="auto"/>
          <w:color w:val="auto"/>
        </w:rPr>
        <w:t>Exhibit J-2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J- 3</w:t>
      </w:r>
      <w:r>
        <w:rPr>
          <w:rFonts w:ascii="Arial" w:cs="Arial" w:eastAsia="Arial" w:hAnsi="Arial"/>
          <w:sz w:val="18"/>
          <w:szCs w:val="18"/>
          <w:color w:val="auto"/>
        </w:rPr>
        <w:t xml:space="preserve">, IRS Form W-9, and/or successor forms thereof 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duly executed U.S. Tax Compliance Certificate substantially in the form of </w:t>
      </w:r>
      <w:r>
        <w:rPr>
          <w:rFonts w:ascii="Arial" w:cs="Arial" w:eastAsia="Arial" w:hAnsi="Arial"/>
          <w:sz w:val="18"/>
          <w:szCs w:val="18"/>
          <w:u w:val="single" w:color="auto"/>
          <w:color w:val="auto"/>
        </w:rPr>
        <w:t>Exhibit J-4</w:t>
      </w:r>
      <w:r>
        <w:rPr>
          <w:rFonts w:ascii="Arial" w:cs="Arial" w:eastAsia="Arial" w:hAnsi="Arial"/>
          <w:sz w:val="18"/>
          <w:szCs w:val="18"/>
          <w:color w:val="auto"/>
        </w:rPr>
        <w:t xml:space="preserve"> on behalf of each such direct and indirect partner;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14" w:name="page215"/>
    <w:bookmarkEnd w:id="214"/>
    <w:p>
      <w:pPr>
        <w:jc w:val="both"/>
        <w:ind w:left="1480" w:firstLine="648"/>
        <w:spacing w:after="0" w:line="287" w:lineRule="auto"/>
        <w:tabs>
          <w:tab w:leader="none" w:pos="307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upon the reasonable request of any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96" w:lineRule="exact"/>
        <w:rPr>
          <w:rFonts w:ascii="Arial" w:cs="Arial" w:eastAsia="Arial" w:hAnsi="Arial"/>
          <w:sz w:val="19"/>
          <w:szCs w:val="19"/>
          <w:color w:val="auto"/>
        </w:rPr>
      </w:pPr>
    </w:p>
    <w:p>
      <w:pPr>
        <w:jc w:val="both"/>
        <w:ind w:left="1480" w:firstLine="648"/>
        <w:spacing w:after="0" w:line="303" w:lineRule="auto"/>
        <w:tabs>
          <w:tab w:leader="none" w:pos="28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Borrowers and the Administrative Agent at the time or times 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Recipient has complied with such Recipient’s obligations under FATCA or to determine the amount to deduct and withhold from such payment. Solely for purposes of this clause (iv), “FATCA” shall include any amendments made to FATCA after the date of this Agreement.</w:t>
      </w:r>
    </w:p>
    <w:p>
      <w:pPr>
        <w:spacing w:after="0" w:line="169" w:lineRule="exact"/>
        <w:rPr>
          <w:sz w:val="20"/>
          <w:szCs w:val="20"/>
          <w:color w:val="auto"/>
        </w:rPr>
      </w:pPr>
    </w:p>
    <w:p>
      <w:pPr>
        <w:jc w:val="both"/>
        <w:ind w:left="280" w:firstLine="1296"/>
        <w:spacing w:after="0" w:line="250" w:lineRule="auto"/>
        <w:rPr>
          <w:sz w:val="20"/>
          <w:szCs w:val="20"/>
          <w:color w:val="auto"/>
        </w:rPr>
      </w:pPr>
      <w:r>
        <w:rPr>
          <w:rFonts w:ascii="Arial" w:cs="Arial" w:eastAsia="Arial" w:hAnsi="Arial"/>
          <w:sz w:val="20"/>
          <w:szCs w:val="20"/>
          <w:color w:val="auto"/>
        </w:rPr>
        <w:t>Each Recipient agrees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200" w:lineRule="exact"/>
        <w:rPr>
          <w:sz w:val="20"/>
          <w:szCs w:val="20"/>
          <w:color w:val="auto"/>
        </w:rPr>
      </w:pPr>
    </w:p>
    <w:p>
      <w:pPr>
        <w:jc w:val="both"/>
        <w:ind w:left="280" w:firstLine="646"/>
        <w:spacing w:after="0" w:line="301" w:lineRule="auto"/>
        <w:tabs>
          <w:tab w:leader="none" w:pos="180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If any Recipient determines, in its reasonable discretion exercised in good faith, that it has received a refund or overpayment credit in respect of any Taxes as to which it has been indemnified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indemnifying party an amount equal to such refund or credit (but only to the extent of indemnity payments made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or credit), net of all out-of-pocket expenses (including Taxes) of such indemnified party and without interest (other than any interest paid by the relevant Governmental Authority with respect to such refund or credit).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or credit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or credit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Arial" w:cs="Arial" w:eastAsia="Arial" w:hAnsi="Arial"/>
          <w:sz w:val="18"/>
          <w:szCs w:val="18"/>
          <w:color w:val="auto"/>
        </w:rPr>
      </w:pPr>
    </w:p>
    <w:p>
      <w:pPr>
        <w:ind w:left="280" w:firstLine="646"/>
        <w:spacing w:after="0" w:line="289" w:lineRule="auto"/>
        <w:tabs>
          <w:tab w:leader="none" w:pos="176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Each Lender agrees that, upon the occurrence of any event giving rise to the operation of </w:t>
      </w:r>
      <w:r>
        <w:rPr>
          <w:rFonts w:ascii="Arial" w:cs="Arial" w:eastAsia="Arial" w:hAnsi="Arial"/>
          <w:sz w:val="20"/>
          <w:szCs w:val="20"/>
          <w:u w:val="single" w:color="auto"/>
          <w:color w:val="auto"/>
        </w:rPr>
        <w:t>Section 3.01(b)</w:t>
      </w:r>
      <w:r>
        <w:rPr>
          <w:rFonts w:ascii="Arial" w:cs="Arial" w:eastAsia="Arial" w:hAnsi="Arial"/>
          <w:sz w:val="20"/>
          <w:szCs w:val="20"/>
          <w:color w:val="auto"/>
        </w:rPr>
        <w:t xml:space="preserve"> with respect to such Lender it will, if requested by any Borrower, use commercially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15" w:name="page216"/>
    <w:bookmarkEnd w:id="215"/>
    <w:p>
      <w:pPr>
        <w:jc w:val="both"/>
        <w:ind w:left="280"/>
        <w:spacing w:after="0" w:line="244" w:lineRule="auto"/>
        <w:rPr>
          <w:sz w:val="20"/>
          <w:szCs w:val="20"/>
          <w:color w:val="auto"/>
        </w:rPr>
      </w:pPr>
      <w:r>
        <w:rPr>
          <w:rFonts w:ascii="Arial" w:cs="Arial" w:eastAsia="Arial" w:hAnsi="Arial"/>
          <w:sz w:val="20"/>
          <w:szCs w:val="20"/>
          <w:color w:val="auto"/>
        </w:rPr>
        <w:t xml:space="preserve">reasonable efforts (subject to such Lender’s overall internal policies of general application and legal and regulatory restrictions) to designate another Lending Office for any Loan or Letter of Credit affected by such event;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efforts are made on terms that, in the sole judgment of such Lender, cause such Lender and its Lending Office(s) to suffer no economic, legal or regulatory disadvantage,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nothing in this </w:t>
      </w:r>
      <w:r>
        <w:rPr>
          <w:rFonts w:ascii="Arial" w:cs="Arial" w:eastAsia="Arial" w:hAnsi="Arial"/>
          <w:sz w:val="20"/>
          <w:szCs w:val="20"/>
          <w:u w:val="single" w:color="auto"/>
          <w:color w:val="auto"/>
        </w:rPr>
        <w:t>Section 3.01(i)</w:t>
      </w:r>
      <w:r>
        <w:rPr>
          <w:rFonts w:ascii="Arial" w:cs="Arial" w:eastAsia="Arial" w:hAnsi="Arial"/>
          <w:sz w:val="20"/>
          <w:szCs w:val="20"/>
          <w:color w:val="auto"/>
        </w:rPr>
        <w:t xml:space="preserve"> shall affect or postpone any of the Obligations of the Borrowers or the rights of such Lender pursuant to </w:t>
      </w:r>
      <w:r>
        <w:rPr>
          <w:rFonts w:ascii="Arial" w:cs="Arial" w:eastAsia="Arial" w:hAnsi="Arial"/>
          <w:sz w:val="20"/>
          <w:szCs w:val="20"/>
          <w:u w:val="single" w:color="auto"/>
          <w:color w:val="auto"/>
        </w:rPr>
        <w:t>Section 3.01(b)</w:t>
      </w:r>
      <w:r>
        <w:rPr>
          <w:rFonts w:ascii="Arial" w:cs="Arial" w:eastAsia="Arial" w:hAnsi="Arial"/>
          <w:sz w:val="20"/>
          <w:szCs w:val="20"/>
          <w:color w:val="auto"/>
        </w:rPr>
        <w:t>.</w:t>
      </w:r>
    </w:p>
    <w:p>
      <w:pPr>
        <w:spacing w:after="0" w:line="195"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If any Lender determines that any Law has made it unlawful, or that any Governmental Authority has asserted that it is unlawful, for any Lender or its applicable Lending Office to make, maintain or fund Eurocurrency Rate Loans, or to determine or charge interest rates based upon the Eurocurrency Rate, then, on notice thereof by such Lender to the Borrowers through the Administrative Agent, any obligation of such Lender to make or continue Eurocurrency Rate Loans or to convert Base Rate Loans to Eurocurrency Rate Loans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prepay or, if applicable, convert all Eurocurrency Rate Loans of such Lender to Base Rate Loans, either on the last day of the Interest Period therefor, if such Lender may lawfully continue to maintain such Eurocurrency Rate Loans to such day, or promptly, if such Lender may not lawfully continue to maintain such Eurocurrency Rate Loans. Upon any such prepayment or conversion, the Borrowers shall also pay accrued interest on the amount so prepaid or converted and all amounts due, if any, in connection with such prepayment or conversion under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196"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 (a) Unless and until a Replacement Rate is implemented in accordance with clause (b) below, if the Required Lenders determine that for any reason adequate and reasonable means do not exist for determining the Eurocurrency Rate for any requested Interest Period with respect to a proposed Eurocurrency Rate Loan, or that the Eurocurrency Rate for any requested Interest Period with respect to a proposed Eurocurrency Rate Loan does not adequately and fairly reflect the cost to such Lenders of funding such Loan, or that Dollar deposits are not being offered to banks in the applicable interbank eurodollar market for the applicable amount and the Interest Period of such Eurocurrency Rate Loan, the Administrative Agent will promptly so notify the Company and each Lender. Thereafter, the obligation of the Lenders to make or maintain Eurocurrency Rate Loans shall be suspended until the Administrative Agent (upon the instruction of the Required Lenders) revokes such notice. Upon receipt of such notice, the Company may revoke any pending request for a Borrowing of, conversion to or continuation of Eurocurrency Rate Loans or, failing that, will be deemed to have converted such request into a request for a Borrowing of Base Rate Loans in the amount specified therein.</w:t>
      </w:r>
    </w:p>
    <w:p>
      <w:pPr>
        <w:spacing w:after="0" w:line="175" w:lineRule="exact"/>
        <w:rPr>
          <w:sz w:val="20"/>
          <w:szCs w:val="20"/>
          <w:color w:val="auto"/>
        </w:rPr>
      </w:pPr>
    </w:p>
    <w:p>
      <w:pPr>
        <w:jc w:val="both"/>
        <w:ind w:left="280" w:firstLine="646"/>
        <w:spacing w:after="0" w:line="256" w:lineRule="auto"/>
        <w:tabs>
          <w:tab w:leader="none" w:pos="135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above, if the Required Lenders have made the determination (such determination to be conclusive absent manifest error) that (i) the circumstances described in </w:t>
      </w:r>
      <w:r>
        <w:rPr>
          <w:rFonts w:ascii="Arial" w:cs="Arial" w:eastAsia="Arial" w:hAnsi="Arial"/>
          <w:sz w:val="19"/>
          <w:szCs w:val="19"/>
          <w:u w:val="single" w:color="auto"/>
          <w:color w:val="auto"/>
        </w:rPr>
        <w:t>Section 3.03(a)</w:t>
      </w:r>
      <w:r>
        <w:rPr>
          <w:rFonts w:ascii="Arial" w:cs="Arial" w:eastAsia="Arial" w:hAnsi="Arial"/>
          <w:sz w:val="19"/>
          <w:szCs w:val="19"/>
          <w:color w:val="auto"/>
        </w:rPr>
        <w:t xml:space="preserve"> have arisen, (ii) any applicable interest rate specified herein is no longer a widely recognized benchmark rate for newly originated loans in the U.S. syndicated loan market in the applicable currency or (iii) the applicable supervisor or administrator (if any) of any applicable interest rate specified herein or any Governmental Authority having or purporting to have jurisdiction over the Administrative Agent has made a public statement identifying a specific date after which any applicable interest rate specified herein shall no longer be used for determining interest rates for loans in the U.S. syndicated loan market in the applicable currency, then the Administrative Agent may, to the extent practicable (in consultation with the Company and as determined by the Administrative Agent to be generally in accordance with similar situations in other transactions in which it is serving as administrative agent or otherwise consistent with market practice generally), establish a replacement interest rate (the “</w:t>
      </w:r>
      <w:r>
        <w:rPr>
          <w:rFonts w:ascii="Arial" w:cs="Arial" w:eastAsia="Arial" w:hAnsi="Arial"/>
          <w:sz w:val="19"/>
          <w:szCs w:val="19"/>
          <w:u w:val="single" w:color="auto"/>
          <w:color w:val="auto"/>
        </w:rPr>
        <w:t>Replacement Rate</w:t>
      </w:r>
      <w:r>
        <w:rPr>
          <w:rFonts w:ascii="Arial" w:cs="Arial" w:eastAsia="Arial" w:hAnsi="Arial"/>
          <w:sz w:val="19"/>
          <w:szCs w:val="19"/>
          <w:color w:val="auto"/>
        </w:rPr>
        <w:t>”), in which case,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216" w:name="page217"/>
    <w:bookmarkEnd w:id="216"/>
    <w:p>
      <w:pPr>
        <w:jc w:val="both"/>
        <w:ind w:left="280"/>
        <w:spacing w:after="0" w:line="269" w:lineRule="auto"/>
        <w:rPr>
          <w:sz w:val="20"/>
          <w:szCs w:val="20"/>
          <w:color w:val="auto"/>
        </w:rPr>
      </w:pPr>
      <w:r>
        <w:rPr>
          <w:rFonts w:ascii="Arial" w:cs="Arial" w:eastAsia="Arial" w:hAnsi="Arial"/>
          <w:sz w:val="18"/>
          <w:szCs w:val="18"/>
          <w:color w:val="auto"/>
        </w:rPr>
        <w:t xml:space="preserve">the Replacement Rate shall, subject to the next two sentences, replace such applicable interest rate for all purposes under the Loan Documents unless and until (A) an event described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occurs with respect to the Replacement Rate or (B) the Administrative Agent (or the Required Lenders through the Administrative Agent) notifies the Borrower that the Replacement Rate does not adequately and fairly reflect the cost to the Lenders of funding the Loans bearing interest at the Replacement Rate. In connection with the establishment and application of the Replacement Rate, this Agreement and the other Loan Documents shall be amended solely with the consent of the Administrative Agent and the Company, as may be necessary or appropriate, in the opinion of the Administrative Agent, to effect the provisions of this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Notwithstanding anything to the contrary in this Agreement or the other Loan Documents (including, without limitation,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of the delivery of such amendment to the Lenders, written notice from Lenders constituting Required Lenders stating in each case that such Lender objects to such amendment (which such notice shall note with specificity the particular provisions of the amendment to which such Lender objects). To the extent the Replacement Rate is approved by the Administrative Agent in connection with this clause (b), the Replacement Rate shall be applied in a manner consistent with market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such market practice is not administratively feasible for the Administrative Agent, such Replacement Rate shall be applied as otherwise reasonably determined by the Administrative Agent (it being understood that any such modification by the Administrative Agent shall not require the consent of, or consultation with, any of the Lenders).</w:t>
      </w:r>
    </w:p>
    <w:p>
      <w:pPr>
        <w:spacing w:after="0" w:line="191"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Increased Cost and Reduced Return; Capital Adequacy; Reserves on Eurocurrency Rate Loans</w:t>
      </w:r>
      <w:r>
        <w:rPr>
          <w:rFonts w:ascii="Arial" w:cs="Arial" w:eastAsia="Arial" w:hAnsi="Arial"/>
          <w:sz w:val="18"/>
          <w:szCs w:val="18"/>
          <w:color w:val="auto"/>
        </w:rPr>
        <w:t xml:space="preserve">. (a) If any Lender reasonably determines that as a result of the introduction of or any change in or in the interpretation of any Law, in each case after the Closing Date, or such Lender’s compliance therewith, there shall be any increase in the cost to such Lender of agreeing to make or making, funding or maintaining Eurocurrency Rate Loans or (as the case may be) issuing or participating in Letters of Credit, or a reduction in the amount received or receivable by such Lender in connection with any of the foregoing (including any Taxes (other than (i) Indemnified Taxes or (ii) Excluded Taxes) on its loans, loan principal, letters of credit, commitments, or other obligations, or its deposits, reserves, other liabilities or capital attributable thereto and excluding for purposes of this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any such increased costs or reduction in amount resulting from reserve requirements contemplated by </w:t>
      </w:r>
      <w:r>
        <w:rPr>
          <w:rFonts w:ascii="Arial" w:cs="Arial" w:eastAsia="Arial" w:hAnsi="Arial"/>
          <w:sz w:val="18"/>
          <w:szCs w:val="18"/>
          <w:u w:val="single" w:color="auto"/>
          <w:color w:val="auto"/>
        </w:rPr>
        <w:t>Section 3.04(c)</w:t>
      </w:r>
      <w:r>
        <w:rPr>
          <w:rFonts w:ascii="Arial" w:cs="Arial" w:eastAsia="Arial" w:hAnsi="Arial"/>
          <w:sz w:val="18"/>
          <w:szCs w:val="18"/>
          <w:color w:val="auto"/>
        </w:rPr>
        <w:t xml:space="preserve">), then from time to time within fifteen (15) days after demand by such Lender setting forth in reasonable detail such increased costs (with a copy of such demand to the Administrative Agent given in accordance with </w:t>
      </w:r>
      <w:r>
        <w:rPr>
          <w:rFonts w:ascii="Arial" w:cs="Arial" w:eastAsia="Arial" w:hAnsi="Arial"/>
          <w:sz w:val="18"/>
          <w:szCs w:val="18"/>
          <w:u w:val="single" w:color="auto"/>
          <w:color w:val="auto"/>
        </w:rPr>
        <w:t>Section 3.06</w:t>
      </w:r>
      <w:r>
        <w:rPr>
          <w:rFonts w:ascii="Arial" w:cs="Arial" w:eastAsia="Arial" w:hAnsi="Arial"/>
          <w:sz w:val="18"/>
          <w:szCs w:val="18"/>
          <w:color w:val="auto"/>
        </w:rPr>
        <w:t>), the Borrowers shall pay to such Lender such additional amounts as will compensate such Lender for such increased cost or reduction. Notwithstanding anything herein to the contrary, for all purposes under this Agreement, (x) the Dodd-Frank Wall Street Reform and Consumer Protection Act and all requests, rules, guidelines or directives thereunder or issued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after the Closing Date, regardless of the date enacted, adopted or issued.</w:t>
      </w:r>
    </w:p>
    <w:p>
      <w:pPr>
        <w:spacing w:after="0" w:line="205" w:lineRule="exact"/>
        <w:rPr>
          <w:sz w:val="20"/>
          <w:szCs w:val="20"/>
          <w:color w:val="auto"/>
        </w:rPr>
      </w:pPr>
    </w:p>
    <w:p>
      <w:pPr>
        <w:jc w:val="both"/>
        <w:ind w:left="280" w:firstLine="646"/>
        <w:spacing w:after="0" w:line="271" w:lineRule="auto"/>
        <w:tabs>
          <w:tab w:leader="none" w:pos="180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If any Lender determines that the introduction of any Law regarding capital adequacy or liquidity requirements or any change therein or in the interpretation thereof, in each case after the Closing Date,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Arial" w:cs="Arial" w:eastAsia="Arial" w:hAnsi="Arial"/>
          <w:sz w:val="20"/>
          <w:szCs w:val="20"/>
          <w:u w:val="single" w:color="auto"/>
          <w:color w:val="auto"/>
        </w:rPr>
        <w:t>Section 3.06</w:t>
      </w:r>
      <w:r>
        <w:rPr>
          <w:rFonts w:ascii="Arial" w:cs="Arial" w:eastAsia="Arial" w:hAnsi="Arial"/>
          <w:sz w:val="20"/>
          <w:szCs w:val="20"/>
          <w:color w:val="auto"/>
        </w:rPr>
        <w:t>), the Borrowers shall pay to such Lender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17" w:name="page218"/>
    <w:bookmarkEnd w:id="217"/>
    <w:p>
      <w:pPr>
        <w:ind w:left="280"/>
        <w:spacing w:after="0"/>
        <w:rPr>
          <w:sz w:val="20"/>
          <w:szCs w:val="20"/>
          <w:color w:val="auto"/>
        </w:rPr>
      </w:pPr>
      <w:r>
        <w:rPr>
          <w:rFonts w:ascii="Arial" w:cs="Arial" w:eastAsia="Arial" w:hAnsi="Arial"/>
          <w:sz w:val="19"/>
          <w:szCs w:val="19"/>
          <w:color w:val="auto"/>
        </w:rPr>
        <w:t>such additional amounts as will compensate such Lender for such reduction within fifteen (15) days after receipt of such demand.</w:t>
      </w:r>
    </w:p>
    <w:p>
      <w:pPr>
        <w:spacing w:after="0" w:line="254" w:lineRule="exact"/>
        <w:rPr>
          <w:sz w:val="20"/>
          <w:szCs w:val="20"/>
          <w:color w:val="auto"/>
        </w:rPr>
      </w:pPr>
    </w:p>
    <w:p>
      <w:pPr>
        <w:jc w:val="both"/>
        <w:ind w:left="280" w:firstLine="646"/>
        <w:spacing w:after="0" w:line="302" w:lineRule="auto"/>
        <w:tabs>
          <w:tab w:leader="none" w:pos="17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Borrowers shall pay to each Lender, (i) as long as such Lender shall be required to maintain reserves with respect to liabilities or assets consisting of or including Eurocurrency funds or deposits, additional interest on the unpaid principal amount of each Eurocurrency Rate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Borrowers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from receipt of such notice.</w:t>
      </w:r>
    </w:p>
    <w:p>
      <w:pPr>
        <w:spacing w:after="0" w:line="169" w:lineRule="exact"/>
        <w:rPr>
          <w:rFonts w:ascii="Arial" w:cs="Arial" w:eastAsia="Arial" w:hAnsi="Arial"/>
          <w:sz w:val="18"/>
          <w:szCs w:val="18"/>
          <w:color w:val="auto"/>
        </w:rPr>
      </w:pPr>
    </w:p>
    <w:p>
      <w:pPr>
        <w:ind w:left="280" w:firstLine="646"/>
        <w:spacing w:after="0" w:line="347" w:lineRule="auto"/>
        <w:tabs>
          <w:tab w:leader="none" w:pos="180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right to demand such compensation except to the extent set forth in the first sentence of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280" w:firstLine="646"/>
        <w:spacing w:after="0" w:line="310" w:lineRule="auto"/>
        <w:tabs>
          <w:tab w:leader="none" w:pos="17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then such Lender will, if requested by any Borrower, use commercially reasonable efforts to designate another Lending Office for any Loan or Letter of Credit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efforts are made on terms that, in the reasonable judgment of such Lender, cause such Lender and its Lending Office(s) to suffer no material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shall affect or postpone any of the Obligations of the Borrowers or the rights of such Lender pursuant to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49"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Funding Losses</w:t>
      </w:r>
      <w:r>
        <w:rPr>
          <w:rFonts w:ascii="Arial" w:cs="Arial" w:eastAsia="Arial" w:hAnsi="Arial"/>
          <w:sz w:val="19"/>
          <w:szCs w:val="19"/>
          <w:color w:val="auto"/>
        </w:rPr>
        <w:t>. Upon written demand of any Lender (with a copy to the Administrative Agent) from time to time, which demand shall set forth in reasonable detail the basis for requesting such amount, the Borrowers shall promptly compensate such Lender for and hold such Lender harmless from any loss, cost or expense actually incurred by it as a result of:</w:t>
      </w:r>
    </w:p>
    <w:p>
      <w:pPr>
        <w:spacing w:after="0" w:line="184" w:lineRule="exact"/>
        <w:rPr>
          <w:sz w:val="20"/>
          <w:szCs w:val="20"/>
          <w:color w:val="auto"/>
        </w:rPr>
      </w:pPr>
    </w:p>
    <w:p>
      <w:pPr>
        <w:ind w:left="1500" w:right="20" w:firstLine="642"/>
        <w:spacing w:after="0" w:line="289" w:lineRule="auto"/>
        <w:tabs>
          <w:tab w:leader="none" w:pos="295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 Base Rate Loan on a day other than the last day of the Interest Period for such Loan; or</w:t>
      </w:r>
    </w:p>
    <w:p>
      <w:pPr>
        <w:spacing w:after="0" w:line="175" w:lineRule="exact"/>
        <w:rPr>
          <w:rFonts w:ascii="Arial" w:cs="Arial" w:eastAsia="Arial" w:hAnsi="Arial"/>
          <w:sz w:val="20"/>
          <w:szCs w:val="20"/>
          <w:color w:val="auto"/>
        </w:rPr>
      </w:pPr>
    </w:p>
    <w:p>
      <w:pPr>
        <w:ind w:left="1500" w:firstLine="642"/>
        <w:spacing w:after="0" w:line="347" w:lineRule="auto"/>
        <w:tabs>
          <w:tab w:leader="none" w:pos="301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on the date or in the amount notified by such Borrower;</w:t>
      </w:r>
    </w:p>
    <w:p>
      <w:pPr>
        <w:spacing w:after="0" w:line="131"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including any loss or expense (excluding loss of anticipated profits) arising from the liquidation or reemployment of funds obtained by it to maintain such Loan or from fees payable to terminate the deposits from which such funds were obtained.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18" w:name="page219"/>
    <w:bookmarkEnd w:id="218"/>
    <w:p>
      <w:pPr>
        <w:jc w:val="both"/>
        <w:ind w:left="280" w:firstLine="648"/>
        <w:spacing w:after="0" w:line="246" w:lineRule="auto"/>
        <w:rPr>
          <w:sz w:val="20"/>
          <w:szCs w:val="20"/>
          <w:color w:val="auto"/>
        </w:rPr>
      </w:pPr>
      <w:r>
        <w:rPr>
          <w:rFonts w:ascii="Arial" w:cs="Arial" w:eastAsia="Arial" w:hAnsi="Arial"/>
          <w:sz w:val="20"/>
          <w:szCs w:val="20"/>
          <w:color w:val="auto"/>
        </w:rPr>
        <w:t xml:space="preserve">For purposes of calculating amounts payable by the Borrowers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Eurocurrency Rate Loan made by it at the Eurocurrency Rate for such Loan by a matching deposit or other borrowing in the London interbank eurodollar market for a comparable amount and for a comparable period, whether or not such Eurocurrency Rate Loan was in fact so funded.</w:t>
      </w:r>
    </w:p>
    <w:p>
      <w:pPr>
        <w:spacing w:after="0" w:line="20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Matters Applicable to All Requests for Compensation</w:t>
      </w:r>
      <w:r>
        <w:rPr>
          <w:rFonts w:ascii="Arial" w:cs="Arial" w:eastAsia="Arial" w:hAnsi="Arial"/>
          <w:sz w:val="20"/>
          <w:szCs w:val="20"/>
          <w:color w:val="auto"/>
        </w:rPr>
        <w:t xml:space="preserve">. (a) Any Agent or Lender claiming compensation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deliver a certificate to the Borrowers setting forth the additional amount or amounts to be paid to it hereunder which shall be conclusive in the absence of manifest error. In determining such amount, such Agent or such Lender may use any reasonable averaging and attribution methods.</w:t>
      </w:r>
    </w:p>
    <w:p>
      <w:pPr>
        <w:spacing w:after="0" w:line="219" w:lineRule="exact"/>
        <w:rPr>
          <w:sz w:val="20"/>
          <w:szCs w:val="20"/>
          <w:color w:val="auto"/>
        </w:rPr>
      </w:pPr>
    </w:p>
    <w:p>
      <w:pPr>
        <w:jc w:val="both"/>
        <w:ind w:left="280" w:firstLine="646"/>
        <w:spacing w:after="0" w:line="286" w:lineRule="auto"/>
        <w:tabs>
          <w:tab w:leader="none" w:pos="180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With respect to any Lender’s claim for compensation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3.03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the Borrowers shall not be required to compensate such Lender for any amount incurred more than one hundred and eighty (180) days prior to the date that such Lender notifies the Borrowers of the event that gives rise to such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 giving rise to such claim is retroactive, then such 180-day period referred to above shall be extended to include the period of retroactive effect thereof. If any Lender requests compensation by the Borrowers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the Company may, by notice to such Lender (with a copy to the Administrative Agent), suspend the obligation of such Lender to make or continue from one Interest Period to another Eurocurrency Rate Loans, or to convert Base Rate Loans into Eurocurrency Rate Loans, until the event or condition giving rise to such request ceases to be in effect (in which case the provisions of </w:t>
      </w:r>
      <w:r>
        <w:rPr>
          <w:rFonts w:ascii="Arial" w:cs="Arial" w:eastAsia="Arial" w:hAnsi="Arial"/>
          <w:sz w:val="19"/>
          <w:szCs w:val="19"/>
          <w:u w:val="single" w:color="auto"/>
          <w:color w:val="auto"/>
        </w:rPr>
        <w:t>Section 3.06(c)</w:t>
      </w:r>
      <w:r>
        <w:rPr>
          <w:rFonts w:ascii="Arial" w:cs="Arial" w:eastAsia="Arial" w:hAnsi="Arial"/>
          <w:sz w:val="19"/>
          <w:szCs w:val="19"/>
          <w:color w:val="auto"/>
        </w:rPr>
        <w:t xml:space="preserve"> shall be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suspension shall not affect the right of such Lender to receive the compensation so requested.</w:t>
      </w:r>
    </w:p>
    <w:p>
      <w:pPr>
        <w:spacing w:after="0" w:line="195" w:lineRule="exact"/>
        <w:rPr>
          <w:rFonts w:ascii="Arial" w:cs="Arial" w:eastAsia="Arial" w:hAnsi="Arial"/>
          <w:sz w:val="19"/>
          <w:szCs w:val="19"/>
          <w:color w:val="auto"/>
        </w:rPr>
      </w:pPr>
    </w:p>
    <w:p>
      <w:pPr>
        <w:jc w:val="both"/>
        <w:ind w:left="280" w:firstLine="646"/>
        <w:spacing w:after="0" w:line="272" w:lineRule="auto"/>
        <w:tabs>
          <w:tab w:leader="none" w:pos="1796"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If the obligation of any Lender to make or continue from one Interest Period to another any Eurocurrency Rate Loan, or to convert Base Rate Loans into Eurocurrency Rate Loans shall be suspended pursuant to </w:t>
      </w:r>
      <w:r>
        <w:rPr>
          <w:rFonts w:ascii="Arial" w:cs="Arial" w:eastAsia="Arial" w:hAnsi="Arial"/>
          <w:sz w:val="20"/>
          <w:szCs w:val="20"/>
          <w:u w:val="single" w:color="auto"/>
          <w:color w:val="auto"/>
        </w:rPr>
        <w:t>Section 3.06(b)</w:t>
      </w:r>
      <w:r>
        <w:rPr>
          <w:rFonts w:ascii="Arial" w:cs="Arial" w:eastAsia="Arial" w:hAnsi="Arial"/>
          <w:sz w:val="20"/>
          <w:szCs w:val="20"/>
          <w:color w:val="auto"/>
        </w:rPr>
        <w:t xml:space="preserve"> hereof, such Lender’s Eurocurrency Rate Loans shall be automatically converted into Base Rate Loans on the last day(s) of the then current Interest Period(s) for such Eurocurrency Rate Loans (or, in the case of an immediate conversion required by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on such earlier date as required by Law) and, unless and until such Lender gives notice as provided below that the circumstances specified in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3.02</w:t>
      </w:r>
      <w:r>
        <w:rPr>
          <w:rFonts w:ascii="Arial" w:cs="Arial" w:eastAsia="Arial" w:hAnsi="Arial"/>
          <w:sz w:val="20"/>
          <w:szCs w:val="20"/>
          <w:color w:val="auto"/>
        </w:rPr>
        <w:t xml:space="preserve">, </w:t>
      </w:r>
      <w:r>
        <w:rPr>
          <w:rFonts w:ascii="Arial" w:cs="Arial" w:eastAsia="Arial" w:hAnsi="Arial"/>
          <w:sz w:val="20"/>
          <w:szCs w:val="20"/>
          <w:u w:val="single" w:color="auto"/>
          <w:color w:val="auto"/>
        </w:rPr>
        <w:t>3.03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hereof that gave rise to such conversion no longer exist:</w:t>
      </w:r>
    </w:p>
    <w:p>
      <w:pPr>
        <w:spacing w:after="0" w:line="205" w:lineRule="exact"/>
        <w:rPr>
          <w:rFonts w:ascii="Arial" w:cs="Arial" w:eastAsia="Arial" w:hAnsi="Arial"/>
          <w:sz w:val="20"/>
          <w:szCs w:val="20"/>
          <w:color w:val="auto"/>
        </w:rPr>
      </w:pPr>
    </w:p>
    <w:p>
      <w:pPr>
        <w:jc w:val="both"/>
        <w:ind w:left="1500" w:firstLine="642"/>
        <w:spacing w:after="0" w:line="278" w:lineRule="auto"/>
        <w:tabs>
          <w:tab w:leader="none" w:pos="2956" w:val="left"/>
        </w:tabs>
        <w:numPr>
          <w:ilvl w:val="1"/>
          <w:numId w:val="196"/>
        </w:numPr>
        <w:rPr>
          <w:rFonts w:ascii="Arial" w:cs="Arial" w:eastAsia="Arial" w:hAnsi="Arial"/>
          <w:sz w:val="20"/>
          <w:szCs w:val="20"/>
          <w:color w:val="auto"/>
        </w:rPr>
      </w:pPr>
      <w:r>
        <w:rPr>
          <w:rFonts w:ascii="Arial" w:cs="Arial" w:eastAsia="Arial" w:hAnsi="Arial"/>
          <w:sz w:val="20"/>
          <w:szCs w:val="20"/>
          <w:color w:val="auto"/>
        </w:rPr>
        <w:t>to the extent that such Lender’s Eurocurrency Rate Loans have been so converted, all payments and prepayments of principal that would otherwise be applied to such Lender’s Eurocurrency Rate Loans shall be applied instead to its Base Rate Loans; and</w:t>
      </w:r>
    </w:p>
    <w:p>
      <w:pPr>
        <w:spacing w:after="0" w:line="186" w:lineRule="exact"/>
        <w:rPr>
          <w:rFonts w:ascii="Arial" w:cs="Arial" w:eastAsia="Arial" w:hAnsi="Arial"/>
          <w:sz w:val="20"/>
          <w:szCs w:val="20"/>
          <w:color w:val="auto"/>
        </w:rPr>
      </w:pPr>
    </w:p>
    <w:p>
      <w:pPr>
        <w:jc w:val="both"/>
        <w:ind w:left="1500" w:firstLine="642"/>
        <w:spacing w:after="0" w:line="322" w:lineRule="auto"/>
        <w:tabs>
          <w:tab w:leader="none" w:pos="301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Loans that would otherwise be made or continued from one Interest Period to another by such Lender as Eurocurrency Rate Loans shall be made or continued instead as Base Rate Loans, and all Base Rate Loans of such Lender that would otherwise be converted into Eurocurrency Rate Loans shall remain as Base Rate Loans.</w:t>
      </w:r>
    </w:p>
    <w:p>
      <w:pPr>
        <w:spacing w:after="0" w:line="166" w:lineRule="exact"/>
        <w:rPr>
          <w:rFonts w:ascii="Arial" w:cs="Arial" w:eastAsia="Arial" w:hAnsi="Arial"/>
          <w:sz w:val="18"/>
          <w:szCs w:val="18"/>
          <w:color w:val="auto"/>
        </w:rPr>
      </w:pPr>
    </w:p>
    <w:p>
      <w:pPr>
        <w:jc w:val="both"/>
        <w:ind w:left="280" w:firstLine="646"/>
        <w:spacing w:after="0" w:line="305" w:lineRule="auto"/>
        <w:tabs>
          <w:tab w:leader="none" w:pos="180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If any Lender gives notice to the Borrowers (with a copy to the Administrative Agent) that the circumstances specified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hereof that gave rise to the conversion of such Lender’s Eurocurrency Rate Loans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no longer exist (which such Lender agrees to do promptly upon such circumstances ceasing to exist) at a time when Eurocurrency Rate Loans made by other Lenders are outstanding, such Lender’s Base Rate Loans shall be automatically converted, on the first day(s) of the next succeeding Interest Period(s) for such outstanding Eurocurrency Rate Loans, to the extent necessary so that, after giving effect thereto, all Loans held by the Lenders holding Eurocurrency Rate Loans and by such Lender are held pro rata (as to principal amounts, interest rate basis, and Interest Periods) in accordance with their respective Commitments.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19" w:name="page220"/>
    <w:bookmarkEnd w:id="219"/>
    <w:p>
      <w:pPr>
        <w:jc w:val="both"/>
        <w:ind w:left="280" w:firstLine="648"/>
        <w:spacing w:after="0" w:line="267"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Replacement of Lenders under Certain Circumstances</w:t>
      </w:r>
      <w:r>
        <w:rPr>
          <w:rFonts w:ascii="Arial" w:cs="Arial" w:eastAsia="Arial" w:hAnsi="Arial"/>
          <w:sz w:val="18"/>
          <w:szCs w:val="18"/>
          <w:color w:val="auto"/>
        </w:rPr>
        <w:t xml:space="preserve">. (a) If at any time (i) the Borrowers become obligated to pay additional amounts or indemnity payments described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as a result of any condition described in such Sections or any Lender ceases to make Eurocurrency Rate Loans as a result of any condition described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(ii) any Lender becomes a Defaulting Lender or (iii) any Lender becomes a Non-Consenting Lender, then the Company may, on five (5) Business Days’ prior written notice to the Administrative Agent and such Lender, (x) replace such Lender by causing such Lender to (and such Lender shall be obligated to) assign pursuant to </w:t>
      </w:r>
      <w:r>
        <w:rPr>
          <w:rFonts w:ascii="Arial" w:cs="Arial" w:eastAsia="Arial" w:hAnsi="Arial"/>
          <w:sz w:val="18"/>
          <w:szCs w:val="18"/>
          <w:u w:val="single" w:color="auto"/>
          <w:color w:val="auto"/>
        </w:rPr>
        <w:t>Section 10.07(b)</w:t>
      </w:r>
      <w:r>
        <w:rPr>
          <w:rFonts w:ascii="Arial" w:cs="Arial" w:eastAsia="Arial" w:hAnsi="Arial"/>
          <w:sz w:val="18"/>
          <w:szCs w:val="18"/>
          <w:color w:val="auto"/>
        </w:rPr>
        <w:t xml:space="preserve"> (with the assignment fee to be paid by the Borrowers in such instance) all of its rights and obligations under this Agreement to one or more Eligible Assignees;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Administrative Agent nor any Lender shall have any obligation to the Borrowers to find a replacement Lender or other such Person;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such assignment will result in a reduction in such compensation or payments and (B) in the case of any such assignment resulting from a Lender becoming a Non-Consenting Lender, the applicable Eligible Assignees shall have agreed to, and shall be sufficient (together with all other consenting Lenders) to cause the adoption of, the applicable departure, waiver or amendment of the Loan Documents; or (y) terminate the Commitment of such Lender or L/C Issuer, as the case may be, and (1) in the case of a Lender (other than an L/C Issuer), repay all Obligations of the Borrowers owing to such Lender relating to the Loans and participations held by such Lender as of such termination date and (2) in the case of an L/C Issuer, repay all Obligations of the Borrowers owing to such L/C Issuer relating to the Loans and participations held by the L/C Issuer as of such termination date and cancel or backstop on terms satisfactory to such L/C Issuer any Letters of Credit issued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termination of a Non-Consenting Lender such termination shall be sufficient (together with all other consenting Lenders) to cause the adoption of the applicable departure, waiver or amendment of the Loan Documents and such termination shall be in respect of any applicable Facility only in the case of clause</w:t>
      </w:r>
    </w:p>
    <w:p>
      <w:pPr>
        <w:spacing w:after="0" w:line="14" w:lineRule="exact"/>
        <w:rPr>
          <w:sz w:val="20"/>
          <w:szCs w:val="20"/>
          <w:color w:val="auto"/>
        </w:rPr>
      </w:pPr>
    </w:p>
    <w:p>
      <w:pPr>
        <w:ind w:left="700" w:hanging="422"/>
        <w:spacing w:after="0"/>
        <w:tabs>
          <w:tab w:leader="none" w:pos="70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or, with respect to a Class vote, clause (iii).</w:t>
      </w:r>
    </w:p>
    <w:p>
      <w:pPr>
        <w:spacing w:after="0" w:line="256" w:lineRule="exact"/>
        <w:rPr>
          <w:rFonts w:ascii="Arial" w:cs="Arial" w:eastAsia="Arial" w:hAnsi="Arial"/>
          <w:sz w:val="20"/>
          <w:szCs w:val="20"/>
          <w:color w:val="auto"/>
        </w:rPr>
      </w:pPr>
    </w:p>
    <w:p>
      <w:pPr>
        <w:jc w:val="both"/>
        <w:ind w:left="280" w:firstLine="646"/>
        <w:spacing w:after="0" w:line="301" w:lineRule="auto"/>
        <w:tabs>
          <w:tab w:leader="none" w:pos="180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Any Lender being replaced pursuant to </w:t>
      </w:r>
      <w:r>
        <w:rPr>
          <w:rFonts w:ascii="Arial" w:cs="Arial" w:eastAsia="Arial" w:hAnsi="Arial"/>
          <w:sz w:val="18"/>
          <w:szCs w:val="18"/>
          <w:u w:val="single" w:color="auto"/>
          <w:color w:val="auto"/>
        </w:rPr>
        <w:t>Section 3.07(a)</w:t>
      </w:r>
      <w:r>
        <w:rPr>
          <w:rFonts w:ascii="Arial" w:cs="Arial" w:eastAsia="Arial" w:hAnsi="Arial"/>
          <w:sz w:val="18"/>
          <w:szCs w:val="18"/>
          <w:color w:val="auto"/>
        </w:rPr>
        <w:t xml:space="preserve"> above shall (i) execute and deliver an Assignment and Assumption Agreement with respect to such Lender’s Commitment and outstanding Loans and participations in L/C Obligations and Swing Line Loans, and (ii) deliver any Notes evidencing such Loans to the Borrowers or Administrative Agent. Pursuant to such Assignment and Assumption Agreement, (A) the assignee Lender shall acquire all or a portion, as the case may be, of the assigning Lender’s Commitment and outstanding Loans and participations in L/C Obligations and Swing Line Loans, (B) all obligations of the Borrowers owing to the assigning Lender relating to the Loans and participations so assigned shall be paid in full by the assignee Lender to such assigning Lender concurrently with such Assignment and Assumption Agreement and (C) upon such payment and, if so requested by the assignee Lender, delivery to the assignee Lender of the appropriate Note or Notes executed by each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Non- Consenting Lender or Defaulting Lender does not execute and deliver to the Administrative Agent a duly executed Assignment and Assumption Agreement reflecting such replacement within five (5) Business Days of the date on which the assignee Lender executes and delivers such Assignment and Assumption Agreement to such Non-Consenting Lender or Defaulting Lender, then such Non-Consenting Lender or Defaulting Lender shall be deemed to have executed and delivered such Assignment and Assumption Agreement without any action on the part of the Non-Consenting Lender or Defaulting Lender.</w:t>
      </w:r>
    </w:p>
    <w:p>
      <w:pPr>
        <w:spacing w:after="0" w:line="252"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1"/>
          <w:numId w:val="197"/>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20" w:name="page221"/>
    <w:bookmarkEnd w:id="220"/>
    <w:p>
      <w:pPr>
        <w:jc w:val="both"/>
        <w:ind w:left="280"/>
        <w:spacing w:after="0" w:line="278" w:lineRule="auto"/>
        <w:rPr>
          <w:sz w:val="20"/>
          <w:szCs w:val="20"/>
          <w:color w:val="auto"/>
        </w:rPr>
      </w:pPr>
      <w:r>
        <w:rPr>
          <w:rFonts w:ascii="Arial" w:cs="Arial" w:eastAsia="Arial" w:hAnsi="Arial"/>
          <w:sz w:val="20"/>
          <w:szCs w:val="20"/>
          <w:color w:val="auto"/>
        </w:rPr>
        <w:t xml:space="preserve">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Arial" w:cs="Arial" w:eastAsia="Arial" w:hAnsi="Arial"/>
          <w:sz w:val="20"/>
          <w:szCs w:val="20"/>
          <w:u w:val="single" w:color="auto"/>
          <w:color w:val="auto"/>
        </w:rPr>
        <w:t>Section 9.09</w:t>
      </w:r>
      <w:r>
        <w:rPr>
          <w:rFonts w:ascii="Arial" w:cs="Arial" w:eastAsia="Arial" w:hAnsi="Arial"/>
          <w:sz w:val="20"/>
          <w:szCs w:val="20"/>
          <w:color w:val="auto"/>
        </w:rPr>
        <w:t>.</w:t>
      </w:r>
    </w:p>
    <w:p>
      <w:pPr>
        <w:spacing w:after="0" w:line="187" w:lineRule="exact"/>
        <w:rPr>
          <w:sz w:val="20"/>
          <w:szCs w:val="20"/>
          <w:color w:val="auto"/>
        </w:rPr>
      </w:pPr>
    </w:p>
    <w:p>
      <w:pPr>
        <w:jc w:val="both"/>
        <w:ind w:left="280" w:firstLine="646"/>
        <w:spacing w:after="0" w:line="307" w:lineRule="auto"/>
        <w:tabs>
          <w:tab w:leader="none" w:pos="180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 the event that (i) any Borrower or the Administrative Agent has requested that the Lenders consent to a departure or waiver of any provisions of the Loan Documents or agree to any amendment thereto, (ii) the consent, waiver or amendment in question requires the agreement of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all the Lenders with respect to a certain Class of the Loans and (iii) the Required Lenders (or, in the case of a consent, waiver or amendment involving all affected Lenders of a certain Facility, the Required Facility Lenders) have agreed to such consent, waiver or amendment, then any Lender who does not agree to such consent, waiver or amendment shall be deemed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w:t>
      </w:r>
    </w:p>
    <w:p>
      <w:pPr>
        <w:spacing w:after="0" w:line="154" w:lineRule="exact"/>
        <w:rPr>
          <w:sz w:val="20"/>
          <w:szCs w:val="20"/>
          <w:color w:val="auto"/>
        </w:rPr>
      </w:pPr>
    </w:p>
    <w:p>
      <w:pPr>
        <w:ind w:left="280" w:right="820" w:firstLine="648"/>
        <w:spacing w:after="0" w:line="260"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and repayment of all other Obligations hereunder.</w:t>
      </w:r>
    </w:p>
    <w:p>
      <w:pPr>
        <w:spacing w:after="0" w:line="96"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20"/>
          <w:szCs w:val="20"/>
          <w:u w:val="single" w:color="auto"/>
          <w:color w:val="auto"/>
        </w:rPr>
        <w:t>Conditions Precedent to Credit Extensions</w:t>
      </w:r>
    </w:p>
    <w:p>
      <w:pPr>
        <w:spacing w:after="0" w:line="391"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Conditions of Initial Credit Extension</w:t>
      </w:r>
      <w:r>
        <w:rPr>
          <w:rFonts w:ascii="Arial" w:cs="Arial" w:eastAsia="Arial" w:hAnsi="Arial"/>
          <w:sz w:val="20"/>
          <w:szCs w:val="20"/>
          <w:color w:val="auto"/>
        </w:rPr>
        <w:t>. The obligation of each Lender to close this Agreement and make its initial Credit Extension hereunder or participate in the initial Letters of Credit, if any, is subject to the satisfaction of each of the following conditions precedent:</w:t>
      </w:r>
    </w:p>
    <w:p>
      <w:pPr>
        <w:spacing w:after="0" w:line="213" w:lineRule="exact"/>
        <w:rPr>
          <w:sz w:val="20"/>
          <w:szCs w:val="20"/>
          <w:color w:val="auto"/>
        </w:rPr>
      </w:pPr>
    </w:p>
    <w:p>
      <w:pPr>
        <w:jc w:val="both"/>
        <w:ind w:left="280" w:firstLine="646"/>
        <w:spacing w:after="0" w:line="290" w:lineRule="auto"/>
        <w:tabs>
          <w:tab w:leader="none" w:pos="1796"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Executed Loan Documents</w:t>
      </w:r>
      <w:r>
        <w:rPr>
          <w:rFonts w:ascii="Arial" w:cs="Arial" w:eastAsia="Arial" w:hAnsi="Arial"/>
          <w:sz w:val="19"/>
          <w:szCs w:val="19"/>
          <w:color w:val="auto"/>
        </w:rPr>
        <w:t>. This Agreement, a Revolving Credit Note in favor of each Revolving Credit Lender requesting a Revolving Credit Note, a Term Note in favor of each Term Lender requesting a Term Note, a Swing Line Note in favor of the Swing Line Lender (in each case, if requested thereby), the Collateral Documents and the Guaranty, together with any other applicable Loan Documents, shall have been duly authorized, executed and delivered to the Administrative Agent by the parties thereto, shall be in full force and effect and no Default or Event of Default shall exist hereunder or thereunder.</w:t>
      </w:r>
    </w:p>
    <w:p>
      <w:pPr>
        <w:spacing w:after="0" w:line="179" w:lineRule="exact"/>
        <w:rPr>
          <w:rFonts w:ascii="Arial" w:cs="Arial" w:eastAsia="Arial" w:hAnsi="Arial"/>
          <w:sz w:val="19"/>
          <w:szCs w:val="19"/>
          <w:color w:val="auto"/>
        </w:rPr>
      </w:pPr>
    </w:p>
    <w:p>
      <w:pPr>
        <w:ind w:left="280" w:firstLine="646"/>
        <w:spacing w:after="0" w:line="289" w:lineRule="auto"/>
        <w:tabs>
          <w:tab w:leader="none" w:pos="1807"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The Administrative Agent shall have received each of the following in form and substance reasonably satisfactory to the Administrative Agent.</w:t>
      </w:r>
    </w:p>
    <w:p>
      <w:pPr>
        <w:spacing w:after="0" w:line="188" w:lineRule="exact"/>
        <w:rPr>
          <w:rFonts w:ascii="Arial" w:cs="Arial" w:eastAsia="Arial" w:hAnsi="Arial"/>
          <w:sz w:val="20"/>
          <w:szCs w:val="20"/>
          <w:color w:val="auto"/>
        </w:rPr>
      </w:pPr>
    </w:p>
    <w:p>
      <w:pPr>
        <w:jc w:val="both"/>
        <w:ind w:left="920" w:firstLine="655"/>
        <w:spacing w:after="0" w:line="304" w:lineRule="auto"/>
        <w:tabs>
          <w:tab w:leader="none" w:pos="2403"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from a Responsible Officer of the Company to the effect that (A) all representations and warranties of the Loan Parties contained in this Agreement and the other Loan Documents are true and correct in all material respects;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representation and warranty that is qualified as to “materiality,” “Material Adverse Effect” or similar language shall be true and correct in all respects; (B) none of the Loan Parties is in violation of any of the covenants contained in this Agreement and the other Loan Documents; (C) after giving effect to the Transactions, no Default or Event of Default has occurred and is continuing; (D) since December 31, 2016, no event has occurred or condition arisen, either individually or in the aggregate, that has had or could reasonably be expected to have a Material Adverse Effect; and (E) each of the Loan Parties, as applicable, has satisfied each of the conditions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21" w:name="page222"/>
    <w:bookmarkEnd w:id="221"/>
    <w:p>
      <w:pPr>
        <w:jc w:val="both"/>
        <w:ind w:left="920" w:firstLine="655"/>
        <w:spacing w:after="0" w:line="303" w:lineRule="auto"/>
        <w:tabs>
          <w:tab w:leader="none" w:pos="2458"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Certificate of Secretary of each Loan Party</w:t>
      </w:r>
      <w:r>
        <w:rPr>
          <w:rFonts w:ascii="Arial" w:cs="Arial" w:eastAsia="Arial" w:hAnsi="Arial"/>
          <w:sz w:val="18"/>
          <w:szCs w:val="18"/>
          <w:color w:val="auto"/>
        </w:rPr>
        <w:t xml:space="preserve">. A certificate of a Responsible Officer of each Loan Party certifying as to the incumbency and genuineness of the signature of each officer of such Loan Party executing Loan Documents to which it is a party and certifying that attached thereto is a true, correct and complete copy of (A) the articles or certificate of incorporation or formation (or equivalent), as applicable, of such Loan Party and all amendments thereto, certified as of a recent date by the appropriate Governmental Authority in its jurisdiction of incorporation, organization or formation (or equivalent), as applicable, (B) the bylaws or other governing document of such Loan Party as in effect on the Closing Date, (C) resolutions duly adopted by the board of directors (or other governing body) of such Loan Party authorizing and approving the transactions contemplated hereunder and the execution, delivery and performance of this Agreement and the other Loan Documents to which it is a party, and (D) each certificate required to be delivered pursuant to </w:t>
      </w:r>
      <w:r>
        <w:rPr>
          <w:rFonts w:ascii="Arial" w:cs="Arial" w:eastAsia="Arial" w:hAnsi="Arial"/>
          <w:sz w:val="18"/>
          <w:szCs w:val="18"/>
          <w:u w:val="single" w:color="auto"/>
          <w:color w:val="auto"/>
        </w:rPr>
        <w:t>Section 4.01(b)(iii)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920" w:firstLine="655"/>
        <w:spacing w:after="0" w:line="299" w:lineRule="auto"/>
        <w:tabs>
          <w:tab w:leader="none" w:pos="2513"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Certificates of Good Standing</w:t>
      </w:r>
      <w:r>
        <w:rPr>
          <w:rFonts w:ascii="Arial" w:cs="Arial" w:eastAsia="Arial" w:hAnsi="Arial"/>
          <w:sz w:val="19"/>
          <w:szCs w:val="19"/>
          <w:color w:val="auto"/>
        </w:rPr>
        <w:t>. Certificates as of a recent date of the good standing of each Loan Party under the laws of its jurisdiction of incorporation, organization or formation (or equivalent), as applicable, and, to the extent requested by the Administrative Agent, each other jurisdiction where such Loan Party is qualified to do business.</w:t>
      </w:r>
    </w:p>
    <w:p>
      <w:pPr>
        <w:spacing w:after="0" w:line="169" w:lineRule="exact"/>
        <w:rPr>
          <w:rFonts w:ascii="Arial" w:cs="Arial" w:eastAsia="Arial" w:hAnsi="Arial"/>
          <w:sz w:val="19"/>
          <w:szCs w:val="19"/>
          <w:color w:val="auto"/>
        </w:rPr>
      </w:pPr>
    </w:p>
    <w:p>
      <w:pPr>
        <w:jc w:val="both"/>
        <w:ind w:left="920" w:firstLine="655"/>
        <w:spacing w:after="0" w:line="274" w:lineRule="auto"/>
        <w:tabs>
          <w:tab w:leader="none" w:pos="2502"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Opinions of Counsel</w:t>
      </w:r>
      <w:r>
        <w:rPr>
          <w:rFonts w:ascii="Arial" w:cs="Arial" w:eastAsia="Arial" w:hAnsi="Arial"/>
          <w:sz w:val="20"/>
          <w:szCs w:val="20"/>
          <w:color w:val="auto"/>
        </w:rPr>
        <w:t>. Opinions of counsel to the Loan Parties addressed to the Administrative Agent and the Lenders with respect to the Loan Parties, the Loan Documents and such other matters as the Administrative Agent shall request (which such opinions shall expressly permit reliance by permitted successors and assigns of the Administrative Agent and the Lenders).</w:t>
      </w:r>
    </w:p>
    <w:p>
      <w:pPr>
        <w:spacing w:after="0" w:line="192" w:lineRule="exact"/>
        <w:rPr>
          <w:rFonts w:ascii="Arial" w:cs="Arial" w:eastAsia="Arial" w:hAnsi="Arial"/>
          <w:sz w:val="20"/>
          <w:szCs w:val="20"/>
          <w:color w:val="auto"/>
        </w:rPr>
      </w:pPr>
    </w:p>
    <w:p>
      <w:pPr>
        <w:ind w:left="1760" w:hanging="834"/>
        <w:spacing w:after="0"/>
        <w:tabs>
          <w:tab w:leader="none" w:pos="1760"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920" w:firstLine="655"/>
        <w:spacing w:after="0" w:line="314" w:lineRule="auto"/>
        <w:tabs>
          <w:tab w:leader="none" w:pos="240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Filings and Recordings</w:t>
      </w:r>
      <w:r>
        <w:rPr>
          <w:rFonts w:ascii="Arial" w:cs="Arial" w:eastAsia="Arial" w:hAnsi="Arial"/>
          <w:sz w:val="18"/>
          <w:szCs w:val="18"/>
          <w:color w:val="auto"/>
        </w:rPr>
        <w:t>. The Administrative Agent shall have received all filings and recordations that are necessary to perfect the security interests of the Administrative Agent, on behalf of the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72" w:lineRule="exact"/>
        <w:rPr>
          <w:rFonts w:ascii="Arial" w:cs="Arial" w:eastAsia="Arial" w:hAnsi="Arial"/>
          <w:sz w:val="18"/>
          <w:szCs w:val="18"/>
          <w:color w:val="auto"/>
        </w:rPr>
      </w:pPr>
    </w:p>
    <w:p>
      <w:pPr>
        <w:jc w:val="both"/>
        <w:ind w:left="920" w:firstLine="655"/>
        <w:spacing w:after="0" w:line="273" w:lineRule="auto"/>
        <w:tabs>
          <w:tab w:leader="none" w:pos="2458"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Pledged Collateral</w:t>
      </w:r>
      <w:r>
        <w:rPr>
          <w:rFonts w:ascii="Arial" w:cs="Arial" w:eastAsia="Arial" w:hAnsi="Arial"/>
          <w:sz w:val="20"/>
          <w:szCs w:val="20"/>
          <w:color w:val="auto"/>
        </w:rPr>
        <w:t>. The Administrative Agent shall have received (A) original stock certificates or other certificates evidencing the certificated Equity Interests pledged pursuant to the Collateral Documents, 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spacing w:after="0" w:line="204" w:lineRule="exact"/>
        <w:rPr>
          <w:rFonts w:ascii="Arial" w:cs="Arial" w:eastAsia="Arial" w:hAnsi="Arial"/>
          <w:sz w:val="20"/>
          <w:szCs w:val="20"/>
          <w:color w:val="auto"/>
        </w:rPr>
      </w:pPr>
    </w:p>
    <w:p>
      <w:pPr>
        <w:jc w:val="both"/>
        <w:ind w:left="920" w:firstLine="655"/>
        <w:spacing w:after="0" w:line="272" w:lineRule="auto"/>
        <w:tabs>
          <w:tab w:leader="none" w:pos="2513"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Lien Search</w:t>
      </w:r>
      <w:r>
        <w:rPr>
          <w:rFonts w:ascii="Arial" w:cs="Arial" w:eastAsia="Arial" w:hAnsi="Arial"/>
          <w:sz w:val="20"/>
          <w:szCs w:val="20"/>
          <w:color w:val="auto"/>
        </w:rPr>
        <w:t>. The Administrative Agent shall have received the results of a Lien search (including a search as to judgments, bankruptcy, tax and intellectual property matters), in form and substance reasonably satisfactory thereto, made against the Loan Parties under the Uniform Commercial Code (or applicable judicial docket) as in effect in each jurisdiction in which filings or recordations under the Uniform Commercial Code should be made to evidence or perfect security interests in all assets of such Loan Party, indicating among other things that the assets of each such Loan Party are free and clear of any Lien (except for Permitted Liens).</w:t>
      </w:r>
    </w:p>
    <w:p>
      <w:pPr>
        <w:spacing w:after="0" w:line="191" w:lineRule="exact"/>
        <w:rPr>
          <w:rFonts w:ascii="Arial" w:cs="Arial" w:eastAsia="Arial" w:hAnsi="Arial"/>
          <w:sz w:val="20"/>
          <w:szCs w:val="20"/>
          <w:color w:val="auto"/>
        </w:rPr>
      </w:pPr>
    </w:p>
    <w:p>
      <w:pPr>
        <w:jc w:val="both"/>
        <w:ind w:left="920" w:firstLine="655"/>
        <w:spacing w:after="0" w:line="274" w:lineRule="auto"/>
        <w:tabs>
          <w:tab w:leader="none" w:pos="2502"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Property and Liability Insurance</w:t>
      </w:r>
      <w:r>
        <w:rPr>
          <w:rFonts w:ascii="Arial" w:cs="Arial" w:eastAsia="Arial" w:hAnsi="Arial"/>
          <w:sz w:val="20"/>
          <w:szCs w:val="20"/>
          <w:color w:val="auto"/>
        </w:rPr>
        <w:t>. The Administrative Agent shall have received, in each case in form and substance reasonably satisfactory to the Administrative Agent, evidence of property, business interruption and liability insurance covering each Loan Party, evidence of payment of all insurance premiums for the current policy year of each policy (with appropriate endorsements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222" w:name="page223"/>
    <w:bookmarkEnd w:id="222"/>
    <w:p>
      <w:pPr>
        <w:jc w:val="both"/>
        <w:ind w:left="920"/>
        <w:spacing w:after="0" w:line="278" w:lineRule="auto"/>
        <w:rPr>
          <w:sz w:val="20"/>
          <w:szCs w:val="20"/>
          <w:color w:val="auto"/>
        </w:rPr>
      </w:pPr>
      <w:r>
        <w:rPr>
          <w:rFonts w:ascii="Arial" w:cs="Arial" w:eastAsia="Arial" w:hAnsi="Arial"/>
          <w:sz w:val="20"/>
          <w:szCs w:val="20"/>
          <w:color w:val="auto"/>
        </w:rPr>
        <w:t>naming the Administrative Agent as lender’s loss payee (and mortgagee, as applicable) on all policies for property hazard insurance and as additional insured on all policies for liability insurance), and if requested by the Administrative Agent, copies of such insurance policies.</w:t>
      </w:r>
    </w:p>
    <w:p>
      <w:pPr>
        <w:spacing w:after="0" w:line="200" w:lineRule="exact"/>
        <w:rPr>
          <w:sz w:val="20"/>
          <w:szCs w:val="20"/>
          <w:color w:val="auto"/>
        </w:rPr>
      </w:pPr>
    </w:p>
    <w:p>
      <w:pPr>
        <w:jc w:val="both"/>
        <w:ind w:left="920" w:firstLine="655"/>
        <w:spacing w:after="0" w:line="274" w:lineRule="auto"/>
        <w:tabs>
          <w:tab w:leader="none" w:pos="2447" w:val="left"/>
        </w:tabs>
        <w:numPr>
          <w:ilvl w:val="1"/>
          <w:numId w:val="202"/>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Administrative Agent shall have received security agreements duly executed by the applicable Loan Parties for all federally registered copyrights, copyright applications, patents, patent applications, trademarks and trademark applications included in the Collateral, in each case in proper form for filing with the U.S. Patent and Trademark Office or U.S. Copyright Office, as applicable.</w:t>
      </w:r>
    </w:p>
    <w:p>
      <w:pPr>
        <w:spacing w:after="0" w:line="205" w:lineRule="exact"/>
        <w:rPr>
          <w:rFonts w:ascii="Arial" w:cs="Arial" w:eastAsia="Arial" w:hAnsi="Arial"/>
          <w:sz w:val="20"/>
          <w:szCs w:val="20"/>
          <w:color w:val="auto"/>
        </w:rPr>
      </w:pPr>
    </w:p>
    <w:p>
      <w:pPr>
        <w:jc w:val="both"/>
        <w:ind w:left="920" w:firstLine="655"/>
        <w:spacing w:after="0" w:line="322" w:lineRule="auto"/>
        <w:tabs>
          <w:tab w:leader="none" w:pos="2502"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Other Collateral Documentation</w:t>
      </w:r>
      <w:r>
        <w:rPr>
          <w:rFonts w:ascii="Arial" w:cs="Arial" w:eastAsia="Arial" w:hAnsi="Arial"/>
          <w:sz w:val="18"/>
          <w:szCs w:val="18"/>
          <w:color w:val="auto"/>
        </w:rPr>
        <w:t>. The Administrative Agent shall have received any documents reasonably requested thereby or as required by the terms of the Security Documents to evidence its security interest in the Collateral (including, without limitation, account control agreements for each deposit account and securities account included within the Collateral).</w:t>
      </w:r>
    </w:p>
    <w:p>
      <w:pPr>
        <w:spacing w:after="0" w:line="152" w:lineRule="exact"/>
        <w:rPr>
          <w:rFonts w:ascii="Arial" w:cs="Arial" w:eastAsia="Arial" w:hAnsi="Arial"/>
          <w:sz w:val="18"/>
          <w:szCs w:val="18"/>
          <w:color w:val="auto"/>
        </w:rPr>
      </w:pPr>
    </w:p>
    <w:p>
      <w:pPr>
        <w:ind w:left="1580" w:hanging="654"/>
        <w:spacing w:after="0"/>
        <w:tabs>
          <w:tab w:leader="none" w:pos="158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Consents; Defaults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20" w:firstLine="655"/>
        <w:spacing w:after="0" w:line="287" w:lineRule="auto"/>
        <w:tabs>
          <w:tab w:leader="none" w:pos="2403"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Governmental and Third Party Approvals</w:t>
      </w:r>
      <w:r>
        <w:rPr>
          <w:rFonts w:ascii="Arial" w:cs="Arial" w:eastAsia="Arial" w:hAnsi="Arial"/>
          <w:sz w:val="19"/>
          <w:szCs w:val="19"/>
          <w:color w:val="auto"/>
        </w:rPr>
        <w:t>. The Loan Parties shall have received all material governmental, shareholder and third party consents and approvals necessary (or any other material consents as determined in the reasonable discretion of the Administrative Agent) in connection with the transactions contemplated by this Agreement and the other Loan Documents and all applicable waiting periods shall have expired without any action being taken by any Person that could reasonably be expected to restrain, prevent or impose any material adverse conditions on any of the Loan Parties or such other transactions or that could seek or threaten any of the foregoing, and no law or regulation shall be applicable which in the reasonable judgment of the Administrative Agent could reasonably be expected to have such effect.</w:t>
      </w:r>
    </w:p>
    <w:p>
      <w:pPr>
        <w:spacing w:after="0" w:line="183" w:lineRule="exact"/>
        <w:rPr>
          <w:rFonts w:ascii="Arial" w:cs="Arial" w:eastAsia="Arial" w:hAnsi="Arial"/>
          <w:sz w:val="19"/>
          <w:szCs w:val="19"/>
          <w:color w:val="auto"/>
        </w:rPr>
      </w:pPr>
    </w:p>
    <w:p>
      <w:pPr>
        <w:jc w:val="both"/>
        <w:ind w:left="920" w:firstLine="655"/>
        <w:spacing w:after="0" w:line="314" w:lineRule="auto"/>
        <w:tabs>
          <w:tab w:leader="none" w:pos="2458"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No Injunction, Etc</w:t>
      </w:r>
      <w:r>
        <w:rPr>
          <w:rFonts w:ascii="Arial" w:cs="Arial" w:eastAsia="Arial" w:hAnsi="Arial"/>
          <w:sz w:val="18"/>
          <w:szCs w:val="18"/>
          <w:color w:val="auto"/>
        </w:rPr>
        <w:t>. No action, proceeding or investigation shall have been instituted, or to the knowledge of Company, threatened or proposed before any Governmental Authority to enjoin, restrain, or prohibit, or to obtain substantial damages in respect of, or which is related to or arises out of this Agreement or the other Loan Documents or the consummation of the transactions contemplated hereby or thereby, that could reasonably be expected to have a Material Adverse Effect.</w:t>
      </w:r>
    </w:p>
    <w:p>
      <w:pPr>
        <w:spacing w:after="0" w:line="172" w:lineRule="exact"/>
        <w:rPr>
          <w:rFonts w:ascii="Arial" w:cs="Arial" w:eastAsia="Arial" w:hAnsi="Arial"/>
          <w:sz w:val="18"/>
          <w:szCs w:val="18"/>
          <w:color w:val="auto"/>
        </w:rPr>
      </w:pPr>
    </w:p>
    <w:p>
      <w:pPr>
        <w:ind w:left="1760" w:hanging="834"/>
        <w:spacing w:after="0"/>
        <w:tabs>
          <w:tab w:leader="none" w:pos="1760"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920" w:firstLine="655"/>
        <w:spacing w:after="0" w:line="273" w:lineRule="auto"/>
        <w:tabs>
          <w:tab w:leader="none" w:pos="2403" w:val="left"/>
        </w:tabs>
        <w:numPr>
          <w:ilvl w:val="1"/>
          <w:numId w:val="203"/>
        </w:numPr>
        <w:rPr>
          <w:rFonts w:ascii="Arial" w:cs="Arial" w:eastAsia="Arial" w:hAnsi="Arial"/>
          <w:sz w:val="20"/>
          <w:szCs w:val="20"/>
          <w:color w:val="auto"/>
        </w:rPr>
      </w:pPr>
      <w:r>
        <w:rPr>
          <w:rFonts w:ascii="Arial" w:cs="Arial" w:eastAsia="Arial" w:hAnsi="Arial"/>
          <w:sz w:val="20"/>
          <w:szCs w:val="20"/>
          <w:u w:val="single" w:color="auto"/>
          <w:color w:val="auto"/>
        </w:rPr>
        <w:t>Financial Projections</w:t>
      </w:r>
      <w:r>
        <w:rPr>
          <w:rFonts w:ascii="Arial" w:cs="Arial" w:eastAsia="Arial" w:hAnsi="Arial"/>
          <w:sz w:val="20"/>
          <w:szCs w:val="20"/>
          <w:color w:val="auto"/>
        </w:rPr>
        <w:t>. The Administrative Agent shall have received pro forma consolidated financial statements for the Company and its Subsidiaries, and projections prepared by management of the Company, of balance sheets, income statements and cash flow statements on a quarterly basis for the first year following the Closing Date and on an annual basis for each year thereafter during the term of the Facilities, which shall not be inconsistent with any financial information or projections previously delivered to the Administrative Agent.</w:t>
      </w:r>
    </w:p>
    <w:p>
      <w:pPr>
        <w:spacing w:after="0" w:line="204" w:lineRule="exact"/>
        <w:rPr>
          <w:rFonts w:ascii="Arial" w:cs="Arial" w:eastAsia="Arial" w:hAnsi="Arial"/>
          <w:sz w:val="20"/>
          <w:szCs w:val="20"/>
          <w:color w:val="auto"/>
        </w:rPr>
      </w:pPr>
    </w:p>
    <w:p>
      <w:pPr>
        <w:jc w:val="both"/>
        <w:ind w:left="920" w:firstLine="655"/>
        <w:spacing w:after="0" w:line="299" w:lineRule="auto"/>
        <w:tabs>
          <w:tab w:leader="none" w:pos="2458"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The Company shall have delivered to the Administrative Agent a certificate, in form and substance satisfactory to the Administrative Agent, and certified as accurate by the chief financial officer of the Company, that after giving effect to the Transactions, the Borrowers and the Guarantors (taken as a whole) are Solvent.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23" w:name="page224"/>
    <w:bookmarkEnd w:id="223"/>
    <w:p>
      <w:pPr>
        <w:jc w:val="both"/>
        <w:ind w:left="920" w:firstLine="655"/>
        <w:spacing w:after="0" w:line="347" w:lineRule="auto"/>
        <w:tabs>
          <w:tab w:leader="none" w:pos="2513"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Payment at Closing</w:t>
      </w:r>
      <w:r>
        <w:rPr>
          <w:rFonts w:ascii="Arial" w:cs="Arial" w:eastAsia="Arial" w:hAnsi="Arial"/>
          <w:sz w:val="16"/>
          <w:szCs w:val="16"/>
          <w:color w:val="auto"/>
        </w:rPr>
        <w:t xml:space="preserve">. The Borrowers shall have paid or made arrangements to pay contemporaneously with closing (A) to the Administrative Agent, the Joint Lead Arrangers and the Lenders the fees set forth or referenced in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397" w:lineRule="exact"/>
        <w:rPr>
          <w:rFonts w:ascii="Arial" w:cs="Arial" w:eastAsia="Arial" w:hAnsi="Arial"/>
          <w:sz w:val="16"/>
          <w:szCs w:val="16"/>
          <w:color w:val="auto"/>
        </w:rPr>
      </w:pPr>
    </w:p>
    <w:p>
      <w:pPr>
        <w:ind w:left="1540" w:hanging="614"/>
        <w:spacing w:after="0"/>
        <w:tabs>
          <w:tab w:leader="none" w:pos="1540" w:val="left"/>
        </w:tabs>
        <w:numPr>
          <w:ilvl w:val="0"/>
          <w:numId w:val="20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920" w:firstLine="655"/>
        <w:spacing w:after="0" w:line="347" w:lineRule="auto"/>
        <w:tabs>
          <w:tab w:leader="none" w:pos="2403"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144" w:lineRule="exact"/>
        <w:rPr>
          <w:sz w:val="20"/>
          <w:szCs w:val="20"/>
          <w:color w:val="auto"/>
        </w:rPr>
      </w:pPr>
    </w:p>
    <w:p>
      <w:pPr>
        <w:jc w:val="both"/>
        <w:ind w:left="920" w:firstLine="655"/>
        <w:spacing w:after="0" w:line="322" w:lineRule="auto"/>
        <w:tabs>
          <w:tab w:leader="none" w:pos="2458"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All existing Indebtedness of the Company and its Subsidiaries (including Indebtedness under the Existing Credit Agreement but excluding Indebtedness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shall be refinanced, and the Administrative Agent shall have received pay-off letters in form and substance satisfactory to it in connection therewith.</w:t>
      </w:r>
    </w:p>
    <w:p>
      <w:pPr>
        <w:spacing w:after="0" w:line="166" w:lineRule="exact"/>
        <w:rPr>
          <w:rFonts w:ascii="Arial" w:cs="Arial" w:eastAsia="Arial" w:hAnsi="Arial"/>
          <w:sz w:val="18"/>
          <w:szCs w:val="18"/>
          <w:color w:val="auto"/>
        </w:rPr>
      </w:pPr>
    </w:p>
    <w:p>
      <w:pPr>
        <w:jc w:val="both"/>
        <w:ind w:left="920" w:firstLine="655"/>
        <w:spacing w:after="0" w:line="273" w:lineRule="auto"/>
        <w:tabs>
          <w:tab w:leader="none" w:pos="2513"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Each Borrower and each of the Guarantors shall have provided to the Administrative Agent and the Lenders, at least five (5) Business Days prior to the Closing Date, the documentation and other information requested at least ten (10) Business Days prior to the Closing Date by the Administrative Agent in order to comply with requirements of any Anti-Money Laundering Laws, including, without limitation, the Act and any applicable “know your customer” rules and regulations.</w:t>
      </w:r>
    </w:p>
    <w:p>
      <w:pPr>
        <w:spacing w:after="0" w:line="204" w:lineRule="exact"/>
        <w:rPr>
          <w:rFonts w:ascii="Arial" w:cs="Arial" w:eastAsia="Arial" w:hAnsi="Arial"/>
          <w:sz w:val="20"/>
          <w:szCs w:val="20"/>
          <w:color w:val="auto"/>
        </w:rPr>
      </w:pPr>
    </w:p>
    <w:p>
      <w:pPr>
        <w:jc w:val="both"/>
        <w:ind w:left="920" w:firstLine="655"/>
        <w:spacing w:after="0" w:line="274" w:lineRule="auto"/>
        <w:tabs>
          <w:tab w:leader="none" w:pos="2502"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92" w:lineRule="exact"/>
        <w:rPr>
          <w:sz w:val="20"/>
          <w:szCs w:val="20"/>
          <w:color w:val="auto"/>
        </w:rPr>
      </w:pPr>
    </w:p>
    <w:p>
      <w:pPr>
        <w:jc w:val="both"/>
        <w:ind w:left="280"/>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the Administrative Agent and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8"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Conditions to All Credit Extensions</w:t>
      </w:r>
      <w:r>
        <w:rPr>
          <w:rFonts w:ascii="Arial" w:cs="Arial" w:eastAsia="Arial" w:hAnsi="Arial"/>
          <w:sz w:val="20"/>
          <w:szCs w:val="20"/>
          <w:color w:val="auto"/>
        </w:rPr>
        <w:t xml:space="preserve">. The obligation of each Lender to honor any Request for Credit Extension (other than a Committed Loan Notice requesting only a conversion of Loans to the other Type, or a continuation of Eurocurrency Rate Loans) is subject to the following conditions precedent, which in the case of an Incremental Term Loan to be used to finance a Limited Condition Acquisition, shall be subject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24" w:name="page225"/>
    <w:bookmarkEnd w:id="224"/>
    <w:p>
      <w:pPr>
        <w:jc w:val="both"/>
        <w:ind w:left="920" w:firstLine="655"/>
        <w:spacing w:after="0" w:line="310" w:lineRule="auto"/>
        <w:tabs>
          <w:tab w:leader="none" w:pos="24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any other Loan Document shall be true and correct in all material respects on and as of the date of such Credit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representation and warranty that is qualified as to “materiality,” “Material Adverse Effect” or similar language shall be true and correct in all respects on such respective dates.</w:t>
      </w:r>
    </w:p>
    <w:p>
      <w:pPr>
        <w:spacing w:after="0" w:line="175" w:lineRule="exact"/>
        <w:rPr>
          <w:rFonts w:ascii="Arial" w:cs="Arial" w:eastAsia="Arial" w:hAnsi="Arial"/>
          <w:sz w:val="18"/>
          <w:szCs w:val="18"/>
          <w:color w:val="auto"/>
        </w:rPr>
      </w:pPr>
    </w:p>
    <w:p>
      <w:pPr>
        <w:ind w:left="920" w:firstLine="655"/>
        <w:spacing w:after="0" w:line="289" w:lineRule="auto"/>
        <w:tabs>
          <w:tab w:leader="none" w:pos="2447" w:val="left"/>
        </w:tabs>
        <w:numPr>
          <w:ilvl w:val="0"/>
          <w:numId w:val="207"/>
        </w:numPr>
        <w:rPr>
          <w:rFonts w:ascii="Arial" w:cs="Arial" w:eastAsia="Arial" w:hAnsi="Arial"/>
          <w:sz w:val="20"/>
          <w:szCs w:val="20"/>
          <w:color w:val="auto"/>
        </w:rPr>
      </w:pPr>
      <w:r>
        <w:rPr>
          <w:rFonts w:ascii="Arial" w:cs="Arial" w:eastAsia="Arial" w:hAnsi="Arial"/>
          <w:sz w:val="20"/>
          <w:szCs w:val="20"/>
          <w:color w:val="auto"/>
        </w:rPr>
        <w:t>No Default shall exist, or would result from such proposed Credit Extension or from the application of the proceeds therefrom.</w:t>
      </w:r>
    </w:p>
    <w:p>
      <w:pPr>
        <w:spacing w:after="0" w:line="175" w:lineRule="exact"/>
        <w:rPr>
          <w:rFonts w:ascii="Arial" w:cs="Arial" w:eastAsia="Arial" w:hAnsi="Arial"/>
          <w:sz w:val="20"/>
          <w:szCs w:val="20"/>
          <w:color w:val="auto"/>
        </w:rPr>
      </w:pPr>
    </w:p>
    <w:p>
      <w:pPr>
        <w:ind w:left="920" w:firstLine="655"/>
        <w:spacing w:after="0" w:line="289" w:lineRule="auto"/>
        <w:tabs>
          <w:tab w:leader="none" w:pos="243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Administrative Agent and, if applicable, the relevant L/C Issuer or the Swing Line Lender shall have received a Request for Credit Extension in accordance with the requirements hereof.</w:t>
      </w:r>
    </w:p>
    <w:p>
      <w:pPr>
        <w:spacing w:after="0" w:line="175" w:lineRule="exact"/>
        <w:rPr>
          <w:sz w:val="20"/>
          <w:szCs w:val="20"/>
          <w:color w:val="auto"/>
        </w:rPr>
      </w:pPr>
    </w:p>
    <w:p>
      <w:pPr>
        <w:jc w:val="both"/>
        <w:ind w:left="280" w:firstLine="648"/>
        <w:spacing w:after="0" w:line="291"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Loans to the other Type or a continuation of Eurocurrency Rate Loans) submitted by the Company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52"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Each Borrower represents and warrants to the Agents and the Lenders that:</w:t>
      </w:r>
    </w:p>
    <w:p>
      <w:pPr>
        <w:spacing w:after="0" w:line="229"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Existence, Qualification and Power; Compliance with Laws</w:t>
      </w:r>
      <w:r>
        <w:rPr>
          <w:rFonts w:ascii="Arial" w:cs="Arial" w:eastAsia="Arial" w:hAnsi="Arial"/>
          <w:sz w:val="19"/>
          <w:szCs w:val="19"/>
          <w:color w:val="auto"/>
        </w:rPr>
        <w:t>. Each Loan Party and each of its Subsidiaries (a) is a Person duly organized or formed, validly existing and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in good standing under the Laws of each jurisdiction where its ownership, lease or operation of properties or the conduct of its business requires such qualification, (d) is in compliance with all Laws, orders, writs, injunctions and orders and (e) has all requisite governmental licenses, authorizations, consents and approvals to operate its business as currently conducted; except in each case referred to in clause (c), (d) or (e) above, to the extent that failure to do so, either individually or in the aggregate, could not reasonably be expected to have a Material Adverse Effect. No Loan Party nor any Subsidiary thereof is an EEA Financial Institution.</w:t>
      </w:r>
    </w:p>
    <w:p>
      <w:pPr>
        <w:spacing w:after="0" w:line="198"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xml:space="preserve">. The execution, delivery and performance by each Loan Party of each Loan Document to which such Person is a party, and the consummation of the Transaction, are within such Loan Party’s corporate or other powers, have been duly authorized by all necessary corporate or other organizational action, and do not and will not (a) contravene the terms of any of such Person’s Organization Documents, (b) conflict with or result in any breach or contravention of, or the creation of any Lien under (other than as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or require any payment to be made under (i) (x) any Junior Financing Documentation and any other indenture, mortgage, deed of trust or loan agreement evidencing Indebtedness in an aggregate principal amount in excess of the Threshold Amount or (y) any Contractual Obligation to which such Person is a party or affecting such Person or the properties of such Person or any of its Subsidiaries or (ii) any material order, injunction, writ or decree of any Governmental Authority or any arbitral award to which such Person or its property is subject; or (c) violate any material Law; except with respect to any conflict, breach or contravention or payment (but not creation of Liens)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25" w:name="page226"/>
    <w:bookmarkEnd w:id="225"/>
    <w:p>
      <w:pPr>
        <w:jc w:val="both"/>
        <w:ind w:left="280"/>
        <w:spacing w:after="0" w:line="260" w:lineRule="auto"/>
        <w:rPr>
          <w:sz w:val="20"/>
          <w:szCs w:val="20"/>
          <w:color w:val="auto"/>
        </w:rPr>
      </w:pPr>
      <w:r>
        <w:rPr>
          <w:rFonts w:ascii="Arial" w:cs="Arial" w:eastAsia="Arial" w:hAnsi="Arial"/>
          <w:sz w:val="20"/>
          <w:szCs w:val="20"/>
          <w:color w:val="auto"/>
        </w:rPr>
        <w:t>referred to in clause (b)(i)(y) above, to the extent that such conflict, breach, contravention or payment, either individually or in the aggregate, could not reasonably be expected to have a Material Adverse Effect.</w:t>
      </w:r>
    </w:p>
    <w:p>
      <w:pPr>
        <w:spacing w:after="0" w:line="177"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Governmental Authorization; Other Consents</w:t>
      </w:r>
      <w:r>
        <w:rPr>
          <w:rFonts w:ascii="Arial" w:cs="Arial" w:eastAsia="Arial" w:hAnsi="Arial"/>
          <w:sz w:val="19"/>
          <w:szCs w:val="19"/>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either individually or in the aggregate, could not reasonably be expected to have a Material Adverse Effect.</w:t>
      </w:r>
    </w:p>
    <w:p>
      <w:pPr>
        <w:spacing w:after="0" w:line="202" w:lineRule="exact"/>
        <w:rPr>
          <w:sz w:val="20"/>
          <w:szCs w:val="20"/>
          <w:color w:val="auto"/>
        </w:rPr>
      </w:pPr>
    </w:p>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Debtor Relief Laws, general principles of equity (whether considered in a proceeding in equity or law) and an implied covenant of good faith and fair dealing.</w:t>
      </w:r>
    </w:p>
    <w:p>
      <w:pPr>
        <w:spacing w:after="0" w:line="175"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Financial Statements; No Material Adverse Effect</w:t>
      </w:r>
      <w:r>
        <w:rPr>
          <w:rFonts w:ascii="Arial" w:cs="Arial" w:eastAsia="Arial" w:hAnsi="Arial"/>
          <w:sz w:val="20"/>
          <w:szCs w:val="20"/>
          <w:color w:val="auto"/>
        </w:rPr>
        <w:t>. (a) The Audited Financial Statements and the Unaudited Financial Statements fairly present in all material respects the financial condition of the Company and its Subsidiaries as of the dates thereof and their results of operations for the period covered thereby in accordance with GAAP consistently applied throughout the periods covered thereby, except as otherwise expressly noted therein (subject, in the case of the Unaudited Financial Statements, to normal year-end audit adjustments and the absence of footnotes).</w:t>
      </w:r>
    </w:p>
    <w:p>
      <w:pPr>
        <w:spacing w:after="0" w:line="222" w:lineRule="exact"/>
        <w:rPr>
          <w:sz w:val="20"/>
          <w:szCs w:val="20"/>
          <w:color w:val="auto"/>
        </w:rPr>
      </w:pPr>
    </w:p>
    <w:p>
      <w:pPr>
        <w:ind w:left="280" w:firstLine="646"/>
        <w:spacing w:after="0" w:line="289" w:lineRule="auto"/>
        <w:tabs>
          <w:tab w:leader="none" w:pos="1807" w:val="left"/>
        </w:tabs>
        <w:numPr>
          <w:ilvl w:val="0"/>
          <w:numId w:val="208"/>
        </w:numPr>
        <w:rPr>
          <w:rFonts w:ascii="Arial" w:cs="Arial" w:eastAsia="Arial" w:hAnsi="Arial"/>
          <w:sz w:val="20"/>
          <w:szCs w:val="20"/>
          <w:color w:val="auto"/>
        </w:rPr>
      </w:pPr>
      <w:r>
        <w:rPr>
          <w:rFonts w:ascii="Arial" w:cs="Arial" w:eastAsia="Arial" w:hAnsi="Arial"/>
          <w:sz w:val="20"/>
          <w:szCs w:val="20"/>
          <w:color w:val="auto"/>
        </w:rPr>
        <w:t>Since December 31, 2016, there has been no event or circumstance, either individually or in the aggregate, that has had or could reasonably be expected to have a Material Adverse Effect.</w:t>
      </w:r>
    </w:p>
    <w:p>
      <w:pPr>
        <w:spacing w:after="0" w:line="175" w:lineRule="exact"/>
        <w:rPr>
          <w:rFonts w:ascii="Arial" w:cs="Arial" w:eastAsia="Arial" w:hAnsi="Arial"/>
          <w:sz w:val="20"/>
          <w:szCs w:val="20"/>
          <w:color w:val="auto"/>
        </w:rPr>
      </w:pPr>
    </w:p>
    <w:p>
      <w:pPr>
        <w:jc w:val="both"/>
        <w:ind w:left="280" w:firstLine="646"/>
        <w:spacing w:after="0" w:line="273" w:lineRule="auto"/>
        <w:tabs>
          <w:tab w:leader="none" w:pos="1796"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forecasts of consolidated balance sheets, income statements and cash flow statements of the Company and its Subsidiaries for each fiscal years 2018 through 2022, copies of which have been furnished to the Administrative Agent prior to the Closing Date in a form reasonably satisfactory to it, have been prepared in good faith on the basis of the assumptions stated therein, which assumptions were believed to be reasonable at the time of preparation of such forecasts, it being understood that actual results may vary from such forecasts and that such variations may be material.</w:t>
      </w:r>
    </w:p>
    <w:p>
      <w:pPr>
        <w:spacing w:after="0" w:line="204" w:lineRule="exact"/>
        <w:rPr>
          <w:rFonts w:ascii="Arial" w:cs="Arial" w:eastAsia="Arial" w:hAnsi="Arial"/>
          <w:sz w:val="20"/>
          <w:szCs w:val="20"/>
          <w:color w:val="auto"/>
        </w:rPr>
      </w:pPr>
    </w:p>
    <w:p>
      <w:pPr>
        <w:jc w:val="both"/>
        <w:ind w:left="280" w:firstLine="646"/>
        <w:spacing w:after="0" w:line="314" w:lineRule="auto"/>
        <w:tabs>
          <w:tab w:leader="none" w:pos="180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As of the Closing Date, neither any Borrower nor any Subsidiary has any Indebtedness or other obligations or liabilities, direct or contingent (other than (i) such liabilities as are set forth in the financial statements described in clause (a) of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(ii) obligations arising under the Loan Documents or otherwise permitted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(iii) liabilities incurred in the ordinary course of business) that, either individually or in the aggregate, have had or could reasonably be expected to have a Material Adverse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26" w:name="page227"/>
    <w:bookmarkEnd w:id="226"/>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5.06</w:t>
      </w:r>
      <w:r>
        <w:rPr>
          <w:rFonts w:ascii="Arial" w:cs="Arial" w:eastAsia="Arial" w:hAnsi="Arial"/>
          <w:sz w:val="20"/>
          <w:szCs w:val="20"/>
          <w:color w:val="auto"/>
        </w:rPr>
        <w:t>, there are no actions, suits, proceedings, claims or disputes pending or, to the knowledge of any Borrower, threatened in writing or contemplated,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205" w:lineRule="exact"/>
        <w:rPr>
          <w:sz w:val="20"/>
          <w:szCs w:val="20"/>
          <w:color w:val="auto"/>
        </w:rPr>
      </w:pPr>
    </w:p>
    <w:p>
      <w:pPr>
        <w:jc w:val="both"/>
        <w:ind w:left="280" w:firstLine="648"/>
        <w:spacing w:after="0" w:line="28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No Default</w:t>
      </w:r>
      <w:r>
        <w:rPr>
          <w:rFonts w:ascii="Arial" w:cs="Arial" w:eastAsia="Arial" w:hAnsi="Arial"/>
          <w:sz w:val="19"/>
          <w:szCs w:val="19"/>
          <w:color w:val="auto"/>
        </w:rPr>
        <w:t>. Neither any Borrower nor any Subsidiary is in default under or with respect to, or a party to, any Contractual Obligation that could, either individually or in the aggregate, reasonably be expected to have a Material Adverse Effect.</w:t>
      </w:r>
    </w:p>
    <w:p>
      <w:pPr>
        <w:spacing w:after="0" w:line="166"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xml:space="preserve">. Each Borrower and each of its Subsidiaries has good record and marketable title in fee simple to, or valid leasehold interests in, or easements or other limited property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except where the failure to have such title could not reasonably be expected to have, either individually or in the aggregate, a Material Adverse Effect.</w:t>
      </w:r>
    </w:p>
    <w:p>
      <w:pPr>
        <w:spacing w:after="0" w:line="165"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Environmental Compliance</w:t>
      </w:r>
      <w:r>
        <w:rPr>
          <w:rFonts w:ascii="Arial" w:cs="Arial" w:eastAsia="Arial" w:hAnsi="Arial"/>
          <w:sz w:val="20"/>
          <w:szCs w:val="20"/>
          <w:color w:val="auto"/>
        </w:rPr>
        <w:t>. (a) There are no claims, actions, suits, or proceedings alleging potential liability or responsibility for violation of, or otherwise relating to, any Environmental Law that could, either individually or in the aggregate, reasonably be expected to have a Material Adverse Effect.</w:t>
      </w:r>
    </w:p>
    <w:p>
      <w:pPr>
        <w:spacing w:after="0" w:line="200" w:lineRule="exact"/>
        <w:rPr>
          <w:sz w:val="20"/>
          <w:szCs w:val="20"/>
          <w:color w:val="auto"/>
        </w:rPr>
      </w:pPr>
    </w:p>
    <w:p>
      <w:pPr>
        <w:jc w:val="both"/>
        <w:ind w:left="280" w:firstLine="646"/>
        <w:spacing w:after="0" w:line="302" w:lineRule="auto"/>
        <w:tabs>
          <w:tab w:leader="none" w:pos="180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Except as could not reasonably be expected to have, either individually or in the aggregate, a Material Adverse Effect: (i) none of the properties currently or formerly owned, leased or operated by the Company or any of the Company’s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leased or operated by the Company or any of the Company’s Subsidiaries or, to its knowledge, on any property formerly owned or operated by the Company or any of the Company’s Subsidiaries; (iii) there is no asbestos or asbestos-containing material on any property currently owned or operated by the Company or any of the Company’s Subsidiaries; and (iv) Hazardous Materials have not been released, discharged or disposed of by any Person on any property currently or formerly owned, leased or operated by the Company or any of the Company’s Subsidiaries and Hazardous Materials have not otherwise been released, discharged or disposed of by the Company or any of the Company’s Subsidiaries at any other location.</w:t>
      </w:r>
    </w:p>
    <w:p>
      <w:pPr>
        <w:spacing w:after="0" w:line="173" w:lineRule="exact"/>
        <w:rPr>
          <w:rFonts w:ascii="Arial" w:cs="Arial" w:eastAsia="Arial" w:hAnsi="Arial"/>
          <w:sz w:val="18"/>
          <w:szCs w:val="18"/>
          <w:color w:val="auto"/>
        </w:rPr>
      </w:pPr>
    </w:p>
    <w:p>
      <w:pPr>
        <w:jc w:val="both"/>
        <w:ind w:left="280" w:firstLine="646"/>
        <w:spacing w:after="0" w:line="297" w:lineRule="auto"/>
        <w:tabs>
          <w:tab w:leader="none" w:pos="179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properties owned, leased or operated by the Company or any of the Company’s Subsidiaries do not contain any Hazardous Materials in amounts or concentrations which (i) constitute, or constituted a violation of, (ii) require remedial action under, or</w:t>
      </w:r>
    </w:p>
    <w:p>
      <w:pPr>
        <w:ind w:left="280" w:right="20" w:hanging="2"/>
        <w:spacing w:after="0" w:line="289" w:lineRule="auto"/>
        <w:tabs>
          <w:tab w:leader="none" w:pos="64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could reasonably be expected to give rise to liability under, Environmental Laws, which violations, remedial actions and liabilities, either individually or in the aggregate, could reasonably be expected to result in a Material Adverse Effect.</w:t>
      </w:r>
    </w:p>
    <w:p>
      <w:pPr>
        <w:spacing w:after="0" w:line="175" w:lineRule="exact"/>
        <w:rPr>
          <w:rFonts w:ascii="Arial" w:cs="Arial" w:eastAsia="Arial" w:hAnsi="Arial"/>
          <w:sz w:val="20"/>
          <w:szCs w:val="20"/>
          <w:color w:val="auto"/>
        </w:rPr>
      </w:pPr>
    </w:p>
    <w:p>
      <w:pPr>
        <w:jc w:val="both"/>
        <w:ind w:left="280" w:firstLine="646"/>
        <w:spacing w:after="0" w:line="310" w:lineRule="auto"/>
        <w:tabs>
          <w:tab w:leader="none" w:pos="180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None of the Company or any of the Company’s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or assessment or remedial or response action that, either individually or in the aggregate, could not reasonably be expected to result in a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227" w:name="page228"/>
    <w:bookmarkEnd w:id="227"/>
    <w:p>
      <w:pPr>
        <w:jc w:val="both"/>
        <w:ind w:left="280" w:firstLine="646"/>
        <w:spacing w:after="0" w:line="278" w:lineRule="auto"/>
        <w:tabs>
          <w:tab w:leader="none" w:pos="179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All Hazardous Materials generated, used, treated, handled or stored at, or transported to or from, any property currently or formerly owned or operated by the Company or any of the Company’s Subsidiaries have been disposed of in a manner not reasonably expected to result, either individually or in the aggregate, in a Material Adverse Effect.</w:t>
      </w:r>
    </w:p>
    <w:p>
      <w:pPr>
        <w:spacing w:after="0" w:line="200" w:lineRule="exact"/>
        <w:rPr>
          <w:rFonts w:ascii="Arial" w:cs="Arial" w:eastAsia="Arial" w:hAnsi="Arial"/>
          <w:sz w:val="20"/>
          <w:szCs w:val="20"/>
          <w:color w:val="auto"/>
        </w:rPr>
      </w:pPr>
    </w:p>
    <w:p>
      <w:pPr>
        <w:jc w:val="both"/>
        <w:ind w:left="280" w:firstLine="646"/>
        <w:spacing w:after="0" w:line="278" w:lineRule="auto"/>
        <w:tabs>
          <w:tab w:leader="none" w:pos="1774" w:val="left"/>
        </w:tabs>
        <w:numPr>
          <w:ilvl w:val="0"/>
          <w:numId w:val="211"/>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either individually or in the aggregate, in a Material Adverse Effect, none of the Company or any of the Company’s Subsidiaries has contractually assumed any liability or obligation under or relating to any Environmental Law.</w:t>
      </w:r>
    </w:p>
    <w:p>
      <w:pPr>
        <w:spacing w:after="0" w:line="187"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Taxes</w:t>
      </w:r>
      <w:r>
        <w:rPr>
          <w:rFonts w:ascii="Arial" w:cs="Arial" w:eastAsia="Arial" w:hAnsi="Arial"/>
          <w:sz w:val="20"/>
          <w:szCs w:val="20"/>
          <w:color w:val="auto"/>
        </w:rPr>
        <w:t>. Except as could not, either individually or in the aggregate, reasonably be expected to result in a Material Adverse Effect, each Borrower and each Borrower’s Subsidiaries have filed all Federal and other tax returns and reports required to be filed by them, and have paid all Federal and state and other taxes, assessments, fees and other governmental charges levied or imposed upon them or their properties, income or assets otherwise due and payable, except those (a) which are not overdue by more than thirty (30) days or (b) which are being contested in good faith by appropriate proceedings diligently conducted and for which adequate reserves have been provided in accordance with GAAP.</w:t>
      </w:r>
    </w:p>
    <w:p>
      <w:pPr>
        <w:spacing w:after="0" w:line="196"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ERISA Compliance</w:t>
      </w:r>
      <w:r>
        <w:rPr>
          <w:rFonts w:ascii="Arial" w:cs="Arial" w:eastAsia="Arial" w:hAnsi="Arial"/>
          <w:sz w:val="18"/>
          <w:szCs w:val="18"/>
          <w:color w:val="auto"/>
        </w:rPr>
        <w:t>. (a) Except as could not, either individually or in the aggregate, reasonably be expected to result in a Material Adverse Effect, each Plan is in compliance in with the applicable provisions of ERISA, the Code and other Federal or state Laws.</w:t>
      </w:r>
    </w:p>
    <w:p>
      <w:pPr>
        <w:spacing w:after="0" w:line="157" w:lineRule="exact"/>
        <w:rPr>
          <w:sz w:val="20"/>
          <w:szCs w:val="20"/>
          <w:color w:val="auto"/>
        </w:rPr>
      </w:pPr>
    </w:p>
    <w:p>
      <w:pPr>
        <w:jc w:val="both"/>
        <w:ind w:left="280" w:firstLine="646"/>
        <w:spacing w:after="0" w:line="304" w:lineRule="auto"/>
        <w:tabs>
          <w:tab w:leader="none" w:pos="180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(i) No ERISA Event has occurred during the five year period prior to the date on which this representation is made or deemed made with respect to any Pension Plan; (ii) neither any Loan Party nor any ERISA Affiliate has incurred, or reasonably expects to incur, any liability under Title IV of ERISA with respect to any Pension Plan (other than premiums due and not delinquent under Section 4007 of ERISA); (iii) neither any Loan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Loan Party nor any ERISA Affiliate has engaged in a transaction that could be subject to Sections 4069 or 4212(c) of ERISA, except, with respect to each of the foregoing clauses of this </w:t>
      </w:r>
      <w:r>
        <w:rPr>
          <w:rFonts w:ascii="Arial" w:cs="Arial" w:eastAsia="Arial" w:hAnsi="Arial"/>
          <w:sz w:val="18"/>
          <w:szCs w:val="18"/>
          <w:u w:val="single" w:color="auto"/>
          <w:color w:val="auto"/>
        </w:rPr>
        <w:t>Section 5.11(b)</w:t>
      </w:r>
      <w:r>
        <w:rPr>
          <w:rFonts w:ascii="Arial" w:cs="Arial" w:eastAsia="Arial" w:hAnsi="Arial"/>
          <w:sz w:val="18"/>
          <w:szCs w:val="18"/>
          <w:color w:val="auto"/>
        </w:rPr>
        <w:t>, as could not reasonably be expected, either individually or in the aggregate, to result in a Material Adverse Effect.</w:t>
      </w:r>
    </w:p>
    <w:p>
      <w:pPr>
        <w:spacing w:after="0" w:line="184"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There are no pending or, to the knowledge of any Loan Party, threatened claims, actions or lawsuits, or action by any Governmental Authority, with respect to any Plan that could reasonably be expected to have a Material Adverse Effect. To the knowledge of each Borrower, there has been no prohibited transaction or violation of any fiduciary duty under ERISA with respect to any Plan that has resulted or could reasonably be expected to result in a Material Adverse Effect.</w:t>
      </w:r>
    </w:p>
    <w:p>
      <w:pPr>
        <w:spacing w:after="0" w:line="205" w:lineRule="exact"/>
        <w:rPr>
          <w:rFonts w:ascii="Arial" w:cs="Arial" w:eastAsia="Arial" w:hAnsi="Arial"/>
          <w:sz w:val="20"/>
          <w:szCs w:val="20"/>
          <w:color w:val="auto"/>
        </w:rPr>
      </w:pPr>
    </w:p>
    <w:p>
      <w:pPr>
        <w:jc w:val="both"/>
        <w:ind w:left="280" w:firstLine="646"/>
        <w:spacing w:after="0" w:line="278" w:lineRule="auto"/>
        <w:tabs>
          <w:tab w:leader="none" w:pos="1807" w:val="left"/>
        </w:tabs>
        <w:numPr>
          <w:ilvl w:val="0"/>
          <w:numId w:val="212"/>
        </w:numPr>
        <w:rPr>
          <w:rFonts w:ascii="Arial" w:cs="Arial" w:eastAsia="Arial" w:hAnsi="Arial"/>
          <w:sz w:val="20"/>
          <w:szCs w:val="20"/>
          <w:color w:val="auto"/>
        </w:rPr>
      </w:pPr>
      <w:r>
        <w:rPr>
          <w:rFonts w:ascii="Arial" w:cs="Arial" w:eastAsia="Arial" w:hAnsi="Arial"/>
          <w:sz w:val="20"/>
          <w:szCs w:val="20"/>
          <w:color w:val="auto"/>
        </w:rPr>
        <w:t>As of the Closing Date, each Borrower is not and will not be using “plan assets” (within the meaning of 29 CFR § 2510.3-101, as modified by Section 3(42) of ERISA) of one or more Benefit Plans in connection with the Loans, the Letters of Credit or the Commitments.</w:t>
      </w:r>
    </w:p>
    <w:p>
      <w:pPr>
        <w:spacing w:after="0" w:line="187"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u w:val="single" w:color="auto"/>
          <w:color w:val="auto"/>
        </w:rPr>
        <w:t>Subsidiaries; Equity Interests</w:t>
      </w:r>
      <w:r>
        <w:rPr>
          <w:rFonts w:ascii="Arial" w:cs="Arial" w:eastAsia="Arial" w:hAnsi="Arial"/>
          <w:sz w:val="20"/>
          <w:szCs w:val="20"/>
          <w:color w:val="auto"/>
        </w:rPr>
        <w:t xml:space="preserve">. As of the Closing Date, (a) neither Borrower has any Subsidiaries other than those specifically disclosed in </w:t>
      </w:r>
      <w:r>
        <w:rPr>
          <w:rFonts w:ascii="Arial" w:cs="Arial" w:eastAsia="Arial" w:hAnsi="Arial"/>
          <w:sz w:val="20"/>
          <w:szCs w:val="20"/>
          <w:u w:val="single" w:color="auto"/>
          <w:color w:val="auto"/>
        </w:rPr>
        <w:t>Schedule 5.12</w:t>
      </w:r>
      <w:r>
        <w:rPr>
          <w:rFonts w:ascii="Arial" w:cs="Arial" w:eastAsia="Arial" w:hAnsi="Arial"/>
          <w:sz w:val="20"/>
          <w:szCs w:val="20"/>
          <w:color w:val="auto"/>
        </w:rPr>
        <w:t xml:space="preserve">, (b) all of the outstanding Equity Interests in each Borrower and in the material Subsidiaries of each Borrower have been validly issued, are fully paid and nonassessable and (c) all Equity Interests owned by each Borrower and the Subsidiary Guarantors are (in each case) owned free and clear of all Liens except (i) those created under the Collateral Documents and (ii) any nonconsensual Lien that is permitted under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As of the Closing Date, </w:t>
      </w:r>
      <w:r>
        <w:rPr>
          <w:rFonts w:ascii="Arial" w:cs="Arial" w:eastAsia="Arial" w:hAnsi="Arial"/>
          <w:sz w:val="20"/>
          <w:szCs w:val="20"/>
          <w:u w:val="single" w:color="auto"/>
          <w:color w:val="auto"/>
        </w:rPr>
        <w:t>Schedule 5.12</w:t>
      </w:r>
      <w:r>
        <w:rPr>
          <w:rFonts w:ascii="Arial" w:cs="Arial" w:eastAsia="Arial" w:hAnsi="Arial"/>
          <w:sz w:val="20"/>
          <w:szCs w:val="20"/>
          <w:color w:val="auto"/>
        </w:rPr>
        <w:t xml:space="preserve"> (a) sets forth the name and jurisdiction of each Borrower and each Subsidiary of each Borrower, (b) sets forth the ownership interest of each Borrower and any other Subsidiary of any Borrower in each Borrower and in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28" w:name="page229"/>
    <w:bookmarkEnd w:id="228"/>
    <w:p>
      <w:pPr>
        <w:jc w:val="both"/>
        <w:ind w:left="280"/>
        <w:spacing w:after="0" w:line="269" w:lineRule="auto"/>
        <w:rPr>
          <w:sz w:val="20"/>
          <w:szCs w:val="20"/>
          <w:color w:val="auto"/>
        </w:rPr>
      </w:pPr>
      <w:r>
        <w:rPr>
          <w:rFonts w:ascii="Arial" w:cs="Arial" w:eastAsia="Arial" w:hAnsi="Arial"/>
          <w:sz w:val="19"/>
          <w:szCs w:val="19"/>
          <w:color w:val="auto"/>
        </w:rPr>
        <w:t xml:space="preserve">each Subsidiary of each Borrower (excluding any Restaurant LP set forth on </w:t>
      </w:r>
      <w:r>
        <w:rPr>
          <w:rFonts w:ascii="Arial" w:cs="Arial" w:eastAsia="Arial" w:hAnsi="Arial"/>
          <w:sz w:val="19"/>
          <w:szCs w:val="19"/>
          <w:u w:val="single" w:color="auto"/>
          <w:color w:val="auto"/>
        </w:rPr>
        <w:t>Schedule 1.01E</w:t>
      </w:r>
      <w:r>
        <w:rPr>
          <w:rFonts w:ascii="Arial" w:cs="Arial" w:eastAsia="Arial" w:hAnsi="Arial"/>
          <w:sz w:val="19"/>
          <w:szCs w:val="19"/>
          <w:color w:val="auto"/>
        </w:rPr>
        <w:t xml:space="preserve"> and any Employment Participation Subsidiary), including the percentage of such ownership and (c) identifies each Subsidiary of each Borrower, the Equity Interests of which are required to be pledged on the Closing Date pursuant to the Collateral and Guarantee Requirement.</w:t>
      </w:r>
    </w:p>
    <w:p>
      <w:pPr>
        <w:spacing w:after="0" w:line="184"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Margin Regulations; Investment Company Act</w:t>
      </w:r>
      <w:r>
        <w:rPr>
          <w:rFonts w:ascii="Arial" w:cs="Arial" w:eastAsia="Arial" w:hAnsi="Arial"/>
          <w:sz w:val="20"/>
          <w:szCs w:val="20"/>
          <w:color w:val="auto"/>
        </w:rPr>
        <w:t>. (a) No Borrower is engaged nor will engage, principally or as one of its important activities, in the business of purchasing or carrying Margin Stock, or extending credit for the purpose of purchasing or carrying Margin Stock, and no proceeds of any Borrowings or drawings under any Letter of Credit will be used for the purpose of purchasing or carrying Margin Stock or any other any purpose that violates Regulation U.</w:t>
      </w:r>
    </w:p>
    <w:p>
      <w:pPr>
        <w:spacing w:after="0" w:line="205" w:lineRule="exact"/>
        <w:rPr>
          <w:sz w:val="20"/>
          <w:szCs w:val="20"/>
          <w:color w:val="auto"/>
        </w:rPr>
      </w:pPr>
    </w:p>
    <w:p>
      <w:pPr>
        <w:ind w:left="280" w:right="20" w:firstLine="646"/>
        <w:spacing w:after="0" w:line="260" w:lineRule="auto"/>
        <w:tabs>
          <w:tab w:leader="none" w:pos="124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None of any Borrower, any Person Controlling any Borrower, or any Subsidiary is or is required to be registered as an “investment company” under the Investment Company Act of 1940.</w:t>
      </w:r>
    </w:p>
    <w:p>
      <w:pPr>
        <w:spacing w:after="0" w:line="190" w:lineRule="exact"/>
        <w:rPr>
          <w:sz w:val="20"/>
          <w:szCs w:val="20"/>
          <w:color w:val="auto"/>
        </w:rPr>
      </w:pPr>
    </w:p>
    <w:p>
      <w:pPr>
        <w:jc w:val="both"/>
        <w:ind w:left="280" w:firstLine="648"/>
        <w:spacing w:after="0" w:line="242"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No report, financial statement, certificate or other written information furnished by or on behalf of any Loan Party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 financial information and pro forma financial information, each Borrower represents only that such information was prepared in good faith based upon assumptions believed to be reasonable at the time of preparation; it being understood that such projections may vary from actual results and that such variances may be material.</w:t>
      </w:r>
    </w:p>
    <w:p>
      <w:pPr>
        <w:spacing w:after="0" w:line="211"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 Each Borrower and each of its Subsidiaries own, license or possess the right to use, all of the trademarks, service marks, trade names, domain names, copyrights, patents, patent rights, licenses, technology, software, know-how, database rights, right of privacy and publicity, and all other intellectual property rights (collectively, “</w:t>
      </w:r>
      <w:r>
        <w:rPr>
          <w:rFonts w:ascii="Arial" w:cs="Arial" w:eastAsia="Arial" w:hAnsi="Arial"/>
          <w:sz w:val="18"/>
          <w:szCs w:val="18"/>
          <w:u w:val="single" w:color="auto"/>
          <w:color w:val="auto"/>
        </w:rPr>
        <w:t>IP Rights</w:t>
      </w:r>
      <w:r>
        <w:rPr>
          <w:rFonts w:ascii="Arial" w:cs="Arial" w:eastAsia="Arial" w:hAnsi="Arial"/>
          <w:sz w:val="18"/>
          <w:szCs w:val="18"/>
          <w:color w:val="auto"/>
        </w:rPr>
        <w:t>”) that are necessary for the operation of their respective businesses as currently conducted, and, without conflict with the rights of any Person, except to the extent such conflicts, either individually or in the aggregate, could not reasonably be expected to have a Material Adverse Effect. The operation of the respective businesses of any Borrower or any Subsidiary as currently conducted does not infringe upon, misuse, misappropriate or violate any rights held by any Person, except for such infringements, misuses, misappropriations or violations which could not, either individually or in the aggregate, reasonably be expected to have a Material Adverse Effect. No claim or litigation regarding any IP Rights is pending or threatened in writing against any Borrower or any of its Subsidiaries, which, either individually or in the aggregate, could reasonably be expected to have a Material Adverse Effect.</w:t>
      </w:r>
    </w:p>
    <w:p>
      <w:pPr>
        <w:spacing w:after="0" w:line="188"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Solvency</w:t>
      </w:r>
      <w:r>
        <w:rPr>
          <w:rFonts w:ascii="Arial" w:cs="Arial" w:eastAsia="Arial" w:hAnsi="Arial"/>
          <w:sz w:val="20"/>
          <w:szCs w:val="20"/>
          <w:color w:val="auto"/>
        </w:rPr>
        <w:t>. On the Closing Date after giving effect to the Transaction, the Loan Parties, on a consolidated basis, are Solvent.</w:t>
      </w:r>
    </w:p>
    <w:p>
      <w:pPr>
        <w:spacing w:after="0" w:line="177"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Subordination of Junior Financing</w:t>
      </w:r>
      <w:r>
        <w:rPr>
          <w:rFonts w:ascii="Arial" w:cs="Arial" w:eastAsia="Arial" w:hAnsi="Arial"/>
          <w:sz w:val="20"/>
          <w:szCs w:val="20"/>
          <w:color w:val="auto"/>
        </w:rPr>
        <w:t>. The Obligations are “Senior Debt,” “Senior Indebtedness,” “Guarantor Senior Debt” or “Senior Secured Financing” (or any comparable term) under, and as defined in, any Junior Financing Documentation that is (or is required to be) subordinated to the Obligations.</w:t>
      </w:r>
    </w:p>
    <w:p>
      <w:pPr>
        <w:spacing w:after="0" w:line="200" w:lineRule="exact"/>
        <w:rPr>
          <w:sz w:val="20"/>
          <w:szCs w:val="20"/>
          <w:color w:val="auto"/>
        </w:rPr>
      </w:pPr>
    </w:p>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could not, either individually or in the aggregate, reasonably be expected to have a Material Adverse Effect: (a) there are no strikes or other labor disputes against the Company or any of the Company’s Subsidiaries pending or, to the knowledge of any Borrower, threatened; (b) hours worked by and payment made to employees of each of the Company or any of the Company’s Subsidiaries have not been in violation of the Fair Labor Standards Act or any other applicable Laws dealing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29" w:name="page230"/>
    <w:bookmarkEnd w:id="229"/>
    <w:p>
      <w:pPr>
        <w:jc w:val="both"/>
        <w:ind w:left="280"/>
        <w:spacing w:after="0" w:line="260" w:lineRule="auto"/>
        <w:rPr>
          <w:sz w:val="20"/>
          <w:szCs w:val="20"/>
          <w:color w:val="auto"/>
        </w:rPr>
      </w:pPr>
      <w:r>
        <w:rPr>
          <w:rFonts w:ascii="Arial" w:cs="Arial" w:eastAsia="Arial" w:hAnsi="Arial"/>
          <w:sz w:val="20"/>
          <w:szCs w:val="20"/>
          <w:color w:val="auto"/>
        </w:rPr>
        <w:t>with such matters; and (c) all payments due from the Company or any of the Company’s Subsidiaries on account of employee health and welfare insurance have been paid or accrued as a liability on the books of the relevant party.</w:t>
      </w:r>
    </w:p>
    <w:p>
      <w:pPr>
        <w:spacing w:after="0" w:line="190" w:lineRule="exact"/>
        <w:rPr>
          <w:sz w:val="20"/>
          <w:szCs w:val="20"/>
          <w:color w:val="auto"/>
        </w:rPr>
      </w:pPr>
    </w:p>
    <w:p>
      <w:pPr>
        <w:jc w:val="both"/>
        <w:ind w:left="280" w:firstLine="648"/>
        <w:spacing w:after="0" w:line="276"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Perfection, Etc</w:t>
      </w:r>
      <w:r>
        <w:rPr>
          <w:rFonts w:ascii="Arial" w:cs="Arial" w:eastAsia="Arial" w:hAnsi="Arial"/>
          <w:sz w:val="18"/>
          <w:szCs w:val="18"/>
          <w:color w:val="auto"/>
        </w:rPr>
        <w:t>. All filings and other actions necessary or desirable to perfect and protect the Lien in the Collateral created under the Collateral Documents (except for such actions that the Security Agreement specifically excepts the Borrowers from performing) have been or will, within the required time periods under the Collateral Documents, be duly made or taken or otherwise provided for and are (or so will be) in full force and effect, and the Collateral Documents create in favor of the Administrative Agent for the benefit of the Secured Parties a valid and, together with such filings and other actions, perfected first priority Lien in the Collateral to the extent required by the Collateral Documents, securing the payment of the Secured Obligations, subject only to Permitted Liens.</w:t>
      </w:r>
    </w:p>
    <w:p>
      <w:pPr>
        <w:spacing w:after="0" w:line="179" w:lineRule="exact"/>
        <w:rPr>
          <w:sz w:val="20"/>
          <w:szCs w:val="20"/>
          <w:color w:val="auto"/>
        </w:rPr>
      </w:pPr>
    </w:p>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Anti-Money Laundering Laws, Anti-Corruption Laws and Sanctions</w:t>
      </w:r>
      <w:r>
        <w:rPr>
          <w:rFonts w:ascii="Arial" w:cs="Arial" w:eastAsia="Arial" w:hAnsi="Arial"/>
          <w:sz w:val="18"/>
          <w:szCs w:val="18"/>
          <w:color w:val="auto"/>
        </w:rPr>
        <w:t>. (a) To the extent applicable, each of the Company and the Company’s Subsidiaries is in compliance, in all material respects, with (i) Sanctions, including the Trading with the Enemy Act, as amended, and each of the foreign assets control regulations of the United States Treasury Department (31 CFR Subtitle B, Chapter V, as amended) and any other enabling legislation or executive order relating thereto and (ii) Anti-Money Laundering Laws.</w:t>
      </w:r>
    </w:p>
    <w:p>
      <w:pPr>
        <w:spacing w:after="0" w:line="175" w:lineRule="exact"/>
        <w:rPr>
          <w:sz w:val="20"/>
          <w:szCs w:val="20"/>
          <w:color w:val="auto"/>
        </w:rPr>
      </w:pPr>
    </w:p>
    <w:p>
      <w:pPr>
        <w:jc w:val="both"/>
        <w:ind w:left="280" w:firstLine="646"/>
        <w:spacing w:after="0" w:line="297" w:lineRule="auto"/>
        <w:tabs>
          <w:tab w:leader="none" w:pos="18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 No part of the proceeds of the Loans (or any Letters of Credit) will be used directly or, to the knowledge of the Company and the Company’s Subsidiaries, indirectly, (A)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8"/>
          <w:szCs w:val="18"/>
          <w:u w:val="single" w:color="auto"/>
          <w:color w:val="auto"/>
        </w:rPr>
        <w:t>FCPA</w:t>
      </w:r>
      <w:r>
        <w:rPr>
          <w:rFonts w:ascii="Arial" w:cs="Arial" w:eastAsia="Arial" w:hAnsi="Arial"/>
          <w:sz w:val="18"/>
          <w:szCs w:val="18"/>
          <w:color w:val="auto"/>
        </w:rPr>
        <w:t>”) or (B) except as would not reasonably be expected to have a Material Adverse Effect, in violation of any other Anti-Corruption Laws and (ii) the Company and each of the Company’s Subsidiaries and, to the knowledge of the Company or any of the Company’s Subsidiaries, their respective directors, officers and employees, are currently in compliance with (A) the FCPA in all material respects and</w:t>
      </w:r>
    </w:p>
    <w:p>
      <w:pPr>
        <w:spacing w:after="0" w:line="3" w:lineRule="exact"/>
        <w:rPr>
          <w:rFonts w:ascii="Arial" w:cs="Arial" w:eastAsia="Arial" w:hAnsi="Arial"/>
          <w:sz w:val="18"/>
          <w:szCs w:val="18"/>
          <w:color w:val="auto"/>
        </w:rPr>
      </w:pPr>
    </w:p>
    <w:p>
      <w:pPr>
        <w:ind w:left="600" w:hanging="322"/>
        <w:spacing w:after="0"/>
        <w:tabs>
          <w:tab w:leader="none" w:pos="60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a Material Adverse Effect, any other Anti-Corruption Laws.</w:t>
      </w:r>
    </w:p>
    <w:p>
      <w:pPr>
        <w:spacing w:after="0" w:line="242" w:lineRule="exact"/>
        <w:rPr>
          <w:rFonts w:ascii="Arial" w:cs="Arial" w:eastAsia="Arial" w:hAnsi="Arial"/>
          <w:sz w:val="20"/>
          <w:szCs w:val="20"/>
          <w:color w:val="auto"/>
        </w:rPr>
      </w:pPr>
    </w:p>
    <w:p>
      <w:pPr>
        <w:jc w:val="both"/>
        <w:ind w:left="280" w:firstLine="646"/>
        <w:spacing w:after="0" w:line="303" w:lineRule="auto"/>
        <w:tabs>
          <w:tab w:leader="none" w:pos="1796"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 None of the Company or any of the Company’s Subsidiaries will directly or, to the knowledge of the Company or any of the Company’s Subsidiaries, indirectly, use the proceeds of the Loans in violation of applicable Sanctions or otherwise knowingly make available such proceeds to any Person for the purpose of financing the activities of any Sanctioned Person, except to the extent licensed, exempted or otherwise approved by a competent governmental body responsible for enforcing such Sanctions, (ii) none of the Company or any of the Company’s Subsidiaries or to the knowledge of the Company or any of the Company’s Subsidiaries, their respective directors, officers or employees or, to the knowledge of any Borrower, any controlled Affiliate any Borrower or any of the Company’s Subsidiaries that will act in any capacity in connection with or benefit from any Facility, is a Sanctioned Person and (iii) none of the Company or any of the Company’s Subsidiaries or, to the knowledge of the Company or any of the Company’s Subsidiaries, their respective directors, officers and employees, are in violation of applicable Sanctions in any material respect.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30" w:name="page231"/>
    <w:bookmarkEnd w:id="230"/>
    <w:p>
      <w:pPr>
        <w:jc w:val="center"/>
        <w:ind w:left="126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ind w:left="1260"/>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left="280" w:firstLine="648"/>
        <w:spacing w:after="0" w:line="276"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hereunder (other than (i) contingent indemnification obligations as to which no claim has been asserted and (ii) Cash Management Obligations and Obligations under Secured Hedge Agreements) shall remain unpaid or unsatisfied, or any Letter of Credit shall remain outstanding (unless the Outstanding Amount of the L/C Obligations related thereto has been Cash Collateralized, back-stopped by a letter of credit reasonably satisfactory to the applicable L/C Issuer or deemed reissued under another agreement reasonably acceptable to the applicable L/C Issuer), each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165"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for prompt further distribution to each Lender:</w:t>
      </w:r>
    </w:p>
    <w:p>
      <w:pPr>
        <w:spacing w:after="0" w:line="243" w:lineRule="exact"/>
        <w:rPr>
          <w:sz w:val="20"/>
          <w:szCs w:val="20"/>
          <w:color w:val="auto"/>
        </w:rPr>
      </w:pPr>
    </w:p>
    <w:p>
      <w:pPr>
        <w:jc w:val="both"/>
        <w:ind w:left="920" w:firstLine="655"/>
        <w:spacing w:after="0" w:line="303" w:lineRule="auto"/>
        <w:tabs>
          <w:tab w:leader="none" w:pos="24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(90) days after the end of each fiscal year of the Company beginning with the 2017 fiscal year, a consolidated balance sheet of the Company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PricewaterhouseCoopers LLP or any other independent registered public accounting firm of nationally recognized standing, which report and opinion (i) shall be prepared in accordance with Public Company Oversight Board (“</w:t>
      </w:r>
      <w:r>
        <w:rPr>
          <w:rFonts w:ascii="Arial" w:cs="Arial" w:eastAsia="Arial" w:hAnsi="Arial"/>
          <w:sz w:val="18"/>
          <w:szCs w:val="18"/>
          <w:u w:val="single" w:color="auto"/>
          <w:color w:val="auto"/>
        </w:rPr>
        <w:t>PCAOB</w:t>
      </w:r>
      <w:r>
        <w:rPr>
          <w:rFonts w:ascii="Arial" w:cs="Arial" w:eastAsia="Arial" w:hAnsi="Arial"/>
          <w:sz w:val="18"/>
          <w:szCs w:val="18"/>
          <w:color w:val="auto"/>
        </w:rPr>
        <w:t>”) or American Institute of Certified Public Accountants (“</w:t>
      </w:r>
      <w:r>
        <w:rPr>
          <w:rFonts w:ascii="Arial" w:cs="Arial" w:eastAsia="Arial" w:hAnsi="Arial"/>
          <w:sz w:val="18"/>
          <w:szCs w:val="18"/>
          <w:u w:val="single" w:color="auto"/>
          <w:color w:val="auto"/>
        </w:rPr>
        <w:t>AICPA</w:t>
      </w:r>
      <w:r>
        <w:rPr>
          <w:rFonts w:ascii="Arial" w:cs="Arial" w:eastAsia="Arial" w:hAnsi="Arial"/>
          <w:sz w:val="18"/>
          <w:szCs w:val="18"/>
          <w:color w:val="auto"/>
        </w:rPr>
        <w:t>”) auditing standards, as applicable, and (ii) shall not be subject to any “going concern” or like qualification or exception or any qualification or exception as to the scope of such audit (except as may be required as a result of (x) a prospective Event of Default with respect to the Financial Covenant or (y) the impending maturity of the Loans hereunder).</w:t>
      </w:r>
    </w:p>
    <w:p>
      <w:pPr>
        <w:spacing w:after="0" w:line="168" w:lineRule="exact"/>
        <w:rPr>
          <w:rFonts w:ascii="Arial" w:cs="Arial" w:eastAsia="Arial" w:hAnsi="Arial"/>
          <w:sz w:val="18"/>
          <w:szCs w:val="18"/>
          <w:color w:val="auto"/>
        </w:rPr>
      </w:pPr>
    </w:p>
    <w:p>
      <w:pPr>
        <w:jc w:val="both"/>
        <w:ind w:left="920" w:firstLine="655"/>
        <w:spacing w:after="0" w:line="304" w:lineRule="auto"/>
        <w:tabs>
          <w:tab w:leader="none" w:pos="24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soon as available, but in any event within forty-five (45) days after the end of each of the first three (3) fiscal quarters of each fiscal year of the Company, a consolidated balance sheet of the Company and its Subsidiaries as at the end of such fiscal quarter, and the related (x) consolidated statements of income or operations for such fiscal quarter and for the portion of the fiscal year then ended and (y)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Company as fairly presenting in all material respects the financial condition, results of operations, stockholders’ equity and cash flows of the Company and its Subsidiaries in accordance with GAAP, subject only to normal year-end audit adjustments and the absence of footnotes; and</w:t>
      </w:r>
    </w:p>
    <w:p>
      <w:pPr>
        <w:spacing w:after="0" w:line="184" w:lineRule="exact"/>
        <w:rPr>
          <w:rFonts w:ascii="Arial" w:cs="Arial" w:eastAsia="Arial" w:hAnsi="Arial"/>
          <w:sz w:val="18"/>
          <w:szCs w:val="18"/>
          <w:color w:val="auto"/>
        </w:rPr>
      </w:pPr>
    </w:p>
    <w:p>
      <w:pPr>
        <w:jc w:val="both"/>
        <w:ind w:left="920" w:firstLine="655"/>
        <w:spacing w:after="0" w:line="314" w:lineRule="auto"/>
        <w:tabs>
          <w:tab w:leader="none" w:pos="24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ninety (90) days after the end of each fiscal year of the Company, a detailed consolidated budget for the following fiscal year (including a projected consolidated balance sheet of the Company and its Subsidiaries as of the end of the following fiscal year, the related consolidated statements of projected cash flow and projected income and a summary of the material underlying assumptions applicable thereto)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231" w:name="page232"/>
    <w:bookmarkEnd w:id="231"/>
    <w:p>
      <w:pPr>
        <w:jc w:val="both"/>
        <w:ind w:left="280"/>
        <w:spacing w:after="0" w:line="257" w:lineRule="auto"/>
        <w:rPr>
          <w:sz w:val="20"/>
          <w:szCs w:val="20"/>
          <w:color w:val="auto"/>
        </w:rPr>
      </w:pPr>
      <w:r>
        <w:rPr>
          <w:rFonts w:ascii="Arial" w:cs="Arial" w:eastAsia="Arial" w:hAnsi="Arial"/>
          <w:sz w:val="19"/>
          <w:szCs w:val="19"/>
          <w:color w:val="auto"/>
        </w:rPr>
        <w:t xml:space="preserve">Notwithstanding the foregoing, the obligations in paragraphs (a) and (b) of this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may be satisfied with respect to financial information of the Company and its Subsidiaries by furnishing the Company’s Form 10-K or 10-Q, as applicable,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information is in lieu of information required to be provided under </w:t>
      </w:r>
      <w:r>
        <w:rPr>
          <w:rFonts w:ascii="Arial" w:cs="Arial" w:eastAsia="Arial" w:hAnsi="Arial"/>
          <w:sz w:val="19"/>
          <w:szCs w:val="19"/>
          <w:u w:val="single" w:color="auto"/>
          <w:color w:val="auto"/>
        </w:rPr>
        <w:t>Section 6.01(a)</w:t>
      </w:r>
      <w:r>
        <w:rPr>
          <w:rFonts w:ascii="Arial" w:cs="Arial" w:eastAsia="Arial" w:hAnsi="Arial"/>
          <w:sz w:val="19"/>
          <w:szCs w:val="19"/>
          <w:color w:val="auto"/>
        </w:rPr>
        <w:t>, such materials are, to the extent applicable, accompanied by a report and opinion of PricewaterhouseCoopers LLP or any other independent registered public accounting firm of nationally recognized standing, which report and opinion (x) shall be prepared in accordance with PCAOB or AICPA auditing standards, as applicable, and (y) shall not be subject to any “going concern” or like qualification or exception or any qualification or exception as to the scope of such audit (except as may be required as a result of (x) a prospective Event of Default with respect to the Financial Covenant or (y) the impending maturity of the Loans hereunder).</w:t>
      </w:r>
    </w:p>
    <w:p>
      <w:pPr>
        <w:spacing w:after="0" w:line="195"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for prompt further distribution to each Lender:</w:t>
      </w:r>
    </w:p>
    <w:p>
      <w:pPr>
        <w:spacing w:after="0" w:line="243" w:lineRule="exact"/>
        <w:rPr>
          <w:sz w:val="20"/>
          <w:szCs w:val="20"/>
          <w:color w:val="auto"/>
        </w:rPr>
      </w:pPr>
    </w:p>
    <w:p>
      <w:pPr>
        <w:jc w:val="both"/>
        <w:ind w:left="920" w:firstLine="655"/>
        <w:spacing w:after="0" w:line="274" w:lineRule="auto"/>
        <w:tabs>
          <w:tab w:leader="none" w:pos="243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no later than five (5) days after the delivery of the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 certificate of its independent registered public accounting firm certifying such financial statements and stating that in making the examination necessary therefor no knowledge was obtained of any Event of Default under </w:t>
      </w:r>
      <w:r>
        <w:rPr>
          <w:rFonts w:ascii="Arial" w:cs="Arial" w:eastAsia="Arial" w:hAnsi="Arial"/>
          <w:sz w:val="20"/>
          <w:szCs w:val="20"/>
          <w:u w:val="single" w:color="auto"/>
          <w:color w:val="auto"/>
        </w:rPr>
        <w:t>Section 7.10</w:t>
      </w:r>
      <w:r>
        <w:rPr>
          <w:rFonts w:ascii="Arial" w:cs="Arial" w:eastAsia="Arial" w:hAnsi="Arial"/>
          <w:sz w:val="20"/>
          <w:szCs w:val="20"/>
          <w:color w:val="auto"/>
        </w:rPr>
        <w:t xml:space="preserve"> or, if any such Event of Default shall exist, stating the nature and status of such event;</w:t>
      </w:r>
    </w:p>
    <w:p>
      <w:pPr>
        <w:spacing w:after="0" w:line="205" w:lineRule="exact"/>
        <w:rPr>
          <w:rFonts w:ascii="Arial" w:cs="Arial" w:eastAsia="Arial" w:hAnsi="Arial"/>
          <w:sz w:val="20"/>
          <w:szCs w:val="20"/>
          <w:color w:val="auto"/>
        </w:rPr>
      </w:pPr>
    </w:p>
    <w:p>
      <w:pPr>
        <w:ind w:left="920" w:firstLine="655"/>
        <w:spacing w:after="0" w:line="289" w:lineRule="auto"/>
        <w:tabs>
          <w:tab w:leader="none" w:pos="244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no later than five (5) days after the delivery of the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6.01(b)</w:t>
      </w:r>
      <w:r>
        <w:rPr>
          <w:rFonts w:ascii="Arial" w:cs="Arial" w:eastAsia="Arial" w:hAnsi="Arial"/>
          <w:sz w:val="20"/>
          <w:szCs w:val="20"/>
          <w:color w:val="auto"/>
        </w:rPr>
        <w:t>, a duly completed Compliance Certificate signed by a Responsible Officer of the Company;</w:t>
      </w:r>
    </w:p>
    <w:p>
      <w:pPr>
        <w:spacing w:after="0" w:line="188" w:lineRule="exact"/>
        <w:rPr>
          <w:rFonts w:ascii="Arial" w:cs="Arial" w:eastAsia="Arial" w:hAnsi="Arial"/>
          <w:sz w:val="20"/>
          <w:szCs w:val="20"/>
          <w:color w:val="auto"/>
        </w:rPr>
      </w:pPr>
    </w:p>
    <w:p>
      <w:pPr>
        <w:jc w:val="both"/>
        <w:ind w:left="920" w:firstLine="655"/>
        <w:spacing w:after="0" w:line="290" w:lineRule="auto"/>
        <w:tabs>
          <w:tab w:leader="none" w:pos="243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promptly after the same are publicly available, copies of all annual, regular, periodic and special reports and registration statements which the Company or OSI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spacing w:after="0" w:line="192" w:lineRule="exact"/>
        <w:rPr>
          <w:rFonts w:ascii="Arial" w:cs="Arial" w:eastAsia="Arial" w:hAnsi="Arial"/>
          <w:sz w:val="19"/>
          <w:szCs w:val="19"/>
          <w:color w:val="auto"/>
        </w:rPr>
      </w:pPr>
    </w:p>
    <w:p>
      <w:pPr>
        <w:jc w:val="both"/>
        <w:ind w:left="920" w:firstLine="655"/>
        <w:spacing w:after="0" w:line="287" w:lineRule="auto"/>
        <w:tabs>
          <w:tab w:leader="none" w:pos="244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promptly after the furnishing thereof, copies of any material requests or material notices received by any Loan Party (other than in the ordinary course of business) from, or material statements or material reports furnished to, any holder of debt securities of any Loan Party or of any of its Subsidiaries pursuant to the terms of any (i) Credit Agreement Refinancing Indebtedness, (ii) any Incremental Equivalent Debt, (iii) any unsecured Indebtedness, (iv) any Indebtedness that is secured on a junior basis to the Obligations or (v) any Junior Financing Documentation, in the case of preceding clauses (iii), (iv) and (v), in a principal amount greater than the Threshold Amount and (in each case) not otherwise required to be furnished to the Lenders pursuant to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02" w:lineRule="exact"/>
        <w:rPr>
          <w:rFonts w:ascii="Arial" w:cs="Arial" w:eastAsia="Arial" w:hAnsi="Arial"/>
          <w:sz w:val="19"/>
          <w:szCs w:val="19"/>
          <w:color w:val="auto"/>
        </w:rPr>
      </w:pPr>
    </w:p>
    <w:p>
      <w:pPr>
        <w:jc w:val="both"/>
        <w:ind w:left="920" w:firstLine="655"/>
        <w:spacing w:after="0" w:line="287" w:lineRule="auto"/>
        <w:tabs>
          <w:tab w:leader="none" w:pos="2436"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together with the delivery of each Compliance Certificate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solely with respect to financial statements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(i) a report setting forth the information required by </w:t>
      </w:r>
      <w:r>
        <w:rPr>
          <w:rFonts w:ascii="Arial" w:cs="Arial" w:eastAsia="Arial" w:hAnsi="Arial"/>
          <w:sz w:val="19"/>
          <w:szCs w:val="19"/>
          <w:u w:val="single" w:color="auto"/>
          <w:color w:val="auto"/>
        </w:rPr>
        <w:t>Section 3.03(c)</w:t>
      </w:r>
      <w:r>
        <w:rPr>
          <w:rFonts w:ascii="Arial" w:cs="Arial" w:eastAsia="Arial" w:hAnsi="Arial"/>
          <w:sz w:val="19"/>
          <w:szCs w:val="19"/>
          <w:color w:val="auto"/>
        </w:rPr>
        <w:t xml:space="preserve"> of the Security Agreement or confirming that there has been no change in such information since the Closing Date (or, if later, the date of the last such report), (ii) a description of each event, condition or circumstance during the last fiscal year covered by such Compliance Certificate requiring a mandatory prepayment under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and (iii) an updated list of each Subsidiary as of the date of delivery of such Compliance Certificate (or confirming that there has been no change in such information since the Closing Date or the date of the last such update);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32" w:name="page233"/>
    <w:bookmarkEnd w:id="232"/>
    <w:p>
      <w:pPr>
        <w:jc w:val="both"/>
        <w:ind w:left="920" w:right="20" w:firstLine="655"/>
        <w:spacing w:after="0" w:line="278" w:lineRule="auto"/>
        <w:tabs>
          <w:tab w:leader="none" w:pos="2414"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legal, financial or corporate affairs of any Loan Party or any Subsidiary, or compliance with the terms of the Loan Documents, as the Administrative Agent or any Lender through the Administrative Agent may from time to time reasonably request.</w:t>
      </w:r>
    </w:p>
    <w:p>
      <w:pPr>
        <w:spacing w:after="0" w:line="187" w:lineRule="exact"/>
        <w:rPr>
          <w:sz w:val="20"/>
          <w:szCs w:val="20"/>
          <w:color w:val="auto"/>
        </w:rPr>
      </w:pPr>
    </w:p>
    <w:p>
      <w:pPr>
        <w:jc w:val="both"/>
        <w:ind w:left="280" w:firstLine="648"/>
        <w:spacing w:after="0" w:line="254"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the Company’s behalf on IntraLinks/IntraAgency or another relevant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upon written request by the Administrative Agent, the Company shall deliver paper copies of such documents to the Administrative Agent for further distribution to each Lender until a written request to cease delivering paper copies is given by the Administrative Agent and (ii) the Company shall notify (which may be by facsimile or electronic mail) the Administrative Agent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soft copies) of such documents. Notwithstanding anything contained herein, in every instance the Company shall be required to provide paper copies of the Compliance Certificates required by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to the Administrative Agent. Each Lender shall be solely responsible for timely accessing posted documents or requesting delivery of paper copies of such documents from the Administrative Agent and maintaining its copies of such documents. For purposes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paper copies shall include copies delivered by facsimile transmission or electronically (such as “tif’, “pdf’ or similar file formats delivered by email).</w:t>
      </w:r>
    </w:p>
    <w:p>
      <w:pPr>
        <w:spacing w:after="0" w:line="191"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obtaining knowledge thereof, notify the Administrative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Agent:</w:t>
      </w:r>
    </w:p>
    <w:p>
      <w:pPr>
        <w:spacing w:after="0" w:line="213" w:lineRule="exact"/>
        <w:rPr>
          <w:sz w:val="20"/>
          <w:szCs w:val="20"/>
          <w:color w:val="auto"/>
        </w:rPr>
      </w:pPr>
    </w:p>
    <w:p>
      <w:pPr>
        <w:ind w:left="2420" w:hanging="845"/>
        <w:spacing w:after="0"/>
        <w:tabs>
          <w:tab w:leader="none" w:pos="24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56"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of the filing or commencement of, or any threat or notice of intention of any person to file or commence, any action, suit, litigation or proceeding, whether at law or in equity by or before any Governmental Authority against any Borrower or any of their respective Subsidiaries or the occurrence of any ERISA Event that, in each case, could reasonably be expected to result in a Material Adverse Effect; and</w:t>
      </w:r>
    </w:p>
    <w:p>
      <w:pPr>
        <w:spacing w:after="0" w:line="205" w:lineRule="exact"/>
        <w:rPr>
          <w:rFonts w:ascii="Arial" w:cs="Arial" w:eastAsia="Arial" w:hAnsi="Arial"/>
          <w:sz w:val="20"/>
          <w:szCs w:val="20"/>
          <w:color w:val="auto"/>
        </w:rPr>
      </w:pPr>
    </w:p>
    <w:p>
      <w:pPr>
        <w:ind w:left="920" w:firstLine="655"/>
        <w:spacing w:after="0" w:line="289" w:lineRule="auto"/>
        <w:tabs>
          <w:tab w:leader="none" w:pos="243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any event, condition, change, circumstance or matter that, either individually or in the aggregate, has resulted or could reasonably be expected to result in a Material Adverse Effect.</w:t>
      </w:r>
    </w:p>
    <w:p>
      <w:pPr>
        <w:spacing w:after="0" w:line="175"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 xml:space="preserve">Each notice pursuant to this Section shall be accompanied by a written statement of a Responsible Officer of the Company (x) that such notice is being delivered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applicable) and (y) setting forth details of the occurrence referred to therein and stating what action the Company has taken and proposes to take with respect thereto.</w:t>
      </w:r>
    </w:p>
    <w:p>
      <w:pPr>
        <w:spacing w:after="0" w:line="184"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u w:val="single" w:color="auto"/>
          <w:color w:val="auto"/>
        </w:rPr>
        <w:t>Payment of Taxes</w:t>
      </w:r>
      <w:r>
        <w:rPr>
          <w:rFonts w:ascii="Arial" w:cs="Arial" w:eastAsia="Arial" w:hAnsi="Arial"/>
          <w:sz w:val="20"/>
          <w:szCs w:val="20"/>
          <w:color w:val="auto"/>
        </w:rPr>
        <w:t>. Pay, discharge or otherwise satisfy as the same shall become due and payable, all of its obligations and liabilities in respect of taxes, assessments and governmental charges or levies imposed upon it or upon its income or profits or in respect of its property, except in each case, to the extent the failure to pay or discharge the same, either individually or in the aggregate, could not reasonably be expected to have a Material Adverse Effect.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233" w:name="page234"/>
    <w:bookmarkEnd w:id="233"/>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xml:space="preserve">. (a) 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and (b) take all reasonable action to maintain all rights, privileges (including its good standing), permits, licenses and franchises necessary or desirable in the normal conduct of its business except (i) to the extent that failure to do so could not, either individually or in the aggregate, reasonably be expected to have a Material Adverse Effect or (ii) pursuant to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w:t>
      </w:r>
    </w:p>
    <w:p>
      <w:pPr>
        <w:spacing w:after="0" w:line="165"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Except if the failure to do so could not, either individually or in the aggregate, reasonably be expected to have a Material Adverse Effect, (a) maintain, preserve and protect all of its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spacing w:after="0" w:line="208"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(a)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Borrowers and their respective Subsidiaries or otherwise consistent with past practices) as are customarily carried under similar circumstances by such other Persons.</w:t>
      </w:r>
    </w:p>
    <w:p>
      <w:pPr>
        <w:spacing w:after="0" w:line="194" w:lineRule="exact"/>
        <w:rPr>
          <w:sz w:val="20"/>
          <w:szCs w:val="20"/>
          <w:color w:val="auto"/>
        </w:rPr>
      </w:pPr>
    </w:p>
    <w:p>
      <w:pPr>
        <w:jc w:val="both"/>
        <w:ind w:left="280" w:firstLine="646"/>
        <w:spacing w:after="0" w:line="273" w:lineRule="auto"/>
        <w:tabs>
          <w:tab w:leader="none" w:pos="180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All such insurance shall (i) provide that the insurer affording coverage will endeavor to mail 30 days written notice of cancellation of such insurance coverage to the Collateral Agent (in the case of property and liability insurance), (ii) name the Collateral Agent as mortgagee (in the case of property insurance) or additional insured on behalf of the Secured Parties (in the case of liability insurance) or lender’s loss payee (in the case of property insurance), as applicable and (iii) be reasonably satisfactory in all other respects to the Administrative Agent.</w:t>
      </w:r>
    </w:p>
    <w:p>
      <w:pPr>
        <w:spacing w:after="0" w:line="204" w:lineRule="exact"/>
        <w:rPr>
          <w:rFonts w:ascii="Arial" w:cs="Arial" w:eastAsia="Arial" w:hAnsi="Arial"/>
          <w:sz w:val="20"/>
          <w:szCs w:val="20"/>
          <w:color w:val="auto"/>
        </w:rPr>
      </w:pPr>
    </w:p>
    <w:p>
      <w:pPr>
        <w:jc w:val="both"/>
        <w:ind w:left="280" w:firstLine="646"/>
        <w:spacing w:after="0" w:line="286" w:lineRule="auto"/>
        <w:tabs>
          <w:tab w:leader="none" w:pos="1796" w:val="left"/>
        </w:tabs>
        <w:numPr>
          <w:ilvl w:val="0"/>
          <w:numId w:val="220"/>
        </w:numPr>
        <w:rPr>
          <w:rFonts w:ascii="Arial" w:cs="Arial" w:eastAsia="Arial" w:hAnsi="Arial"/>
          <w:sz w:val="19"/>
          <w:szCs w:val="19"/>
          <w:color w:val="auto"/>
        </w:rPr>
      </w:pPr>
      <w:r>
        <w:rPr>
          <w:rFonts w:ascii="Arial" w:cs="Arial" w:eastAsia="Arial" w:hAnsi="Arial"/>
          <w:sz w:val="19"/>
          <w:szCs w:val="19"/>
          <w:color w:val="auto"/>
        </w:rPr>
        <w:t>With respect to each Mortgaged Property, (i) obtain flood insurance in such total amount as the Administrative Agent or the Required Lenders may from time to time reasonably require,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Reform Act of 1994, the National Flood Insurance Program as set forth in the Flood Disaster Protection Act of 1973, as amended from time to time, and the rules and regulations promulgated thereunder or as otherwise required by the Administrative Agent or any Lender, (ii) furnish to the Administrative Agent evidence of the renewal (and payment of renewal premiums therefor) of all such policies prior to the expiration or lapse thereof, and (iii) furnish to the Administrative Agent prompt written notice of any re-designation of any such Mortgaged Property into or out of a flood hazard area.</w:t>
      </w:r>
    </w:p>
    <w:p>
      <w:pPr>
        <w:spacing w:after="0" w:line="169"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Comply with the requirements of all Laws and all orders, writs, injunctions and decrees applicable to it or to its business or property, except if the failure to comply therewith could not, either individually or in the aggregate, reasonably be expected to have a Material Adverse Effect.</w:t>
      </w:r>
    </w:p>
    <w:p>
      <w:pPr>
        <w:spacing w:after="0" w:line="20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6.09 </w:t>
      </w:r>
      <w:r>
        <w:rPr>
          <w:rFonts w:ascii="Arial" w:cs="Arial" w:eastAsia="Arial" w:hAnsi="Arial"/>
          <w:sz w:val="20"/>
          <w:szCs w:val="20"/>
          <w:u w:val="single" w:color="auto"/>
          <w:color w:val="auto"/>
        </w:rPr>
        <w:t>Books and Records</w:t>
      </w:r>
      <w:r>
        <w:rPr>
          <w:rFonts w:ascii="Arial" w:cs="Arial" w:eastAsia="Arial" w:hAnsi="Arial"/>
          <w:sz w:val="20"/>
          <w:szCs w:val="20"/>
          <w:color w:val="auto"/>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each Borrower or each Subsidiary, as the case may be.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4" w:right="239" w:bottom="1440" w:gutter="0" w:footer="0" w:header="0"/>
        </w:sectPr>
      </w:pPr>
    </w:p>
    <w:bookmarkStart w:id="234" w:name="page235"/>
    <w:bookmarkEnd w:id="234"/>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independent public accountants’ customary policies and procedures), all at the reasonable expense of the Borrowers and at such reasonable times during normal business hours and as often as may be reasonably desired, upon reasonable advance notice to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Administrative Agent on behalf of the Lenders may exercise rights of the Administrative Agent and the Lenders under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and the Administrative Agent shall not exercise such rights more often than two (2) times during any calendar year absent the existence of an Event of Default and only one (1) such time shall be at the Borrowers’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during the continuance of an Event of Default, the Administrative Agent (or any of its respective representatives or independent contractors) may do any of the foregoing at the expense of the Borrowers at any time during normal business hours and upon reasonable advance notice. The Administrative Agent shall give the Borrowers the opportunity to participate in any discussions with the Borrowers’ independent public accountants. Notwithstanding anything to the contrary in this </w:t>
      </w:r>
      <w:r>
        <w:rPr>
          <w:rFonts w:ascii="Arial" w:cs="Arial" w:eastAsia="Arial" w:hAnsi="Arial"/>
          <w:sz w:val="18"/>
          <w:szCs w:val="18"/>
          <w:u w:val="single" w:color="auto"/>
          <w:color w:val="auto"/>
        </w:rPr>
        <w:t>Section 6.10</w:t>
      </w:r>
      <w:r>
        <w:rPr>
          <w:rFonts w:ascii="Arial" w:cs="Arial" w:eastAsia="Arial" w:hAnsi="Arial"/>
          <w:sz w:val="18"/>
          <w:szCs w:val="18"/>
          <w:color w:val="auto"/>
        </w:rPr>
        <w:t>, none of the Borrowers or any of their respective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Law or any binding agreement or (c) is subject to attorney-client or similar privilege or constitutes attorney work product.</w:t>
      </w:r>
    </w:p>
    <w:p>
      <w:pPr>
        <w:spacing w:after="0" w:line="191"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Covenant to Guarantee Obligations and Give Security</w:t>
      </w:r>
      <w:r>
        <w:rPr>
          <w:rFonts w:ascii="Arial" w:cs="Arial" w:eastAsia="Arial" w:hAnsi="Arial"/>
          <w:sz w:val="20"/>
          <w:szCs w:val="20"/>
          <w:color w:val="auto"/>
        </w:rPr>
        <w:t>. At the Borrowers’ expense, take all action necessary or reasonably requested by the Administrative Agent to ensure that the Collateral and Guarantee Requirement continues to be satisfied, including:</w:t>
      </w:r>
    </w:p>
    <w:p>
      <w:pPr>
        <w:spacing w:after="0" w:line="213" w:lineRule="exact"/>
        <w:rPr>
          <w:sz w:val="20"/>
          <w:szCs w:val="20"/>
          <w:color w:val="auto"/>
        </w:rPr>
      </w:pPr>
    </w:p>
    <w:p>
      <w:pPr>
        <w:ind w:left="920" w:firstLine="655"/>
        <w:spacing w:after="0" w:line="289" w:lineRule="auto"/>
        <w:tabs>
          <w:tab w:leader="none" w:pos="2409" w:val="left"/>
        </w:tabs>
        <w:numPr>
          <w:ilvl w:val="0"/>
          <w:numId w:val="221"/>
        </w:numPr>
        <w:rPr>
          <w:rFonts w:ascii="Arial" w:cs="Arial" w:eastAsia="Arial" w:hAnsi="Arial"/>
          <w:sz w:val="20"/>
          <w:szCs w:val="20"/>
          <w:color w:val="auto"/>
        </w:rPr>
      </w:pPr>
      <w:r>
        <w:rPr>
          <w:rFonts w:ascii="Arial" w:cs="Arial" w:eastAsia="Arial" w:hAnsi="Arial"/>
          <w:sz w:val="20"/>
          <w:szCs w:val="20"/>
          <w:color w:val="auto"/>
        </w:rPr>
        <w:t>upon the formation or acquisition of any new direct or indirect Wholly Owned Domestic Subsidiary (in each case, other than an Excluded Subsidiary) by any Loan Party:</w:t>
      </w:r>
    </w:p>
    <w:p>
      <w:pPr>
        <w:spacing w:after="0" w:line="175" w:lineRule="exact"/>
        <w:rPr>
          <w:rFonts w:ascii="Arial" w:cs="Arial" w:eastAsia="Arial" w:hAnsi="Arial"/>
          <w:sz w:val="20"/>
          <w:szCs w:val="20"/>
          <w:color w:val="auto"/>
        </w:rPr>
      </w:pPr>
    </w:p>
    <w:p>
      <w:pPr>
        <w:ind w:left="1500" w:firstLine="642"/>
        <w:spacing w:after="0" w:line="289" w:lineRule="auto"/>
        <w:tabs>
          <w:tab w:leader="none" w:pos="2956" w:val="left"/>
        </w:tabs>
        <w:numPr>
          <w:ilvl w:val="1"/>
          <w:numId w:val="221"/>
        </w:numPr>
        <w:rPr>
          <w:rFonts w:ascii="Arial" w:cs="Arial" w:eastAsia="Arial" w:hAnsi="Arial"/>
          <w:sz w:val="20"/>
          <w:szCs w:val="20"/>
          <w:color w:val="auto"/>
        </w:rPr>
      </w:pPr>
      <w:r>
        <w:rPr>
          <w:rFonts w:ascii="Arial" w:cs="Arial" w:eastAsia="Arial" w:hAnsi="Arial"/>
          <w:sz w:val="20"/>
          <w:szCs w:val="20"/>
          <w:color w:val="auto"/>
        </w:rPr>
        <w:t>within thirty (30) days after such formation or acquisition or such longer period as the Administrative Agent may agree in its discretion:</w:t>
      </w:r>
    </w:p>
    <w:p>
      <w:pPr>
        <w:spacing w:after="0" w:line="188" w:lineRule="exact"/>
        <w:rPr>
          <w:rFonts w:ascii="Arial" w:cs="Arial" w:eastAsia="Arial" w:hAnsi="Arial"/>
          <w:sz w:val="20"/>
          <w:szCs w:val="20"/>
          <w:color w:val="auto"/>
        </w:rPr>
      </w:pPr>
    </w:p>
    <w:p>
      <w:pPr>
        <w:jc w:val="both"/>
        <w:ind w:left="2220" w:firstLine="651"/>
        <w:spacing w:after="0" w:line="299" w:lineRule="auto"/>
        <w:tabs>
          <w:tab w:leader="none" w:pos="3791" w:val="left"/>
        </w:tabs>
        <w:numPr>
          <w:ilvl w:val="2"/>
          <w:numId w:val="221"/>
        </w:numPr>
        <w:rPr>
          <w:rFonts w:ascii="Arial" w:cs="Arial" w:eastAsia="Arial" w:hAnsi="Arial"/>
          <w:sz w:val="19"/>
          <w:szCs w:val="19"/>
          <w:color w:val="auto"/>
        </w:rPr>
      </w:pPr>
      <w:r>
        <w:rPr>
          <w:rFonts w:ascii="Arial" w:cs="Arial" w:eastAsia="Arial" w:hAnsi="Arial"/>
          <w:sz w:val="19"/>
          <w:szCs w:val="19"/>
          <w:color w:val="auto"/>
        </w:rPr>
        <w:t>cause each such Subsidiary that is required to become a Guarantor under the Collateral and Guarantee Requirement to furnish to the Administrative Agent a description of the Material Real Properties owned by such Subsidiary, in detail reasonably satisfactory to the Administrative Agent;</w:t>
      </w:r>
    </w:p>
    <w:p>
      <w:pPr>
        <w:spacing w:after="0" w:line="169" w:lineRule="exact"/>
        <w:rPr>
          <w:rFonts w:ascii="Arial" w:cs="Arial" w:eastAsia="Arial" w:hAnsi="Arial"/>
          <w:sz w:val="19"/>
          <w:szCs w:val="19"/>
          <w:color w:val="auto"/>
        </w:rPr>
      </w:pPr>
    </w:p>
    <w:p>
      <w:pPr>
        <w:jc w:val="both"/>
        <w:ind w:left="2220" w:firstLine="651"/>
        <w:spacing w:after="0" w:line="285" w:lineRule="auto"/>
        <w:tabs>
          <w:tab w:leader="none" w:pos="3780" w:val="left"/>
        </w:tabs>
        <w:numPr>
          <w:ilvl w:val="2"/>
          <w:numId w:val="221"/>
        </w:numPr>
        <w:rPr>
          <w:rFonts w:ascii="Arial" w:cs="Arial" w:eastAsia="Arial" w:hAnsi="Arial"/>
          <w:sz w:val="19"/>
          <w:szCs w:val="19"/>
          <w:color w:val="auto"/>
        </w:rPr>
      </w:pPr>
      <w:r>
        <w:rPr>
          <w:rFonts w:ascii="Arial" w:cs="Arial" w:eastAsia="Arial" w:hAnsi="Arial"/>
          <w:sz w:val="19"/>
          <w:szCs w:val="19"/>
          <w:color w:val="auto"/>
        </w:rPr>
        <w:t xml:space="preserve">cause (x) each such Subsidiary that is required to become a Guarantor pursuant to the Collateral and Guarantee Requirement to duly execute and deliver to the Administrative Agent or the Collateral Agent (as appropriate) Guaranty Supplements and Mortgages with respect to the Material Real Properties which are identified to the Administrative Agent pursuant to </w:t>
      </w:r>
      <w:r>
        <w:rPr>
          <w:rFonts w:ascii="Arial" w:cs="Arial" w:eastAsia="Arial" w:hAnsi="Arial"/>
          <w:sz w:val="19"/>
          <w:szCs w:val="19"/>
          <w:u w:val="single" w:color="auto"/>
          <w:color w:val="auto"/>
        </w:rPr>
        <w:t>Section 6.11(a)(i)(A)</w:t>
      </w:r>
      <w:r>
        <w:rPr>
          <w:rFonts w:ascii="Arial" w:cs="Arial" w:eastAsia="Arial" w:hAnsi="Arial"/>
          <w:sz w:val="19"/>
          <w:szCs w:val="19"/>
          <w:color w:val="auto"/>
        </w:rPr>
        <w:t xml:space="preserve">, Security Agreement Supplements, a counterpart of the Intercompany Note and other security agreements and documents (including, with respect to such Mortgages, the documents listed in </w:t>
      </w:r>
      <w:r>
        <w:rPr>
          <w:rFonts w:ascii="Arial" w:cs="Arial" w:eastAsia="Arial" w:hAnsi="Arial"/>
          <w:sz w:val="19"/>
          <w:szCs w:val="19"/>
          <w:u w:val="single" w:color="auto"/>
          <w:color w:val="auto"/>
        </w:rPr>
        <w:t>Section 6.13(b)</w:t>
      </w:r>
      <w:r>
        <w:rPr>
          <w:rFonts w:ascii="Arial" w:cs="Arial" w:eastAsia="Arial" w:hAnsi="Arial"/>
          <w:sz w:val="19"/>
          <w:szCs w:val="19"/>
          <w:color w:val="auto"/>
        </w:rPr>
        <w:t>), as reasonably requested by and in form and substance reasonably satisfactory to the Administrative Agent (consistent with the Mortgages, Security Agreement and other security agreements in effect on the Closing Date), in each case granting Liens required by the Collateral and Guarantee Requirement and (y) each direct or indirect parent of each such Subsidiary that is required to be a Guarantor pursuant to the Collateral and Guarantee Requirement to duly execute and deliver to the Administrative Agent such Security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235" w:name="page236"/>
    <w:bookmarkEnd w:id="235"/>
    <w:p>
      <w:pPr>
        <w:jc w:val="both"/>
        <w:ind w:left="2220"/>
        <w:spacing w:after="0" w:line="299" w:lineRule="auto"/>
        <w:rPr>
          <w:sz w:val="20"/>
          <w:szCs w:val="20"/>
          <w:color w:val="auto"/>
        </w:rPr>
      </w:pPr>
      <w:r>
        <w:rPr>
          <w:rFonts w:ascii="Arial" w:cs="Arial" w:eastAsia="Arial" w:hAnsi="Arial"/>
          <w:sz w:val="19"/>
          <w:szCs w:val="19"/>
          <w:color w:val="auto"/>
        </w:rPr>
        <w:t>Supplements and other security agreements as reasonably requested by and in form and substance reasonably satisfactory to the Administrative Agent (consistent with the Security Agreements in effect on the Closing Date), in each case granting Liens required by the Collateral and Guarantee Requirement;</w:t>
      </w:r>
    </w:p>
    <w:p>
      <w:pPr>
        <w:spacing w:after="0" w:line="183" w:lineRule="exact"/>
        <w:rPr>
          <w:sz w:val="20"/>
          <w:szCs w:val="20"/>
          <w:color w:val="auto"/>
        </w:rPr>
      </w:pPr>
    </w:p>
    <w:p>
      <w:pPr>
        <w:jc w:val="both"/>
        <w:ind w:left="2220" w:firstLine="651"/>
        <w:spacing w:after="0" w:line="302" w:lineRule="auto"/>
        <w:tabs>
          <w:tab w:leader="none" w:pos="3780" w:val="left"/>
        </w:tabs>
        <w:numPr>
          <w:ilvl w:val="3"/>
          <w:numId w:val="222"/>
        </w:numPr>
        <w:rPr>
          <w:rFonts w:ascii="Arial" w:cs="Arial" w:eastAsia="Arial" w:hAnsi="Arial"/>
          <w:sz w:val="18"/>
          <w:szCs w:val="18"/>
          <w:color w:val="auto"/>
        </w:rPr>
      </w:pPr>
      <w:r>
        <w:rPr>
          <w:rFonts w:ascii="Arial" w:cs="Arial" w:eastAsia="Arial" w:hAnsi="Arial"/>
          <w:sz w:val="18"/>
          <w:szCs w:val="18"/>
          <w:color w:val="auto"/>
        </w:rPr>
        <w:t>(x) cause each such Subsidiary that is required to become a Guarantor pursuant to the Collateral and Guarantee Requirement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instruments evidencing the intercompany Indebtedness held by such Subsidiary and required to be pledged pursuant to the Collateral Documents, indorsed in blank to the Collateral Agent and (y) cause each direct or indirect parent of such Subsidiary that is (or is required to be) a Guarantor pursuant to the Collateral and Guarantee Requirement to deliver any and all certificates representing the outstanding Equity Interests (to the extent certificated) of such Subsidiary that are required to be pledged pursuant to the Collateral and Guarantee Requirement, accompanied by undated stock powers or other appropriate instruments of transfer executed in blank and instruments evidencing the intercompany Indebtedness issued by such Subsidiary and required to be pledged in accordance with the Collateral Documents, indorsed in blank to the Collateral Agent;</w:t>
      </w:r>
    </w:p>
    <w:p>
      <w:pPr>
        <w:spacing w:after="0" w:line="183" w:lineRule="exact"/>
        <w:rPr>
          <w:rFonts w:ascii="Arial" w:cs="Arial" w:eastAsia="Arial" w:hAnsi="Arial"/>
          <w:sz w:val="18"/>
          <w:szCs w:val="18"/>
          <w:color w:val="auto"/>
        </w:rPr>
      </w:pPr>
    </w:p>
    <w:p>
      <w:pPr>
        <w:jc w:val="both"/>
        <w:ind w:left="2220" w:firstLine="651"/>
        <w:spacing w:after="0" w:line="304" w:lineRule="auto"/>
        <w:tabs>
          <w:tab w:leader="none" w:pos="3791" w:val="left"/>
        </w:tabs>
        <w:numPr>
          <w:ilvl w:val="3"/>
          <w:numId w:val="222"/>
        </w:numPr>
        <w:rPr>
          <w:rFonts w:ascii="Arial" w:cs="Arial" w:eastAsia="Arial" w:hAnsi="Arial"/>
          <w:sz w:val="18"/>
          <w:szCs w:val="18"/>
          <w:color w:val="auto"/>
        </w:rPr>
      </w:pPr>
      <w:r>
        <w:rPr>
          <w:rFonts w:ascii="Arial" w:cs="Arial" w:eastAsia="Arial" w:hAnsi="Arial"/>
          <w:sz w:val="18"/>
          <w:szCs w:val="18"/>
          <w:color w:val="auto"/>
        </w:rPr>
        <w:t>take and cause such Subsidiary and each direct or indirect parent of such Subsidiary that is required to become a Guarantor pursuant to the Collateral and Guarantee Requirement to take whatever action (including the recording of Mortgages, the filing of Uniform Commercial Code financing statements and delivery of stock and membership interest certificates) may be necessary in the reasonable opinion of the Administrative Agent to vest in the Administrative Agent (or in any representative of the Administrative Agent designated by it) valid Liens required by the Collateral and Guarantee Requirement, enforceable against all third parties in accordance with their terms, subject to Debtor Relief Laws, general principles of equity (whether considered in a proceeding in equity or at law) and an applied covenant of good faith and fair dealing,</w:t>
      </w:r>
    </w:p>
    <w:p>
      <w:pPr>
        <w:spacing w:after="0" w:line="171" w:lineRule="exact"/>
        <w:rPr>
          <w:rFonts w:ascii="Arial" w:cs="Arial" w:eastAsia="Arial" w:hAnsi="Arial"/>
          <w:sz w:val="18"/>
          <w:szCs w:val="18"/>
          <w:color w:val="auto"/>
        </w:rPr>
      </w:pPr>
    </w:p>
    <w:p>
      <w:pPr>
        <w:jc w:val="both"/>
        <w:ind w:left="1480" w:firstLine="648"/>
        <w:spacing w:after="0" w:line="274" w:lineRule="auto"/>
        <w:tabs>
          <w:tab w:leader="none" w:pos="3018" w:val="left"/>
        </w:tabs>
        <w:numPr>
          <w:ilvl w:val="1"/>
          <w:numId w:val="223"/>
        </w:numPr>
        <w:rPr>
          <w:rFonts w:ascii="Arial" w:cs="Arial" w:eastAsia="Arial" w:hAnsi="Arial"/>
          <w:sz w:val="20"/>
          <w:szCs w:val="20"/>
          <w:color w:val="auto"/>
        </w:rPr>
      </w:pPr>
      <w:r>
        <w:rPr>
          <w:rFonts w:ascii="Arial" w:cs="Arial" w:eastAsia="Arial" w:hAnsi="Arial"/>
          <w:sz w:val="20"/>
          <w:szCs w:val="20"/>
          <w:color w:val="auto"/>
        </w:rPr>
        <w:t xml:space="preserve">within thirty (30) days after the request therefor by the Administrative Agent, deliver to the Administrative Agent a signed copy of an opinion, addressed to the Administrative Agent and the other Secured Parties, of counsel for the Loan Parties reasonably acceptable to the Administrative Agent as to such matters set forth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6.11(a)</w:t>
      </w:r>
      <w:r>
        <w:rPr>
          <w:rFonts w:ascii="Arial" w:cs="Arial" w:eastAsia="Arial" w:hAnsi="Arial"/>
          <w:sz w:val="20"/>
          <w:szCs w:val="20"/>
          <w:color w:val="auto"/>
        </w:rPr>
        <w:t xml:space="preserve"> as the Administrative Agent may reasonably request, and</w:t>
      </w:r>
    </w:p>
    <w:p>
      <w:pPr>
        <w:spacing w:after="0" w:line="192" w:lineRule="exact"/>
        <w:rPr>
          <w:rFonts w:ascii="Arial" w:cs="Arial" w:eastAsia="Arial" w:hAnsi="Arial"/>
          <w:sz w:val="20"/>
          <w:szCs w:val="20"/>
          <w:color w:val="auto"/>
        </w:rPr>
      </w:pPr>
    </w:p>
    <w:p>
      <w:pPr>
        <w:jc w:val="both"/>
        <w:ind w:left="1500" w:firstLine="642"/>
        <w:spacing w:after="0" w:line="278" w:lineRule="auto"/>
        <w:tabs>
          <w:tab w:leader="none" w:pos="3066" w:val="left"/>
        </w:tabs>
        <w:numPr>
          <w:ilvl w:val="2"/>
          <w:numId w:val="223"/>
        </w:numPr>
        <w:rPr>
          <w:rFonts w:ascii="Arial" w:cs="Arial" w:eastAsia="Arial" w:hAnsi="Arial"/>
          <w:sz w:val="20"/>
          <w:szCs w:val="20"/>
          <w:color w:val="auto"/>
        </w:rPr>
      </w:pPr>
      <w:r>
        <w:rPr>
          <w:rFonts w:ascii="Arial" w:cs="Arial" w:eastAsia="Arial" w:hAnsi="Arial"/>
          <w:sz w:val="20"/>
          <w:szCs w:val="20"/>
          <w:color w:val="auto"/>
        </w:rPr>
        <w:t>as promptly as practicable after the request therefor by the Administrative Agent, deliver to the Administrative Agent with respect to each parcel of Material Real Property that is owned by such Subsidiary, any existing title reports, surveys or environmental assessment reports.</w:t>
      </w:r>
    </w:p>
    <w:p>
      <w:pPr>
        <w:spacing w:after="0" w:line="200" w:lineRule="exact"/>
        <w:rPr>
          <w:rFonts w:ascii="Arial" w:cs="Arial" w:eastAsia="Arial" w:hAnsi="Arial"/>
          <w:sz w:val="20"/>
          <w:szCs w:val="20"/>
          <w:color w:val="auto"/>
        </w:rPr>
      </w:pPr>
    </w:p>
    <w:p>
      <w:pPr>
        <w:jc w:val="both"/>
        <w:ind w:left="920" w:firstLine="655"/>
        <w:spacing w:after="0" w:line="293" w:lineRule="auto"/>
        <w:tabs>
          <w:tab w:leader="none" w:pos="244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each Borrower shall obtain the security interests, Guarantees and related items required by the Collateral Documents on or prior to the Closing Date; and after the Closing Date, promptly following (x) the acquisition of any material personal property by any Loan Party or (y) the acquisition of any owned Material Real Property by any Loan Party, such personal property or owned Material Real Property shall not already be subject to a perfected Lien pursuant to the Collateral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36" w:name="page237"/>
    <w:bookmarkEnd w:id="236"/>
    <w:p>
      <w:pPr>
        <w:jc w:val="both"/>
        <w:ind w:left="920"/>
        <w:spacing w:after="0" w:line="314" w:lineRule="auto"/>
        <w:rPr>
          <w:sz w:val="20"/>
          <w:szCs w:val="20"/>
          <w:color w:val="auto"/>
        </w:rPr>
      </w:pPr>
      <w:r>
        <w:rPr>
          <w:rFonts w:ascii="Arial" w:cs="Arial" w:eastAsia="Arial" w:hAnsi="Arial"/>
          <w:sz w:val="18"/>
          <w:szCs w:val="18"/>
          <w:color w:val="auto"/>
        </w:rPr>
        <w:t xml:space="preserve">and Guarantee Requirement, the Company shall give notice thereof to the Administrative Agent and promptly thereafter shall cause such assets to be subjected to a Lien to the extent required by the Collateral and Guarantee Requirement and will take, or cause the relevant Loan Party to take, such actions as shall be necessary or reasonably requested by the Administrative Agent to grant and perfect or record such Lien, including, as applicable, the actions referred to in </w:t>
      </w:r>
      <w:r>
        <w:rPr>
          <w:rFonts w:ascii="Arial" w:cs="Arial" w:eastAsia="Arial" w:hAnsi="Arial"/>
          <w:sz w:val="18"/>
          <w:szCs w:val="18"/>
          <w:u w:val="single" w:color="auto"/>
          <w:color w:val="auto"/>
        </w:rPr>
        <w:t>Section 6.13(b)</w:t>
      </w:r>
      <w:r>
        <w:rPr>
          <w:rFonts w:ascii="Arial" w:cs="Arial" w:eastAsia="Arial" w:hAnsi="Arial"/>
          <w:sz w:val="18"/>
          <w:szCs w:val="18"/>
          <w:color w:val="auto"/>
        </w:rPr>
        <w:t xml:space="preserve"> with respect to real property.</w:t>
      </w:r>
    </w:p>
    <w:p>
      <w:pPr>
        <w:spacing w:after="0" w:line="146"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Compliance with Environmental Laws</w:t>
      </w:r>
      <w:r>
        <w:rPr>
          <w:rFonts w:ascii="Arial" w:cs="Arial" w:eastAsia="Arial" w:hAnsi="Arial"/>
          <w:sz w:val="20"/>
          <w:szCs w:val="20"/>
          <w:color w:val="auto"/>
        </w:rPr>
        <w:t>. Except, in each case, to the extent that the failure to do so could not, either individually or in the aggregate, reasonably be expected to have a Material Adverse Effect: comply, and take all reasonable actions to cause all lessees and other Persons operating or occupying its properties to comply with all applicable Environmental Laws and Environmental Permits; obtain and renew all Environmental Permits necessary for its operations and properties; and, in each case to the extent required by Environmental Laws, conduct any investigation, study, sampling and testing, and undertake any cleanup, removal, remedial or other action necessary to remove and clean up all Hazardous Materials from any of its properties, in accordance with the requirements of all Environmental Laws.</w:t>
      </w:r>
    </w:p>
    <w:p>
      <w:pPr>
        <w:spacing w:after="0" w:line="207"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(a)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 register any and all such further acts, deeds, certificates, assurances and other instruments as the Administrative Agent may reasonably request from time to time in order to carry out more effectively the purposes of the Collateral Documents (subject to the limitations set forth therein and in the definition of Collateral and Guarantee Requirement).</w:t>
      </w:r>
    </w:p>
    <w:p>
      <w:pPr>
        <w:spacing w:after="0" w:line="179" w:lineRule="exact"/>
        <w:rPr>
          <w:sz w:val="20"/>
          <w:szCs w:val="20"/>
          <w:color w:val="auto"/>
        </w:rPr>
      </w:pPr>
    </w:p>
    <w:p>
      <w:pPr>
        <w:jc w:val="both"/>
        <w:ind w:left="280" w:firstLine="646"/>
        <w:spacing w:after="0" w:line="244" w:lineRule="auto"/>
        <w:tabs>
          <w:tab w:leader="none" w:pos="1235" w:val="left"/>
        </w:tabs>
        <w:numPr>
          <w:ilvl w:val="0"/>
          <w:numId w:val="225"/>
        </w:numPr>
        <w:rPr>
          <w:rFonts w:ascii="Arial" w:cs="Arial" w:eastAsia="Arial" w:hAnsi="Arial"/>
          <w:sz w:val="20"/>
          <w:szCs w:val="20"/>
          <w:color w:val="auto"/>
        </w:rPr>
      </w:pPr>
      <w:r>
        <w:rPr>
          <w:rFonts w:ascii="Arial" w:cs="Arial" w:eastAsia="Arial" w:hAnsi="Arial"/>
          <w:sz w:val="20"/>
          <w:szCs w:val="20"/>
          <w:color w:val="auto"/>
        </w:rPr>
        <w:t xml:space="preserve">In the case of any Material Real Property referred to in </w:t>
      </w:r>
      <w:r>
        <w:rPr>
          <w:rFonts w:ascii="Arial" w:cs="Arial" w:eastAsia="Arial" w:hAnsi="Arial"/>
          <w:sz w:val="20"/>
          <w:szCs w:val="20"/>
          <w:u w:val="single" w:color="auto"/>
          <w:color w:val="auto"/>
        </w:rPr>
        <w:t>Section 6.11(a)(i)(A)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6.11(b)(y)</w:t>
      </w:r>
      <w:r>
        <w:rPr>
          <w:rFonts w:ascii="Arial" w:cs="Arial" w:eastAsia="Arial" w:hAnsi="Arial"/>
          <w:sz w:val="20"/>
          <w:szCs w:val="20"/>
          <w:color w:val="auto"/>
        </w:rPr>
        <w:t>, the Company shall provide the Administrative Agent with (i) written notice at least forty-five days prior to the pledge of such Material Real Property as Collateral (and the Administrative Agent shall promptly provide notice to the Lenders after receipt of such notice from the Company) and (ii) Mortgages with respect to such owned Material Real Property within ninety (90) days of the acquisition thereof (as such date may be extended by the Administrative Agent) together with:</w:t>
      </w:r>
    </w:p>
    <w:p>
      <w:pPr>
        <w:spacing w:after="0" w:line="208" w:lineRule="exact"/>
        <w:rPr>
          <w:rFonts w:ascii="Arial" w:cs="Arial" w:eastAsia="Arial" w:hAnsi="Arial"/>
          <w:sz w:val="20"/>
          <w:szCs w:val="20"/>
          <w:color w:val="auto"/>
        </w:rPr>
      </w:pPr>
    </w:p>
    <w:p>
      <w:pPr>
        <w:jc w:val="both"/>
        <w:ind w:left="2220" w:firstLine="651"/>
        <w:spacing w:after="0" w:line="288" w:lineRule="auto"/>
        <w:tabs>
          <w:tab w:leader="none" w:pos="3791" w:val="left"/>
        </w:tabs>
        <w:numPr>
          <w:ilvl w:val="1"/>
          <w:numId w:val="225"/>
        </w:numPr>
        <w:rPr>
          <w:rFonts w:ascii="Arial" w:cs="Arial" w:eastAsia="Arial" w:hAnsi="Arial"/>
          <w:sz w:val="19"/>
          <w:szCs w:val="19"/>
          <w:color w:val="auto"/>
        </w:rPr>
      </w:pPr>
      <w:r>
        <w:rPr>
          <w:rFonts w:ascii="Arial" w:cs="Arial" w:eastAsia="Arial" w:hAnsi="Arial"/>
          <w:sz w:val="19"/>
          <w:szCs w:val="19"/>
          <w:color w:val="auto"/>
        </w:rPr>
        <w:t>evidence that counterparts of the Mortgages have been duly executed, acknowledged and delivered and are in form suitable for filing or recording in all filing or recording offices that the Administrative Agent may deem reasonably necessary or desirable in order to create a valid and subsisting perfected Lien on the property and/or rights described therein in favor of the Administrative Agent or the Collateral Agent (as appropriate) for the benefit of the Secured Parties and that all filing and recording taxes and fees have been paid or otherwise provided for in a manner reasonably satisfactory to the Administrative Agent;</w:t>
      </w:r>
    </w:p>
    <w:p>
      <w:pPr>
        <w:spacing w:after="0" w:line="196" w:lineRule="exact"/>
        <w:rPr>
          <w:rFonts w:ascii="Arial" w:cs="Arial" w:eastAsia="Arial" w:hAnsi="Arial"/>
          <w:sz w:val="19"/>
          <w:szCs w:val="19"/>
          <w:color w:val="auto"/>
        </w:rPr>
      </w:pPr>
    </w:p>
    <w:p>
      <w:pPr>
        <w:jc w:val="both"/>
        <w:ind w:left="2220" w:firstLine="651"/>
        <w:spacing w:after="0" w:line="304" w:lineRule="auto"/>
        <w:tabs>
          <w:tab w:leader="none" w:pos="37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fully paid American Land Title Association Lender’s Extended Coverage title insurance policies or the equivalent or other form available in each applicable jurisdiction (the “</w:t>
      </w:r>
      <w:r>
        <w:rPr>
          <w:rFonts w:ascii="Arial" w:cs="Arial" w:eastAsia="Arial" w:hAnsi="Arial"/>
          <w:sz w:val="18"/>
          <w:szCs w:val="18"/>
          <w:u w:val="single" w:color="auto"/>
          <w:color w:val="auto"/>
        </w:rPr>
        <w:t>Mortgage Policies</w:t>
      </w:r>
      <w:r>
        <w:rPr>
          <w:rFonts w:ascii="Arial" w:cs="Arial" w:eastAsia="Arial" w:hAnsi="Arial"/>
          <w:sz w:val="18"/>
          <w:szCs w:val="18"/>
          <w:color w:val="auto"/>
        </w:rPr>
        <w:t>”) in form and substance, with endorsements and in amount, reasonably acceptable to the Administrative Agent (not to exceed the value of the real properties covered thereby), issued, coinsured and reinsured by title insurers reasonably acceptable to the Administrative Agent, insuring the Mortgages to be valid subsisting Liens on the property described therein, free and clear of all defects and encumbrances, subject to Permitted Liens, and providing for such other affirmative insurance (including endorsements for future advances under the Loan Documents) and such coinsurance and direct access reinsurance as the Administrative Agent may reasonably request;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37" w:name="page238"/>
    <w:bookmarkEnd w:id="237"/>
    <w:p>
      <w:pPr>
        <w:jc w:val="both"/>
        <w:ind w:left="2220" w:firstLine="651"/>
        <w:spacing w:after="0" w:line="278" w:lineRule="auto"/>
        <w:tabs>
          <w:tab w:leader="none" w:pos="37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opinions of local counsel for the Loan Parties in states in which such real properties are located, with respect to the enforceability and perfection of the Mortgages and any related fixture filings in form and substance reasonably satisfactory to the Administrative Agent;</w:t>
      </w:r>
    </w:p>
    <w:p>
      <w:pPr>
        <w:spacing w:after="0" w:line="200" w:lineRule="exact"/>
        <w:rPr>
          <w:rFonts w:ascii="Arial" w:cs="Arial" w:eastAsia="Arial" w:hAnsi="Arial"/>
          <w:sz w:val="20"/>
          <w:szCs w:val="20"/>
          <w:color w:val="auto"/>
        </w:rPr>
      </w:pPr>
    </w:p>
    <w:p>
      <w:pPr>
        <w:jc w:val="both"/>
        <w:ind w:left="2220" w:firstLine="651"/>
        <w:spacing w:after="0" w:line="271" w:lineRule="auto"/>
        <w:tabs>
          <w:tab w:leader="none" w:pos="379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(1) standard flood hazard determination forms and (2) if any Material Real Property is located in a special flood hazard area, (x) notices to (and confirmations of receipt by) the Company as to the existence of a special flood hazard and, if applicable, the unavailability of flood hazard insurance under the National Flood Insurance Program and (y) evidence of applicable flood insurance, if available, in each case in such form, on such terms and in such amounts as required by The National Flood Insurance Reform Act of 1994, the Federal Flood Disaster Protection Act and rules and regulations promulgated thereunder or as otherwise required by the Administrative Agent or any Lender; and</w:t>
      </w:r>
    </w:p>
    <w:p>
      <w:pPr>
        <w:spacing w:after="0" w:line="207" w:lineRule="exact"/>
        <w:rPr>
          <w:rFonts w:ascii="Arial" w:cs="Arial" w:eastAsia="Arial" w:hAnsi="Arial"/>
          <w:sz w:val="20"/>
          <w:szCs w:val="20"/>
          <w:color w:val="auto"/>
        </w:rPr>
      </w:pPr>
    </w:p>
    <w:p>
      <w:pPr>
        <w:jc w:val="both"/>
        <w:ind w:left="2220" w:firstLine="651"/>
        <w:spacing w:after="0" w:line="278" w:lineRule="auto"/>
        <w:tabs>
          <w:tab w:leader="none" w:pos="3769" w:val="left"/>
        </w:tabs>
        <w:numPr>
          <w:ilvl w:val="0"/>
          <w:numId w:val="226"/>
        </w:numPr>
        <w:rPr>
          <w:rFonts w:ascii="Arial" w:cs="Arial" w:eastAsia="Arial" w:hAnsi="Arial"/>
          <w:sz w:val="20"/>
          <w:szCs w:val="20"/>
          <w:color w:val="auto"/>
        </w:rPr>
      </w:pPr>
      <w:r>
        <w:rPr>
          <w:rFonts w:ascii="Arial" w:cs="Arial" w:eastAsia="Arial" w:hAnsi="Arial"/>
          <w:sz w:val="20"/>
          <w:szCs w:val="20"/>
          <w:color w:val="auto"/>
        </w:rPr>
        <w:t>such other evidence that all other actions that the Administrative Agent may reasonably deem necessary or desirable in order to create valid and subsisting Liens on the property described in the Mortgages has been taken;</w:t>
      </w:r>
    </w:p>
    <w:p>
      <w:pPr>
        <w:spacing w:after="0" w:line="187" w:lineRule="exact"/>
        <w:rPr>
          <w:sz w:val="20"/>
          <w:szCs w:val="20"/>
          <w:color w:val="auto"/>
        </w:rPr>
      </w:pPr>
    </w:p>
    <w:p>
      <w:pPr>
        <w:jc w:val="both"/>
        <w:ind w:left="280" w:firstLine="648"/>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enter into, accept or record any Mortgage in respect of such Material Real Property until the Administrative Agent shall have received written confirmation from each Lender that flood insurance compliance has been completed by such Lender with respect to such Material Real Property (such written confirmation not to be unreasonably withheld or delayed). If at any time any real property is pledged as Collateral hereunder, any increase, extension or renewal of Loans under this Agreement (as may be amended, restated, supplemented or otherwise modified from time to time) shall be subject to flood insurance due diligence and flood insurance compliance reasonably satisfactory to the Administrative Agent and each Lender.</w:t>
      </w:r>
    </w:p>
    <w:p>
      <w:pPr>
        <w:spacing w:after="0" w:line="179" w:lineRule="exact"/>
        <w:rPr>
          <w:sz w:val="20"/>
          <w:szCs w:val="20"/>
          <w:color w:val="auto"/>
        </w:rPr>
      </w:pPr>
    </w:p>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any Borrowing (a) on the Closing Date, whether directly or indirectly, to refinance certain existing Indebtedness under the Existing Credit Agreement and to pay fees and expenses incurred in connection with such refinancing and the Transaction, and (b) after the Closing Date, use the proceeds of any Borrowing for any purpose not otherwise prohibited under this Agreement, including for general corporate purposes (including Permitted Acquisitions) and working capital needs.</w:t>
      </w:r>
    </w:p>
    <w:p>
      <w:pPr>
        <w:spacing w:after="0" w:line="17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6.15 </w:t>
      </w:r>
      <w:r>
        <w:rPr>
          <w:rFonts w:ascii="Arial" w:cs="Arial" w:eastAsia="Arial" w:hAnsi="Arial"/>
          <w:sz w:val="20"/>
          <w:szCs w:val="20"/>
          <w:u w:val="single" w:color="auto"/>
          <w:color w:val="auto"/>
        </w:rPr>
        <w:t>Compliance with Anti-Corruption Laws, Anti-Money Laundering Laws and Sanctions</w:t>
      </w:r>
      <w:r>
        <w:rPr>
          <w:rFonts w:ascii="Arial" w:cs="Arial" w:eastAsia="Arial" w:hAnsi="Arial"/>
          <w:sz w:val="20"/>
          <w:szCs w:val="20"/>
          <w:color w:val="auto"/>
        </w:rPr>
        <w:t>. Each Borrower will maintain in effect and enforce policies and procedures designed to ensure compliance in all material respects by, to the extent applicable, each Borrower, each Borrower’s Subsidiaries and their respective directors, officers, employees and agents with Anti-Corruption Laws, Anti-Money Laundering Laws and applicable Sanctions.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238" w:name="page239"/>
    <w:bookmarkEnd w:id="238"/>
    <w:p>
      <w:pPr>
        <w:jc w:val="center"/>
        <w:ind w:left="126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ind w:left="1260"/>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So long as any Lender shall have any Commitment hereunder, or any Loan or other Obligation hereunder (other than (i) contingent indemnification obligations as to which no claim has been asserted and (ii) Cash Management Obligations and Obligations under Secured Hedge Agreements) shall remain unpaid or unsatisfied, or any Letter of Credit shall remain outstanding (unless the Outstanding Amount of the L/C Obligations related thereto has been Cash Collateralized, back stopped by a letter of credit reasonably satisfactory to the applicable L/C Issuer or deemed reissued under another agreement reasonably acceptable to the applicable L/C Issuer), the Borrowers shall not, nor shall they permit any of their Subsidiaries to, directly or indirectly:</w:t>
      </w:r>
    </w:p>
    <w:p>
      <w:pPr>
        <w:spacing w:after="0" w:line="192"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u w:val="single" w:color="auto"/>
          <w:color w:val="auto"/>
        </w:rPr>
        <w:t>Liens</w:t>
      </w:r>
      <w:r>
        <w:rPr>
          <w:rFonts w:ascii="Arial" w:cs="Arial" w:eastAsia="Arial" w:hAnsi="Arial"/>
          <w:sz w:val="20"/>
          <w:szCs w:val="20"/>
          <w:color w:val="auto"/>
        </w:rPr>
        <w:t>. Create, incur, assume or suffer to exist any Lien upon any of its property, assets or revenues, whether now owned or hereafter acquired, other than the following:</w:t>
      </w:r>
    </w:p>
    <w:p>
      <w:pPr>
        <w:spacing w:after="0" w:line="204" w:lineRule="exact"/>
        <w:rPr>
          <w:sz w:val="20"/>
          <w:szCs w:val="20"/>
          <w:color w:val="auto"/>
        </w:rPr>
      </w:pPr>
    </w:p>
    <w:p>
      <w:pPr>
        <w:ind w:left="2420" w:hanging="845"/>
        <w:spacing w:after="0"/>
        <w:tabs>
          <w:tab w:leader="none" w:pos="24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42" w:lineRule="exact"/>
        <w:rPr>
          <w:rFonts w:ascii="Arial" w:cs="Arial" w:eastAsia="Arial" w:hAnsi="Arial"/>
          <w:sz w:val="20"/>
          <w:szCs w:val="20"/>
          <w:color w:val="auto"/>
        </w:rPr>
      </w:pPr>
    </w:p>
    <w:p>
      <w:pPr>
        <w:jc w:val="both"/>
        <w:ind w:left="920" w:firstLine="655"/>
        <w:spacing w:after="0" w:line="310" w:lineRule="auto"/>
        <w:tabs>
          <w:tab w:leader="none" w:pos="244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listed on </w:t>
      </w:r>
      <w:r>
        <w:rPr>
          <w:rFonts w:ascii="Arial" w:cs="Arial" w:eastAsia="Arial" w:hAnsi="Arial"/>
          <w:sz w:val="18"/>
          <w:szCs w:val="18"/>
          <w:u w:val="single" w:color="auto"/>
          <w:color w:val="auto"/>
        </w:rPr>
        <w:t>Schedule 7.01(b)</w:t>
      </w:r>
      <w:r>
        <w:rPr>
          <w:rFonts w:ascii="Arial" w:cs="Arial" w:eastAsia="Arial" w:hAnsi="Arial"/>
          <w:sz w:val="18"/>
          <w:szCs w:val="18"/>
          <w:color w:val="auto"/>
        </w:rPr>
        <w:t xml:space="preserve"> and any modifications, replacements, renewals, refinancings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Lien does not extend to any additional property other than (A) after-acquired property that is affixed or incorporated into the property covered by such Lien or financed or refinanced by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(B) proceeds and products thereof, and (ii) the renewal, extension or refinancing of the obligations secured or benefited by such Liens, to the extent constituting Indebtedness,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left="920" w:firstLine="655"/>
        <w:spacing w:after="0" w:line="299" w:lineRule="auto"/>
        <w:tabs>
          <w:tab w:leader="none" w:pos="2436" w:val="left"/>
        </w:tabs>
        <w:numPr>
          <w:ilvl w:val="0"/>
          <w:numId w:val="227"/>
        </w:numPr>
        <w:rPr>
          <w:rFonts w:ascii="Arial" w:cs="Arial" w:eastAsia="Arial" w:hAnsi="Arial"/>
          <w:sz w:val="19"/>
          <w:szCs w:val="19"/>
          <w:color w:val="auto"/>
        </w:rPr>
      </w:pPr>
      <w:r>
        <w:rPr>
          <w:rFonts w:ascii="Arial" w:cs="Arial" w:eastAsia="Arial" w:hAnsi="Arial"/>
          <w:sz w:val="19"/>
          <w:szCs w:val="19"/>
          <w:color w:val="auto"/>
        </w:rPr>
        <w:t>Liens for taxes, assessments or governmental charges which are not overdue for a period of more than thirty (30) days or which are being contested in good faith and by appropriate actions diligently conducted, if adequate reserves with respect thereto are maintained on the books of the applicable Person in accordance with GAAP;</w:t>
      </w:r>
    </w:p>
    <w:p>
      <w:pPr>
        <w:spacing w:after="0" w:line="169" w:lineRule="exact"/>
        <w:rPr>
          <w:rFonts w:ascii="Arial" w:cs="Arial" w:eastAsia="Arial" w:hAnsi="Arial"/>
          <w:sz w:val="19"/>
          <w:szCs w:val="19"/>
          <w:color w:val="auto"/>
        </w:rPr>
      </w:pPr>
    </w:p>
    <w:p>
      <w:pPr>
        <w:jc w:val="both"/>
        <w:ind w:left="920" w:firstLine="655"/>
        <w:spacing w:after="0" w:line="290" w:lineRule="auto"/>
        <w:tabs>
          <w:tab w:leader="none" w:pos="2447" w:val="left"/>
        </w:tabs>
        <w:numPr>
          <w:ilvl w:val="0"/>
          <w:numId w:val="227"/>
        </w:numPr>
        <w:rPr>
          <w:rFonts w:ascii="Arial" w:cs="Arial" w:eastAsia="Arial" w:hAnsi="Arial"/>
          <w:sz w:val="19"/>
          <w:szCs w:val="19"/>
          <w:color w:val="auto"/>
        </w:rPr>
      </w:pPr>
      <w:r>
        <w:rPr>
          <w:rFonts w:ascii="Arial" w:cs="Arial" w:eastAsia="Arial" w:hAnsi="Arial"/>
          <w:sz w:val="19"/>
          <w:szCs w:val="19"/>
          <w:color w:val="auto"/>
        </w:rPr>
        <w:t>statutory or common law Liens of landlords, carriers, warehousemen, mechanics, materialmen, repairmen, construction contractors or other like Liens arising in the ordinary course of business which secure amounts not overdue for a period of more than thirty (30) days or if more than thirty (30) days overdue, are unfiled and no other action has been taken to enforce such Lien or which are being contested in good faith and by appropriate actions diligently conducted, if adequate reserves with respect thereto are maintained on the books of the applicable Person in accordance with GAAP;</w:t>
      </w:r>
    </w:p>
    <w:p>
      <w:pPr>
        <w:spacing w:after="0" w:line="192" w:lineRule="exact"/>
        <w:rPr>
          <w:rFonts w:ascii="Arial" w:cs="Arial" w:eastAsia="Arial" w:hAnsi="Arial"/>
          <w:sz w:val="19"/>
          <w:szCs w:val="19"/>
          <w:color w:val="auto"/>
        </w:rPr>
      </w:pPr>
    </w:p>
    <w:p>
      <w:pPr>
        <w:jc w:val="both"/>
        <w:ind w:left="920" w:firstLine="655"/>
        <w:spacing w:after="0" w:line="273" w:lineRule="auto"/>
        <w:tabs>
          <w:tab w:leader="none" w:pos="243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any Borrower or any Subsidiary;</w:t>
      </w:r>
    </w:p>
    <w:p>
      <w:pPr>
        <w:spacing w:after="0" w:line="204" w:lineRule="exact"/>
        <w:rPr>
          <w:rFonts w:ascii="Arial" w:cs="Arial" w:eastAsia="Arial" w:hAnsi="Arial"/>
          <w:sz w:val="20"/>
          <w:szCs w:val="20"/>
          <w:color w:val="auto"/>
        </w:rPr>
      </w:pPr>
    </w:p>
    <w:p>
      <w:pPr>
        <w:jc w:val="both"/>
        <w:ind w:left="920" w:firstLine="655"/>
        <w:spacing w:after="0" w:line="322" w:lineRule="auto"/>
        <w:tabs>
          <w:tab w:leader="none" w:pos="241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governmental contracts and leases (other than Indebtedness), statutory obligations, surety, stay, customs and appeal bonds, performance bonds and other obligations of a like nature (including those to secure health, safety and environmental obligations) incurred in the ordinary course of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4" w:right="239" w:bottom="1440" w:gutter="0" w:footer="0" w:header="0"/>
        </w:sectPr>
      </w:pPr>
    </w:p>
    <w:bookmarkStart w:id="239" w:name="page240"/>
    <w:bookmarkEnd w:id="239"/>
    <w:p>
      <w:pPr>
        <w:jc w:val="both"/>
        <w:ind w:left="920" w:firstLine="655"/>
        <w:spacing w:after="0" w:line="322" w:lineRule="auto"/>
        <w:tabs>
          <w:tab w:leader="none" w:pos="24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easements, rights-of-way, restrictions, encroachments, protrusions and other similar encumbrances and minor title defects or minor irregularities affecting real property which, in the aggregate, do not in any case materially interfere with the ordinary conduct of the business of any Borrower or any Subsidiary or the use of the property for its intended purpose;</w:t>
      </w:r>
    </w:p>
    <w:p>
      <w:pPr>
        <w:spacing w:after="0" w:line="166" w:lineRule="exact"/>
        <w:rPr>
          <w:rFonts w:ascii="Arial" w:cs="Arial" w:eastAsia="Arial" w:hAnsi="Arial"/>
          <w:sz w:val="18"/>
          <w:szCs w:val="18"/>
          <w:color w:val="auto"/>
        </w:rPr>
      </w:pPr>
    </w:p>
    <w:p>
      <w:pPr>
        <w:ind w:left="2460" w:hanging="885"/>
        <w:spacing w:after="0"/>
        <w:tabs>
          <w:tab w:leader="none" w:pos="2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920" w:firstLine="655"/>
        <w:spacing w:after="0" w:line="303" w:lineRule="auto"/>
        <w:tabs>
          <w:tab w:leader="none" w:pos="24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attach concurrently with or within two hundred and seventy (270) days after the acquisition, repair, replacement, construction or improvement (as applicable) of the property subject to such Liens (including reconstruction, refurbishment, renovation and development of real property), (ii) such Liens do not at any time encumber any property other than the property financed by such Indebtedness, replacements thereof and additions and accessions to such property and the proceeds and the products thereof and customary security deposits related thereto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individual financings of equipment provided by one lender may be cross collateralized to other financings of equipment provided by such lender;</w:t>
      </w:r>
    </w:p>
    <w:p>
      <w:pPr>
        <w:spacing w:after="0" w:line="187" w:lineRule="exact"/>
        <w:rPr>
          <w:rFonts w:ascii="Arial" w:cs="Arial" w:eastAsia="Arial" w:hAnsi="Arial"/>
          <w:sz w:val="18"/>
          <w:szCs w:val="18"/>
          <w:color w:val="auto"/>
        </w:rPr>
      </w:pPr>
    </w:p>
    <w:p>
      <w:pPr>
        <w:ind w:left="920" w:firstLine="655"/>
        <w:spacing w:after="0" w:line="316" w:lineRule="auto"/>
        <w:tabs>
          <w:tab w:leader="none" w:pos="2403" w:val="left"/>
        </w:tabs>
        <w:numPr>
          <w:ilvl w:val="0"/>
          <w:numId w:val="228"/>
        </w:numPr>
        <w:rPr>
          <w:rFonts w:ascii="Arial" w:cs="Arial" w:eastAsia="Arial" w:hAnsi="Arial"/>
          <w:sz w:val="19"/>
          <w:szCs w:val="19"/>
          <w:color w:val="auto"/>
        </w:rPr>
      </w:pPr>
      <w:r>
        <w:rPr>
          <w:rFonts w:ascii="Arial" w:cs="Arial" w:eastAsia="Arial" w:hAnsi="Arial"/>
          <w:sz w:val="19"/>
          <w:szCs w:val="19"/>
          <w:color w:val="auto"/>
        </w:rPr>
        <w:t>leases, licenses, subleases or sublicenses granted to others in the ordinary course of business which do not interfere in any material respect with the business of any Borrower or any Subsidiary or secure any Indebtedness;</w:t>
      </w:r>
    </w:p>
    <w:p>
      <w:pPr>
        <w:spacing w:after="0" w:line="153" w:lineRule="exact"/>
        <w:rPr>
          <w:rFonts w:ascii="Arial" w:cs="Arial" w:eastAsia="Arial" w:hAnsi="Arial"/>
          <w:sz w:val="19"/>
          <w:szCs w:val="19"/>
          <w:color w:val="auto"/>
        </w:rPr>
      </w:pPr>
    </w:p>
    <w:p>
      <w:pPr>
        <w:jc w:val="both"/>
        <w:ind w:left="920" w:firstLine="655"/>
        <w:spacing w:after="0" w:line="273" w:lineRule="auto"/>
        <w:tabs>
          <w:tab w:leader="none" w:pos="244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goods in the ordinary course of business;</w:t>
      </w:r>
    </w:p>
    <w:p>
      <w:pPr>
        <w:spacing w:after="0" w:line="204" w:lineRule="exact"/>
        <w:rPr>
          <w:rFonts w:ascii="Arial" w:cs="Arial" w:eastAsia="Arial" w:hAnsi="Arial"/>
          <w:sz w:val="20"/>
          <w:szCs w:val="20"/>
          <w:color w:val="auto"/>
        </w:rPr>
      </w:pPr>
    </w:p>
    <w:p>
      <w:pPr>
        <w:jc w:val="both"/>
        <w:ind w:left="920" w:firstLine="655"/>
        <w:spacing w:after="0" w:line="273" w:lineRule="auto"/>
        <w:tabs>
          <w:tab w:leader="none" w:pos="2403"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 Liens (i) of a collection bank arising under Section 4-208 of the Uniform Commercial Code on items in the course of collection and (ii) in favor of a banking or other financial institution arising as a matter of law or under customary general terms and conditions encumbering deposits or other funds maintained with a financial institution (including the right of set-off) and which are within the general parameters customary in the banking industry or arising pursuant to such banking institution’s general terms and conditions;</w:t>
      </w:r>
    </w:p>
    <w:p>
      <w:pPr>
        <w:spacing w:after="0" w:line="204" w:lineRule="exact"/>
        <w:rPr>
          <w:rFonts w:ascii="Arial" w:cs="Arial" w:eastAsia="Arial" w:hAnsi="Arial"/>
          <w:sz w:val="20"/>
          <w:szCs w:val="20"/>
          <w:color w:val="auto"/>
        </w:rPr>
      </w:pPr>
    </w:p>
    <w:p>
      <w:pPr>
        <w:jc w:val="both"/>
        <w:ind w:left="920" w:firstLine="655"/>
        <w:spacing w:after="0" w:line="273" w:lineRule="auto"/>
        <w:tabs>
          <w:tab w:leader="none" w:pos="2502"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Liens (i) on cash advances in favor of the seller of any property to be acquired in an Investment or other acquisition permitted pursuant to this Agreement to be applied against the purchase price for such Investment or other acquisition, and (ii) consisting of an agreement to Dispose of any property in a Disposition permitted under </w:t>
      </w:r>
      <w:r>
        <w:rPr>
          <w:rFonts w:ascii="Arial" w:cs="Arial" w:eastAsia="Arial" w:hAnsi="Arial"/>
          <w:sz w:val="20"/>
          <w:szCs w:val="20"/>
          <w:u w:val="single" w:color="auto"/>
          <w:color w:val="auto"/>
        </w:rPr>
        <w:t>Section 7.05</w:t>
      </w:r>
      <w:r>
        <w:rPr>
          <w:rFonts w:ascii="Arial" w:cs="Arial" w:eastAsia="Arial" w:hAnsi="Arial"/>
          <w:sz w:val="20"/>
          <w:szCs w:val="20"/>
          <w:color w:val="auto"/>
        </w:rPr>
        <w:t>, in each case, solely to the extent such Investment or other acquisition or Disposition, as the case may be, would have been permitted on the date of the creation of such Lien;</w:t>
      </w:r>
    </w:p>
    <w:p>
      <w:pPr>
        <w:spacing w:after="0" w:line="204" w:lineRule="exact"/>
        <w:rPr>
          <w:rFonts w:ascii="Arial" w:cs="Arial" w:eastAsia="Arial" w:hAnsi="Arial"/>
          <w:sz w:val="20"/>
          <w:szCs w:val="20"/>
          <w:color w:val="auto"/>
        </w:rPr>
      </w:pPr>
    </w:p>
    <w:p>
      <w:pPr>
        <w:ind w:left="920" w:right="20" w:firstLine="655"/>
        <w:spacing w:after="0" w:line="289" w:lineRule="auto"/>
        <w:tabs>
          <w:tab w:leader="none" w:pos="244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 xml:space="preserve">Liens (i) on property of any Subsidiary that is not a Loan Party and (ii) on the Liquor Licenses and Equity Interests of Liquor License Subsidiaries, which Liens secure Indebtedness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40" w:name="page241"/>
    <w:bookmarkEnd w:id="240"/>
    <w:p>
      <w:pPr>
        <w:jc w:val="both"/>
        <w:ind w:left="920" w:firstLine="655"/>
        <w:spacing w:after="0" w:line="274" w:lineRule="auto"/>
        <w:tabs>
          <w:tab w:leader="none" w:pos="2447" w:val="left"/>
        </w:tabs>
        <w:numPr>
          <w:ilvl w:val="1"/>
          <w:numId w:val="229"/>
        </w:numPr>
        <w:rPr>
          <w:rFonts w:ascii="Arial" w:cs="Arial" w:eastAsia="Arial" w:hAnsi="Arial"/>
          <w:sz w:val="20"/>
          <w:szCs w:val="20"/>
          <w:color w:val="auto"/>
        </w:rPr>
      </w:pPr>
      <w:r>
        <w:rPr>
          <w:rFonts w:ascii="Arial" w:cs="Arial" w:eastAsia="Arial" w:hAnsi="Arial"/>
          <w:sz w:val="20"/>
          <w:szCs w:val="20"/>
          <w:color w:val="auto"/>
        </w:rPr>
        <w:t xml:space="preserve">Liens in favor of a Borrower or a Subsidiary securing Indebtedness permitted under </w:t>
      </w:r>
      <w:r>
        <w:rPr>
          <w:rFonts w:ascii="Arial" w:cs="Arial" w:eastAsia="Arial" w:hAnsi="Arial"/>
          <w:sz w:val="20"/>
          <w:szCs w:val="20"/>
          <w:u w:val="single" w:color="auto"/>
          <w:color w:val="auto"/>
        </w:rPr>
        <w:t>Section 7.03(d)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that such Indebtedness is required to be subordinated pursuant to </w:t>
      </w:r>
      <w:r>
        <w:rPr>
          <w:rFonts w:ascii="Arial" w:cs="Arial" w:eastAsia="Arial" w:hAnsi="Arial"/>
          <w:sz w:val="20"/>
          <w:szCs w:val="20"/>
          <w:u w:val="single" w:color="auto"/>
          <w:color w:val="auto"/>
        </w:rPr>
        <w:t>Section 7.03(d)</w:t>
      </w:r>
      <w:r>
        <w:rPr>
          <w:rFonts w:ascii="Arial" w:cs="Arial" w:eastAsia="Arial" w:hAnsi="Arial"/>
          <w:sz w:val="20"/>
          <w:szCs w:val="20"/>
          <w:color w:val="auto"/>
        </w:rPr>
        <w:t>, any Lien on Collateral securing such Indebtedness shall be subordinated to the Liens securing the Obligations on terms and conditions reasonably satisfactory to the Administrative Agent;</w:t>
      </w:r>
    </w:p>
    <w:p>
      <w:pPr>
        <w:spacing w:after="0" w:line="205" w:lineRule="exact"/>
        <w:rPr>
          <w:rFonts w:ascii="Arial" w:cs="Arial" w:eastAsia="Arial" w:hAnsi="Arial"/>
          <w:sz w:val="20"/>
          <w:szCs w:val="20"/>
          <w:color w:val="auto"/>
        </w:rPr>
      </w:pPr>
    </w:p>
    <w:p>
      <w:pPr>
        <w:jc w:val="both"/>
        <w:ind w:left="920" w:firstLine="655"/>
        <w:spacing w:after="0" w:line="334" w:lineRule="auto"/>
        <w:tabs>
          <w:tab w:leader="none" w:pos="244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Liens (x) existing on property at the time of its acquisition or existing on the property of any Person at the time such Person becomes a Subsidiary, in each case after the Closing Date and the replacement, extension or renewal of any Lien permitted by this clause (p) upon or in the same property previously subject thereto in connection with the replacement, extension or renewal (without increase in the amount or any change in any direct or contingent obligor) of the Indebtedness secured thereby and</w:t>
      </w:r>
    </w:p>
    <w:p>
      <w:pPr>
        <w:spacing w:after="0" w:line="2" w:lineRule="exact"/>
        <w:rPr>
          <w:rFonts w:ascii="Arial" w:cs="Arial" w:eastAsia="Arial" w:hAnsi="Arial"/>
          <w:sz w:val="16"/>
          <w:szCs w:val="16"/>
          <w:color w:val="auto"/>
        </w:rPr>
      </w:pPr>
    </w:p>
    <w:p>
      <w:pPr>
        <w:jc w:val="both"/>
        <w:ind w:left="920" w:firstLine="6"/>
        <w:spacing w:after="0" w:line="303" w:lineRule="auto"/>
        <w:tabs>
          <w:tab w:leader="none" w:pos="123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placed upon the Equity Interests, property or assets of any Subsidiary or its Subsidiaries acquired pursuant to a Permitted Acquisition to secure Indebtedness incurred pursuant to </w:t>
      </w:r>
      <w:r>
        <w:rPr>
          <w:rFonts w:ascii="Arial" w:cs="Arial" w:eastAsia="Arial" w:hAnsi="Arial"/>
          <w:sz w:val="18"/>
          <w:szCs w:val="18"/>
          <w:u w:val="single" w:color="auto"/>
          <w:color w:val="auto"/>
        </w:rPr>
        <w:t>Section 7.03(g)(B)</w:t>
      </w:r>
      <w:r>
        <w:rPr>
          <w:rFonts w:ascii="Arial" w:cs="Arial" w:eastAsia="Arial" w:hAnsi="Arial"/>
          <w:sz w:val="18"/>
          <w:szCs w:val="18"/>
          <w:color w:val="auto"/>
        </w:rPr>
        <w:t xml:space="preserve"> in connection with such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clause (x), such Lien was not created in contemplation of such acquisition or such Person becoming a Subsidiary, (ii) in the case of clause (x),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 acquired property, it being understood that such requirement shall not be permitted to apply to any property to which such requirement would not have applied but for such acquisition), and (iii) in the case of clauses (x) and (y), the Indebtedness secured thereby is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920" w:firstLine="655"/>
        <w:spacing w:after="0" w:line="278" w:lineRule="auto"/>
        <w:tabs>
          <w:tab w:leader="none" w:pos="2447" w:val="left"/>
        </w:tabs>
        <w:numPr>
          <w:ilvl w:val="1"/>
          <w:numId w:val="230"/>
        </w:numPr>
        <w:rPr>
          <w:rFonts w:ascii="Arial" w:cs="Arial" w:eastAsia="Arial" w:hAnsi="Arial"/>
          <w:sz w:val="20"/>
          <w:szCs w:val="20"/>
          <w:color w:val="auto"/>
        </w:rPr>
      </w:pPr>
      <w:r>
        <w:rPr>
          <w:rFonts w:ascii="Arial" w:cs="Arial" w:eastAsia="Arial" w:hAnsi="Arial"/>
          <w:sz w:val="20"/>
          <w:szCs w:val="20"/>
          <w:color w:val="auto"/>
        </w:rPr>
        <w:t>any interest or title of a lessor, sublessor, licensor or sublicensor or secured by a lessor’s, sublessor’s, licensor’s or sublicensor’s interest under leases (other than Capitalized Leases), subleases, licenses or sublicenses entered into by any Borrower or any of its Subsidiaries in the ordinary course of business;</w:t>
      </w:r>
    </w:p>
    <w:p>
      <w:pPr>
        <w:spacing w:after="0" w:line="200" w:lineRule="exact"/>
        <w:rPr>
          <w:rFonts w:ascii="Arial" w:cs="Arial" w:eastAsia="Arial" w:hAnsi="Arial"/>
          <w:sz w:val="20"/>
          <w:szCs w:val="20"/>
          <w:color w:val="auto"/>
        </w:rPr>
      </w:pPr>
    </w:p>
    <w:p>
      <w:pPr>
        <w:ind w:left="920" w:firstLine="655"/>
        <w:spacing w:after="0" w:line="289" w:lineRule="auto"/>
        <w:tabs>
          <w:tab w:leader="none" w:pos="2414" w:val="left"/>
        </w:tabs>
        <w:numPr>
          <w:ilvl w:val="1"/>
          <w:numId w:val="230"/>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of goods entered into by any Borrower or any of its Subsidiaries in the ordinary course of business;</w:t>
      </w:r>
    </w:p>
    <w:p>
      <w:pPr>
        <w:spacing w:after="0" w:line="175" w:lineRule="exact"/>
        <w:rPr>
          <w:rFonts w:ascii="Arial" w:cs="Arial" w:eastAsia="Arial" w:hAnsi="Arial"/>
          <w:sz w:val="20"/>
          <w:szCs w:val="20"/>
          <w:color w:val="auto"/>
        </w:rPr>
      </w:pPr>
    </w:p>
    <w:p>
      <w:pPr>
        <w:ind w:left="920" w:firstLine="655"/>
        <w:spacing w:after="0" w:line="316" w:lineRule="auto"/>
        <w:tabs>
          <w:tab w:leader="none" w:pos="2425"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under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extend to any assets other than those that are the subject of such repurchase agreement;</w:t>
      </w:r>
    </w:p>
    <w:p>
      <w:pPr>
        <w:spacing w:after="0" w:line="167" w:lineRule="exact"/>
        <w:rPr>
          <w:rFonts w:ascii="Arial" w:cs="Arial" w:eastAsia="Arial" w:hAnsi="Arial"/>
          <w:sz w:val="19"/>
          <w:szCs w:val="19"/>
          <w:color w:val="auto"/>
        </w:rPr>
      </w:pPr>
    </w:p>
    <w:p>
      <w:pPr>
        <w:jc w:val="both"/>
        <w:ind w:left="920" w:firstLine="655"/>
        <w:spacing w:after="0" w:line="273" w:lineRule="auto"/>
        <w:tabs>
          <w:tab w:leader="none" w:pos="2403" w:val="left"/>
        </w:tabs>
        <w:numPr>
          <w:ilvl w:val="1"/>
          <w:numId w:val="230"/>
        </w:numPr>
        <w:rPr>
          <w:rFonts w:ascii="Arial" w:cs="Arial" w:eastAsia="Arial" w:hAnsi="Arial"/>
          <w:sz w:val="20"/>
          <w:szCs w:val="20"/>
          <w:color w:val="auto"/>
        </w:rPr>
      </w:pPr>
      <w:r>
        <w:rPr>
          <w:rFonts w:ascii="Arial" w:cs="Arial" w:eastAsia="Arial" w:hAnsi="Arial"/>
          <w:sz w:val="20"/>
          <w:szCs w:val="20"/>
          <w:color w:val="auto"/>
        </w:rPr>
        <w:t>Liens that are contractual rights of set-off (i) relating to the establishment of depository relations with banks not given in connection with the issuance of Indebtedness, (ii) relating to pooled deposit or sweep accounts of any Borrower or any Subsidiary to permit satisfaction of overdraft or similar obligations incurred in the ordinary course of business of the Borrowers and their respective Subsidiaries or (iii) relating to purchase orders and other agreements entered into with customers of any Borrower or any Subsidiary in the ordinary course of business;</w:t>
      </w:r>
    </w:p>
    <w:p>
      <w:pPr>
        <w:spacing w:after="0" w:line="204" w:lineRule="exact"/>
        <w:rPr>
          <w:rFonts w:ascii="Arial" w:cs="Arial" w:eastAsia="Arial" w:hAnsi="Arial"/>
          <w:sz w:val="20"/>
          <w:szCs w:val="20"/>
          <w:color w:val="auto"/>
        </w:rPr>
      </w:pPr>
    </w:p>
    <w:p>
      <w:pPr>
        <w:ind w:left="920" w:firstLine="655"/>
        <w:spacing w:after="0" w:line="289" w:lineRule="auto"/>
        <w:tabs>
          <w:tab w:leader="none" w:pos="2447" w:val="left"/>
        </w:tabs>
        <w:numPr>
          <w:ilvl w:val="1"/>
          <w:numId w:val="230"/>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any Borrower or any of its Subsidiaries in connection with any letter of intent or purchase agreement permitted hereunder;</w:t>
      </w:r>
    </w:p>
    <w:p>
      <w:pPr>
        <w:spacing w:after="0" w:line="26" w:lineRule="exact"/>
        <w:rPr>
          <w:rFonts w:ascii="Arial" w:cs="Arial" w:eastAsia="Arial" w:hAnsi="Arial"/>
          <w:sz w:val="20"/>
          <w:szCs w:val="20"/>
          <w:color w:val="auto"/>
        </w:rPr>
      </w:pPr>
    </w:p>
    <w:p>
      <w:pPr>
        <w:ind w:left="920" w:firstLine="655"/>
        <w:spacing w:after="0" w:line="289" w:lineRule="auto"/>
        <w:tabs>
          <w:tab w:leader="none" w:pos="2447" w:val="left"/>
        </w:tabs>
        <w:numPr>
          <w:ilvl w:val="1"/>
          <w:numId w:val="230"/>
        </w:numPr>
        <w:rPr>
          <w:rFonts w:ascii="Arial" w:cs="Arial" w:eastAsia="Arial" w:hAnsi="Arial"/>
          <w:sz w:val="20"/>
          <w:szCs w:val="20"/>
          <w:color w:val="auto"/>
        </w:rPr>
      </w:pPr>
      <w:r>
        <w:rPr>
          <w:rFonts w:ascii="Arial" w:cs="Arial" w:eastAsia="Arial" w:hAnsi="Arial"/>
          <w:sz w:val="20"/>
          <w:szCs w:val="20"/>
          <w:color w:val="auto"/>
        </w:rPr>
        <w:t>Liens arising from precautionary UCC financing statement filings regarding operating leases entered into in the ordinary course of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41" w:name="page242"/>
    <w:bookmarkEnd w:id="241"/>
    <w:p>
      <w:pPr>
        <w:ind w:left="1580"/>
        <w:spacing w:after="0"/>
        <w:tabs>
          <w:tab w:leader="none" w:pos="2480" w:val="left"/>
        </w:tabs>
        <w:rPr>
          <w:sz w:val="20"/>
          <w:szCs w:val="20"/>
          <w:color w:val="auto"/>
        </w:rPr>
      </w:pPr>
      <w:r>
        <w:rPr>
          <w:rFonts w:ascii="Arial" w:cs="Arial" w:eastAsia="Arial" w:hAnsi="Arial"/>
          <w:sz w:val="19"/>
          <w:szCs w:val="19"/>
          <w:color w:val="auto"/>
        </w:rPr>
        <w:t>(w)</w:t>
      </w:r>
      <w:r>
        <w:rPr>
          <w:sz w:val="20"/>
          <w:szCs w:val="20"/>
          <w:color w:val="auto"/>
        </w:rPr>
        <w:tab/>
      </w:r>
      <w:r>
        <w:rPr>
          <w:rFonts w:ascii="Arial" w:cs="Arial" w:eastAsia="Arial" w:hAnsi="Arial"/>
          <w:sz w:val="19"/>
          <w:szCs w:val="19"/>
          <w:color w:val="auto"/>
        </w:rPr>
        <w:t>Liens on insurance policies and the proceeds thereof securing the financing of the premiums with respect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thereto;</w:t>
      </w:r>
    </w:p>
    <w:p>
      <w:pPr>
        <w:spacing w:after="0" w:line="243" w:lineRule="exact"/>
        <w:rPr>
          <w:sz w:val="20"/>
          <w:szCs w:val="20"/>
          <w:color w:val="auto"/>
        </w:rPr>
      </w:pPr>
    </w:p>
    <w:p>
      <w:pPr>
        <w:ind w:left="920" w:firstLine="655"/>
        <w:spacing w:after="0" w:line="289" w:lineRule="auto"/>
        <w:tabs>
          <w:tab w:leader="none" w:pos="2447" w:val="left"/>
        </w:tabs>
        <w:numPr>
          <w:ilvl w:val="0"/>
          <w:numId w:val="231"/>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or equipment owned or leased by any Borrower or any of its Subsidiaries are located;</w:t>
      </w:r>
    </w:p>
    <w:p>
      <w:pPr>
        <w:spacing w:after="0" w:line="188"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231"/>
        </w:numPr>
        <w:rPr>
          <w:rFonts w:ascii="Arial" w:cs="Arial" w:eastAsia="Arial" w:hAnsi="Arial"/>
          <w:sz w:val="20"/>
          <w:szCs w:val="20"/>
          <w:color w:val="auto"/>
        </w:rPr>
      </w:pPr>
      <w:r>
        <w:rPr>
          <w:rFonts w:ascii="Arial" w:cs="Arial" w:eastAsia="Arial" w:hAnsi="Arial"/>
          <w:sz w:val="20"/>
          <w:szCs w:val="20"/>
          <w:color w:val="auto"/>
        </w:rPr>
        <w:t>Liens encumbering reasonable and customary initial deposits and margin deposits and similar Liens attaching to commodity trading accounts or other brokerage accounts incurred in the ordinary course of business and not for speculative purposes;</w:t>
      </w:r>
    </w:p>
    <w:p>
      <w:pPr>
        <w:spacing w:after="0" w:line="200" w:lineRule="exact"/>
        <w:rPr>
          <w:rFonts w:ascii="Arial" w:cs="Arial" w:eastAsia="Arial" w:hAnsi="Arial"/>
          <w:sz w:val="20"/>
          <w:szCs w:val="20"/>
          <w:color w:val="auto"/>
        </w:rPr>
      </w:pPr>
    </w:p>
    <w:p>
      <w:pPr>
        <w:ind w:left="920" w:firstLine="655"/>
        <w:spacing w:after="0" w:line="264" w:lineRule="auto"/>
        <w:tabs>
          <w:tab w:leader="none" w:pos="2436" w:val="left"/>
        </w:tabs>
        <w:numPr>
          <w:ilvl w:val="0"/>
          <w:numId w:val="231"/>
        </w:numPr>
        <w:rPr>
          <w:rFonts w:ascii="Arial" w:cs="Arial" w:eastAsia="Arial" w:hAnsi="Arial"/>
          <w:sz w:val="20"/>
          <w:szCs w:val="20"/>
          <w:color w:val="auto"/>
        </w:rPr>
      </w:pPr>
      <w:r>
        <w:rPr>
          <w:rFonts w:ascii="Arial" w:cs="Arial" w:eastAsia="Arial" w:hAnsi="Arial"/>
          <w:sz w:val="20"/>
          <w:szCs w:val="20"/>
          <w:color w:val="auto"/>
        </w:rPr>
        <w:t>other Liens securing Indebtedness and other obligations of any Borrower and its Subsidiaries in an aggregate outstanding principal amount not to exceed the greater of (i)</w:t>
      </w:r>
    </w:p>
    <w:p>
      <w:pPr>
        <w:spacing w:after="0" w:line="1"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$100,000,000 and (ii) 3.0% of Total Assets;</w:t>
      </w:r>
    </w:p>
    <w:p>
      <w:pPr>
        <w:spacing w:after="0" w:line="222" w:lineRule="exact"/>
        <w:rPr>
          <w:sz w:val="20"/>
          <w:szCs w:val="20"/>
          <w:color w:val="auto"/>
        </w:rPr>
      </w:pPr>
    </w:p>
    <w:p>
      <w:pPr>
        <w:jc w:val="both"/>
        <w:ind w:left="920" w:firstLine="655"/>
        <w:spacing w:after="0" w:line="269" w:lineRule="auto"/>
        <w:tabs>
          <w:tab w:leader="none" w:pos="2144"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obligations in respect of Permitted Pari Passu Secured Refinancing Debt and any Permitted Refinancing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Liens securing any Refinanced Debt in respect of Permitted Pari Passu Secured Refinancing Debt are subject to a First Lien Intercreditor Agreement; and</w:t>
      </w:r>
    </w:p>
    <w:p>
      <w:pPr>
        <w:spacing w:after="0" w:line="170" w:lineRule="exact"/>
        <w:rPr>
          <w:rFonts w:ascii="Arial" w:cs="Arial" w:eastAsia="Arial" w:hAnsi="Arial"/>
          <w:sz w:val="19"/>
          <w:szCs w:val="19"/>
          <w:color w:val="auto"/>
        </w:rPr>
      </w:pPr>
    </w:p>
    <w:p>
      <w:pPr>
        <w:ind w:left="2080" w:hanging="532"/>
        <w:spacing w:after="0"/>
        <w:tabs>
          <w:tab w:leader="none" w:pos="20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Liens securing obligations in respect of Indebtedness permitted under </w:t>
      </w:r>
      <w:r>
        <w:rPr>
          <w:rFonts w:ascii="Arial" w:cs="Arial" w:eastAsia="Arial" w:hAnsi="Arial"/>
          <w:sz w:val="20"/>
          <w:szCs w:val="20"/>
          <w:u w:val="single" w:color="auto"/>
          <w:color w:val="auto"/>
        </w:rPr>
        <w:t>Section 7.03(s)</w:t>
      </w:r>
      <w:r>
        <w:rPr>
          <w:rFonts w:ascii="Arial" w:cs="Arial" w:eastAsia="Arial" w:hAnsi="Arial"/>
          <w:sz w:val="20"/>
          <w:szCs w:val="20"/>
          <w:color w:val="auto"/>
        </w:rPr>
        <w:t>.</w:t>
      </w:r>
    </w:p>
    <w:p>
      <w:pPr>
        <w:spacing w:after="0" w:line="391"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7.02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9" w:lineRule="exact"/>
        <w:rPr>
          <w:sz w:val="20"/>
          <w:szCs w:val="20"/>
          <w:color w:val="auto"/>
        </w:rPr>
      </w:pPr>
    </w:p>
    <w:p>
      <w:pPr>
        <w:ind w:left="2440" w:hanging="865"/>
        <w:spacing w:after="0"/>
        <w:tabs>
          <w:tab w:leader="none" w:pos="2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Investments by a Borrower or a Subsidiary in assets that were Cash Equivalents when such Investment was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made;</w:t>
      </w:r>
    </w:p>
    <w:p>
      <w:pPr>
        <w:spacing w:after="0" w:line="256" w:lineRule="exact"/>
        <w:rPr>
          <w:sz w:val="20"/>
          <w:szCs w:val="20"/>
          <w:color w:val="auto"/>
        </w:rPr>
      </w:pPr>
    </w:p>
    <w:p>
      <w:pPr>
        <w:jc w:val="both"/>
        <w:ind w:left="920" w:firstLine="655"/>
        <w:spacing w:after="0" w:line="305" w:lineRule="auto"/>
        <w:tabs>
          <w:tab w:leader="none" w:pos="244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loans or advances to (A) officers, directors, consultants and employees of the Borrowers and their respective Subsidiaries (i) for reasonable and customary business-related travel, entertainment, relocation and analogous ordinary business purposes, (ii) in connection with such Person’s purchase of Equity Interests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loans and advances shall be contributed to the Borrowers in cash as common equity) and (iii) for purposes not described in the foregoing clauses (i) and (ii), in an aggregate principal amount outstanding not to exceed $5,000,000 (determined without regard to any write-downs or writeoffs), and (B) restaurant employees of Employment Participation Subsidiaries to fund such employees purchase of Equity Interests of an Employment Participation Subsidiary in the ordinary course of business;</w:t>
      </w:r>
    </w:p>
    <w:p>
      <w:pPr>
        <w:spacing w:after="0" w:line="184" w:lineRule="exact"/>
        <w:rPr>
          <w:rFonts w:ascii="Arial" w:cs="Arial" w:eastAsia="Arial" w:hAnsi="Arial"/>
          <w:sz w:val="18"/>
          <w:szCs w:val="18"/>
          <w:color w:val="auto"/>
        </w:rPr>
      </w:pPr>
    </w:p>
    <w:p>
      <w:pPr>
        <w:jc w:val="both"/>
        <w:ind w:left="920" w:firstLine="655"/>
        <w:spacing w:after="0" w:line="302" w:lineRule="auto"/>
        <w:tabs>
          <w:tab w:leader="none" w:pos="243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Investments (i) by any Borrower or any Subsidiary in any Loan Party, (ii) by any Subsidiary that is not a Loan Party in any other such Subsidiary that is also not a Loan Party, and (iii) by any Borrower or any Subsidiary Guarantor (A) in any Non-Loan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Investments pursuant to this </w:t>
      </w:r>
      <w:r>
        <w:rPr>
          <w:rFonts w:ascii="Arial" w:cs="Arial" w:eastAsia="Arial" w:hAnsi="Arial"/>
          <w:sz w:val="18"/>
          <w:szCs w:val="18"/>
          <w:u w:val="single" w:color="auto"/>
          <w:color w:val="auto"/>
        </w:rPr>
        <w:t>Section 7.02(c)(iii)(A)</w:t>
      </w:r>
      <w:r>
        <w:rPr>
          <w:rFonts w:ascii="Arial" w:cs="Arial" w:eastAsia="Arial" w:hAnsi="Arial"/>
          <w:sz w:val="18"/>
          <w:szCs w:val="18"/>
          <w:color w:val="auto"/>
        </w:rPr>
        <w:t xml:space="preserve"> (together with, but without duplication, the aggregate consideration paid by any Borrower or any Subsidiary Guarantor in respect of Permitted Acquisitions of Persons that do not become Loan Parties (or acquisition of assets not owned by a Borrower, a Subsidiary Guarantor or a Person that will become a Subsidiary Guarantor) pursuant to </w:t>
      </w:r>
      <w:r>
        <w:rPr>
          <w:rFonts w:ascii="Arial" w:cs="Arial" w:eastAsia="Arial" w:hAnsi="Arial"/>
          <w:sz w:val="18"/>
          <w:szCs w:val="18"/>
          <w:u w:val="single" w:color="auto"/>
          <w:color w:val="auto"/>
        </w:rPr>
        <w:t>Section 7.02(i)(B)</w:t>
      </w:r>
      <w:r>
        <w:rPr>
          <w:rFonts w:ascii="Arial" w:cs="Arial" w:eastAsia="Arial" w:hAnsi="Arial"/>
          <w:sz w:val="18"/>
          <w:szCs w:val="18"/>
          <w:color w:val="auto"/>
        </w:rPr>
        <w:t xml:space="preserve">) shall not exceed the greater of (1) $170,000,000 and (2) 6.0% of Total Assets plus an amount equal to the aggregate Returns in respect of such Investments, and (B) in any Foreign Subsidiary consisting of a contribution of Equity Interests of any other Foreign Subsidiary held directly by such Borrower or such Subsidiary Guarantor and if the Foreign Subsidiary to which such contribution is made is not a Wholly Owned Foreign Subsidiary, such contribution shall be in exchange for Indebtedness, Equity Interests (including increases in capital accounts) or a combination thereof of the Foreign Subsidiary to which such contribution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Equity Interests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42" w:name="page243"/>
    <w:bookmarkEnd w:id="242"/>
    <w:p>
      <w:pPr>
        <w:jc w:val="both"/>
        <w:ind w:left="920"/>
        <w:spacing w:after="0" w:line="278" w:lineRule="auto"/>
        <w:rPr>
          <w:sz w:val="20"/>
          <w:szCs w:val="20"/>
          <w:color w:val="auto"/>
        </w:rPr>
      </w:pPr>
      <w:r>
        <w:rPr>
          <w:rFonts w:ascii="Arial" w:cs="Arial" w:eastAsia="Arial" w:hAnsi="Arial"/>
          <w:sz w:val="20"/>
          <w:szCs w:val="20"/>
          <w:color w:val="auto"/>
        </w:rPr>
        <w:t>of a Wholly Owned Foreign Subsidiary only may be contributed to another Wholly Owned Foreign Subsidiary under this sub-clause (B), and (C) constituting Guarantees of Indebtedness or other monetary obligations of Non-Loan Parties owing to any Loan Party;</w:t>
      </w:r>
    </w:p>
    <w:p>
      <w:pPr>
        <w:spacing w:after="0" w:line="200" w:lineRule="exact"/>
        <w:rPr>
          <w:sz w:val="20"/>
          <w:szCs w:val="20"/>
          <w:color w:val="auto"/>
        </w:rPr>
      </w:pPr>
    </w:p>
    <w:p>
      <w:pPr>
        <w:jc w:val="both"/>
        <w:ind w:left="920" w:firstLine="655"/>
        <w:spacing w:after="0" w:line="299" w:lineRule="auto"/>
        <w:tabs>
          <w:tab w:leader="none" w:pos="2447" w:val="left"/>
        </w:tabs>
        <w:numPr>
          <w:ilvl w:val="0"/>
          <w:numId w:val="235"/>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69" w:lineRule="exact"/>
        <w:rPr>
          <w:rFonts w:ascii="Arial" w:cs="Arial" w:eastAsia="Arial" w:hAnsi="Arial"/>
          <w:sz w:val="19"/>
          <w:szCs w:val="19"/>
          <w:color w:val="auto"/>
        </w:rPr>
      </w:pPr>
    </w:p>
    <w:p>
      <w:pPr>
        <w:ind w:left="920" w:firstLine="655"/>
        <w:spacing w:after="0" w:line="289" w:lineRule="auto"/>
        <w:tabs>
          <w:tab w:leader="none" w:pos="2436"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Investments consisting of Liens, Indebtedness, fundamental changes, Dispositions and Restricted Payments permitted under </w:t>
      </w:r>
      <w:r>
        <w:rPr>
          <w:rFonts w:ascii="Arial" w:cs="Arial" w:eastAsia="Arial" w:hAnsi="Arial"/>
          <w:sz w:val="20"/>
          <w:szCs w:val="20"/>
          <w:u w:val="single" w:color="auto"/>
          <w:color w:val="auto"/>
        </w:rPr>
        <w:t>Sections 7.01</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7.04</w:t>
      </w:r>
      <w:r>
        <w:rPr>
          <w:rFonts w:ascii="Arial" w:cs="Arial" w:eastAsia="Arial" w:hAnsi="Arial"/>
          <w:sz w:val="20"/>
          <w:szCs w:val="20"/>
          <w:color w:val="auto"/>
        </w:rPr>
        <w:t xml:space="preserve">,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7.12</w:t>
      </w:r>
      <w:r>
        <w:rPr>
          <w:rFonts w:ascii="Arial" w:cs="Arial" w:eastAsia="Arial" w:hAnsi="Arial"/>
          <w:sz w:val="20"/>
          <w:szCs w:val="20"/>
          <w:color w:val="auto"/>
        </w:rPr>
        <w:t>, respectively;</w:t>
      </w:r>
    </w:p>
    <w:p>
      <w:pPr>
        <w:spacing w:after="0" w:line="175" w:lineRule="exact"/>
        <w:rPr>
          <w:rFonts w:ascii="Arial" w:cs="Arial" w:eastAsia="Arial" w:hAnsi="Arial"/>
          <w:sz w:val="20"/>
          <w:szCs w:val="20"/>
          <w:color w:val="auto"/>
        </w:rPr>
      </w:pPr>
    </w:p>
    <w:p>
      <w:pPr>
        <w:jc w:val="both"/>
        <w:ind w:left="920" w:firstLine="655"/>
        <w:spacing w:after="0" w:line="288" w:lineRule="auto"/>
        <w:tabs>
          <w:tab w:leader="none" w:pos="2414"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Investments (i) existing or contemplated on the Closing Date and set forth on </w:t>
      </w:r>
      <w:r>
        <w:rPr>
          <w:rFonts w:ascii="Arial" w:cs="Arial" w:eastAsia="Arial" w:hAnsi="Arial"/>
          <w:sz w:val="19"/>
          <w:szCs w:val="19"/>
          <w:u w:val="single" w:color="auto"/>
          <w:color w:val="auto"/>
        </w:rPr>
        <w:t>Schedule 7.02(f)</w:t>
      </w:r>
      <w:r>
        <w:rPr>
          <w:rFonts w:ascii="Arial" w:cs="Arial" w:eastAsia="Arial" w:hAnsi="Arial"/>
          <w:sz w:val="19"/>
          <w:szCs w:val="19"/>
          <w:color w:val="auto"/>
        </w:rPr>
        <w:t xml:space="preserve"> and any modification, replacement, renewal, reinvestment or extension thereof and (ii) existing on the Closing Date by any Borrower or any Subsidiary in any Borrower or any other Subsidiary and any modification, exchange in kind, renewal or extension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amount of the original Investment is not increased except by the terms of such Investment or as otherwise permitted by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(y) any Investment in the form of Indebtedness of any Loan Party owed to any Subsidiary that is not a Loan Party shall be subject to the subordination terms set forth in the Intercompany Note;</w:t>
      </w:r>
    </w:p>
    <w:p>
      <w:pPr>
        <w:spacing w:after="0" w:line="182" w:lineRule="exact"/>
        <w:rPr>
          <w:rFonts w:ascii="Arial" w:cs="Arial" w:eastAsia="Arial" w:hAnsi="Arial"/>
          <w:sz w:val="19"/>
          <w:szCs w:val="19"/>
          <w:color w:val="auto"/>
        </w:rPr>
      </w:pPr>
    </w:p>
    <w:p>
      <w:pPr>
        <w:ind w:left="2200" w:hanging="625"/>
        <w:spacing w:after="0"/>
        <w:tabs>
          <w:tab w:leader="none" w:pos="220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Investments in Swap Contracts permitted under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(i) promissory notes and other noncash consideration received in connection with Dispositions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and (ii) Investments received solely from (x) equity contributions to any Borrower and (y) distributions to the Borrowers and their respective Subsidiaries from Persons that are not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each Investment described in this clause (h)(ii):</w:t>
      </w:r>
    </w:p>
    <w:p>
      <w:pPr>
        <w:spacing w:after="0" w:line="192" w:lineRule="exact"/>
        <w:rPr>
          <w:rFonts w:ascii="Arial" w:cs="Arial" w:eastAsia="Arial" w:hAnsi="Arial"/>
          <w:sz w:val="20"/>
          <w:szCs w:val="20"/>
          <w:color w:val="auto"/>
        </w:rPr>
      </w:pPr>
    </w:p>
    <w:p>
      <w:pPr>
        <w:jc w:val="both"/>
        <w:ind w:left="2220" w:firstLine="651"/>
        <w:spacing w:after="0" w:line="322" w:lineRule="auto"/>
        <w:tabs>
          <w:tab w:leader="none" w:pos="379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any Subsidiary acquired as a result of such Investment and the Subsidiaries of such acquired Subsidiary shall, to the extent required under the Collateral and Guarantee Requirement and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become a Guarantor and comply with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within the times specified therein;</w:t>
      </w:r>
    </w:p>
    <w:p>
      <w:pPr>
        <w:spacing w:after="0" w:line="152" w:lineRule="exact"/>
        <w:rPr>
          <w:rFonts w:ascii="Arial" w:cs="Arial" w:eastAsia="Arial" w:hAnsi="Arial"/>
          <w:sz w:val="18"/>
          <w:szCs w:val="18"/>
          <w:color w:val="auto"/>
        </w:rPr>
      </w:pPr>
    </w:p>
    <w:p>
      <w:pPr>
        <w:ind w:left="2220" w:firstLine="651"/>
        <w:spacing w:after="0" w:line="289" w:lineRule="auto"/>
        <w:tabs>
          <w:tab w:leader="none" w:pos="3753" w:val="left"/>
        </w:tabs>
        <w:numPr>
          <w:ilvl w:val="1"/>
          <w:numId w:val="235"/>
        </w:numPr>
        <w:rPr>
          <w:rFonts w:ascii="Arial" w:cs="Arial" w:eastAsia="Arial" w:hAnsi="Arial"/>
          <w:sz w:val="20"/>
          <w:szCs w:val="20"/>
          <w:color w:val="auto"/>
        </w:rPr>
      </w:pPr>
      <w:r>
        <w:rPr>
          <w:rFonts w:ascii="Arial" w:cs="Arial" w:eastAsia="Arial" w:hAnsi="Arial"/>
          <w:sz w:val="20"/>
          <w:szCs w:val="20"/>
          <w:color w:val="auto"/>
        </w:rPr>
        <w:t xml:space="preserve">after giving effect to such Investment, the Borrowers and their respective Subsidiaries shall be in compliance with </w:t>
      </w:r>
      <w:r>
        <w:rPr>
          <w:rFonts w:ascii="Arial" w:cs="Arial" w:eastAsia="Arial" w:hAnsi="Arial"/>
          <w:sz w:val="20"/>
          <w:szCs w:val="20"/>
          <w:u w:val="single" w:color="auto"/>
          <w:color w:val="auto"/>
        </w:rPr>
        <w:t>Section 7.07</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jc w:val="both"/>
        <w:ind w:left="2220" w:firstLine="651"/>
        <w:spacing w:after="0" w:line="272" w:lineRule="auto"/>
        <w:tabs>
          <w:tab w:leader="none" w:pos="378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 xml:space="preserve">immediately before and immediately after giving Pro Forma Effect to any such Investment, no Default shall have occurred and be continuing and (2) immediately after giving effect to such Investment, the Company and its Subsidiaries shall be in Pro Forma Compliance with the Financial Covenant, such compliance to be determined on the basis of the financial information most recently delivered to the Administrative Agent and the Lenders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as though such Investment had been consummated as of the first day of the fiscal period covered thereby;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43" w:name="page244"/>
    <w:bookmarkEnd w:id="243"/>
    <w:p>
      <w:pPr>
        <w:jc w:val="both"/>
        <w:ind w:left="920" w:firstLine="655"/>
        <w:spacing w:after="0" w:line="273" w:lineRule="auto"/>
        <w:tabs>
          <w:tab w:leader="none" w:pos="240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purchase or other acquisition of all or substantially all of the assets of a Person or any Equity Interests in a Person that is or becomes a Subsidiary (including as a result of a merger or consolidation) or division or line of business of a Person (or any subsequent Investment made in a Person, division or line of business of business previously acquired in a Permitted Acquisition), in a single transaction or a series of related transactions (each, a “</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if immediately after giving effect thereto:</w:t>
      </w:r>
    </w:p>
    <w:p>
      <w:pPr>
        <w:spacing w:after="0" w:line="191" w:lineRule="exact"/>
        <w:rPr>
          <w:rFonts w:ascii="Arial" w:cs="Arial" w:eastAsia="Arial" w:hAnsi="Arial"/>
          <w:sz w:val="20"/>
          <w:szCs w:val="20"/>
          <w:color w:val="auto"/>
        </w:rPr>
      </w:pPr>
    </w:p>
    <w:p>
      <w:pPr>
        <w:jc w:val="both"/>
        <w:ind w:left="2220" w:firstLine="651"/>
        <w:spacing w:after="0" w:line="322" w:lineRule="auto"/>
        <w:tabs>
          <w:tab w:leader="none" w:pos="3791"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any such newly created or acquired Subsidiary and the Subsidiaries of such created or acquired Subsidiary shall, to the extent required under the Collateral and Guarantee Requirement and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become a Guarantor and comply with the requirements of </w:t>
      </w:r>
      <w:r>
        <w:rPr>
          <w:rFonts w:ascii="Arial" w:cs="Arial" w:eastAsia="Arial" w:hAnsi="Arial"/>
          <w:sz w:val="18"/>
          <w:szCs w:val="18"/>
          <w:u w:val="single" w:color="auto"/>
          <w:color w:val="auto"/>
        </w:rPr>
        <w:t>Section 6.11</w:t>
      </w:r>
      <w:r>
        <w:rPr>
          <w:rFonts w:ascii="Arial" w:cs="Arial" w:eastAsia="Arial" w:hAnsi="Arial"/>
          <w:sz w:val="18"/>
          <w:szCs w:val="18"/>
          <w:color w:val="auto"/>
        </w:rPr>
        <w:t>, within the times specified therein;</w:t>
      </w:r>
    </w:p>
    <w:p>
      <w:pPr>
        <w:spacing w:after="0" w:line="152" w:lineRule="exact"/>
        <w:rPr>
          <w:rFonts w:ascii="Arial" w:cs="Arial" w:eastAsia="Arial" w:hAnsi="Arial"/>
          <w:sz w:val="18"/>
          <w:szCs w:val="18"/>
          <w:color w:val="auto"/>
        </w:rPr>
      </w:pPr>
    </w:p>
    <w:p>
      <w:pPr>
        <w:jc w:val="both"/>
        <w:ind w:left="2220" w:firstLine="651"/>
        <w:spacing w:after="0" w:line="288" w:lineRule="auto"/>
        <w:tabs>
          <w:tab w:leader="none" w:pos="378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the aggregate amount of consideration paid by any Borrower or any Subsidiary Guarantor in respect of acquisitions of Persons that do not become Loan Parties (or acquisition of assets not owned by a Borrower, a Subsidiary Guarantor or a Person that will become a Subsidiary Guarantor)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7.02(i)(B)</w:t>
      </w:r>
      <w:r>
        <w:rPr>
          <w:rFonts w:ascii="Arial" w:cs="Arial" w:eastAsia="Arial" w:hAnsi="Arial"/>
          <w:sz w:val="19"/>
          <w:szCs w:val="19"/>
          <w:color w:val="auto"/>
        </w:rPr>
        <w:t xml:space="preserve"> (together with, but without duplication, the aggregate amount of all Investments in Non-Loan Parties pursuant to </w:t>
      </w:r>
      <w:r>
        <w:rPr>
          <w:rFonts w:ascii="Arial" w:cs="Arial" w:eastAsia="Arial" w:hAnsi="Arial"/>
          <w:sz w:val="19"/>
          <w:szCs w:val="19"/>
          <w:u w:val="single" w:color="auto"/>
          <w:color w:val="auto"/>
        </w:rPr>
        <w:t>Section 7.02(c)(iii)(A)</w:t>
      </w:r>
      <w:r>
        <w:rPr>
          <w:rFonts w:ascii="Arial" w:cs="Arial" w:eastAsia="Arial" w:hAnsi="Arial"/>
          <w:sz w:val="19"/>
          <w:szCs w:val="19"/>
          <w:color w:val="auto"/>
        </w:rPr>
        <w:t>) shall not exceed the greater of (1) $170,000,000 and (2) 6.0% of Total Assets plus an amount equal to the aggregate Returns in respect of such Investments;</w:t>
      </w:r>
    </w:p>
    <w:p>
      <w:pPr>
        <w:spacing w:after="0" w:line="182" w:lineRule="exact"/>
        <w:rPr>
          <w:rFonts w:ascii="Arial" w:cs="Arial" w:eastAsia="Arial" w:hAnsi="Arial"/>
          <w:sz w:val="19"/>
          <w:szCs w:val="19"/>
          <w:color w:val="auto"/>
        </w:rPr>
      </w:pPr>
    </w:p>
    <w:p>
      <w:pPr>
        <w:ind w:left="2220" w:firstLine="651"/>
        <w:spacing w:after="0" w:line="289" w:lineRule="auto"/>
        <w:tabs>
          <w:tab w:leader="none" w:pos="3780" w:val="left"/>
        </w:tabs>
        <w:numPr>
          <w:ilvl w:val="1"/>
          <w:numId w:val="236"/>
        </w:numPr>
        <w:rPr>
          <w:rFonts w:ascii="Arial" w:cs="Arial" w:eastAsia="Arial" w:hAnsi="Arial"/>
          <w:sz w:val="20"/>
          <w:szCs w:val="20"/>
          <w:color w:val="auto"/>
        </w:rPr>
      </w:pPr>
      <w:r>
        <w:rPr>
          <w:rFonts w:ascii="Arial" w:cs="Arial" w:eastAsia="Arial" w:hAnsi="Arial"/>
          <w:sz w:val="20"/>
          <w:szCs w:val="20"/>
          <w:color w:val="auto"/>
        </w:rPr>
        <w:t xml:space="preserve">after giving effect to such purchase or acquisition, the Borrowers and their respective Subsidiaries shall be in compliance with </w:t>
      </w:r>
      <w:r>
        <w:rPr>
          <w:rFonts w:ascii="Arial" w:cs="Arial" w:eastAsia="Arial" w:hAnsi="Arial"/>
          <w:sz w:val="20"/>
          <w:szCs w:val="20"/>
          <w:u w:val="single" w:color="auto"/>
          <w:color w:val="auto"/>
        </w:rPr>
        <w:t>Section 7.07</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jc w:val="both"/>
        <w:ind w:left="2220" w:firstLine="651"/>
        <w:spacing w:after="0" w:line="285" w:lineRule="auto"/>
        <w:tabs>
          <w:tab w:leader="none" w:pos="3791" w:val="left"/>
        </w:tabs>
        <w:numPr>
          <w:ilvl w:val="1"/>
          <w:numId w:val="236"/>
        </w:numPr>
        <w:rPr>
          <w:rFonts w:ascii="Arial" w:cs="Arial" w:eastAsia="Arial" w:hAnsi="Arial"/>
          <w:sz w:val="19"/>
          <w:szCs w:val="19"/>
          <w:color w:val="auto"/>
        </w:rPr>
      </w:pPr>
      <w:r>
        <w:rPr>
          <w:rFonts w:ascii="Arial" w:cs="Arial" w:eastAsia="Arial" w:hAnsi="Arial"/>
          <w:sz w:val="19"/>
          <w:szCs w:val="19"/>
          <w:color w:val="auto"/>
        </w:rPr>
        <w:t xml:space="preserve">(1) immediately before and immediately after giving Pro Forma Effect to any such purchase or other acquisition (which, in the case of a Limited Condition Acquisition, shall be tested on the date of execution of the definitive agreement for such purchase or other acquisition and not on the closing date thereof), no Default shall have occurred and be continuing and (2) immediately after giving effect to such purchase or other acquisition (and any concurrent Disposition), the Borrowers and their respective Subsidiaries shall be in Pro Forma Compliance with the Financial Covenant,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though such purchase or other acquisition (and any concurrent Disposition) had been consummated as of the first day of the fiscal period covered thereby (which, in the case of a Limited Condition Acquisition, shall be tested on the date of execution of the definitive agreement for such purchase or other acquisition and not on the closing date thereof); and</w:t>
      </w:r>
    </w:p>
    <w:p>
      <w:pPr>
        <w:spacing w:after="0" w:line="198" w:lineRule="exact"/>
        <w:rPr>
          <w:rFonts w:ascii="Arial" w:cs="Arial" w:eastAsia="Arial" w:hAnsi="Arial"/>
          <w:sz w:val="19"/>
          <w:szCs w:val="19"/>
          <w:color w:val="auto"/>
        </w:rPr>
      </w:pPr>
    </w:p>
    <w:p>
      <w:pPr>
        <w:jc w:val="both"/>
        <w:ind w:left="920" w:firstLine="655"/>
        <w:spacing w:after="0" w:line="278" w:lineRule="auto"/>
        <w:tabs>
          <w:tab w:leader="none" w:pos="2403" w:val="left"/>
        </w:tabs>
        <w:numPr>
          <w:ilvl w:val="0"/>
          <w:numId w:val="236"/>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Article 3 of the Uniform Commercial Code endorsements for collection or deposit and Article 4 of the Uniform Commercial Code customary trade arrangements with customers consistent with past practices;</w:t>
      </w:r>
    </w:p>
    <w:p>
      <w:pPr>
        <w:spacing w:after="0" w:line="200"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236"/>
        </w:numPr>
        <w:rPr>
          <w:rFonts w:ascii="Arial" w:cs="Arial" w:eastAsia="Arial" w:hAnsi="Arial"/>
          <w:sz w:val="20"/>
          <w:szCs w:val="20"/>
          <w:color w:val="auto"/>
        </w:rPr>
      </w:pPr>
      <w:r>
        <w:rPr>
          <w:rFonts w:ascii="Arial" w:cs="Arial" w:eastAsia="Arial" w:hAnsi="Arial"/>
          <w:sz w:val="20"/>
          <w:szCs w:val="20"/>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58" w:right="239" w:bottom="1440" w:gutter="0" w:footer="0" w:header="0"/>
        </w:sectPr>
      </w:pPr>
    </w:p>
    <w:bookmarkStart w:id="244" w:name="page245"/>
    <w:bookmarkEnd w:id="244"/>
    <w:p>
      <w:pPr>
        <w:jc w:val="both"/>
        <w:ind w:left="920" w:firstLine="655"/>
        <w:spacing w:after="0" w:line="278" w:lineRule="auto"/>
        <w:tabs>
          <w:tab w:leader="none" w:pos="240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so long as no Default has occurred and is continuing or would result therefrom, other Investments that do not exceed the greater of (i) $170,000,000 and (ii) 6.0% of Total Assets plus an amount equal to the aggregate Returns in respect of such Investments;</w:t>
      </w:r>
    </w:p>
    <w:p>
      <w:pPr>
        <w:spacing w:after="0" w:line="186" w:lineRule="exact"/>
        <w:rPr>
          <w:rFonts w:ascii="Arial" w:cs="Arial" w:eastAsia="Arial" w:hAnsi="Arial"/>
          <w:sz w:val="20"/>
          <w:szCs w:val="20"/>
          <w:color w:val="auto"/>
        </w:rPr>
      </w:pPr>
    </w:p>
    <w:p>
      <w:pPr>
        <w:jc w:val="both"/>
        <w:ind w:left="920" w:firstLine="655"/>
        <w:spacing w:after="0" w:line="278" w:lineRule="auto"/>
        <w:tabs>
          <w:tab w:leader="none" w:pos="2502"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so long as immediately after giving effect to any such Investment, no Default has occurred and is continuing, other Investments in an amount not to exceed the Cumulative Growth Amount immediately prior to the time of the making of such Investment;</w:t>
      </w:r>
    </w:p>
    <w:p>
      <w:pPr>
        <w:spacing w:after="0" w:line="186" w:lineRule="exact"/>
        <w:rPr>
          <w:rFonts w:ascii="Arial" w:cs="Arial" w:eastAsia="Arial" w:hAnsi="Arial"/>
          <w:sz w:val="20"/>
          <w:szCs w:val="20"/>
          <w:color w:val="auto"/>
        </w:rPr>
      </w:pPr>
    </w:p>
    <w:p>
      <w:pPr>
        <w:ind w:left="2220" w:hanging="645"/>
        <w:spacing w:after="0"/>
        <w:tabs>
          <w:tab w:leader="none" w:pos="22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42" w:lineRule="exact"/>
        <w:rPr>
          <w:rFonts w:ascii="Arial" w:cs="Arial" w:eastAsia="Arial" w:hAnsi="Arial"/>
          <w:sz w:val="20"/>
          <w:szCs w:val="20"/>
          <w:color w:val="auto"/>
        </w:rPr>
      </w:pPr>
    </w:p>
    <w:p>
      <w:pPr>
        <w:ind w:left="2460" w:hanging="885"/>
        <w:spacing w:after="0"/>
        <w:tabs>
          <w:tab w:leader="none" w:pos="2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solely with capital stock of the Company;</w:t>
      </w:r>
    </w:p>
    <w:p>
      <w:pPr>
        <w:spacing w:after="0" w:line="279" w:lineRule="exact"/>
        <w:rPr>
          <w:rFonts w:ascii="Arial" w:cs="Arial" w:eastAsia="Arial" w:hAnsi="Arial"/>
          <w:sz w:val="18"/>
          <w:szCs w:val="18"/>
          <w:color w:val="auto"/>
        </w:rPr>
      </w:pPr>
    </w:p>
    <w:p>
      <w:pPr>
        <w:jc w:val="both"/>
        <w:ind w:left="920" w:firstLine="655"/>
        <w:spacing w:after="0" w:line="274" w:lineRule="auto"/>
        <w:tabs>
          <w:tab w:leader="none" w:pos="244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Investments of a Subsidiary acquired after the Closing Date or of a corporation merged into any Borrower or merged or consolidated with a Subsidiary in accordance with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205"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Guarantees by any Borrower or any Subsidiary of leases (other than Capitalized Leases) or of other obligations of any Borrower or any Subsidiary otherwise permitted hereunder that do not constitute Indebtedness, in each case entered into in the ordinary course of business;</w:t>
      </w:r>
    </w:p>
    <w:p>
      <w:pPr>
        <w:spacing w:after="0" w:line="200" w:lineRule="exact"/>
        <w:rPr>
          <w:rFonts w:ascii="Arial" w:cs="Arial" w:eastAsia="Arial" w:hAnsi="Arial"/>
          <w:sz w:val="20"/>
          <w:szCs w:val="20"/>
          <w:color w:val="auto"/>
        </w:rPr>
      </w:pPr>
    </w:p>
    <w:p>
      <w:pPr>
        <w:jc w:val="both"/>
        <w:ind w:left="920" w:firstLine="655"/>
        <w:spacing w:after="0" w:line="278" w:lineRule="auto"/>
        <w:tabs>
          <w:tab w:leader="none" w:pos="2414" w:val="left"/>
        </w:tabs>
        <w:numPr>
          <w:ilvl w:val="0"/>
          <w:numId w:val="237"/>
        </w:numPr>
        <w:rPr>
          <w:rFonts w:ascii="Arial" w:cs="Arial" w:eastAsia="Arial" w:hAnsi="Arial"/>
          <w:sz w:val="20"/>
          <w:szCs w:val="20"/>
          <w:color w:val="auto"/>
        </w:rPr>
      </w:pPr>
      <w:r>
        <w:rPr>
          <w:rFonts w:ascii="Arial" w:cs="Arial" w:eastAsia="Arial" w:hAnsi="Arial"/>
          <w:sz w:val="20"/>
          <w:szCs w:val="20"/>
          <w:color w:val="auto"/>
        </w:rPr>
        <w:t>Investments consisting of licensing of intellectual property pursuant to joint marketing arrangements with other Persons so long as such licensing arrangements do not limit in any material respect the Collateral Agent’s security interest (if any) in the intellectual property so licensed;</w:t>
      </w:r>
    </w:p>
    <w:p>
      <w:pPr>
        <w:spacing w:after="0" w:line="200" w:lineRule="exact"/>
        <w:rPr>
          <w:rFonts w:ascii="Arial" w:cs="Arial" w:eastAsia="Arial" w:hAnsi="Arial"/>
          <w:sz w:val="20"/>
          <w:szCs w:val="20"/>
          <w:color w:val="auto"/>
        </w:rPr>
      </w:pPr>
    </w:p>
    <w:p>
      <w:pPr>
        <w:ind w:left="920" w:firstLine="655"/>
        <w:spacing w:after="0" w:line="347" w:lineRule="auto"/>
        <w:tabs>
          <w:tab w:leader="none" w:pos="242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Investments made by any Subsidiary that is not a Loan Party to the extent such Investments are financed with the proceeds received by such Subsidiary from an Investment in such Subsidiary otherwise permitted under this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firstLine="655"/>
        <w:spacing w:after="0" w:line="289" w:lineRule="auto"/>
        <w:tabs>
          <w:tab w:leader="none" w:pos="2403"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so long as no Default shall have occurred and be continuing or would result therefrom, the Borrowers may make additional Investments with the proceeds of Excluded Contributions;</w:t>
      </w:r>
    </w:p>
    <w:p>
      <w:pPr>
        <w:spacing w:after="0" w:line="188" w:lineRule="exact"/>
        <w:rPr>
          <w:rFonts w:ascii="Arial" w:cs="Arial" w:eastAsia="Arial" w:hAnsi="Arial"/>
          <w:sz w:val="20"/>
          <w:szCs w:val="20"/>
          <w:color w:val="auto"/>
        </w:rPr>
      </w:pPr>
    </w:p>
    <w:p>
      <w:pPr>
        <w:ind w:left="920" w:right="20" w:firstLine="655"/>
        <w:spacing w:after="0" w:line="289" w:lineRule="auto"/>
        <w:tabs>
          <w:tab w:leader="none" w:pos="244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the purchase or other acquisition from former or current employees of limited partnership interests of one or more Employment Participation Subsidiaries, in an aggregate amount not to exceed $15,000,000; and</w:t>
      </w:r>
    </w:p>
    <w:p>
      <w:pPr>
        <w:spacing w:after="0" w:line="175"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 xml:space="preserve">intercompany Investments (including the creation of intercompany Indebtedness and/or the prepayment of existing intercompany Indebtedness, together with the related Investments and Guarantees of such Indebtedness) relating to the transfer of cash from the Asian operations of the Borrowers and their Subsidiaries in an aggregate outstanding amount of such Investments pursuant to this </w:t>
      </w:r>
      <w:r>
        <w:rPr>
          <w:rFonts w:ascii="Arial" w:cs="Arial" w:eastAsia="Arial" w:hAnsi="Arial"/>
          <w:sz w:val="20"/>
          <w:szCs w:val="20"/>
          <w:u w:val="single" w:color="auto"/>
          <w:color w:val="auto"/>
        </w:rPr>
        <w:t>Section 7.02(v)</w:t>
      </w:r>
      <w:r>
        <w:rPr>
          <w:rFonts w:ascii="Arial" w:cs="Arial" w:eastAsia="Arial" w:hAnsi="Arial"/>
          <w:sz w:val="20"/>
          <w:szCs w:val="20"/>
          <w:color w:val="auto"/>
        </w:rPr>
        <w:t xml:space="preserve"> not to exceed $40,000,000.</w:t>
      </w:r>
    </w:p>
    <w:p>
      <w:pPr>
        <w:spacing w:after="0" w:line="179"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Any Investment that exceeds the limits of any particular clause set forth above may be allocated amongst more than one of such clauses to permit the incurrence or maintenance of such Investment to the extent such excess is permitted as an Investment under such other clauses (including, without limitation, permitting the aggregate consideration limitation in clause (i)(B) above to be exceeded to the extent such excess is treated as, and permitted by, an Investment under any other available clause).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45" w:name="page246"/>
    <w:bookmarkEnd w:id="245"/>
    <w:p>
      <w:pPr>
        <w:ind w:left="920"/>
        <w:spacing w:after="0"/>
        <w:tabs>
          <w:tab w:leader="none" w:pos="210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incur, assume or suffer to exist any Indebtedness, except:</w:t>
      </w:r>
    </w:p>
    <w:p>
      <w:pPr>
        <w:spacing w:after="0" w:line="229" w:lineRule="exact"/>
        <w:rPr>
          <w:sz w:val="20"/>
          <w:szCs w:val="20"/>
          <w:color w:val="auto"/>
        </w:rPr>
      </w:pPr>
    </w:p>
    <w:p>
      <w:pPr>
        <w:ind w:left="2420" w:hanging="845"/>
        <w:spacing w:after="0"/>
        <w:tabs>
          <w:tab w:leader="none" w:pos="242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Indebtedness of the Company and its Subsidiaries under the Loan Documents;</w:t>
      </w:r>
    </w:p>
    <w:p>
      <w:pPr>
        <w:spacing w:after="0" w:line="256" w:lineRule="exact"/>
        <w:rPr>
          <w:rFonts w:ascii="Arial" w:cs="Arial" w:eastAsia="Arial" w:hAnsi="Arial"/>
          <w:sz w:val="20"/>
          <w:szCs w:val="20"/>
          <w:color w:val="auto"/>
        </w:rPr>
      </w:pPr>
    </w:p>
    <w:p>
      <w:pPr>
        <w:ind w:left="920" w:firstLine="655"/>
        <w:spacing w:after="0" w:line="289" w:lineRule="auto"/>
        <w:tabs>
          <w:tab w:leader="none" w:pos="2447"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Indebtedness (i) outstanding on the Closing Date and listed on </w:t>
      </w:r>
      <w:r>
        <w:rPr>
          <w:rFonts w:ascii="Arial" w:cs="Arial" w:eastAsia="Arial" w:hAnsi="Arial"/>
          <w:sz w:val="20"/>
          <w:szCs w:val="20"/>
          <w:u w:val="single" w:color="auto"/>
          <w:color w:val="auto"/>
        </w:rPr>
        <w:t>Schedule 7.03(b)</w:t>
      </w:r>
      <w:r>
        <w:rPr>
          <w:rFonts w:ascii="Arial" w:cs="Arial" w:eastAsia="Arial" w:hAnsi="Arial"/>
          <w:sz w:val="20"/>
          <w:szCs w:val="20"/>
          <w:color w:val="auto"/>
        </w:rPr>
        <w:t xml:space="preserve"> and any Permitted Refinancing thereof and (ii) intercompany Indebtedness outstanding on the Closing Date;</w:t>
      </w:r>
    </w:p>
    <w:p>
      <w:pPr>
        <w:spacing w:after="0" w:line="175" w:lineRule="exact"/>
        <w:rPr>
          <w:rFonts w:ascii="Arial" w:cs="Arial" w:eastAsia="Arial" w:hAnsi="Arial"/>
          <w:sz w:val="20"/>
          <w:szCs w:val="20"/>
          <w:color w:val="auto"/>
        </w:rPr>
      </w:pPr>
    </w:p>
    <w:p>
      <w:pPr>
        <w:jc w:val="both"/>
        <w:ind w:left="920" w:firstLine="655"/>
        <w:spacing w:after="0" w:line="281" w:lineRule="auto"/>
        <w:tabs>
          <w:tab w:leader="none" w:pos="2436"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Guarantees by the Company and its Subsidiaries in respect of Indebtedness of the Company or any Subsidiary otherwise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Guarantee by any Subsidiary of any Junior Financing shall be permitted unless such Subsidiary shall have also provided a Guarantee of the Obligations substantially on the terms set forth in the Guaranty, (B) if the Indebtedness being Guaranteed is subordinated to the Obligations, such Guarantee shall be subordinated to the Guarantee of the Obligations on terms at least as favorable to the Lenders as those contained in the subordination of such Indebtedness and (C) any Guarantee of any Incremental Equivalent Debt, any Credit Agreement Refinancing Indebtedness or any Permitted Ratio Debt (or any Permitted Refinancing in respect thereof) shall only be permitted if it meets the requirements of the respective definitions (and component definitions) thereof and clause (s),</w:t>
      </w:r>
    </w:p>
    <w:p>
      <w:pPr>
        <w:ind w:left="1160" w:hanging="234"/>
        <w:spacing w:after="0"/>
        <w:tabs>
          <w:tab w:leader="none" w:pos="116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or (x)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as applicable;</w:t>
      </w:r>
    </w:p>
    <w:p>
      <w:pPr>
        <w:spacing w:after="0" w:line="208" w:lineRule="exact"/>
        <w:rPr>
          <w:rFonts w:ascii="Arial" w:cs="Arial" w:eastAsia="Arial" w:hAnsi="Arial"/>
          <w:sz w:val="20"/>
          <w:szCs w:val="20"/>
          <w:color w:val="auto"/>
        </w:rPr>
      </w:pPr>
    </w:p>
    <w:p>
      <w:pPr>
        <w:jc w:val="both"/>
        <w:ind w:left="920" w:firstLine="655"/>
        <w:spacing w:after="0" w:line="250" w:lineRule="auto"/>
        <w:tabs>
          <w:tab w:leader="none" w:pos="2127" w:val="left"/>
        </w:tabs>
        <w:numPr>
          <w:ilvl w:val="1"/>
          <w:numId w:val="239"/>
        </w:numPr>
        <w:rPr>
          <w:rFonts w:ascii="Arial" w:cs="Arial" w:eastAsia="Arial" w:hAnsi="Arial"/>
          <w:sz w:val="20"/>
          <w:szCs w:val="20"/>
          <w:color w:val="auto"/>
        </w:rPr>
      </w:pPr>
      <w:r>
        <w:rPr>
          <w:rFonts w:ascii="Arial" w:cs="Arial" w:eastAsia="Arial" w:hAnsi="Arial"/>
          <w:sz w:val="20"/>
          <w:szCs w:val="20"/>
          <w:color w:val="auto"/>
        </w:rPr>
        <w:t xml:space="preserve">Indebtedness of the Company or any Subsidiary owing to the Company or any other Subsidiary, to the extent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such Indebtedness of any Loan Party owed to any Person that is not a Loan Party shall be subject to the subordination terms set forth in the Intercompany Note;</w:t>
      </w:r>
    </w:p>
    <w:p>
      <w:pPr>
        <w:spacing w:after="0" w:line="199" w:lineRule="exact"/>
        <w:rPr>
          <w:rFonts w:ascii="Arial" w:cs="Arial" w:eastAsia="Arial" w:hAnsi="Arial"/>
          <w:sz w:val="20"/>
          <w:szCs w:val="20"/>
          <w:color w:val="auto"/>
        </w:rPr>
      </w:pPr>
    </w:p>
    <w:p>
      <w:pPr>
        <w:jc w:val="both"/>
        <w:ind w:left="920" w:firstLine="655"/>
        <w:spacing w:after="0" w:line="269" w:lineRule="auto"/>
        <w:tabs>
          <w:tab w:leader="none" w:pos="218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(i) Attributable Indebtedness and other Indebtedness (including Capitalized Leases) of the Company and its Subsidiaries financing the acquisition, construction, repair, replacement or improvement of fixed or capital assets (including reconstruction, refurbishment, renovation and development of real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concurrently with or within two hundred and seventy (270) days after the applicable acquisition, construction, repair, replacement or improvement, (ii) Attributable Indebtedness of the Company and its Subsidiaries arising out of sale-leaseback transactions permitted by </w:t>
      </w:r>
      <w:r>
        <w:rPr>
          <w:rFonts w:ascii="Arial" w:cs="Arial" w:eastAsia="Arial" w:hAnsi="Arial"/>
          <w:sz w:val="18"/>
          <w:szCs w:val="18"/>
          <w:u w:val="single" w:color="auto"/>
          <w:color w:val="auto"/>
        </w:rPr>
        <w:t>Section 7.05(f)</w:t>
      </w:r>
      <w:r>
        <w:rPr>
          <w:rFonts w:ascii="Arial" w:cs="Arial" w:eastAsia="Arial" w:hAnsi="Arial"/>
          <w:sz w:val="18"/>
          <w:szCs w:val="18"/>
          <w:color w:val="auto"/>
        </w:rPr>
        <w:t xml:space="preserve"> and (iii) any Permitted Refinancing of any Indebtedness set forth in the immediately preceding clauses</w:t>
      </w:r>
    </w:p>
    <w:p>
      <w:pPr>
        <w:spacing w:after="0" w:line="1" w:lineRule="exact"/>
        <w:rPr>
          <w:rFonts w:ascii="Arial" w:cs="Arial" w:eastAsia="Arial" w:hAnsi="Arial"/>
          <w:sz w:val="18"/>
          <w:szCs w:val="18"/>
          <w:color w:val="auto"/>
        </w:rPr>
      </w:pPr>
    </w:p>
    <w:p>
      <w:pPr>
        <w:ind w:left="1160" w:hanging="234"/>
        <w:spacing w:after="0"/>
        <w:tabs>
          <w:tab w:leader="none" w:pos="116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and (ii);</w:t>
      </w:r>
    </w:p>
    <w:p>
      <w:pPr>
        <w:spacing w:after="0" w:line="213" w:lineRule="exact"/>
        <w:rPr>
          <w:rFonts w:ascii="Arial" w:cs="Arial" w:eastAsia="Arial" w:hAnsi="Arial"/>
          <w:sz w:val="20"/>
          <w:szCs w:val="20"/>
          <w:color w:val="auto"/>
        </w:rPr>
      </w:pPr>
    </w:p>
    <w:p>
      <w:pPr>
        <w:ind w:left="920" w:firstLine="655"/>
        <w:spacing w:after="0" w:line="260" w:lineRule="auto"/>
        <w:tabs>
          <w:tab w:leader="none" w:pos="2027" w:val="left"/>
        </w:tabs>
        <w:numPr>
          <w:ilvl w:val="1"/>
          <w:numId w:val="240"/>
        </w:numPr>
        <w:rPr>
          <w:rFonts w:ascii="Arial" w:cs="Arial" w:eastAsia="Arial" w:hAnsi="Arial"/>
          <w:sz w:val="20"/>
          <w:szCs w:val="20"/>
          <w:color w:val="auto"/>
        </w:rPr>
      </w:pPr>
      <w:r>
        <w:rPr>
          <w:rFonts w:ascii="Arial" w:cs="Arial" w:eastAsia="Arial" w:hAnsi="Arial"/>
          <w:sz w:val="20"/>
          <w:szCs w:val="20"/>
          <w:color w:val="auto"/>
        </w:rPr>
        <w:t>Indebtedness in respect of Swap Contracts designed to hedge against interest rates, foreign exchange rates risks or commodities pricing incurred in the ordinary course of business and not for speculative purposes;</w:t>
      </w:r>
    </w:p>
    <w:p>
      <w:pPr>
        <w:spacing w:after="0" w:line="176" w:lineRule="exact"/>
        <w:rPr>
          <w:rFonts w:ascii="Arial" w:cs="Arial" w:eastAsia="Arial" w:hAnsi="Arial"/>
          <w:sz w:val="20"/>
          <w:szCs w:val="20"/>
          <w:color w:val="auto"/>
        </w:rPr>
      </w:pPr>
    </w:p>
    <w:p>
      <w:pPr>
        <w:jc w:val="both"/>
        <w:ind w:left="920" w:firstLine="655"/>
        <w:spacing w:after="0" w:line="256" w:lineRule="auto"/>
        <w:tabs>
          <w:tab w:leader="none" w:pos="1992"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Indebtedness of the Company or any Subsidiary (A) assumed in connection with any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not incurred in contemplation of such Permitted Acquisition) or (B) incurred to finance a Permitted Acquisition and, in the case of either (A) or (B), any Permitted Refinancing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(x) no Default shall exist or result therefrom and (y) if such Indebtedness is (1)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or senior to (in the case of clause (A)) the Obligations, the Company and its Subsidiaries will be in Pro Forma Compliance with a Consolidated Senior Secured Net Leverage Ratio of no greater than 3.50:1.00 and (2) unsecured, the Company and its Subsidiaries will be in Pro Forma Compliance with the Financial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the case of clause (B) above, such Indebtedness (i) will not mature prior to the date that is ninety-one (91) days after the Latest Maturity Date at the time of the issuance of such Indebtedness, (ii) will not have mandatory prepayment or mandatory amortization prepayments (other than asset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744" w:right="239" w:bottom="1440" w:gutter="0" w:footer="0" w:header="0"/>
        </w:sectPr>
      </w:pPr>
    </w:p>
    <w:bookmarkStart w:id="246" w:name="page247"/>
    <w:bookmarkEnd w:id="246"/>
    <w:p>
      <w:pPr>
        <w:jc w:val="both"/>
        <w:ind w:left="920"/>
        <w:spacing w:after="0" w:line="256" w:lineRule="auto"/>
        <w:rPr>
          <w:sz w:val="20"/>
          <w:szCs w:val="20"/>
          <w:color w:val="auto"/>
        </w:rPr>
      </w:pPr>
      <w:r>
        <w:rPr>
          <w:rFonts w:ascii="Arial" w:cs="Arial" w:eastAsia="Arial" w:hAnsi="Arial"/>
          <w:sz w:val="19"/>
          <w:szCs w:val="19"/>
          <w:color w:val="auto"/>
        </w:rPr>
        <w:t xml:space="preserve">sale and change of control mandatory offers to repurchase customary for high-yield debt securities) prior to the date that is ninety-one (91) days after the Latest Maturity Date at the time of the issuance of such Indebtedness (other than, in the case of clause (1) of this proviso, for annual nominal amortization payments not to exceed 1% of the original aggregate principal amount of such Indebtedness), (iii) in the case of clause (1) of this proviso, shall be subject to a First Lien Intercreditor Agreement, (iv) if incurred by a Non-Loan Party, shall not exceed in aggregate principal amount for all Indebtedness of Non-Loan Parties incurred pursuant to this clause (g) the greater of (i) $55,000,000 and (ii) 2.0% of Total Assets at any time outstanding, (v) in the case of clause (A) above, such Indebtedness is secured only by Liens permitted pursuant to </w:t>
      </w:r>
      <w:r>
        <w:rPr>
          <w:rFonts w:ascii="Arial" w:cs="Arial" w:eastAsia="Arial" w:hAnsi="Arial"/>
          <w:sz w:val="19"/>
          <w:szCs w:val="19"/>
          <w:u w:val="single" w:color="auto"/>
          <w:color w:val="auto"/>
        </w:rPr>
        <w:t>Section 7.01(p)(x)</w:t>
      </w:r>
      <w:r>
        <w:rPr>
          <w:rFonts w:ascii="Arial" w:cs="Arial" w:eastAsia="Arial" w:hAnsi="Arial"/>
          <w:sz w:val="19"/>
          <w:szCs w:val="19"/>
          <w:color w:val="auto"/>
        </w:rPr>
        <w:t>, and (vi) in the case of clause (B) above, the terms and conditions of such Indebtedness are not materially more restrictive (taken as a whole) in respect to the Company and its Subsidiaries than those set forth in this Agreement;</w:t>
      </w:r>
    </w:p>
    <w:p>
      <w:pPr>
        <w:spacing w:after="0" w:line="198" w:lineRule="exact"/>
        <w:rPr>
          <w:sz w:val="20"/>
          <w:szCs w:val="20"/>
          <w:color w:val="auto"/>
        </w:rPr>
      </w:pPr>
    </w:p>
    <w:p>
      <w:pPr>
        <w:ind w:left="920" w:firstLine="655"/>
        <w:spacing w:after="0" w:line="260" w:lineRule="auto"/>
        <w:tabs>
          <w:tab w:leader="none" w:pos="203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of the Company and its Subsidiaries incurred in the ordinary course of business;</w:t>
      </w:r>
    </w:p>
    <w:p>
      <w:pPr>
        <w:spacing w:after="0" w:line="190" w:lineRule="exact"/>
        <w:rPr>
          <w:rFonts w:ascii="Arial" w:cs="Arial" w:eastAsia="Arial" w:hAnsi="Arial"/>
          <w:sz w:val="20"/>
          <w:szCs w:val="20"/>
          <w:color w:val="auto"/>
        </w:rPr>
      </w:pPr>
    </w:p>
    <w:p>
      <w:pPr>
        <w:jc w:val="both"/>
        <w:ind w:left="920" w:firstLine="655"/>
        <w:spacing w:after="0" w:line="303" w:lineRule="auto"/>
        <w:tabs>
          <w:tab w:leader="none" w:pos="203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Indebtedness consisting of promissory notes (A) issued by any Loan Party to current or former officers, directors, consultants and employees, their respective estates, heirs, permitted transferees, spouses or former spouses to finance the purchase or redemption of Equity Interests of the Company permitted by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shall be subordinated in right of payment to the Obligations on terms reasonably satisfactory to the Administrative Agent and (ii) the aggregate amount of all cash payments (whether principal or interest) made by the Loan Parties in respect of such notes in any calendar year, when combined with the aggregate amount of Restricted Payments made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in such calendar year, shall not exceed $40,000,000,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unused amounts in any calendar year may be carried over to succeeding calendar years, so long as the aggregate amount of all cash payments made in respect of such notes in any calendar year (after giving effect to such carry forward), when aggregated with the aggregate amount of Restricted Payments made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7.06(f)</w:t>
      </w:r>
      <w:r>
        <w:rPr>
          <w:rFonts w:ascii="Arial" w:cs="Arial" w:eastAsia="Arial" w:hAnsi="Arial"/>
          <w:sz w:val="16"/>
          <w:szCs w:val="16"/>
          <w:color w:val="auto"/>
        </w:rPr>
        <w:t xml:space="preserve"> in such calendar year (after giving effect to such carry forward), shall not exceed $50,000,000;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the remainder of (x) the sum of (1) the amount of Net Cash Proceeds of issuances of Equity Interests to the extent that such Net Cash Proceeds shall have been actually received by OSI through a capital contribution of such Net Cash Proceeds by the Company (and to the extent not used to make an Investment pursuant to </w:t>
      </w:r>
      <w:r>
        <w:rPr>
          <w:rFonts w:ascii="Arial" w:cs="Arial" w:eastAsia="Arial" w:hAnsi="Arial"/>
          <w:sz w:val="16"/>
          <w:szCs w:val="16"/>
          <w:u w:val="single" w:color="auto"/>
          <w:color w:val="auto"/>
        </w:rPr>
        <w:t>Section 7.02(m)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(t)</w:t>
      </w:r>
      <w:r>
        <w:rPr>
          <w:rFonts w:ascii="Arial" w:cs="Arial" w:eastAsia="Arial" w:hAnsi="Arial"/>
          <w:sz w:val="16"/>
          <w:szCs w:val="16"/>
          <w:color w:val="auto"/>
        </w:rPr>
        <w:t xml:space="preserve">, prepay Junior Financings pursuant to </w:t>
      </w:r>
      <w:r>
        <w:rPr>
          <w:rFonts w:ascii="Arial" w:cs="Arial" w:eastAsia="Arial" w:hAnsi="Arial"/>
          <w:sz w:val="16"/>
          <w:szCs w:val="16"/>
          <w:u w:val="single" w:color="auto"/>
          <w:color w:val="auto"/>
        </w:rPr>
        <w:t>Section 7.12(a)(v)</w:t>
      </w:r>
      <w:r>
        <w:rPr>
          <w:rFonts w:ascii="Arial" w:cs="Arial" w:eastAsia="Arial" w:hAnsi="Arial"/>
          <w:sz w:val="16"/>
          <w:szCs w:val="16"/>
          <w:color w:val="auto"/>
        </w:rPr>
        <w:t xml:space="preserve">, or make a Restricted Payment pursuant to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or counted towards the Cumulative Growth Amount), in each case to employees, directors, officers, members of management or consultants of any Borrower (or any direct or indirect parent of OSI) or of its Subsidiaries that occurs after the Closing Date plus (2) the net cash proceeds of key man life insurance policies received by the Company or any of its Subsidiaries after the Closing Date less (y) the aggregate amount of all cash payments made in respect of any promissory notes pursuant to this </w:t>
      </w:r>
      <w:r>
        <w:rPr>
          <w:rFonts w:ascii="Arial" w:cs="Arial" w:eastAsia="Arial" w:hAnsi="Arial"/>
          <w:sz w:val="16"/>
          <w:szCs w:val="16"/>
          <w:u w:val="single" w:color="auto"/>
          <w:color w:val="auto"/>
        </w:rPr>
        <w:t>Section 7.03(i)</w:t>
      </w:r>
      <w:r>
        <w:rPr>
          <w:rFonts w:ascii="Arial" w:cs="Arial" w:eastAsia="Arial" w:hAnsi="Arial"/>
          <w:sz w:val="16"/>
          <w:szCs w:val="16"/>
          <w:color w:val="auto"/>
        </w:rPr>
        <w:t xml:space="preserve"> after the Closing Date with the net cash proceeds described in preceding clause (x) (2) less (z) the aggregate amount of all Restricted Payments made after the Closing Date in reliance on the last proviso appearing in </w:t>
      </w:r>
      <w:r>
        <w:rPr>
          <w:rFonts w:ascii="Arial" w:cs="Arial" w:eastAsia="Arial" w:hAnsi="Arial"/>
          <w:sz w:val="16"/>
          <w:szCs w:val="16"/>
          <w:u w:val="single" w:color="auto"/>
          <w:color w:val="auto"/>
        </w:rPr>
        <w:t>Section 7.06(f)</w:t>
      </w:r>
      <w:r>
        <w:rPr>
          <w:rFonts w:ascii="Arial" w:cs="Arial" w:eastAsia="Arial" w:hAnsi="Arial"/>
          <w:sz w:val="16"/>
          <w:szCs w:val="16"/>
          <w:color w:val="auto"/>
        </w:rPr>
        <w:t xml:space="preserve">, and (B) issued by Employment Participation Subsidiaries to current or former restaurant employees, and development partners of Employment Participation Subsidiaries as consideration in respect of repurchases, redemptions or acquisitions of Equity Interests in Employment Participation Subsidiaries permitted under </w:t>
      </w:r>
      <w:r>
        <w:rPr>
          <w:rFonts w:ascii="Arial" w:cs="Arial" w:eastAsia="Arial" w:hAnsi="Arial"/>
          <w:sz w:val="16"/>
          <w:szCs w:val="16"/>
          <w:u w:val="single" w:color="auto"/>
          <w:color w:val="auto"/>
        </w:rPr>
        <w:t>Section 7.06(i)</w:t>
      </w:r>
      <w:r>
        <w:rPr>
          <w:rFonts w:ascii="Arial" w:cs="Arial" w:eastAsia="Arial" w:hAnsi="Arial"/>
          <w:sz w:val="16"/>
          <w:szCs w:val="16"/>
          <w:color w:val="auto"/>
        </w:rPr>
        <w:t xml:space="preserve"> in the ordinary course of business and consistent with past practice;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both"/>
        <w:ind w:left="920" w:firstLine="655"/>
        <w:spacing w:after="0" w:line="250" w:lineRule="auto"/>
        <w:tabs>
          <w:tab w:leader="none" w:pos="2111"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Indebtedness incurred by the Borrowers or their respective Subsidiaries in a Permitted Acquisition, any other Investment expressly permitted hereunder or any Disposition, in any such case solely constituting indemnification obligations or obligations in respect of purchase price or other similar adjustments;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47" w:name="page248"/>
    <w:bookmarkEnd w:id="247"/>
    <w:p>
      <w:pPr>
        <w:jc w:val="both"/>
        <w:ind w:left="920" w:firstLine="655"/>
        <w:spacing w:after="0" w:line="250" w:lineRule="auto"/>
        <w:tabs>
          <w:tab w:leader="none" w:pos="210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Indebtedness consisting of obligations of the Company or its Subsidiaries under deferred compensation or other similar arrangements incurred by such Person in connection with the Transaction and Permitted Acquisitions or any other Investment expressly permitted hereunder;</w:t>
      </w:r>
    </w:p>
    <w:p>
      <w:pPr>
        <w:spacing w:after="0" w:line="186" w:lineRule="exact"/>
        <w:rPr>
          <w:rFonts w:ascii="Arial" w:cs="Arial" w:eastAsia="Arial" w:hAnsi="Arial"/>
          <w:sz w:val="20"/>
          <w:szCs w:val="20"/>
          <w:color w:val="auto"/>
        </w:rPr>
      </w:pPr>
    </w:p>
    <w:p>
      <w:pPr>
        <w:ind w:left="920" w:firstLine="655"/>
        <w:spacing w:after="0" w:line="260" w:lineRule="auto"/>
        <w:tabs>
          <w:tab w:leader="none" w:pos="196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Cash Management Obligations and other Indebtedness in respect of netting services, overdraft protections and similar arrangements in each case in connection with deposit accounts;</w:t>
      </w:r>
    </w:p>
    <w:p>
      <w:pPr>
        <w:spacing w:after="0" w:line="190" w:lineRule="exact"/>
        <w:rPr>
          <w:rFonts w:ascii="Arial" w:cs="Arial" w:eastAsia="Arial" w:hAnsi="Arial"/>
          <w:sz w:val="20"/>
          <w:szCs w:val="20"/>
          <w:color w:val="auto"/>
        </w:rPr>
      </w:pPr>
    </w:p>
    <w:p>
      <w:pPr>
        <w:ind w:left="920" w:firstLine="655"/>
        <w:spacing w:after="0" w:line="260" w:lineRule="auto"/>
        <w:tabs>
          <w:tab w:leader="none" w:pos="208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Indebtedness of the Company and its Subsidiaries in an aggregate principal amount not to exceed the greater of (i) $170,000,000 and (ii) 6.0% of Total Assets at any time outstanding;</w:t>
      </w:r>
    </w:p>
    <w:p>
      <w:pPr>
        <w:spacing w:after="0" w:line="190" w:lineRule="exact"/>
        <w:rPr>
          <w:rFonts w:ascii="Arial" w:cs="Arial" w:eastAsia="Arial" w:hAnsi="Arial"/>
          <w:sz w:val="20"/>
          <w:szCs w:val="20"/>
          <w:color w:val="auto"/>
        </w:rPr>
      </w:pPr>
    </w:p>
    <w:p>
      <w:pPr>
        <w:ind w:left="920" w:firstLine="655"/>
        <w:spacing w:after="0" w:line="260" w:lineRule="auto"/>
        <w:tabs>
          <w:tab w:leader="none" w:pos="199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Indebtedness consisting of (a) the financing of insurance premiums or (b) take- or-pay obligations contained in supply arrangements, in each case, in the ordinary course of business;</w:t>
      </w:r>
    </w:p>
    <w:p>
      <w:pPr>
        <w:spacing w:after="0" w:line="176" w:lineRule="exact"/>
        <w:rPr>
          <w:rFonts w:ascii="Arial" w:cs="Arial" w:eastAsia="Arial" w:hAnsi="Arial"/>
          <w:sz w:val="20"/>
          <w:szCs w:val="20"/>
          <w:color w:val="auto"/>
        </w:rPr>
      </w:pPr>
    </w:p>
    <w:p>
      <w:pPr>
        <w:jc w:val="both"/>
        <w:ind w:left="920" w:firstLine="655"/>
        <w:spacing w:after="0" w:line="278" w:lineRule="auto"/>
        <w:tabs>
          <w:tab w:leader="none" w:pos="208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Indebtedness incurred by the Company or any of its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reimbursement obligations in respect thereof are reimbursed within 30 days following the incurrence thereof;</w:t>
      </w:r>
    </w:p>
    <w:p>
      <w:pPr>
        <w:spacing w:after="0" w:line="178" w:lineRule="exact"/>
        <w:rPr>
          <w:rFonts w:ascii="Arial" w:cs="Arial" w:eastAsia="Arial" w:hAnsi="Arial"/>
          <w:sz w:val="18"/>
          <w:szCs w:val="18"/>
          <w:color w:val="auto"/>
        </w:rPr>
      </w:pPr>
    </w:p>
    <w:p>
      <w:pPr>
        <w:jc w:val="both"/>
        <w:ind w:left="920" w:firstLine="655"/>
        <w:spacing w:after="0" w:line="246" w:lineRule="auto"/>
        <w:tabs>
          <w:tab w:leader="none" w:pos="199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obligations in respect of performance, bid, stay, custom, appeal and surety bonds and other obligations of a like nature and performance and completion guarantees and similar obligations provided by any Borrower or any of its Subsidiaries or obligations in respect of letters of credit, bank guarantees or similar instruments related thereto, in each case in the ordinary course of business or consistent with past practices;</w:t>
      </w:r>
    </w:p>
    <w:p>
      <w:pPr>
        <w:spacing w:after="0" w:line="205" w:lineRule="exact"/>
        <w:rPr>
          <w:rFonts w:ascii="Arial" w:cs="Arial" w:eastAsia="Arial" w:hAnsi="Arial"/>
          <w:sz w:val="20"/>
          <w:szCs w:val="20"/>
          <w:color w:val="auto"/>
        </w:rPr>
      </w:pPr>
    </w:p>
    <w:p>
      <w:pPr>
        <w:ind w:left="920" w:firstLine="655"/>
        <w:spacing w:after="0" w:line="260" w:lineRule="auto"/>
        <w:tabs>
          <w:tab w:leader="none" w:pos="199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Indebtedness of the Borrowers and their respective Subsidiaries supported by a Letter of Credit, in a principal amount not to exceed the face amount of such Letter of Credit;</w:t>
      </w:r>
    </w:p>
    <w:p>
      <w:pPr>
        <w:spacing w:after="0" w:line="190" w:lineRule="exact"/>
        <w:rPr>
          <w:rFonts w:ascii="Arial" w:cs="Arial" w:eastAsia="Arial" w:hAnsi="Arial"/>
          <w:sz w:val="20"/>
          <w:szCs w:val="20"/>
          <w:color w:val="auto"/>
        </w:rPr>
      </w:pPr>
    </w:p>
    <w:p>
      <w:pPr>
        <w:ind w:left="920" w:firstLine="655"/>
        <w:spacing w:after="0" w:line="260" w:lineRule="auto"/>
        <w:tabs>
          <w:tab w:leader="none" w:pos="206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unsecured Indebtedness of the Borrowers and their respective Subsidiaries in the form of letters of credit, in an aggregate outstanding principal amount not to exceed $50,000,000;</w:t>
      </w:r>
    </w:p>
    <w:p>
      <w:pPr>
        <w:spacing w:after="0" w:line="176" w:lineRule="exact"/>
        <w:rPr>
          <w:rFonts w:ascii="Arial" w:cs="Arial" w:eastAsia="Arial" w:hAnsi="Arial"/>
          <w:sz w:val="20"/>
          <w:szCs w:val="20"/>
          <w:color w:val="auto"/>
        </w:rPr>
      </w:pPr>
    </w:p>
    <w:p>
      <w:pPr>
        <w:jc w:val="both"/>
        <w:ind w:left="920" w:firstLine="655"/>
        <w:spacing w:after="0" w:line="254" w:lineRule="auto"/>
        <w:tabs>
          <w:tab w:leader="none" w:pos="1957" w:val="left"/>
        </w:tabs>
        <w:numPr>
          <w:ilvl w:val="0"/>
          <w:numId w:val="242"/>
        </w:numPr>
        <w:rPr>
          <w:rFonts w:ascii="Arial" w:cs="Arial" w:eastAsia="Arial" w:hAnsi="Arial"/>
          <w:sz w:val="19"/>
          <w:szCs w:val="19"/>
          <w:color w:val="auto"/>
        </w:rPr>
      </w:pPr>
      <w:r>
        <w:rPr>
          <w:rFonts w:ascii="Arial" w:cs="Arial" w:eastAsia="Arial" w:hAnsi="Arial"/>
          <w:sz w:val="19"/>
          <w:szCs w:val="19"/>
          <w:color w:val="auto"/>
        </w:rPr>
        <w:t>Indebtedness of any Borrower in respect of one or more series of senior secured first lien notes or unsecured term loans or notes that are issued in a public offering, Rule 144A or other private placement, or a bridge financing in lieu of the foregoing that otherwise converts into permanent Incremental Equivalent Debt (as defined below), that are issued or made in lieu of Incremental Term Commitments pursuant to an indenture or a note purchase agreement or otherwise (the “</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principal amount of all Incremental Equivalent Debt issued pursuant to this </w:t>
      </w:r>
      <w:r>
        <w:rPr>
          <w:rFonts w:ascii="Arial" w:cs="Arial" w:eastAsia="Arial" w:hAnsi="Arial"/>
          <w:sz w:val="19"/>
          <w:szCs w:val="19"/>
          <w:u w:val="single" w:color="auto"/>
          <w:color w:val="auto"/>
        </w:rPr>
        <w:t>Section 7.03(s)</w:t>
      </w:r>
      <w:r>
        <w:rPr>
          <w:rFonts w:ascii="Arial" w:cs="Arial" w:eastAsia="Arial" w:hAnsi="Arial"/>
          <w:sz w:val="19"/>
          <w:szCs w:val="19"/>
          <w:color w:val="auto"/>
        </w:rPr>
        <w:t xml:space="preserve"> shall not, together with all Revolving Commitment Increases and/or Incremental Term Commitments incurred after the Closing Date, exceed the Available Incremental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Incremental Equivalent Debt is unsecured, the incurrence of any such Indebtedness pursuant to clause (B) of the definition of Available Incremental Amount shall be subject to the Company’s compliance with the Financial Covenant as of the last day of the Test Period most recently ended for which financial statements have been delivered to the Lenders under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after giving effect to such incurrence on a Pro Forma Basis, in lieu of the Consolidated Senior Secured Net Leverage Ratio test set forth in such clause (B)), (ii) no Default shall have occurred and be continuing or would exist immediately after giving effect to such incurrence, (iii) as of the date of determination, such Incremental Equivalent Debt shall not mature earlier than the Maturity Date with respect to the Term Loans (prior to giving effect to any extensions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596" w:right="239" w:bottom="1440" w:gutter="0" w:footer="0" w:header="0"/>
        </w:sectPr>
      </w:pPr>
    </w:p>
    <w:bookmarkStart w:id="248" w:name="page249"/>
    <w:bookmarkEnd w:id="248"/>
    <w:p>
      <w:pPr>
        <w:jc w:val="both"/>
        <w:ind w:left="920"/>
        <w:spacing w:after="0" w:line="254" w:lineRule="auto"/>
        <w:rPr>
          <w:sz w:val="20"/>
          <w:szCs w:val="20"/>
          <w:color w:val="auto"/>
        </w:rPr>
      </w:pPr>
      <w:r>
        <w:rPr>
          <w:rFonts w:ascii="Arial" w:cs="Arial" w:eastAsia="Arial" w:hAnsi="Arial"/>
          <w:sz w:val="19"/>
          <w:szCs w:val="19"/>
          <w:color w:val="auto"/>
        </w:rPr>
        <w:t xml:space="preserve">thereof occurring after the Maturity Date), (iv) the documentation with respect to such Incremental Equivalent Debt contains no mandatory prepayment, repurchase or redemption provisions prior to the Latest Maturity Date then in effect except with respect to change of control, asset sale and casualty event mandatory offers to purchase and customary acceleration rights after an event of default that are customary for financings of such type, (v) such Incremental Equivalent Debt may participate on a pro rata basis or less than pro rata basis (but not on a greater than pro rata basis (other than pursuant to asset sale and change of control provisions customary for high-yield debt securities)) in any voluntary or mandatory prepayments of Term Loans hereunder, as specified in the applicable Incremental Amendment, (vi) such Incremental Equivalent Debt shall not be subject to any Guarantee by any Person other than a Loan Party, (vii) if such Incremental Equivalent Debt is secured, the obligations in respect thereof shall not be secured by any Lien on any asset of the Company or any Subsidiary other than any asset constituting Collateral, (viii) if such Incremental Equivalent Debt is secured, the security agreements relating to such Incremental Equivalent Debt shall be substantially the same as the Collateral Documents (with such differences as are reasonably satisfactory to the Administrative Agent), (ix) if such Incremental Equivalent Debt is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Obligations, then such Incremental Equivalent Debt shall be subject to a First Lien Intercreditor Agreement, and (x) the documentation with respect to any Incremental Equivalent Debt shall contain terms and conditions not materially more restrictive (taken as a whole) in respect of the Company and its Subsidiaries than those set forth in this Agreement;</w:t>
      </w:r>
    </w:p>
    <w:p>
      <w:pPr>
        <w:spacing w:after="0" w:line="205" w:lineRule="exact"/>
        <w:rPr>
          <w:sz w:val="20"/>
          <w:szCs w:val="20"/>
          <w:color w:val="auto"/>
        </w:rPr>
      </w:pPr>
    </w:p>
    <w:p>
      <w:pPr>
        <w:ind w:left="1940" w:hanging="365"/>
        <w:spacing w:after="0"/>
        <w:tabs>
          <w:tab w:leader="none" w:pos="194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Credit Agreement Refinancing Indebtedness;</w:t>
      </w:r>
    </w:p>
    <w:p>
      <w:pPr>
        <w:spacing w:after="0" w:line="229" w:lineRule="exact"/>
        <w:rPr>
          <w:rFonts w:ascii="Arial" w:cs="Arial" w:eastAsia="Arial" w:hAnsi="Arial"/>
          <w:sz w:val="20"/>
          <w:szCs w:val="20"/>
          <w:color w:val="auto"/>
        </w:rPr>
      </w:pPr>
    </w:p>
    <w:p>
      <w:pPr>
        <w:jc w:val="both"/>
        <w:ind w:left="920" w:firstLine="655"/>
        <w:spacing w:after="0" w:line="270" w:lineRule="auto"/>
        <w:tabs>
          <w:tab w:leader="none" w:pos="199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unsecured Indebtedness of the Company or any Subsidiary in an aggregate principal amount not to exceed the amount of Net Cash Proceeds of issuances of, or contributions in respect of, Equity Interests of the Company (other than proceeds of issuances of Disqualified Equity Interests) after the Closing Date to the extent that such Net Cash Proceeds shall have been actually received by OSI (through a capital contribution of such Net Cash Proceeds by the Company to OSI) on or prior to such date of determination and to the extent not used to make payments under </w:t>
      </w:r>
      <w:r>
        <w:rPr>
          <w:rFonts w:ascii="Arial" w:cs="Arial" w:eastAsia="Arial" w:hAnsi="Arial"/>
          <w:sz w:val="18"/>
          <w:szCs w:val="18"/>
          <w:u w:val="single" w:color="auto"/>
          <w:color w:val="auto"/>
        </w:rPr>
        <w:t>Section 7.03(i)</w:t>
      </w:r>
      <w:r>
        <w:rPr>
          <w:rFonts w:ascii="Arial" w:cs="Arial" w:eastAsia="Arial" w:hAnsi="Arial"/>
          <w:sz w:val="18"/>
          <w:szCs w:val="18"/>
          <w:color w:val="auto"/>
        </w:rPr>
        <w:t xml:space="preserve">, make Investments pursuant to </w:t>
      </w:r>
      <w:r>
        <w:rPr>
          <w:rFonts w:ascii="Arial" w:cs="Arial" w:eastAsia="Arial" w:hAnsi="Arial"/>
          <w:sz w:val="18"/>
          <w:szCs w:val="18"/>
          <w:u w:val="single" w:color="auto"/>
          <w:color w:val="auto"/>
        </w:rPr>
        <w:t>Section 7.02(t)</w:t>
      </w:r>
      <w:r>
        <w:rPr>
          <w:rFonts w:ascii="Arial" w:cs="Arial" w:eastAsia="Arial" w:hAnsi="Arial"/>
          <w:sz w:val="18"/>
          <w:szCs w:val="18"/>
          <w:color w:val="auto"/>
        </w:rPr>
        <w:t xml:space="preserve">, make Restricted Payments pursuant to </w:t>
      </w:r>
      <w:r>
        <w:rPr>
          <w:rFonts w:ascii="Arial" w:cs="Arial" w:eastAsia="Arial" w:hAnsi="Arial"/>
          <w:sz w:val="18"/>
          <w:szCs w:val="18"/>
          <w:u w:val="single" w:color="auto"/>
          <w:color w:val="auto"/>
        </w:rPr>
        <w:t>Section 7.06(f)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or count towards the Cumulative Growth Amount; </w:t>
      </w:r>
      <w:r>
        <w:rPr>
          <w:rFonts w:ascii="Arial" w:cs="Arial" w:eastAsia="Arial" w:hAnsi="Arial"/>
          <w:sz w:val="18"/>
          <w:szCs w:val="18"/>
          <w:u w:val="single" w:color="auto"/>
          <w:color w:val="auto"/>
        </w:rPr>
        <w:t>provided</w:t>
      </w:r>
      <w:r>
        <w:rPr>
          <w:rFonts w:ascii="Arial" w:cs="Arial" w:eastAsia="Arial" w:hAnsi="Arial"/>
          <w:sz w:val="18"/>
          <w:szCs w:val="18"/>
          <w:color w:val="auto"/>
        </w:rPr>
        <w:t>, (i) such Indebtedness will not mature prior to the date that is ninety-one (91) days after the then Latest Maturity Date at the time of the issuance of such Indebtedness, (ii) such Indebtedness will not have mandatory prepayment or mandatory amortization, redemption, sinking fund or similar prepayments prior to the date that is ninety-one (91) days after the then Latest Maturity Date at the time of the issuance of such Indebtedness, (iii) no Default shall have occurred and be continuing or would exist immediately after giving effect to such incurrence and (iv) the terms and conditions of such Indebtedness shall be not materially more restrictive (taken as a whole) in respect of the Company and its Subsidiaries than those set forth in this Agreement;</w:t>
      </w:r>
    </w:p>
    <w:p>
      <w:pPr>
        <w:spacing w:after="0" w:line="203" w:lineRule="exact"/>
        <w:rPr>
          <w:rFonts w:ascii="Arial" w:cs="Arial" w:eastAsia="Arial" w:hAnsi="Arial"/>
          <w:sz w:val="18"/>
          <w:szCs w:val="18"/>
          <w:color w:val="auto"/>
        </w:rPr>
      </w:pPr>
    </w:p>
    <w:p>
      <w:pPr>
        <w:ind w:left="2460" w:hanging="885"/>
        <w:spacing w:after="0"/>
        <w:tabs>
          <w:tab w:leader="none" w:pos="2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Indebtedness of Foreign Subsidiaries in an aggregate principal amount not to exceed $100,000,000 at any time</w:t>
      </w:r>
    </w:p>
    <w:p>
      <w:pPr>
        <w:spacing w:after="0" w:line="4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20"/>
          <w:szCs w:val="20"/>
          <w:color w:val="auto"/>
        </w:rPr>
        <w:t>outstanding;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49" w:name="page250"/>
    <w:bookmarkEnd w:id="249"/>
    <w:p>
      <w:pPr>
        <w:ind w:left="920" w:right="20" w:firstLine="655"/>
        <w:spacing w:after="0" w:line="289" w:lineRule="auto"/>
        <w:tabs>
          <w:tab w:leader="none" w:pos="2491" w:val="left"/>
        </w:tabs>
        <w:numPr>
          <w:ilvl w:val="0"/>
          <w:numId w:val="244"/>
        </w:numPr>
        <w:rPr>
          <w:rFonts w:ascii="Arial" w:cs="Arial" w:eastAsia="Arial" w:hAnsi="Arial"/>
          <w:sz w:val="20"/>
          <w:szCs w:val="20"/>
          <w:color w:val="auto"/>
        </w:rPr>
      </w:pPr>
      <w:r>
        <w:rPr>
          <w:rFonts w:ascii="Arial" w:cs="Arial" w:eastAsia="Arial" w:hAnsi="Arial"/>
          <w:sz w:val="20"/>
          <w:szCs w:val="20"/>
          <w:color w:val="auto"/>
        </w:rPr>
        <w:t>all premiums (if any), interest (including post-petition interest), fees, expenses, charges and additional or contingent interest on obligations described in clauses (a) through (v) above; and</w:t>
      </w:r>
    </w:p>
    <w:p>
      <w:pPr>
        <w:spacing w:after="0" w:line="175" w:lineRule="exact"/>
        <w:rPr>
          <w:rFonts w:ascii="Arial" w:cs="Arial" w:eastAsia="Arial" w:hAnsi="Arial"/>
          <w:sz w:val="20"/>
          <w:szCs w:val="20"/>
          <w:color w:val="auto"/>
        </w:rPr>
      </w:pPr>
    </w:p>
    <w:p>
      <w:pPr>
        <w:ind w:left="2460" w:hanging="885"/>
        <w:spacing w:after="0"/>
        <w:tabs>
          <w:tab w:leader="none" w:pos="2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Permitted Ratio Debt and Permitted Refinancings thereof.</w:t>
      </w:r>
    </w:p>
    <w:p>
      <w:pPr>
        <w:spacing w:after="0" w:line="266"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For purposes of determining compliance with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above, the Company, in its sole discretion, will classify and may subsequently reclassify such item of Indebtedness (or any portion thereof) in any one or more of the types of Indebtedness described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will only be required to include the amount and type of such Indebtedness in such of the above clauses as determined by the Company at such time. The Company will be entitled to divide and classify an item of Indebtedness in more than one of the types of Indebtedness described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Notwithstanding the foregoing, Indebtedness incurred (a) under the Loan Documents, any Incremental Commitments and any Incremental Term Loans shall only be classified as incurred under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(b) as Credit Agreement Refinancing Indebtedness shall only be classified as incurred under </w:t>
      </w:r>
      <w:r>
        <w:rPr>
          <w:rFonts w:ascii="Arial" w:cs="Arial" w:eastAsia="Arial" w:hAnsi="Arial"/>
          <w:sz w:val="18"/>
          <w:szCs w:val="18"/>
          <w:u w:val="single" w:color="auto"/>
          <w:color w:val="auto"/>
        </w:rPr>
        <w:t>Section 7.03(t)</w:t>
      </w:r>
      <w:r>
        <w:rPr>
          <w:rFonts w:ascii="Arial" w:cs="Arial" w:eastAsia="Arial" w:hAnsi="Arial"/>
          <w:sz w:val="18"/>
          <w:szCs w:val="18"/>
          <w:color w:val="auto"/>
        </w:rPr>
        <w:t xml:space="preserve"> and (c) as Incremental Equivalent Debt shall only be classified as incurred under </w:t>
      </w:r>
      <w:r>
        <w:rPr>
          <w:rFonts w:ascii="Arial" w:cs="Arial" w:eastAsia="Arial" w:hAnsi="Arial"/>
          <w:sz w:val="18"/>
          <w:szCs w:val="18"/>
          <w:u w:val="single" w:color="auto"/>
          <w:color w:val="auto"/>
        </w:rPr>
        <w:t>Section 7.03(s)</w:t>
      </w:r>
      <w:r>
        <w:rPr>
          <w:rFonts w:ascii="Arial" w:cs="Arial" w:eastAsia="Arial" w:hAnsi="Arial"/>
          <w:sz w:val="18"/>
          <w:szCs w:val="18"/>
          <w:color w:val="auto"/>
        </w:rPr>
        <w:t>.</w:t>
      </w:r>
    </w:p>
    <w:p>
      <w:pPr>
        <w:spacing w:after="0" w:line="175"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(including tender premiums) and other costs and expenses (including original issue discount, upfront fees or similar fees) incurred in connection with such refinancing.</w:t>
      </w:r>
    </w:p>
    <w:p>
      <w:pPr>
        <w:spacing w:after="0" w:line="195"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The accrual of interest or dividends, the accretion of accreted value, the accretion or amortization of original issue discount, and the payment of interest or dividends in the form of additional Indebtedness as the case may be, of the same class, accretion or amortization of original issue discount and increases in the amount of Indebtedness solely as a result of fluctuations in the exchange rate of currencies, will, in each case, not be deemed to be an incurrence of Indebtedness for purposes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85"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u w:val="single" w:color="auto"/>
          <w:color w:val="auto"/>
        </w:rPr>
        <w:t>Fundamental Changes</w:t>
      </w:r>
      <w:r>
        <w:rPr>
          <w:rFonts w:ascii="Arial" w:cs="Arial" w:eastAsia="Arial" w:hAnsi="Arial"/>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50" w:name="page251"/>
    <w:bookmarkEnd w:id="250"/>
    <w:p>
      <w:pPr>
        <w:jc w:val="both"/>
        <w:ind w:left="920" w:firstLine="655"/>
        <w:spacing w:after="0" w:line="290" w:lineRule="auto"/>
        <w:tabs>
          <w:tab w:leader="none" w:pos="243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any Subsidiary may merge with (i) any Borrower (including a merger, the sole purpose of which is to reorganize such Borrower into a new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Borrower shall be the continuing or surviving Person and (y) such merger does not result in such Borrower ceasing to be incorporated under the Laws of the United States, any state thereof or the District of Columbia, or (ii) any one or more other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any Subsidiary that is a Loan Party is merging with another Subsidiary, a Loan Party shall be the continuing or surviving Person;</w:t>
      </w:r>
    </w:p>
    <w:p>
      <w:pPr>
        <w:spacing w:after="0" w:line="192" w:lineRule="exact"/>
        <w:rPr>
          <w:rFonts w:ascii="Arial" w:cs="Arial" w:eastAsia="Arial" w:hAnsi="Arial"/>
          <w:sz w:val="19"/>
          <w:szCs w:val="19"/>
          <w:color w:val="auto"/>
        </w:rPr>
      </w:pPr>
    </w:p>
    <w:p>
      <w:pPr>
        <w:jc w:val="both"/>
        <w:ind w:left="920" w:firstLine="655"/>
        <w:spacing w:after="0" w:line="287" w:lineRule="auto"/>
        <w:tabs>
          <w:tab w:leader="none" w:pos="244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(i) any Subsidiary that is not a Loan Party may merge or consolidate with or into any other Subsidiary that is not a Loan Party and (ii) any Subsidiary may liquidate or dissolve or change its legal form (subject, (x) in the case of any change of legal form, to any such Subsidiary that is a Guarantor remaining a Guarantor and (y) in the case of a liquidation or distribution of a Loan Party, the assets of such Loan Party are transferred to a Loan Party and the security interests of the Collateral Agent in the assets so transferred remain perfected at least to the same extent that such security interests were perfected immediately prior thereto) if the Company determines in good faith that such action is in the best interests of the Company and its Subsidiaries and such change is not materially disadvantageous to the Lenders;</w:t>
      </w:r>
    </w:p>
    <w:p>
      <w:pPr>
        <w:spacing w:after="0" w:line="196" w:lineRule="exact"/>
        <w:rPr>
          <w:rFonts w:ascii="Arial" w:cs="Arial" w:eastAsia="Arial" w:hAnsi="Arial"/>
          <w:sz w:val="19"/>
          <w:szCs w:val="19"/>
          <w:color w:val="auto"/>
        </w:rPr>
      </w:pPr>
    </w:p>
    <w:p>
      <w:pPr>
        <w:jc w:val="both"/>
        <w:ind w:left="920" w:firstLine="655"/>
        <w:spacing w:after="0" w:line="273" w:lineRule="auto"/>
        <w:tabs>
          <w:tab w:leader="none" w:pos="2436"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any Subsidiary may Dispose of all or substantially all of its assets (upon voluntary liquidation or otherwise) to any Borrower or to another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in such a transaction is a Guarantor or a Borrower, then (i) the transferee must either be a Borrower or a Guarantor or (ii) to the extent constituting an Investment, such Investment must be a permitted Investment in or Indebtedness of a Subsidiary which is not a Loan Party in accordance with </w:t>
      </w:r>
      <w:r>
        <w:rPr>
          <w:rFonts w:ascii="Arial" w:cs="Arial" w:eastAsia="Arial" w:hAnsi="Arial"/>
          <w:sz w:val="20"/>
          <w:szCs w:val="20"/>
          <w:u w:val="single" w:color="auto"/>
          <w:color w:val="auto"/>
        </w:rPr>
        <w:t>Sections 7.02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7.03</w:t>
      </w:r>
      <w:r>
        <w:rPr>
          <w:rFonts w:ascii="Arial" w:cs="Arial" w:eastAsia="Arial" w:hAnsi="Arial"/>
          <w:sz w:val="20"/>
          <w:szCs w:val="20"/>
          <w:color w:val="auto"/>
        </w:rPr>
        <w:t>, respectively;</w:t>
      </w:r>
    </w:p>
    <w:p>
      <w:pPr>
        <w:spacing w:after="0" w:line="191" w:lineRule="exact"/>
        <w:rPr>
          <w:rFonts w:ascii="Arial" w:cs="Arial" w:eastAsia="Arial" w:hAnsi="Arial"/>
          <w:sz w:val="20"/>
          <w:szCs w:val="20"/>
          <w:color w:val="auto"/>
        </w:rPr>
      </w:pPr>
    </w:p>
    <w:p>
      <w:pPr>
        <w:jc w:val="both"/>
        <w:ind w:left="920" w:firstLine="655"/>
        <w:spacing w:after="0" w:line="300" w:lineRule="auto"/>
        <w:tabs>
          <w:tab w:leader="none" w:pos="24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so long as no Default exists or would result therefrom, the Company may merge or consolidate with any 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shall be the continuing or surviving corporation or (ii) if the Person formed by or surviving any such merger or consolidation is not the Company (any such Person,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xml:space="preserve">”), (A) the Successor Company shall be an entity organized or existing under the laws of the United States, any state thereof or the District of Columbia, (B) the Successor Company shall expressly assume all the obligations of the Company under this Agreement and the other Loan Documents to which the Company is a party pursuant to a supplement hereto or thereto in form reasonably satisfactory to the Administrative Agent, (C) OSI, unless it is the other party to such merger or consolidation, shall have confirmed that its obligations under this Agreement shall remain unchanged, (D) each Guarantor, unless it is the other party to such merger or consolidation, shall have by a supplement to the Guaranty confirmed that its Guarantee shall apply to the Successor Company’s obligations under this Agreement, (E) each Guarantor, unless it is the other party to such merger or consolidation, shall have by a supplement to the Security Agreement confirmed that its obligations thereunder shall apply to the Successor Company’s obligations under this Agreement, (F) each mortgagor of a Mortgaged Property, unless it is the other party to such merger or consolidation, shall have by an amendment to or restatement of the applicable Mortgage confirmed that its obligations thereunder shall apply to the Successor Company’s obligations under this Agreement, (G) immediately after giving effect to such merger or consolidation, the Successor Company and the Subsidiaries shall be in Pro Forma Compliance with the Financial Covenant, such compliance to be determined on the basis of the financial information most recently delivered to the Administrative Agent and the Lenders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merger or consolidation had been consummated as of the first day of the fiscal period covered thereby and evidenced by a certificate from the chief financial officer of the Successor Company demonstrating such compliance calculation in reasonable detail, and (H) the Company shall have delivered to the Administrative Agent an officer’s certificate and an opinion of counsel, each stating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51" w:name="page252"/>
    <w:bookmarkEnd w:id="251"/>
    <w:p>
      <w:pPr>
        <w:jc w:val="both"/>
        <w:ind w:left="920"/>
        <w:spacing w:after="0" w:line="278" w:lineRule="auto"/>
        <w:rPr>
          <w:sz w:val="20"/>
          <w:szCs w:val="20"/>
          <w:color w:val="auto"/>
        </w:rPr>
      </w:pPr>
      <w:r>
        <w:rPr>
          <w:rFonts w:ascii="Arial" w:cs="Arial" w:eastAsia="Arial" w:hAnsi="Arial"/>
          <w:sz w:val="20"/>
          <w:szCs w:val="20"/>
          <w:color w:val="auto"/>
        </w:rPr>
        <w:t xml:space="preserve">that such merger or consolidation and such supplement to this Agreement or any Collateral Document comply with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foregoing are satisfied, the Successor Company will succeed to, and be substituted for, the Company under this Agreement;</w:t>
      </w:r>
    </w:p>
    <w:p>
      <w:pPr>
        <w:spacing w:after="0" w:line="200" w:lineRule="exact"/>
        <w:rPr>
          <w:sz w:val="20"/>
          <w:szCs w:val="20"/>
          <w:color w:val="auto"/>
        </w:rPr>
      </w:pPr>
    </w:p>
    <w:p>
      <w:pPr>
        <w:jc w:val="both"/>
        <w:ind w:left="920" w:firstLine="655"/>
        <w:spacing w:after="0" w:line="299" w:lineRule="auto"/>
        <w:tabs>
          <w:tab w:leader="none" w:pos="2436"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so long as no Default exists or would result therefrom, any Subsidiary may merge with any other Person in order to effect an Investment permitted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continuing or surviving Person shall be a Subsidiary, which together with each of its Subsidiaries, shall have complied with the requirements of </w:t>
      </w:r>
      <w:r>
        <w:rPr>
          <w:rFonts w:ascii="Arial" w:cs="Arial" w:eastAsia="Arial" w:hAnsi="Arial"/>
          <w:sz w:val="19"/>
          <w:szCs w:val="19"/>
          <w:u w:val="single" w:color="auto"/>
          <w:color w:val="auto"/>
        </w:rPr>
        <w:t>Section 6.11</w:t>
      </w:r>
      <w:r>
        <w:rPr>
          <w:rFonts w:ascii="Arial" w:cs="Arial" w:eastAsia="Arial" w:hAnsi="Arial"/>
          <w:sz w:val="19"/>
          <w:szCs w:val="19"/>
          <w:color w:val="auto"/>
        </w:rPr>
        <w:t>; and</w:t>
      </w:r>
    </w:p>
    <w:p>
      <w:pPr>
        <w:spacing w:after="0" w:line="169" w:lineRule="exact"/>
        <w:rPr>
          <w:rFonts w:ascii="Arial" w:cs="Arial" w:eastAsia="Arial" w:hAnsi="Arial"/>
          <w:sz w:val="19"/>
          <w:szCs w:val="19"/>
          <w:color w:val="auto"/>
        </w:rPr>
      </w:pPr>
    </w:p>
    <w:p>
      <w:pPr>
        <w:ind w:left="920" w:firstLine="655"/>
        <w:spacing w:after="0" w:line="289" w:lineRule="auto"/>
        <w:tabs>
          <w:tab w:leader="none" w:pos="2414" w:val="left"/>
        </w:tabs>
        <w:numPr>
          <w:ilvl w:val="0"/>
          <w:numId w:val="246"/>
        </w:numPr>
        <w:rPr>
          <w:rFonts w:ascii="Arial" w:cs="Arial" w:eastAsia="Arial" w:hAnsi="Arial"/>
          <w:sz w:val="20"/>
          <w:szCs w:val="20"/>
          <w:color w:val="auto"/>
        </w:rPr>
      </w:pPr>
      <w:r>
        <w:rPr>
          <w:rFonts w:ascii="Arial" w:cs="Arial" w:eastAsia="Arial" w:hAnsi="Arial"/>
          <w:sz w:val="20"/>
          <w:szCs w:val="20"/>
          <w:color w:val="auto"/>
        </w:rPr>
        <w:t xml:space="preserve">so long as no Default exists or would result therefrom, a merger, dissolution, liquidation, consolidation or Disposition, the purpose of which is to effect a Disposition permitted pursuant to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62"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7.05</w:t>
      </w:r>
      <w:r>
        <w:rPr>
          <w:sz w:val="20"/>
          <w:szCs w:val="20"/>
          <w:color w:val="auto"/>
        </w:rPr>
        <w:tab/>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except:</w:t>
      </w:r>
    </w:p>
    <w:p>
      <w:pPr>
        <w:spacing w:after="0" w:line="229" w:lineRule="exact"/>
        <w:rPr>
          <w:sz w:val="20"/>
          <w:szCs w:val="20"/>
          <w:color w:val="auto"/>
        </w:rPr>
      </w:pPr>
    </w:p>
    <w:p>
      <w:pPr>
        <w:jc w:val="both"/>
        <w:ind w:left="920" w:firstLine="655"/>
        <w:spacing w:after="0" w:line="293" w:lineRule="auto"/>
        <w:tabs>
          <w:tab w:leader="none" w:pos="2436" w:val="left"/>
        </w:tabs>
        <w:numPr>
          <w:ilvl w:val="1"/>
          <w:numId w:val="247"/>
        </w:numPr>
        <w:rPr>
          <w:rFonts w:ascii="Arial" w:cs="Arial" w:eastAsia="Arial" w:hAnsi="Arial"/>
          <w:sz w:val="19"/>
          <w:szCs w:val="19"/>
          <w:color w:val="auto"/>
        </w:rPr>
      </w:pPr>
      <w:r>
        <w:rPr>
          <w:rFonts w:ascii="Arial" w:cs="Arial" w:eastAsia="Arial" w:hAnsi="Arial"/>
          <w:sz w:val="19"/>
          <w:szCs w:val="19"/>
          <w:color w:val="auto"/>
        </w:rPr>
        <w:t>(x) Dispositions of obsolete or worn out property and assets, whether now owned or hereafter acquired, in the ordinary course of business, (y) Dispositions of property or assets no longer used or useful in the conduct of the business of the Borrowers and their respective Subsidiaries and (z) Dispositions to landlords of improvements made to leased real property pursuant to customary terms of leases entered into in the ordinary course of business;</w:t>
      </w:r>
    </w:p>
    <w:p>
      <w:pPr>
        <w:spacing w:after="0" w:line="189" w:lineRule="exact"/>
        <w:rPr>
          <w:rFonts w:ascii="Arial" w:cs="Arial" w:eastAsia="Arial" w:hAnsi="Arial"/>
          <w:sz w:val="19"/>
          <w:szCs w:val="19"/>
          <w:color w:val="auto"/>
        </w:rPr>
      </w:pPr>
    </w:p>
    <w:p>
      <w:pPr>
        <w:ind w:left="2460" w:hanging="885"/>
        <w:spacing w:after="0"/>
        <w:tabs>
          <w:tab w:leader="none" w:pos="246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Dispositions of inventory and assets of de minimus value, in any case in the ordinary course of business;</w:t>
      </w:r>
    </w:p>
    <w:p>
      <w:pPr>
        <w:spacing w:after="0" w:line="254" w:lineRule="exact"/>
        <w:rPr>
          <w:rFonts w:ascii="Arial" w:cs="Arial" w:eastAsia="Arial" w:hAnsi="Arial"/>
          <w:sz w:val="19"/>
          <w:szCs w:val="19"/>
          <w:color w:val="auto"/>
        </w:rPr>
      </w:pPr>
    </w:p>
    <w:p>
      <w:pPr>
        <w:jc w:val="both"/>
        <w:ind w:left="920" w:firstLine="655"/>
        <w:spacing w:after="0" w:line="278" w:lineRule="auto"/>
        <w:tabs>
          <w:tab w:leader="none" w:pos="2436" w:val="left"/>
        </w:tabs>
        <w:numPr>
          <w:ilvl w:val="1"/>
          <w:numId w:val="247"/>
        </w:numPr>
        <w:rPr>
          <w:rFonts w:ascii="Arial" w:cs="Arial" w:eastAsia="Arial" w:hAnsi="Arial"/>
          <w:sz w:val="20"/>
          <w:szCs w:val="20"/>
          <w:color w:val="auto"/>
        </w:rPr>
      </w:pPr>
      <w:r>
        <w:rPr>
          <w:rFonts w:ascii="Arial" w:cs="Arial" w:eastAsia="Arial" w:hAnsi="Arial"/>
          <w:sz w:val="20"/>
          <w:szCs w:val="20"/>
          <w:color w:val="auto"/>
        </w:rPr>
        <w:t>Dispositions of property in the ordinary course of business to the extent that (x) such property is exchanged for credit against the purchase price of similar replacement property or (y) the proceeds of such Disposition are promptly applied to the purchase price of such replacement property;</w:t>
      </w:r>
    </w:p>
    <w:p>
      <w:pPr>
        <w:spacing w:after="0" w:line="200" w:lineRule="exact"/>
        <w:rPr>
          <w:rFonts w:ascii="Arial" w:cs="Arial" w:eastAsia="Arial" w:hAnsi="Arial"/>
          <w:sz w:val="20"/>
          <w:szCs w:val="20"/>
          <w:color w:val="auto"/>
        </w:rPr>
      </w:pPr>
    </w:p>
    <w:p>
      <w:pPr>
        <w:jc w:val="both"/>
        <w:ind w:left="920" w:firstLine="655"/>
        <w:spacing w:after="0" w:line="278" w:lineRule="auto"/>
        <w:tabs>
          <w:tab w:leader="none" w:pos="2447" w:val="left"/>
        </w:tabs>
        <w:numPr>
          <w:ilvl w:val="1"/>
          <w:numId w:val="247"/>
        </w:numPr>
        <w:rPr>
          <w:rFonts w:ascii="Arial" w:cs="Arial" w:eastAsia="Arial" w:hAnsi="Arial"/>
          <w:sz w:val="20"/>
          <w:szCs w:val="20"/>
          <w:color w:val="auto"/>
        </w:rPr>
      </w:pPr>
      <w:r>
        <w:rPr>
          <w:rFonts w:ascii="Arial" w:cs="Arial" w:eastAsia="Arial" w:hAnsi="Arial"/>
          <w:sz w:val="20"/>
          <w:szCs w:val="20"/>
          <w:color w:val="auto"/>
        </w:rPr>
        <w:t xml:space="preserve">Dispositions of property to a Borrower or to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of such property is a Borrower or a Guarantor, (i) the transferee thereof must either be a Guarantor or a Borrower or (ii) to the extent such transaction constitutes an Investment, such transaction is permitted under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920" w:firstLine="655"/>
        <w:spacing w:after="0" w:line="278" w:lineRule="auto"/>
        <w:tabs>
          <w:tab w:leader="none" w:pos="2436" w:val="left"/>
        </w:tabs>
        <w:numPr>
          <w:ilvl w:val="1"/>
          <w:numId w:val="247"/>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7.04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7.06</w:t>
      </w:r>
      <w:r>
        <w:rPr>
          <w:rFonts w:ascii="Arial" w:cs="Arial" w:eastAsia="Arial" w:hAnsi="Arial"/>
          <w:sz w:val="20"/>
          <w:szCs w:val="20"/>
          <w:color w:val="auto"/>
        </w:rPr>
        <w:t xml:space="preserve">, Investments permitted by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Dispositions of Equity Interests in Employment Participation Subsidiaries to restaurant employees of, and development partners with, the Borrowers and their respective Subsidiaries;</w:t>
      </w:r>
    </w:p>
    <w:p>
      <w:pPr>
        <w:spacing w:after="0" w:line="200" w:lineRule="exact"/>
        <w:rPr>
          <w:rFonts w:ascii="Arial" w:cs="Arial" w:eastAsia="Arial" w:hAnsi="Arial"/>
          <w:sz w:val="20"/>
          <w:szCs w:val="20"/>
          <w:color w:val="auto"/>
        </w:rPr>
      </w:pPr>
    </w:p>
    <w:p>
      <w:pPr>
        <w:ind w:left="2420" w:hanging="845"/>
        <w:spacing w:after="0"/>
        <w:tabs>
          <w:tab w:leader="none" w:pos="24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Dispositions of property (other than IP Collateral) for cash pursuant to sale- leaseback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49" w:lineRule="exact"/>
        <w:rPr>
          <w:rFonts w:ascii="Arial" w:cs="Arial" w:eastAsia="Arial" w:hAnsi="Arial"/>
          <w:sz w:val="18"/>
          <w:szCs w:val="18"/>
          <w:color w:val="auto"/>
        </w:rPr>
      </w:pPr>
    </w:p>
    <w:p>
      <w:pPr>
        <w:jc w:val="both"/>
        <w:ind w:left="920" w:firstLine="6"/>
        <w:spacing w:after="0" w:line="310" w:lineRule="auto"/>
        <w:tabs>
          <w:tab w:leader="none" w:pos="117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 respect to such property owned by the Borrowers and their respective Subsidiaries on the Closing Date, the Fair Market Value of all property so Disposed of after the Closing Date shall not exceed $35,000,000, and (ii) with respect to such property acquired by any Borrower or any Subsidiary after the Closing Date, the applicable sale- leaseback transaction occurs within two hundred and seventy (270) days after the acquisition or construction (as applicable) of such property or any material repair, replacement or improvement thereof (including reconstruction, refurbishment, renovation and development of real property);</w:t>
      </w:r>
    </w:p>
    <w:p>
      <w:pPr>
        <w:spacing w:after="0" w:line="162" w:lineRule="exact"/>
        <w:rPr>
          <w:rFonts w:ascii="Arial" w:cs="Arial" w:eastAsia="Arial" w:hAnsi="Arial"/>
          <w:sz w:val="18"/>
          <w:szCs w:val="18"/>
          <w:color w:val="auto"/>
        </w:rPr>
      </w:pPr>
    </w:p>
    <w:p>
      <w:pPr>
        <w:ind w:left="2200" w:hanging="625"/>
        <w:spacing w:after="0"/>
        <w:tabs>
          <w:tab w:leader="none" w:pos="2200" w:val="left"/>
        </w:tabs>
        <w:numPr>
          <w:ilvl w:val="1"/>
          <w:numId w:val="248"/>
        </w:numPr>
        <w:rPr>
          <w:rFonts w:ascii="Arial" w:cs="Arial" w:eastAsia="Arial" w:hAnsi="Arial"/>
          <w:sz w:val="20"/>
          <w:szCs w:val="20"/>
          <w:color w:val="auto"/>
        </w:rPr>
      </w:pPr>
      <w:r>
        <w:rPr>
          <w:rFonts w:ascii="Arial" w:cs="Arial" w:eastAsia="Arial" w:hAnsi="Arial"/>
          <w:sz w:val="20"/>
          <w:szCs w:val="20"/>
          <w:color w:val="auto"/>
        </w:rPr>
        <w:t>Dispositions of Cash Equivalents;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252" w:name="page253"/>
    <w:bookmarkEnd w:id="252"/>
    <w:p>
      <w:pPr>
        <w:ind w:left="920" w:right="20" w:firstLine="655"/>
        <w:spacing w:after="0" w:line="289" w:lineRule="auto"/>
        <w:tabs>
          <w:tab w:leader="none" w:pos="244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Dispositions or discounts without recourse of accounts receivable in connection with the compromise or collection thereof and not as part of a financing transaction;</w:t>
      </w:r>
    </w:p>
    <w:p>
      <w:pPr>
        <w:spacing w:after="0" w:line="188" w:lineRule="exact"/>
        <w:rPr>
          <w:rFonts w:ascii="Arial" w:cs="Arial" w:eastAsia="Arial" w:hAnsi="Arial"/>
          <w:sz w:val="20"/>
          <w:szCs w:val="20"/>
          <w:color w:val="auto"/>
        </w:rPr>
      </w:pPr>
    </w:p>
    <w:p>
      <w:pPr>
        <w:jc w:val="both"/>
        <w:ind w:left="920" w:firstLine="655"/>
        <w:spacing w:after="0" w:line="278" w:lineRule="auto"/>
        <w:tabs>
          <w:tab w:leader="none" w:pos="2403" w:val="left"/>
        </w:tabs>
        <w:numPr>
          <w:ilvl w:val="0"/>
          <w:numId w:val="249"/>
        </w:numPr>
        <w:rPr>
          <w:rFonts w:ascii="Arial" w:cs="Arial" w:eastAsia="Arial" w:hAnsi="Arial"/>
          <w:sz w:val="20"/>
          <w:szCs w:val="20"/>
          <w:color w:val="auto"/>
        </w:rPr>
      </w:pPr>
      <w:r>
        <w:rPr>
          <w:rFonts w:ascii="Arial" w:cs="Arial" w:eastAsia="Arial" w:hAnsi="Arial"/>
          <w:sz w:val="20"/>
          <w:szCs w:val="20"/>
          <w:color w:val="auto"/>
        </w:rPr>
        <w:t>(1) leases, subleases, licenses or sublicenses, in each case which do not materially interfere with the business of the Borrowers and their respective Subsidiaries, taken as a whole; and (2) Dispositions of intellectual property that do not materially interfere with the business of any Borrower or any of its Subsidiaries;</w:t>
      </w:r>
    </w:p>
    <w:p>
      <w:pPr>
        <w:spacing w:after="0" w:line="186" w:lineRule="exact"/>
        <w:rPr>
          <w:rFonts w:ascii="Arial" w:cs="Arial" w:eastAsia="Arial" w:hAnsi="Arial"/>
          <w:sz w:val="20"/>
          <w:szCs w:val="20"/>
          <w:color w:val="auto"/>
        </w:rPr>
      </w:pPr>
    </w:p>
    <w:p>
      <w:pPr>
        <w:ind w:left="2400" w:hanging="825"/>
        <w:spacing w:after="0"/>
        <w:tabs>
          <w:tab w:leader="none" w:pos="24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Net Cash Proceeds of such Casualty Event;</w:t>
      </w:r>
    </w:p>
    <w:p>
      <w:pPr>
        <w:spacing w:after="0" w:line="279" w:lineRule="exact"/>
        <w:rPr>
          <w:rFonts w:ascii="Arial" w:cs="Arial" w:eastAsia="Arial" w:hAnsi="Arial"/>
          <w:sz w:val="18"/>
          <w:szCs w:val="18"/>
          <w:color w:val="auto"/>
        </w:rPr>
      </w:pPr>
    </w:p>
    <w:p>
      <w:pPr>
        <w:jc w:val="both"/>
        <w:ind w:left="920" w:firstLine="655"/>
        <w:spacing w:after="0" w:line="300" w:lineRule="auto"/>
        <w:tabs>
          <w:tab w:leader="none" w:pos="244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Dispositions of property not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and its Subsidiaries shall be in Pro Forma Compliance with the Financial Covenant, (ii) at the time of such Disposition (other than any such Disposition made pursuant to a legally binding commitment entered into at a time when no Default has occurred and is continuing), no Default shall have occurred and is continuing or would result from such Disposition, and (iii) with respect to any Disposition (or series of related Dispositions) pursuant to this clause (k) for a purchase price in excess of $5,000,000, the Company or a Subsidiary shall receive not less than 75% of such consideration in the form of cash or Cash Equivalents (in each case, free and clear of all Liens at the time received, other than nonconsensual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 7.01(l)</w:t>
      </w:r>
      <w:r>
        <w:rPr>
          <w:rFonts w:ascii="Arial" w:cs="Arial" w:eastAsia="Arial" w:hAnsi="Arial"/>
          <w:sz w:val="18"/>
          <w:szCs w:val="18"/>
          <w:color w:val="auto"/>
        </w:rPr>
        <w:t xml:space="preserve"> and clauses (i) and (ii) of </w:t>
      </w:r>
      <w:r>
        <w:rPr>
          <w:rFonts w:ascii="Arial" w:cs="Arial" w:eastAsia="Arial" w:hAnsi="Arial"/>
          <w:sz w:val="18"/>
          <w:szCs w:val="18"/>
          <w:u w:val="single" w:color="auto"/>
          <w:color w:val="auto"/>
        </w:rPr>
        <w:t>Section 7.01(t)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purposes of this clause (iii), (A) any liabilities (as shown on the Company’s or such Subsidiary’s most recent balance sheet provided hereunder or in the footnotes thereto) of the Company or such Subsidiary (other than liabilities that are by their terms subordinated to the payment in cash of the Obligations) that are assumed by the transferee with respect to the applicable Disposition and for which the Company and all of its Subsidiaries shall have been validly released by all applicable creditors in writing, (B) any securities received by the Company or such Subsidiary from such transferee that are converted by the Company or such Subsidiary into cash (to the extent of the cash received) within 180 days following the closing of the applicable Disposition and (C) any Designated Non-Cash Consideration received by the Company or such Subsidiary in respect of such Disposition having an aggregate Fair Market Value, taken together with all other Designated Non-Cash Consideration received pursuant to this clause (C) that is at that time outstanding, not in excess of the greater of (1) $40,000,000 and (2) 1.5% of Total Assets, with the Fair Market Value of each item of Designated Non-Cash Consideration being measured at the time received and without giving effect to subsequent changes in value, shall be deemed to be cash;</w:t>
      </w:r>
    </w:p>
    <w:p>
      <w:pPr>
        <w:spacing w:after="0" w:line="164" w:lineRule="exact"/>
        <w:rPr>
          <w:rFonts w:ascii="Arial" w:cs="Arial" w:eastAsia="Arial" w:hAnsi="Arial"/>
          <w:sz w:val="18"/>
          <w:szCs w:val="18"/>
          <w:color w:val="auto"/>
        </w:rPr>
      </w:pPr>
    </w:p>
    <w:p>
      <w:pPr>
        <w:ind w:left="2200" w:hanging="625"/>
        <w:spacing w:after="0"/>
        <w:tabs>
          <w:tab w:leader="none" w:pos="22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Dispositions of Excluded Real Property;</w:t>
      </w:r>
    </w:p>
    <w:p>
      <w:pPr>
        <w:spacing w:after="0" w:line="242" w:lineRule="exact"/>
        <w:rPr>
          <w:rFonts w:ascii="Arial" w:cs="Arial" w:eastAsia="Arial" w:hAnsi="Arial"/>
          <w:sz w:val="20"/>
          <w:szCs w:val="20"/>
          <w:color w:val="auto"/>
        </w:rPr>
      </w:pPr>
    </w:p>
    <w:p>
      <w:pPr>
        <w:ind w:left="920" w:firstLine="655"/>
        <w:spacing w:after="0" w:line="347" w:lineRule="auto"/>
        <w:tabs>
          <w:tab w:leader="none" w:pos="250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30" w:lineRule="exact"/>
        <w:rPr>
          <w:rFonts w:ascii="Arial" w:cs="Arial" w:eastAsia="Arial" w:hAnsi="Arial"/>
          <w:sz w:val="18"/>
          <w:szCs w:val="18"/>
          <w:color w:val="auto"/>
        </w:rPr>
      </w:pPr>
    </w:p>
    <w:p>
      <w:pPr>
        <w:jc w:val="both"/>
        <w:ind w:left="920" w:firstLine="655"/>
        <w:spacing w:after="0" w:line="278" w:lineRule="auto"/>
        <w:tabs>
          <w:tab w:leader="none" w:pos="2447"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to the extent allowable under Section 1031 of the Code (or comparable or successor provision), any exchange of like property (excluding any boot thereon permitted by such provision) for use in any business conducted by the Borrowers or any of their respective Subsidiaries that is not in contravention of </w:t>
      </w:r>
      <w:r>
        <w:rPr>
          <w:rFonts w:ascii="Arial" w:cs="Arial" w:eastAsia="Arial" w:hAnsi="Arial"/>
          <w:sz w:val="20"/>
          <w:szCs w:val="20"/>
          <w:u w:val="single" w:color="auto"/>
          <w:color w:val="auto"/>
        </w:rPr>
        <w:t>Section 7.07</w:t>
      </w:r>
      <w:r>
        <w:rPr>
          <w:rFonts w:ascii="Arial" w:cs="Arial" w:eastAsia="Arial" w:hAnsi="Arial"/>
          <w:sz w:val="20"/>
          <w:szCs w:val="20"/>
          <w:color w:val="auto"/>
        </w:rPr>
        <w:t>;</w:t>
      </w:r>
    </w:p>
    <w:p>
      <w:pPr>
        <w:spacing w:after="0" w:line="173" w:lineRule="exact"/>
        <w:rPr>
          <w:rFonts w:ascii="Arial" w:cs="Arial" w:eastAsia="Arial" w:hAnsi="Arial"/>
          <w:sz w:val="20"/>
          <w:szCs w:val="20"/>
          <w:color w:val="auto"/>
        </w:rPr>
      </w:pPr>
    </w:p>
    <w:p>
      <w:pPr>
        <w:ind w:left="2200" w:hanging="625"/>
        <w:spacing w:after="0"/>
        <w:tabs>
          <w:tab w:leader="none" w:pos="220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unwinding of any Swap Contract;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53" w:name="page254"/>
    <w:bookmarkEnd w:id="253"/>
    <w:p>
      <w:pPr>
        <w:jc w:val="both"/>
        <w:ind w:left="920" w:firstLine="655"/>
        <w:spacing w:after="0" w:line="278" w:lineRule="auto"/>
        <w:tabs>
          <w:tab w:leader="none" w:pos="2447"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any swap of assets (other than Cash Equivalents) in exchange for assets of the same type in the ordinary course of business of comparable or greater value or usefulness to the business of the Borrowers and their respective Subsidiaries taken as a whole, as determined in good faith by the management of the Company.</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Disposition of any property pursuant to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(except pursuant to </w:t>
      </w:r>
      <w:r>
        <w:rPr>
          <w:rFonts w:ascii="Arial" w:cs="Arial" w:eastAsia="Arial" w:hAnsi="Arial"/>
          <w:sz w:val="18"/>
          <w:szCs w:val="18"/>
          <w:u w:val="single" w:color="auto"/>
          <w:color w:val="auto"/>
        </w:rPr>
        <w:t>Sections 7.05(a)(y)</w:t>
      </w:r>
      <w:r>
        <w:rPr>
          <w:rFonts w:ascii="Arial" w:cs="Arial" w:eastAsia="Arial" w:hAnsi="Arial"/>
          <w:sz w:val="18"/>
          <w:szCs w:val="18"/>
          <w:color w:val="auto"/>
        </w:rPr>
        <w:t xml:space="preserve">, </w:t>
      </w:r>
      <w:r>
        <w:rPr>
          <w:rFonts w:ascii="Arial" w:cs="Arial" w:eastAsia="Arial" w:hAnsi="Arial"/>
          <w:sz w:val="18"/>
          <w:szCs w:val="18"/>
          <w:u w:val="single" w:color="auto"/>
          <w:color w:val="auto"/>
        </w:rPr>
        <w:t>(a)(z)</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w:t>
      </w:r>
    </w:p>
    <w:p>
      <w:pPr>
        <w:spacing w:after="0" w:line="39" w:lineRule="exact"/>
        <w:rPr>
          <w:sz w:val="20"/>
          <w:szCs w:val="20"/>
          <w:color w:val="auto"/>
        </w:rPr>
      </w:pPr>
    </w:p>
    <w:p>
      <w:pPr>
        <w:jc w:val="both"/>
        <w:ind w:left="280" w:hanging="2"/>
        <w:spacing w:after="0"/>
        <w:tabs>
          <w:tab w:leader="none" w:pos="562" w:val="left"/>
        </w:tabs>
        <w:numPr>
          <w:ilvl w:val="0"/>
          <w:numId w:val="251"/>
        </w:numPr>
        <w:rPr>
          <w:rFonts w:ascii="Arial" w:cs="Arial" w:eastAsia="Arial" w:hAnsi="Arial"/>
          <w:sz w:val="20"/>
          <w:szCs w:val="20"/>
          <w:u w:val="single" w:color="auto"/>
          <w:color w:val="auto"/>
        </w:rPr>
      </w:pPr>
      <w:r>
        <w:rPr>
          <w:rFonts w:ascii="Arial" w:cs="Arial" w:eastAsia="Arial" w:hAnsi="Arial"/>
          <w:sz w:val="20"/>
          <w:szCs w:val="20"/>
          <w:color w:val="auto"/>
        </w:rPr>
        <w:t xml:space="preserve">and except for Dispositions from a Loan Party to another Loan Party), shall be for no less than the Fair Market Value of such property at the time of such Disposition. To the extent any Collateral is Disposed of as expressly permitted by this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to any Person other than the Company or any Subsidiary, such Collateral shall be sold free and clear of the Liens created by the Loan Documents, and the Administrative Agent or the Collateral Agent, as applicable, shall be authorized to take any actions deemed appropriate in order to effect the foregoing.</w:t>
      </w:r>
    </w:p>
    <w:p>
      <w:pPr>
        <w:spacing w:after="0" w:line="212" w:lineRule="exact"/>
        <w:rPr>
          <w:sz w:val="20"/>
          <w:szCs w:val="20"/>
          <w:color w:val="auto"/>
        </w:rPr>
      </w:pPr>
    </w:p>
    <w:p>
      <w:pPr>
        <w:ind w:left="920"/>
        <w:spacing w:after="0"/>
        <w:tabs>
          <w:tab w:leader="none" w:pos="2100" w:val="left"/>
          <w:tab w:leader="none" w:pos="3960" w:val="left"/>
        </w:tabs>
        <w:rPr>
          <w:sz w:val="20"/>
          <w:szCs w:val="20"/>
          <w:color w:val="auto"/>
        </w:rPr>
      </w:pPr>
      <w:r>
        <w:rPr>
          <w:rFonts w:ascii="Arial" w:cs="Arial" w:eastAsia="Arial" w:hAnsi="Arial"/>
          <w:sz w:val="20"/>
          <w:szCs w:val="20"/>
          <w:color w:val="auto"/>
        </w:rPr>
        <w:t>Section 7.06</w:t>
      </w:r>
      <w:r>
        <w:rPr>
          <w:sz w:val="20"/>
          <w:szCs w:val="20"/>
          <w:color w:val="auto"/>
        </w:rPr>
        <w:tab/>
      </w:r>
      <w:r>
        <w:rPr>
          <w:rFonts w:ascii="Arial" w:cs="Arial" w:eastAsia="Arial" w:hAnsi="Arial"/>
          <w:sz w:val="20"/>
          <w:szCs w:val="20"/>
          <w:u w:val="single" w:color="auto"/>
          <w:color w:val="auto"/>
        </w:rPr>
        <w:t>Restricted Payments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Declare or make, directly or indirectly, any Restricted Payment, except:</w:t>
      </w:r>
    </w:p>
    <w:p>
      <w:pPr>
        <w:spacing w:after="0" w:line="243" w:lineRule="exact"/>
        <w:rPr>
          <w:sz w:val="20"/>
          <w:szCs w:val="20"/>
          <w:color w:val="auto"/>
        </w:rPr>
      </w:pPr>
    </w:p>
    <w:p>
      <w:pPr>
        <w:jc w:val="both"/>
        <w:ind w:left="920" w:firstLine="655"/>
        <w:spacing w:after="0" w:line="322" w:lineRule="auto"/>
        <w:tabs>
          <w:tab w:leader="none" w:pos="243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Subsidiary may make Restricted Payments to the Borrowers and to other Subsidiaries (and, in the case of a Restricted Payment by a non-Wholly Owned Subsidiary, to any Borrower and any other Subsidiary and to each other owner of Equity Interests of such Subsidiary based on their relative ownership interests of the relevant class of Equity Interests);</w:t>
      </w:r>
    </w:p>
    <w:p>
      <w:pPr>
        <w:spacing w:after="0" w:line="152" w:lineRule="exact"/>
        <w:rPr>
          <w:rFonts w:ascii="Arial" w:cs="Arial" w:eastAsia="Arial" w:hAnsi="Arial"/>
          <w:sz w:val="18"/>
          <w:szCs w:val="18"/>
          <w:color w:val="auto"/>
        </w:rPr>
      </w:pPr>
    </w:p>
    <w:p>
      <w:pPr>
        <w:ind w:left="920" w:right="20" w:firstLine="655"/>
        <w:spacing w:after="0" w:line="347" w:lineRule="auto"/>
        <w:tabs>
          <w:tab w:leader="none" w:pos="24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each Borrower and each Subsidiary may declare and make dividend payments or other distributions payable solely in the Equity Interests (other than Disqualified Equity Interests not otherwise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of such Person;</w:t>
      </w:r>
    </w:p>
    <w:p>
      <w:pPr>
        <w:spacing w:after="0" w:line="130" w:lineRule="exact"/>
        <w:rPr>
          <w:rFonts w:ascii="Arial" w:cs="Arial" w:eastAsia="Arial" w:hAnsi="Arial"/>
          <w:sz w:val="18"/>
          <w:szCs w:val="18"/>
          <w:color w:val="auto"/>
        </w:rPr>
      </w:pPr>
    </w:p>
    <w:p>
      <w:pPr>
        <w:jc w:val="both"/>
        <w:ind w:left="920" w:firstLine="655"/>
        <w:spacing w:after="0" w:line="278" w:lineRule="auto"/>
        <w:tabs>
          <w:tab w:leader="none" w:pos="243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each Borrower and each Subsidiary may make distributions to joint venture partners in Brazil to the extent that such amounts are structured to serve as a component of compensation providing more favorable tax treatment than salary and are deducted in determining Consolidated Net Income;</w:t>
      </w:r>
    </w:p>
    <w:p>
      <w:pPr>
        <w:spacing w:after="0" w:line="186" w:lineRule="exact"/>
        <w:rPr>
          <w:rFonts w:ascii="Arial" w:cs="Arial" w:eastAsia="Arial" w:hAnsi="Arial"/>
          <w:sz w:val="20"/>
          <w:szCs w:val="20"/>
          <w:color w:val="auto"/>
        </w:rPr>
      </w:pPr>
    </w:p>
    <w:p>
      <w:pPr>
        <w:ind w:left="920" w:firstLine="655"/>
        <w:spacing w:after="0" w:line="347" w:lineRule="auto"/>
        <w:tabs>
          <w:tab w:leader="none" w:pos="24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to the extent constituting Restricted Payments, the Borrowers and their respective Subsidiaries may enter into and consummate transactions expressly permitted by any provision of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7.08</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7.08(d)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20" w:firstLine="655"/>
        <w:spacing w:after="0" w:line="289" w:lineRule="auto"/>
        <w:tabs>
          <w:tab w:leader="none" w:pos="243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repurchases of Equity Interests in any Borrower or any Subsidiary deemed to occur upon exercise of stock options or warrants if such Equity Interests represent a portion of the exercise price of such options or warrants;</w:t>
      </w:r>
    </w:p>
    <w:p>
      <w:pPr>
        <w:spacing w:after="0" w:line="175" w:lineRule="exact"/>
        <w:rPr>
          <w:rFonts w:ascii="Arial" w:cs="Arial" w:eastAsia="Arial" w:hAnsi="Arial"/>
          <w:sz w:val="20"/>
          <w:szCs w:val="20"/>
          <w:color w:val="auto"/>
        </w:rPr>
      </w:pPr>
    </w:p>
    <w:p>
      <w:pPr>
        <w:jc w:val="both"/>
        <w:ind w:left="920" w:firstLine="655"/>
        <w:spacing w:after="0" w:line="303" w:lineRule="auto"/>
        <w:tabs>
          <w:tab w:leader="none" w:pos="241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the Company may make Restricted Payments for the repurchase, retirement or other acquisition or retirement for value of Equity Interests of the Company by any future, present or former employee, consultant or director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Restricted Payments made pursuant to this clause (f) in any calendar year, when combined with the aggregate amount of all cash payments (whether principal or interest) made by the Loan Parties in respect of any promissory notes pursuant to </w:t>
      </w:r>
      <w:r>
        <w:rPr>
          <w:rFonts w:ascii="Arial" w:cs="Arial" w:eastAsia="Arial" w:hAnsi="Arial"/>
          <w:sz w:val="18"/>
          <w:szCs w:val="18"/>
          <w:u w:val="single" w:color="auto"/>
          <w:color w:val="auto"/>
        </w:rPr>
        <w:t>Section 7.03(i)</w:t>
      </w:r>
      <w:r>
        <w:rPr>
          <w:rFonts w:ascii="Arial" w:cs="Arial" w:eastAsia="Arial" w:hAnsi="Arial"/>
          <w:sz w:val="18"/>
          <w:szCs w:val="18"/>
          <w:color w:val="auto"/>
        </w:rPr>
        <w:t xml:space="preserve"> in such calendar year, shall not exceed $40,000,000,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unused amounts in any calendar year may be carried over to succeeding calendar years, so long as the aggregate amount of all Restricted Payments made pursuant to this </w:t>
      </w:r>
      <w:r>
        <w:rPr>
          <w:rFonts w:ascii="Arial" w:cs="Arial" w:eastAsia="Arial" w:hAnsi="Arial"/>
          <w:sz w:val="18"/>
          <w:szCs w:val="18"/>
          <w:u w:val="single" w:color="auto"/>
          <w:color w:val="auto"/>
        </w:rPr>
        <w:t>Section 7.06(f)</w:t>
      </w:r>
      <w:r>
        <w:rPr>
          <w:rFonts w:ascii="Arial" w:cs="Arial" w:eastAsia="Arial" w:hAnsi="Arial"/>
          <w:sz w:val="18"/>
          <w:szCs w:val="18"/>
          <w:color w:val="auto"/>
        </w:rPr>
        <w:t xml:space="preserve"> in any calendar year (after giving effect to such carry forward), when aggregated with the aggregate amount of all cash payments made in respect of promissory notes pursuant to </w:t>
      </w:r>
      <w:r>
        <w:rPr>
          <w:rFonts w:ascii="Arial" w:cs="Arial" w:eastAsia="Arial" w:hAnsi="Arial"/>
          <w:sz w:val="18"/>
          <w:szCs w:val="18"/>
          <w:u w:val="single" w:color="auto"/>
          <w:color w:val="auto"/>
        </w:rPr>
        <w:t>Section 7.03(i)</w:t>
      </w:r>
      <w:r>
        <w:rPr>
          <w:rFonts w:ascii="Arial" w:cs="Arial" w:eastAsia="Arial" w:hAnsi="Arial"/>
          <w:sz w:val="18"/>
          <w:szCs w:val="18"/>
          <w:color w:val="auto"/>
        </w:rPr>
        <w:t xml:space="preserve"> in such calendar year (after giving effect to such carry forward), shall not exceed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cancellation of Indebtedness owing to the Company in connection with and as consideration for a repurchase of Equity Interests of the Company shall not be deemed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54" w:name="page255"/>
    <w:bookmarkEnd w:id="254"/>
    <w:p>
      <w:pPr>
        <w:jc w:val="both"/>
        <w:ind w:left="920"/>
        <w:spacing w:after="0" w:line="302" w:lineRule="auto"/>
        <w:rPr>
          <w:sz w:val="20"/>
          <w:szCs w:val="20"/>
          <w:color w:val="auto"/>
        </w:rPr>
      </w:pPr>
      <w:r>
        <w:rPr>
          <w:rFonts w:ascii="Arial" w:cs="Arial" w:eastAsia="Arial" w:hAnsi="Arial"/>
          <w:sz w:val="18"/>
          <w:szCs w:val="18"/>
          <w:color w:val="auto"/>
        </w:rPr>
        <w:t xml:space="preserve">to constitute a Restricted Payment for purposes of this clause (f);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amount in any calendar year may be increased by an amount not to exceed the remainder of (x) the sum of (1) the amount of Net Cash Proceeds of issuances of Equity Interests (other than proceeds from the issuance of Disqualified Equity Interests) to the extent that such Net Cash Proceeds shall have been actually received by the Borrower through a capital contribution of such Net Cash Proceeds by the Company (and to the extent not used to make an Investment pursuant to </w:t>
      </w:r>
      <w:r>
        <w:rPr>
          <w:rFonts w:ascii="Arial" w:cs="Arial" w:eastAsia="Arial" w:hAnsi="Arial"/>
          <w:sz w:val="18"/>
          <w:szCs w:val="18"/>
          <w:u w:val="single" w:color="auto"/>
          <w:color w:val="auto"/>
        </w:rPr>
        <w:t>Section 7.02(m)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(t)</w:t>
      </w:r>
      <w:r>
        <w:rPr>
          <w:rFonts w:ascii="Arial" w:cs="Arial" w:eastAsia="Arial" w:hAnsi="Arial"/>
          <w:sz w:val="18"/>
          <w:szCs w:val="18"/>
          <w:color w:val="auto"/>
        </w:rPr>
        <w:t xml:space="preserve">, a payment pursuant to </w:t>
      </w:r>
      <w:r>
        <w:rPr>
          <w:rFonts w:ascii="Arial" w:cs="Arial" w:eastAsia="Arial" w:hAnsi="Arial"/>
          <w:sz w:val="18"/>
          <w:szCs w:val="18"/>
          <w:u w:val="single" w:color="auto"/>
          <w:color w:val="auto"/>
        </w:rPr>
        <w:t>Section 7.03(i)</w:t>
      </w:r>
      <w:r>
        <w:rPr>
          <w:rFonts w:ascii="Arial" w:cs="Arial" w:eastAsia="Arial" w:hAnsi="Arial"/>
          <w:sz w:val="18"/>
          <w:szCs w:val="18"/>
          <w:color w:val="auto"/>
        </w:rPr>
        <w:t xml:space="preserve">, a prepayment of Junior Financings pursuant to </w:t>
      </w:r>
      <w:r>
        <w:rPr>
          <w:rFonts w:ascii="Arial" w:cs="Arial" w:eastAsia="Arial" w:hAnsi="Arial"/>
          <w:sz w:val="18"/>
          <w:szCs w:val="18"/>
          <w:u w:val="single" w:color="auto"/>
          <w:color w:val="auto"/>
        </w:rPr>
        <w:t>Section 7.12(a)(v)</w:t>
      </w:r>
      <w:r>
        <w:rPr>
          <w:rFonts w:ascii="Arial" w:cs="Arial" w:eastAsia="Arial" w:hAnsi="Arial"/>
          <w:sz w:val="18"/>
          <w:szCs w:val="18"/>
          <w:color w:val="auto"/>
        </w:rPr>
        <w:t xml:space="preserve"> or a Restricted Payment pursuant to </w:t>
      </w:r>
      <w:r>
        <w:rPr>
          <w:rFonts w:ascii="Arial" w:cs="Arial" w:eastAsia="Arial" w:hAnsi="Arial"/>
          <w:sz w:val="18"/>
          <w:szCs w:val="18"/>
          <w:u w:val="single" w:color="auto"/>
          <w:color w:val="auto"/>
        </w:rPr>
        <w:t>Section 7.06(f)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in each case to employees, directors, officers, members of management or consultants of the Company or of its Subsidiaries that occurs after the Closing Date plus (2) the net cash proceeds of key man life insurance policies received by the Company or any of its Subsidiaries after the Closing Date less (y) the aggregate amount of all Restricted Payments made after the Closing Date with the net cash proceeds described in preceding clause (x) (2) less (z) the aggregate amount of all cash payments made in respect of any promissory notes pursuant to </w:t>
      </w:r>
      <w:r>
        <w:rPr>
          <w:rFonts w:ascii="Arial" w:cs="Arial" w:eastAsia="Arial" w:hAnsi="Arial"/>
          <w:sz w:val="18"/>
          <w:szCs w:val="18"/>
          <w:u w:val="single" w:color="auto"/>
          <w:color w:val="auto"/>
        </w:rPr>
        <w:t>Section 7.03(i)</w:t>
      </w:r>
      <w:r>
        <w:rPr>
          <w:rFonts w:ascii="Arial" w:cs="Arial" w:eastAsia="Arial" w:hAnsi="Arial"/>
          <w:sz w:val="18"/>
          <w:szCs w:val="18"/>
          <w:color w:val="auto"/>
        </w:rPr>
        <w:t xml:space="preserve"> after the Closing Date in reliance on the last proviso appearing in </w:t>
      </w:r>
      <w:r>
        <w:rPr>
          <w:rFonts w:ascii="Arial" w:cs="Arial" w:eastAsia="Arial" w:hAnsi="Arial"/>
          <w:sz w:val="18"/>
          <w:szCs w:val="18"/>
          <w:u w:val="single" w:color="auto"/>
          <w:color w:val="auto"/>
        </w:rPr>
        <w:t>Section 7.03(i)</w:t>
      </w:r>
      <w:r>
        <w:rPr>
          <w:rFonts w:ascii="Arial" w:cs="Arial" w:eastAsia="Arial" w:hAnsi="Arial"/>
          <w:sz w:val="18"/>
          <w:szCs w:val="18"/>
          <w:color w:val="auto"/>
        </w:rPr>
        <w:t>;</w:t>
      </w:r>
    </w:p>
    <w:p>
      <w:pPr>
        <w:spacing w:after="0" w:line="174" w:lineRule="exact"/>
        <w:rPr>
          <w:sz w:val="20"/>
          <w:szCs w:val="20"/>
          <w:color w:val="auto"/>
        </w:rPr>
      </w:pPr>
    </w:p>
    <w:p>
      <w:pPr>
        <w:jc w:val="both"/>
        <w:ind w:left="920" w:firstLine="655"/>
        <w:spacing w:after="0" w:line="274" w:lineRule="auto"/>
        <w:tabs>
          <w:tab w:leader="none" w:pos="2447" w:val="left"/>
        </w:tabs>
        <w:numPr>
          <w:ilvl w:val="0"/>
          <w:numId w:val="253"/>
        </w:numPr>
        <w:rPr>
          <w:rFonts w:ascii="Arial" w:cs="Arial" w:eastAsia="Arial" w:hAnsi="Arial"/>
          <w:sz w:val="20"/>
          <w:szCs w:val="20"/>
          <w:color w:val="auto"/>
        </w:rPr>
      </w:pPr>
      <w:r>
        <w:rPr>
          <w:rFonts w:ascii="Arial" w:cs="Arial" w:eastAsia="Arial" w:hAnsi="Arial"/>
          <w:sz w:val="20"/>
          <w:szCs w:val="20"/>
          <w:color w:val="auto"/>
        </w:rPr>
        <w:t xml:space="preserve">cash payments in lieu of the issuance of fractional shares or interests in connection with the exercise of warrants, options or other rights or securities convertible into or exchangeable for Equity Interests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that any such cash payment shall not be for the purpose of evading the limitation of this covenant (as determined in good faith by the board of directors of the Company);</w:t>
      </w:r>
    </w:p>
    <w:p>
      <w:pPr>
        <w:spacing w:after="0" w:line="192" w:lineRule="exact"/>
        <w:rPr>
          <w:rFonts w:ascii="Arial" w:cs="Arial" w:eastAsia="Arial" w:hAnsi="Arial"/>
          <w:sz w:val="20"/>
          <w:szCs w:val="20"/>
          <w:color w:val="auto"/>
        </w:rPr>
      </w:pPr>
    </w:p>
    <w:p>
      <w:pPr>
        <w:ind w:left="920" w:firstLine="655"/>
        <w:spacing w:after="0" w:line="289" w:lineRule="auto"/>
        <w:tabs>
          <w:tab w:leader="none" w:pos="2447" w:val="left"/>
        </w:tabs>
        <w:numPr>
          <w:ilvl w:val="0"/>
          <w:numId w:val="253"/>
        </w:numPr>
        <w:rPr>
          <w:rFonts w:ascii="Arial" w:cs="Arial" w:eastAsia="Arial" w:hAnsi="Arial"/>
          <w:sz w:val="20"/>
          <w:szCs w:val="20"/>
          <w:color w:val="auto"/>
        </w:rPr>
      </w:pPr>
      <w:r>
        <w:rPr>
          <w:rFonts w:ascii="Arial" w:cs="Arial" w:eastAsia="Arial" w:hAnsi="Arial"/>
          <w:sz w:val="20"/>
          <w:szCs w:val="20"/>
          <w:color w:val="auto"/>
        </w:rPr>
        <w:t>so long as no Default shall have occurred and be continuing or would result therefrom, the Borrowers may make additional Restricted Payments with the proceeds of Excluded Contributions;</w:t>
      </w:r>
    </w:p>
    <w:p>
      <w:pPr>
        <w:spacing w:after="0" w:line="188" w:lineRule="exact"/>
        <w:rPr>
          <w:rFonts w:ascii="Arial" w:cs="Arial" w:eastAsia="Arial" w:hAnsi="Arial"/>
          <w:sz w:val="20"/>
          <w:szCs w:val="20"/>
          <w:color w:val="auto"/>
        </w:rPr>
      </w:pPr>
    </w:p>
    <w:p>
      <w:pPr>
        <w:ind w:left="920" w:firstLine="655"/>
        <w:spacing w:after="0" w:line="347" w:lineRule="auto"/>
        <w:tabs>
          <w:tab w:leader="none" w:pos="24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repurchases, redemptions and other acquisitions of Equity Interests in Employment Participation Subsidiaries held by current or former restaurant employees of, and development partners with, the Company or any of its Subsidiaries;</w:t>
      </w:r>
    </w:p>
    <w:p>
      <w:pPr>
        <w:spacing w:after="0" w:line="144" w:lineRule="exact"/>
        <w:rPr>
          <w:rFonts w:ascii="Arial" w:cs="Arial" w:eastAsia="Arial" w:hAnsi="Arial"/>
          <w:sz w:val="18"/>
          <w:szCs w:val="18"/>
          <w:color w:val="auto"/>
        </w:rPr>
      </w:pPr>
    </w:p>
    <w:p>
      <w:pPr>
        <w:ind w:left="920" w:right="20" w:firstLine="655"/>
        <w:spacing w:after="0" w:line="347" w:lineRule="auto"/>
        <w:tabs>
          <w:tab w:leader="none" w:pos="24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so long as, (i) on a Pro Forma Basis, the Total Net Leverage Ratio is no greater than 3.50:1.00 and (ii) no Default shall have occurred and be continuing or would result therefrom, the Borrowers may make additional Restricted Payments; and</w:t>
      </w:r>
    </w:p>
    <w:p>
      <w:pPr>
        <w:spacing w:after="0" w:line="130" w:lineRule="exact"/>
        <w:rPr>
          <w:rFonts w:ascii="Arial" w:cs="Arial" w:eastAsia="Arial" w:hAnsi="Arial"/>
          <w:sz w:val="18"/>
          <w:szCs w:val="18"/>
          <w:color w:val="auto"/>
        </w:rPr>
      </w:pPr>
    </w:p>
    <w:p>
      <w:pPr>
        <w:jc w:val="both"/>
        <w:ind w:left="920" w:firstLine="655"/>
        <w:spacing w:after="0" w:line="293" w:lineRule="auto"/>
        <w:tabs>
          <w:tab w:leader="none" w:pos="2447" w:val="left"/>
        </w:tabs>
        <w:numPr>
          <w:ilvl w:val="0"/>
          <w:numId w:val="253"/>
        </w:numPr>
        <w:rPr>
          <w:rFonts w:ascii="Arial" w:cs="Arial" w:eastAsia="Arial" w:hAnsi="Arial"/>
          <w:sz w:val="19"/>
          <w:szCs w:val="19"/>
          <w:color w:val="auto"/>
        </w:rPr>
      </w:pPr>
      <w:r>
        <w:rPr>
          <w:rFonts w:ascii="Arial" w:cs="Arial" w:eastAsia="Arial" w:hAnsi="Arial"/>
          <w:sz w:val="19"/>
          <w:szCs w:val="19"/>
          <w:color w:val="auto"/>
        </w:rPr>
        <w:t>so long as, on the date of declaration thereof, (i) no Default shall have occurred and be continuing or would result therefrom and (ii) immediately after giving effect to such Restricted Payment, the Company and its Subsidiaries shall be in Pro Forma Compliance with the Financial Covenant, any Borrower may declare and pay regular quarterly dividends (excluding any special or one-time dividends) that have been approved by such Borrower’s board of directors.</w:t>
      </w:r>
    </w:p>
    <w:p>
      <w:pPr>
        <w:spacing w:after="0" w:line="17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Change in Nature of Business</w:t>
      </w:r>
      <w:r>
        <w:rPr>
          <w:rFonts w:ascii="Arial" w:cs="Arial" w:eastAsia="Arial" w:hAnsi="Arial"/>
          <w:sz w:val="20"/>
          <w:szCs w:val="20"/>
          <w:color w:val="auto"/>
        </w:rPr>
        <w:t>. Engage in any material line of business substantially different from those lines of business conducted by the Borrowers and their respective Subsidiaries on the Closing Date or any business reasonably related or ancillary thereto.</w:t>
      </w:r>
    </w:p>
    <w:p>
      <w:pPr>
        <w:spacing w:after="0" w:line="200" w:lineRule="exact"/>
        <w:rPr>
          <w:sz w:val="20"/>
          <w:szCs w:val="20"/>
          <w:color w:val="auto"/>
        </w:rPr>
      </w:pPr>
    </w:p>
    <w:p>
      <w:pPr>
        <w:jc w:val="both"/>
        <w:ind w:left="280" w:firstLine="648"/>
        <w:spacing w:after="0" w:line="306"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Enter into any transaction of any kind with any Affiliate of any Borrower, whether or not in the ordinary course of business, other than (a) transactions between or among Loan Parties and/or Subsidiaries or any entity that becomes a Subsidiary as a result of such transaction in each case to the extent that such transactions are not otherwise prohibited by this Agreement,</w:t>
      </w:r>
    </w:p>
    <w:p>
      <w:pPr>
        <w:spacing w:after="0" w:line="1" w:lineRule="exact"/>
        <w:rPr>
          <w:sz w:val="20"/>
          <w:szCs w:val="20"/>
          <w:color w:val="auto"/>
        </w:rPr>
      </w:pPr>
    </w:p>
    <w:p>
      <w:pPr>
        <w:jc w:val="both"/>
        <w:ind w:left="280" w:hanging="2"/>
        <w:spacing w:after="0" w:line="241" w:lineRule="auto"/>
        <w:tabs>
          <w:tab w:leader="none" w:pos="565"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on terms substantially as favorable to such Borrower or such Subsidiary as would be obtainable by such Borrower or such Subsidiary at the time in a comparable arm’s-length transaction with a Person other than an Affiliate, (c) consummation of the Transaction, including the payment of fees and expenses related to the Transaction, (d) Restricted Payments permitted under </w:t>
      </w:r>
      <w:r>
        <w:rPr>
          <w:rFonts w:ascii="Arial" w:cs="Arial" w:eastAsia="Arial" w:hAnsi="Arial"/>
          <w:sz w:val="20"/>
          <w:szCs w:val="20"/>
          <w:u w:val="single" w:color="auto"/>
          <w:color w:val="auto"/>
        </w:rPr>
        <w:t>Section 7.06</w:t>
      </w:r>
      <w:r>
        <w:rPr>
          <w:rFonts w:ascii="Arial" w:cs="Arial" w:eastAsia="Arial" w:hAnsi="Arial"/>
          <w:sz w:val="20"/>
          <w:szCs w:val="20"/>
          <w:color w:val="auto"/>
        </w:rPr>
        <w:t>, (e) loans and other transactions by the Borrowers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55" w:name="page256"/>
    <w:bookmarkEnd w:id="255"/>
    <w:p>
      <w:pPr>
        <w:jc w:val="both"/>
        <w:ind w:left="280"/>
        <w:spacing w:after="0" w:line="254" w:lineRule="auto"/>
        <w:rPr>
          <w:sz w:val="20"/>
          <w:szCs w:val="20"/>
          <w:color w:val="auto"/>
        </w:rPr>
      </w:pPr>
      <w:r>
        <w:rPr>
          <w:rFonts w:ascii="Arial" w:cs="Arial" w:eastAsia="Arial" w:hAnsi="Arial"/>
          <w:sz w:val="19"/>
          <w:szCs w:val="19"/>
          <w:color w:val="auto"/>
        </w:rPr>
        <w:t xml:space="preserve">their respective Subsidiaries to the extent permitted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(f) employment, consulting and severance arrangements between the Borrowers and their respective Subsidiaries and their respective officers and employees in the ordinary course of business and transactions pursuant to stock option plans and employee or director benefit plans and arrangements, (g) payments by the Borrowers and their respective Subsidiaries pursuant to the tax sharing agreements among the Borrowers and their respective Subsidiaries on customary terms to the extent attributable to the ownership or operations of the Borrowers and their respective Subsidiaries, (h) the payment of customary fees and reasonable out of pocket costs and expenses to, and indemnities provided on behalf of, directors, officers, consultants and employees of the Company and its Subsidiaries in the ordinary course of business to the extent attributable to the ownership or operation of the Company and its Subsidiaries, (i) transactions pursuant to permitted agreements in existence on the Closing Date and set forth on </w:t>
      </w:r>
      <w:r>
        <w:rPr>
          <w:rFonts w:ascii="Arial" w:cs="Arial" w:eastAsia="Arial" w:hAnsi="Arial"/>
          <w:sz w:val="19"/>
          <w:szCs w:val="19"/>
          <w:u w:val="single" w:color="auto"/>
          <w:color w:val="auto"/>
        </w:rPr>
        <w:t>Schedule 7.08</w:t>
      </w:r>
      <w:r>
        <w:rPr>
          <w:rFonts w:ascii="Arial" w:cs="Arial" w:eastAsia="Arial" w:hAnsi="Arial"/>
          <w:sz w:val="19"/>
          <w:szCs w:val="19"/>
          <w:color w:val="auto"/>
        </w:rPr>
        <w:t xml:space="preserve"> or any amendment thereto or replacement thereof to the extent such an amendment or replacement is not adverse to the Lenders in any material respect, (j) transactions with suppliers, joint venture partners or purchasers or sellers of goods or services, in each case in the ordinary course of business and otherwise in compliance with the terms of this Agreement which are fair to the Company and its Subsidiaries, in the reasonable determination of the board of directors of the Company or the senior management thereof, or are on terms at least as favorable as would reasonably have been obtained at such time from an unaffiliated party and (k) transactions in which the Company or any of its Subsidiaries, as the case may be, delivers to the Administrative Agent a letter from an Independent Financial Advisor stating that such transaction is fair to the Company or such Subsidiary from a financial point of view or meets the requirements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7.08(b)</w:t>
      </w:r>
      <w:r>
        <w:rPr>
          <w:rFonts w:ascii="Arial" w:cs="Arial" w:eastAsia="Arial" w:hAnsi="Arial"/>
          <w:sz w:val="19"/>
          <w:szCs w:val="19"/>
          <w:color w:val="auto"/>
        </w:rPr>
        <w:t>.</w:t>
      </w:r>
    </w:p>
    <w:p>
      <w:pPr>
        <w:spacing w:after="0" w:line="190"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Enter into or permit to exist any Contractual Obligation (other than this Agreement or any other Loan Document) that limits the ability of (a) any Subsidiary that is not a Guarantor to make Restricted Payments, intercompany loans or other advances to any Borrower or any Guarantor or (b) any Borrower or any Loan Party to create, incur, assume or suffer to exist Liens on property of such Person for the benefit of the Secured Parties with respect to the Facilities and the Obligations or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clauses (a) and (b) shall not apply to Contractual Obligations which (i) (x) exist on the Closing Date and (to the extent not otherwise permitted by this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are listed on </w:t>
      </w:r>
      <w:r>
        <w:rPr>
          <w:rFonts w:ascii="Arial" w:cs="Arial" w:eastAsia="Arial" w:hAnsi="Arial"/>
          <w:sz w:val="18"/>
          <w:szCs w:val="18"/>
          <w:u w:val="single" w:color="auto"/>
          <w:color w:val="auto"/>
        </w:rPr>
        <w:t>Schedule 7.09</w:t>
      </w:r>
      <w:r>
        <w:rPr>
          <w:rFonts w:ascii="Arial" w:cs="Arial" w:eastAsia="Arial" w:hAnsi="Arial"/>
          <w:sz w:val="18"/>
          <w:szCs w:val="18"/>
          <w:color w:val="auto"/>
        </w:rPr>
        <w:t xml:space="preserve"> and (y) to the extent Contractual Obligations permitted by preceding clause (x)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 in any material respect, (ii) are binding on a Subsidiary at the time such Subsidiary first becomes a Subsidiary, so long as such Contractual Obligations were not entered into solely in contemplation of such Person becoming a Subsidiary, (iii) represent Indebtedness of a Subsidiary which is not a Loan Party which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(iv) are customary restrictions that arise in connection with (x) any Lien permitted by </w:t>
      </w:r>
      <w:r>
        <w:rPr>
          <w:rFonts w:ascii="Arial" w:cs="Arial" w:eastAsia="Arial" w:hAnsi="Arial"/>
          <w:sz w:val="18"/>
          <w:szCs w:val="18"/>
          <w:u w:val="single" w:color="auto"/>
          <w:color w:val="auto"/>
        </w:rPr>
        <w:t>Sections 7.01(j)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w:t>
      </w:r>
    </w:p>
    <w:p>
      <w:pPr>
        <w:spacing w:after="0" w:line="8"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(t)(i)</w:t>
      </w:r>
      <w:r>
        <w:rPr>
          <w:rFonts w:ascii="Arial" w:cs="Arial" w:eastAsia="Arial" w:hAnsi="Arial"/>
          <w:sz w:val="18"/>
          <w:szCs w:val="18"/>
          <w:color w:val="auto"/>
        </w:rPr>
        <w:t xml:space="preserve">, </w:t>
      </w:r>
      <w:r>
        <w:rPr>
          <w:rFonts w:ascii="Arial" w:cs="Arial" w:eastAsia="Arial" w:hAnsi="Arial"/>
          <w:sz w:val="18"/>
          <w:szCs w:val="18"/>
          <w:u w:val="single" w:color="auto"/>
          <w:color w:val="auto"/>
        </w:rPr>
        <w:t>(t)(ii)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relate to the property subject to such Lien or (y) any Disposition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applicable pending such Disposition solely to the assets subject to such Disposition, (v) are customary provisions in joint venture agreements and other similar agreements applicable to joint ventures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applicable solely to such joint venture, (vi) are negative pledges and restrictions on Liens in favor of any holder of Indebtedness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but solely to the extent any negative pledge relates to the property financed by or the subject of such Indebtedness (and excluding in any event any Indebtedness constituting any Junior Financing), (vii) are customary restrictions on leases, subleases, licenses or asset sale agreements otherwise permitted hereby so long as such restrictions relate to property interests, rights or the assets subject thereto, (viii) comprise restrictions imposed by any agreement relating to secured Indebtedness permitted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(g)(A)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to the extent that such restrictions apply only to the property or assets securing such Indebtedness or, in the case of Indebtedness incurred pursuant to </w:t>
      </w:r>
      <w:r>
        <w:rPr>
          <w:rFonts w:ascii="Arial" w:cs="Arial" w:eastAsia="Arial" w:hAnsi="Arial"/>
          <w:sz w:val="18"/>
          <w:szCs w:val="18"/>
          <w:u w:val="single" w:color="auto"/>
          <w:color w:val="auto"/>
        </w:rPr>
        <w:t>Section 7.03(g)(A)</w:t>
      </w:r>
      <w:r>
        <w:rPr>
          <w:rFonts w:ascii="Arial" w:cs="Arial" w:eastAsia="Arial" w:hAnsi="Arial"/>
          <w:sz w:val="18"/>
          <w:szCs w:val="18"/>
          <w:color w:val="auto"/>
        </w:rPr>
        <w:t xml:space="preserve"> only, to the Subsidiaries incurring or guaranteeing such Indebtedness, (ix) are customary provisions restricting subletting or assignment of any lease governing a leasehold interest of any Borrower or any Subsidiary, (x) are customary provisions restricting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56" w:name="page257"/>
    <w:bookmarkEnd w:id="256"/>
    <w:p>
      <w:pPr>
        <w:jc w:val="both"/>
        <w:ind w:left="280"/>
        <w:spacing w:after="0" w:line="274" w:lineRule="auto"/>
        <w:rPr>
          <w:sz w:val="20"/>
          <w:szCs w:val="20"/>
          <w:color w:val="auto"/>
        </w:rPr>
      </w:pPr>
      <w:r>
        <w:rPr>
          <w:rFonts w:ascii="Arial" w:cs="Arial" w:eastAsia="Arial" w:hAnsi="Arial"/>
          <w:sz w:val="18"/>
          <w:szCs w:val="18"/>
          <w:color w:val="auto"/>
        </w:rPr>
        <w:t xml:space="preserve">assignment of any agreement entered into in the ordinary course of business, (xi) are restrictions on cash or other deposits imposed by customers under contracts entered into in the ordinary course of business, (xii) arise in connection with cash or other deposits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limited to such cash or deposits; and (xiii) comprise restrictions imposed by any agreement governing Indebtedness entered into after the Closing Date and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that are, taken as a whole, in the good faith judgment of the Company, no more restrictive with respect to the Company or any Subsidiary than customary market terms for Indebtedness of such type (and, in any event, are no more restrictive than the restrictions contained in this Agreement), so long as the Company shall have determined in good faith that such restrictions will not affect its obligations or ability to make any payments required hereunder.</w:t>
      </w:r>
    </w:p>
    <w:p>
      <w:pPr>
        <w:spacing w:after="0" w:line="183"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7.10 </w:t>
      </w:r>
      <w:r>
        <w:rPr>
          <w:rFonts w:ascii="Arial" w:cs="Arial" w:eastAsia="Arial" w:hAnsi="Arial"/>
          <w:sz w:val="20"/>
          <w:szCs w:val="20"/>
          <w:u w:val="single" w:color="auto"/>
          <w:color w:val="auto"/>
        </w:rPr>
        <w:t>Financial Covenant</w:t>
      </w:r>
      <w:r>
        <w:rPr>
          <w:rFonts w:ascii="Arial" w:cs="Arial" w:eastAsia="Arial" w:hAnsi="Arial"/>
          <w:sz w:val="20"/>
          <w:szCs w:val="20"/>
          <w:color w:val="auto"/>
        </w:rPr>
        <w:t>. Permit the Total Net Leverage Ratio as of the last day of any Test Period to be greater than 4.50:1.00 (the “</w:t>
      </w:r>
      <w:r>
        <w:rPr>
          <w:rFonts w:ascii="Arial" w:cs="Arial" w:eastAsia="Arial" w:hAnsi="Arial"/>
          <w:sz w:val="20"/>
          <w:szCs w:val="20"/>
          <w:u w:val="single" w:color="auto"/>
          <w:color w:val="auto"/>
        </w:rPr>
        <w:t>Financial Covenant</w:t>
      </w:r>
      <w:r>
        <w:rPr>
          <w:rFonts w:ascii="Arial" w:cs="Arial" w:eastAsia="Arial" w:hAnsi="Arial"/>
          <w:sz w:val="20"/>
          <w:szCs w:val="20"/>
          <w:color w:val="auto"/>
        </w:rPr>
        <w:t>”).</w:t>
      </w:r>
    </w:p>
    <w:p>
      <w:pPr>
        <w:spacing w:after="0" w:line="177"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7.11 </w:t>
      </w:r>
      <w:r>
        <w:rPr>
          <w:rFonts w:ascii="Arial" w:cs="Arial" w:eastAsia="Arial" w:hAnsi="Arial"/>
          <w:sz w:val="20"/>
          <w:szCs w:val="20"/>
          <w:u w:val="single" w:color="auto"/>
          <w:color w:val="auto"/>
        </w:rPr>
        <w:t>Accounting Changes</w:t>
      </w:r>
      <w:r>
        <w:rPr>
          <w:rFonts w:ascii="Arial" w:cs="Arial" w:eastAsia="Arial" w:hAnsi="Arial"/>
          <w:sz w:val="20"/>
          <w:szCs w:val="20"/>
          <w:color w:val="auto"/>
        </w:rPr>
        <w:t xml:space="preserve">. Make any change in fiscal quarter or fiscal year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may, upon written notice to the Administrative Agent, change its fiscal quarter or fiscal year to any other fiscal quarter or fiscal year reasonably acceptable to the Administrative Agent, in which case, the Company and the Administrative Agent will, and are hereby authorized by the Lenders to, make any adjustments to this Agreement that are necessary to reflect such change in fiscal quarter or fiscal year of the Company.</w:t>
      </w:r>
    </w:p>
    <w:p>
      <w:pPr>
        <w:spacing w:after="0" w:line="208"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Prepayments, Etc. of Indebtedness</w:t>
      </w:r>
      <w:r>
        <w:rPr>
          <w:rFonts w:ascii="Arial" w:cs="Arial" w:eastAsia="Arial" w:hAnsi="Arial"/>
          <w:sz w:val="18"/>
          <w:szCs w:val="18"/>
          <w:color w:val="auto"/>
        </w:rPr>
        <w:t>. (a) Prepay, redeem, purchase, defease or otherwise satisfy prior to the scheduled maturity thereof in any manner (it being understood that payments of regularly scheduled principal (to the extent permitted hereunder) and interest shall be permitted) any Indebtedness for borrowed money of a Loan Party that is expressly by its terms subordinated to the Obligations in right of payment, (all of the foregoing items of Indebtedness, collectively, “</w:t>
      </w:r>
      <w:r>
        <w:rPr>
          <w:rFonts w:ascii="Arial" w:cs="Arial" w:eastAsia="Arial" w:hAnsi="Arial"/>
          <w:sz w:val="18"/>
          <w:szCs w:val="18"/>
          <w:u w:val="single" w:color="auto"/>
          <w:color w:val="auto"/>
        </w:rPr>
        <w:t>Junior Financing</w:t>
      </w:r>
      <w:r>
        <w:rPr>
          <w:rFonts w:ascii="Arial" w:cs="Arial" w:eastAsia="Arial" w:hAnsi="Arial"/>
          <w:sz w:val="18"/>
          <w:szCs w:val="18"/>
          <w:color w:val="auto"/>
        </w:rPr>
        <w:t xml:space="preserve">”) except (i) the refinancing thereof with any Indebtedness (to the extent such Indebtedness constitutes a Permitted Refinancing), to the extent not required to prepay any Loans or Facility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(ii) the conversion or exchange of any Junior Financing to Equity Interests (other than Disqualified Equity Interests) of the Company, (iii) the prepayment of Indebtedness of any Borrower or any Subsidiary to any Borrower or any Subsidiary to the extent permitted by the subordination provisions contained in the Intercompany Note, (iv) prepayments, redemptions, purchases, defeasances and other payments in respect of Junior Financings prior to their scheduled maturity in an aggregate amount not to exceed the greater of (i) $100,000,000 and (ii) 3.0% of Total Assets, (v) prepayments, redemptions, purchases, defeasances and other payments in respect of the Junior Financings prior to their scheduled maturity in an aggregate amount not to exceed the Cumulative Growth Amount immediately prior to the making of such payment and (vi) additional prepayments, redemptions, purchases, defeasances and other payments in respect of the Junior Financings so long as (A) on a Pro Forma Basis, the Total Net Leverage Ratio is no greater than 3.50:1.00 and (B) no Default shall have occurred and be continuing or would result therefrom.</w:t>
      </w:r>
    </w:p>
    <w:p>
      <w:pPr>
        <w:spacing w:after="0" w:line="170" w:lineRule="exact"/>
        <w:rPr>
          <w:sz w:val="20"/>
          <w:szCs w:val="20"/>
          <w:color w:val="auto"/>
        </w:rPr>
      </w:pPr>
    </w:p>
    <w:p>
      <w:pPr>
        <w:jc w:val="both"/>
        <w:ind w:left="280" w:firstLine="646"/>
        <w:spacing w:after="0" w:line="246" w:lineRule="auto"/>
        <w:tabs>
          <w:tab w:leader="none" w:pos="1395" w:val="left"/>
        </w:tabs>
        <w:numPr>
          <w:ilvl w:val="0"/>
          <w:numId w:val="255"/>
        </w:numPr>
        <w:rPr>
          <w:rFonts w:ascii="Arial" w:cs="Arial" w:eastAsia="Arial" w:hAnsi="Arial"/>
          <w:sz w:val="20"/>
          <w:szCs w:val="20"/>
          <w:color w:val="auto"/>
        </w:rPr>
      </w:pPr>
      <w:r>
        <w:rPr>
          <w:rFonts w:ascii="Arial" w:cs="Arial" w:eastAsia="Arial" w:hAnsi="Arial"/>
          <w:sz w:val="20"/>
          <w:szCs w:val="20"/>
          <w:color w:val="auto"/>
        </w:rPr>
        <w:t>Amend, modify or change in any manner materially adverse to the interests of the Lenders any term or condition (including any subordination provisions) of any Junior Financing Documentation in respect of any Junior Financing having an aggregate outstanding principal amount in excess of the Threshold Amount without the consent of the Administrative Agent (which consent shall not be unreasonably withheld or delayed).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57" w:name="page258"/>
    <w:bookmarkEnd w:id="257"/>
    <w:p>
      <w:pPr>
        <w:ind w:left="920"/>
        <w:spacing w:after="0"/>
        <w:tabs>
          <w:tab w:leader="none" w:pos="2100" w:val="left"/>
        </w:tabs>
        <w:rPr>
          <w:sz w:val="20"/>
          <w:szCs w:val="20"/>
          <w:color w:val="auto"/>
        </w:rPr>
      </w:pPr>
      <w:r>
        <w:rPr>
          <w:rFonts w:ascii="Arial" w:cs="Arial" w:eastAsia="Arial" w:hAnsi="Arial"/>
          <w:sz w:val="20"/>
          <w:szCs w:val="20"/>
          <w:color w:val="auto"/>
        </w:rPr>
        <w:t>Section 7.13</w:t>
      </w:r>
      <w:r>
        <w:rPr>
          <w:sz w:val="20"/>
          <w:szCs w:val="20"/>
          <w:color w:val="auto"/>
        </w:rPr>
        <w:tab/>
      </w:r>
      <w:r>
        <w:rPr>
          <w:rFonts w:ascii="Arial" w:cs="Arial" w:eastAsia="Arial" w:hAnsi="Arial"/>
          <w:sz w:val="18"/>
          <w:szCs w:val="18"/>
          <w:u w:val="single" w:color="auto"/>
          <w:color w:val="auto"/>
        </w:rPr>
        <w:t>Sanctions; Anti-Corruption Laws</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314" w:lineRule="auto"/>
        <w:tabs>
          <w:tab w:leader="none" w:pos="179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None of the Company or any of the Company’s Subsidiaries will directly or, to the knowledge of the Company or any of the Company’s Subsidiaries, indirectly, use the proceeds of any Credit Extension in violation of applicable Sanctions or otherwise knowingly make available such proceeds to any Person for the purpose of financing the activities of any Sanctioned Person, except to the extent licensed, exempted or otherwise approved by a competent governmental body responsible for enforcing such Sanctions.</w:t>
      </w:r>
    </w:p>
    <w:p>
      <w:pPr>
        <w:spacing w:after="0" w:line="172" w:lineRule="exact"/>
        <w:rPr>
          <w:rFonts w:ascii="Arial" w:cs="Arial" w:eastAsia="Arial" w:hAnsi="Arial"/>
          <w:sz w:val="18"/>
          <w:szCs w:val="18"/>
          <w:color w:val="auto"/>
        </w:rPr>
      </w:pPr>
    </w:p>
    <w:p>
      <w:pPr>
        <w:jc w:val="both"/>
        <w:ind w:left="280" w:firstLine="646"/>
        <w:spacing w:after="0" w:line="278" w:lineRule="auto"/>
        <w:tabs>
          <w:tab w:leader="none" w:pos="1807" w:val="left"/>
        </w:tabs>
        <w:numPr>
          <w:ilvl w:val="0"/>
          <w:numId w:val="256"/>
        </w:numPr>
        <w:rPr>
          <w:rFonts w:ascii="Arial" w:cs="Arial" w:eastAsia="Arial" w:hAnsi="Arial"/>
          <w:sz w:val="20"/>
          <w:szCs w:val="20"/>
          <w:color w:val="auto"/>
        </w:rPr>
      </w:pPr>
      <w:r>
        <w:rPr>
          <w:rFonts w:ascii="Arial" w:cs="Arial" w:eastAsia="Arial" w:hAnsi="Arial"/>
          <w:sz w:val="20"/>
          <w:szCs w:val="20"/>
          <w:color w:val="auto"/>
        </w:rPr>
        <w:t>None of the Company or any of the Company’s Subsidiaries will directly or, to the knowledge of the Company or any of the Company’s Subsidiaries, indirectly, use the proceeds of any Credit Extension for any purpose which would breach any Anti-Corruption Laws in any material respect.</w:t>
      </w:r>
    </w:p>
    <w:p>
      <w:pPr>
        <w:spacing w:after="0" w:line="173"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20"/>
          <w:szCs w:val="20"/>
          <w:u w:val="single" w:color="auto"/>
          <w:color w:val="auto"/>
        </w:rPr>
        <w:t>Events of Default and Remedies</w:t>
      </w:r>
    </w:p>
    <w:p>
      <w:pPr>
        <w:spacing w:after="0" w:line="216"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229" w:lineRule="exact"/>
        <w:rPr>
          <w:sz w:val="20"/>
          <w:szCs w:val="20"/>
          <w:color w:val="auto"/>
        </w:rPr>
      </w:pPr>
    </w:p>
    <w:p>
      <w:pPr>
        <w:jc w:val="both"/>
        <w:ind w:left="920" w:firstLine="655"/>
        <w:spacing w:after="0" w:line="314" w:lineRule="auto"/>
        <w:tabs>
          <w:tab w:leader="none" w:pos="2436"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Any Borrower or any other Loan Party fails to pay (i) when and as required to be paid herein, any amount of principal of any Loan or any Unreimbursed Amount (to the extent that such Unreimbursed Amount has not been refinanced by a Revolving Credit Borrowing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or (ii) within five (5) Business Days after the same becomes due, any interest on any Loan or any other amount payable hereunder or with respect to any other Loan Document; or</w:t>
      </w:r>
    </w:p>
    <w:p>
      <w:pPr>
        <w:spacing w:after="0" w:line="172" w:lineRule="exact"/>
        <w:rPr>
          <w:rFonts w:ascii="Arial" w:cs="Arial" w:eastAsia="Arial" w:hAnsi="Arial"/>
          <w:sz w:val="18"/>
          <w:szCs w:val="18"/>
          <w:color w:val="auto"/>
        </w:rPr>
      </w:pPr>
    </w:p>
    <w:p>
      <w:pPr>
        <w:ind w:left="920" w:firstLine="655"/>
        <w:spacing w:after="0" w:line="289" w:lineRule="auto"/>
        <w:tabs>
          <w:tab w:leader="none" w:pos="2447"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Borrower fails to perform or observe any term, covenant or agreement contained in any of </w:t>
      </w:r>
      <w:r>
        <w:rPr>
          <w:rFonts w:ascii="Arial" w:cs="Arial" w:eastAsia="Arial" w:hAnsi="Arial"/>
          <w:sz w:val="20"/>
          <w:szCs w:val="20"/>
          <w:u w:val="single" w:color="auto"/>
          <w:color w:val="auto"/>
        </w:rPr>
        <w:t>Sections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any Borrower)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jc w:val="both"/>
        <w:ind w:left="920" w:firstLine="655"/>
        <w:spacing w:after="0" w:line="278" w:lineRule="auto"/>
        <w:tabs>
          <w:tab w:leader="none" w:pos="2436"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contained in any Loan Document on its part to be performed or observed and such failure continues for thirty (30) days after notice thereof by the Administrative Agent to the Company; or</w:t>
      </w:r>
    </w:p>
    <w:p>
      <w:pPr>
        <w:spacing w:after="0" w:line="200" w:lineRule="exact"/>
        <w:rPr>
          <w:rFonts w:ascii="Arial" w:cs="Arial" w:eastAsia="Arial" w:hAnsi="Arial"/>
          <w:sz w:val="20"/>
          <w:szCs w:val="20"/>
          <w:color w:val="auto"/>
        </w:rPr>
      </w:pPr>
    </w:p>
    <w:p>
      <w:pPr>
        <w:jc w:val="both"/>
        <w:ind w:left="920" w:firstLine="655"/>
        <w:spacing w:after="0" w:line="274" w:lineRule="auto"/>
        <w:tabs>
          <w:tab w:leader="none" w:pos="2447" w:val="left"/>
        </w:tabs>
        <w:numPr>
          <w:ilvl w:val="0"/>
          <w:numId w:val="25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warranty, certification or statement of fact made or deemed made by or on behalf of any Borrower or any other Loan Party herein, in any other Loan Document, or in any document required to be delivered in connection herewith or therewith shall be incorrect or misleading in any material respect when made or deemed made; or</w:t>
      </w:r>
    </w:p>
    <w:p>
      <w:pPr>
        <w:spacing w:after="0" w:line="192" w:lineRule="exact"/>
        <w:rPr>
          <w:rFonts w:ascii="Arial" w:cs="Arial" w:eastAsia="Arial" w:hAnsi="Arial"/>
          <w:sz w:val="20"/>
          <w:szCs w:val="20"/>
          <w:color w:val="auto"/>
        </w:rPr>
      </w:pPr>
    </w:p>
    <w:p>
      <w:pPr>
        <w:jc w:val="both"/>
        <w:ind w:left="920" w:firstLine="655"/>
        <w:spacing w:after="0" w:line="286" w:lineRule="auto"/>
        <w:tabs>
          <w:tab w:leader="none" w:pos="2436" w:val="left"/>
        </w:tabs>
        <w:numPr>
          <w:ilvl w:val="0"/>
          <w:numId w:val="257"/>
        </w:numPr>
        <w:rPr>
          <w:rFonts w:ascii="Arial" w:cs="Arial" w:eastAsia="Arial" w:hAnsi="Arial"/>
          <w:sz w:val="19"/>
          <w:szCs w:val="19"/>
          <w:color w:val="auto"/>
        </w:rPr>
      </w:pPr>
      <w:r>
        <w:rPr>
          <w:rFonts w:ascii="Arial" w:cs="Arial" w:eastAsia="Arial" w:hAnsi="Arial"/>
          <w:sz w:val="19"/>
          <w:szCs w:val="19"/>
          <w:u w:val="single" w:color="auto"/>
          <w:color w:val="auto"/>
        </w:rPr>
        <w:t>Cross-Default</w:t>
      </w:r>
      <w:r>
        <w:rPr>
          <w:rFonts w:ascii="Arial" w:cs="Arial" w:eastAsia="Arial" w:hAnsi="Arial"/>
          <w:sz w:val="19"/>
          <w:szCs w:val="19"/>
          <w:color w:val="auto"/>
        </w:rPr>
        <w:t>. Any Loan Party or any Subsidiary (A) fails to make any payment beyond the applicable grace period with respect thereto, if any (whether by scheduled maturity, required prepayment, acceleration, demand, or otherwise) in respect of any Indebtedness (other than Indebtedness hereunder), together with any other Indebtedness (other than Indebtedness hereunder) in respect of which such a payment default exists, having an aggregate principal amount for all such Indebtedness of not less than the Threshold Amount, or (B) fails to observe or perform any other agreement or condition relating to any such Indebtedness having an aggregate principal amount for all such Indebtedness of not less than the Threshold Amount, or any other event occurs (other than, with respect to Indebtedness consisting of Swap Contracts, termination events or equivalent events pursuant to the terms of such Swap Contracts), the effect of which default or other event is to cause, or to permit the holder or holders of such Indebtedness (or a trustee or agent on behalf of such holder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4" w:right="239" w:bottom="1440" w:gutter="0" w:footer="0" w:header="0"/>
        </w:sectPr>
      </w:pPr>
    </w:p>
    <w:bookmarkStart w:id="258" w:name="page259"/>
    <w:bookmarkEnd w:id="258"/>
    <w:p>
      <w:pPr>
        <w:jc w:val="both"/>
        <w:ind w:left="920"/>
        <w:spacing w:after="0" w:line="290" w:lineRule="auto"/>
        <w:rPr>
          <w:sz w:val="20"/>
          <w:szCs w:val="20"/>
          <w:color w:val="auto"/>
        </w:rPr>
      </w:pPr>
      <w:r>
        <w:rPr>
          <w:rFonts w:ascii="Arial" w:cs="Arial" w:eastAsia="Arial" w:hAnsi="Arial"/>
          <w:sz w:val="19"/>
          <w:szCs w:val="19"/>
          <w:color w:val="auto"/>
        </w:rPr>
        <w:t xml:space="preserve">or holders or beneficiary or beneficiaries) to cause, with the giving of notice if required,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(e)(B) shall not apply to secured Indebtedness that becomes due as a result of the voluntary sale or transfer of the property or assets securing such Indebtedness, if such sale or transfer is permitted hereunder and under the documents providing for such Indebtedness; or</w:t>
      </w:r>
    </w:p>
    <w:p>
      <w:pPr>
        <w:spacing w:after="0" w:line="193" w:lineRule="exact"/>
        <w:rPr>
          <w:sz w:val="20"/>
          <w:szCs w:val="20"/>
          <w:color w:val="auto"/>
        </w:rPr>
      </w:pPr>
    </w:p>
    <w:p>
      <w:pPr>
        <w:jc w:val="both"/>
        <w:ind w:left="920" w:firstLine="655"/>
        <w:spacing w:after="0" w:line="304" w:lineRule="auto"/>
        <w:tabs>
          <w:tab w:leader="none" w:pos="2414"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of the Subsidiaries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71" w:lineRule="exact"/>
        <w:rPr>
          <w:rFonts w:ascii="Arial" w:cs="Arial" w:eastAsia="Arial" w:hAnsi="Arial"/>
          <w:sz w:val="18"/>
          <w:szCs w:val="18"/>
          <w:color w:val="auto"/>
        </w:rPr>
      </w:pPr>
    </w:p>
    <w:p>
      <w:pPr>
        <w:jc w:val="both"/>
        <w:ind w:left="920" w:firstLine="655"/>
        <w:spacing w:after="0" w:line="293" w:lineRule="auto"/>
        <w:tabs>
          <w:tab w:leader="none" w:pos="2447" w:val="left"/>
        </w:tabs>
        <w:numPr>
          <w:ilvl w:val="1"/>
          <w:numId w:val="258"/>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Loan Party or any Subsidiary becomes unable or admits in writing its inability or fails generally to pay its debts in excess of the Threshold Amount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spacing w:after="0" w:line="189" w:lineRule="exact"/>
        <w:rPr>
          <w:rFonts w:ascii="Arial" w:cs="Arial" w:eastAsia="Arial" w:hAnsi="Arial"/>
          <w:sz w:val="19"/>
          <w:szCs w:val="19"/>
          <w:color w:val="auto"/>
        </w:rPr>
      </w:pPr>
    </w:p>
    <w:p>
      <w:pPr>
        <w:jc w:val="both"/>
        <w:ind w:left="920" w:firstLine="655"/>
        <w:spacing w:after="0" w:line="297" w:lineRule="auto"/>
        <w:tabs>
          <w:tab w:leader="none" w:pos="2447" w:val="left"/>
        </w:tabs>
        <w:numPr>
          <w:ilvl w:val="1"/>
          <w:numId w:val="258"/>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one or more final judgments or orders for the payment of money in an aggregate amount exceeding the Threshold Amount (to the extent not covered by independent third-party insurance as to which the insurer has been notified of such judgment or order and has not denied coverage) and such judgments or orders shall not have been satisfied, vacated, discharged or stayed or bonded pending an appeal for a period of sixty</w:t>
      </w:r>
    </w:p>
    <w:p>
      <w:pPr>
        <w:spacing w:after="0" w:line="1" w:lineRule="exact"/>
        <w:rPr>
          <w:rFonts w:ascii="Arial" w:cs="Arial" w:eastAsia="Arial" w:hAnsi="Arial"/>
          <w:sz w:val="18"/>
          <w:szCs w:val="18"/>
          <w:color w:val="auto"/>
        </w:rPr>
      </w:pPr>
    </w:p>
    <w:p>
      <w:pPr>
        <w:ind w:left="1300" w:hanging="374"/>
        <w:spacing w:after="0"/>
        <w:tabs>
          <w:tab w:leader="none" w:pos="130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consecutive days; or</w:t>
      </w:r>
    </w:p>
    <w:p>
      <w:pPr>
        <w:spacing w:after="0" w:line="256" w:lineRule="exact"/>
        <w:rPr>
          <w:rFonts w:ascii="Arial" w:cs="Arial" w:eastAsia="Arial" w:hAnsi="Arial"/>
          <w:sz w:val="20"/>
          <w:szCs w:val="20"/>
          <w:color w:val="auto"/>
        </w:rPr>
      </w:pPr>
    </w:p>
    <w:p>
      <w:pPr>
        <w:jc w:val="both"/>
        <w:ind w:left="920" w:firstLine="655"/>
        <w:spacing w:after="0" w:line="310" w:lineRule="auto"/>
        <w:tabs>
          <w:tab w:leader="none" w:pos="2403"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any Loan Party in an aggregate amount which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which could reasonably be expected to result in a Material Adverse Effect; or</w:t>
      </w:r>
    </w:p>
    <w:p>
      <w:pPr>
        <w:spacing w:after="0" w:line="175" w:lineRule="exact"/>
        <w:rPr>
          <w:rFonts w:ascii="Arial" w:cs="Arial" w:eastAsia="Arial" w:hAnsi="Arial"/>
          <w:sz w:val="18"/>
          <w:szCs w:val="18"/>
          <w:color w:val="auto"/>
        </w:rPr>
      </w:pPr>
    </w:p>
    <w:p>
      <w:pPr>
        <w:jc w:val="both"/>
        <w:ind w:left="920" w:firstLine="655"/>
        <w:spacing w:after="0" w:line="271" w:lineRule="auto"/>
        <w:tabs>
          <w:tab w:leader="none" w:pos="2403" w:val="left"/>
        </w:tabs>
        <w:numPr>
          <w:ilvl w:val="1"/>
          <w:numId w:val="259"/>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xml:space="preserve">. Any material provision of any Loan Document, at any time after its execution and delivery and for any reason other than as expressly permitted hereunder or thereunder (including as a result of a transaction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or as a result of acts or omissions by the Administrative Agent or any Lender or the satisfaction in full of all the Obligations, ceases to be in full force and effect; or any Loan Party contests in writing the validity or enforceability of any provision of any Loan Document or any Lien on any material portion of the Collateral created thereby; or any Loan Party denies in writing that it has any or further liability or obligation under any Loan Document (other than as a result of repayment in full of the Obligations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59" w:name="page260"/>
    <w:bookmarkEnd w:id="259"/>
    <w:p>
      <w:pPr>
        <w:ind w:left="920"/>
        <w:spacing w:after="0"/>
        <w:rPr>
          <w:sz w:val="20"/>
          <w:szCs w:val="20"/>
          <w:color w:val="auto"/>
        </w:rPr>
      </w:pPr>
      <w:r>
        <w:rPr>
          <w:rFonts w:ascii="Arial" w:cs="Arial" w:eastAsia="Arial" w:hAnsi="Arial"/>
          <w:sz w:val="20"/>
          <w:szCs w:val="20"/>
          <w:color w:val="auto"/>
        </w:rPr>
        <w:t>and termination of the Aggregate Commitments), or purports in writing to revoke or rescind any Loan Document; or</w:t>
      </w:r>
    </w:p>
    <w:p>
      <w:pPr>
        <w:spacing w:after="0" w:line="243" w:lineRule="exact"/>
        <w:rPr>
          <w:sz w:val="20"/>
          <w:szCs w:val="20"/>
          <w:color w:val="auto"/>
        </w:rPr>
      </w:pPr>
    </w:p>
    <w:p>
      <w:pPr>
        <w:ind w:left="2200" w:hanging="625"/>
        <w:spacing w:after="0"/>
        <w:tabs>
          <w:tab w:leader="none" w:pos="2200" w:val="left"/>
        </w:tabs>
        <w:numPr>
          <w:ilvl w:val="0"/>
          <w:numId w:val="260"/>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229" w:lineRule="exact"/>
        <w:rPr>
          <w:rFonts w:ascii="Arial" w:cs="Arial" w:eastAsia="Arial" w:hAnsi="Arial"/>
          <w:sz w:val="20"/>
          <w:szCs w:val="20"/>
          <w:color w:val="auto"/>
        </w:rPr>
      </w:pPr>
    </w:p>
    <w:p>
      <w:pPr>
        <w:jc w:val="both"/>
        <w:ind w:left="920" w:firstLine="655"/>
        <w:spacing w:after="0" w:line="285" w:lineRule="auto"/>
        <w:tabs>
          <w:tab w:leader="none" w:pos="2403" w:val="left"/>
        </w:tabs>
        <w:numPr>
          <w:ilvl w:val="0"/>
          <w:numId w:val="2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(i) Any Collateral Document after delivery thereof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shall for any reason (other than pursuant to the terms thereof including as a result of a transaction permitted under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cease to create a valid and perfected lien, with the priority required by the Collateral Documents on and security interest in any material portion of the Collateral purported to be covered thereby, subject to Permitted Liens, except to the extent that any such loss of perfection or priority results from the failure of the Administrative Agent or the Collateral Agent to maintain possession of certificates actually delivered to it representing securities pledged under the Collateral Documents or to file Uniform Commercial Code continuation statements and except as to Collateral consisting of real property to the extent that such losses are covered by a lender’s title insurance policy and such insurer has not denied coverage, or (ii) any of the Equity Interests of OSI ceasing to be pledged pursuant to the Security Agreement free of Liens other than Liens created by the Security Agreement or any nonconsensual Liens arising solely by operation of Law; or</w:t>
      </w:r>
    </w:p>
    <w:p>
      <w:pPr>
        <w:spacing w:after="0" w:line="201" w:lineRule="exact"/>
        <w:rPr>
          <w:rFonts w:ascii="Arial" w:cs="Arial" w:eastAsia="Arial" w:hAnsi="Arial"/>
          <w:sz w:val="19"/>
          <w:szCs w:val="19"/>
          <w:color w:val="auto"/>
        </w:rPr>
      </w:pPr>
    </w:p>
    <w:p>
      <w:pPr>
        <w:jc w:val="both"/>
        <w:ind w:left="920" w:firstLine="655"/>
        <w:spacing w:after="0" w:line="286" w:lineRule="auto"/>
        <w:tabs>
          <w:tab w:leader="none" w:pos="2502"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Junior Financing Documentation</w:t>
      </w:r>
      <w:r>
        <w:rPr>
          <w:rFonts w:ascii="Arial" w:cs="Arial" w:eastAsia="Arial" w:hAnsi="Arial"/>
          <w:sz w:val="19"/>
          <w:szCs w:val="19"/>
          <w:color w:val="auto"/>
        </w:rPr>
        <w:t>. (i) Any of the Obligations of the Loan Parties under the Loan Documents for any reason shall cease to be “Senior Indebtedness” (or any comparable term) or “Senior Secured Financing” (or any comparable term) under, and as defined in, any Junior Financing Documentation that is subordinated (or required to be subordinated) to the Obligations and having an aggregate principal amount (for all such Junior Financing Documentation) of not less than the Threshold Amount, (ii) the subordination provisions set forth in any Junior Financing Documentation shall, in whole or in part, cease to be effective or cease to be legally valid, binding and enforceable against the holders of any such Junior Financing having an aggregate principal amount (for all such Junior Financing Documentation) of not less than the Threshold Amount, if applicable or (iii) any Loan Party contests in writing the validity or enforceability of any subordination provision set forth in any Junior Financing Documentation.</w:t>
      </w:r>
    </w:p>
    <w:p>
      <w:pPr>
        <w:spacing w:after="0" w:line="182"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Remedies Upon Event of Default</w:t>
      </w:r>
      <w:r>
        <w:rPr>
          <w:rFonts w:ascii="Arial" w:cs="Arial" w:eastAsia="Arial" w:hAnsi="Arial"/>
          <w:sz w:val="20"/>
          <w:szCs w:val="20"/>
          <w:color w:val="auto"/>
        </w:rPr>
        <w:t>. If any Event of Default occurs and is continuing, the Administrative Agent may and, at the request of the Required Lenders, shall take any or all of the following actions:</w:t>
      </w:r>
    </w:p>
    <w:p>
      <w:pPr>
        <w:spacing w:after="0" w:line="190" w:lineRule="exact"/>
        <w:rPr>
          <w:sz w:val="20"/>
          <w:szCs w:val="20"/>
          <w:color w:val="auto"/>
        </w:rPr>
      </w:pPr>
    </w:p>
    <w:p>
      <w:pPr>
        <w:ind w:left="920" w:firstLine="655"/>
        <w:spacing w:after="0" w:line="289" w:lineRule="auto"/>
        <w:tabs>
          <w:tab w:leader="none" w:pos="2436" w:val="left"/>
        </w:tabs>
        <w:numPr>
          <w:ilvl w:val="0"/>
          <w:numId w:val="261"/>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L/C Issuers to make L/C Credit Extensions to be terminated, whereupon such commitments and obligation shall be terminated;</w:t>
      </w:r>
    </w:p>
    <w:p>
      <w:pPr>
        <w:spacing w:after="0" w:line="188" w:lineRule="exact"/>
        <w:rPr>
          <w:rFonts w:ascii="Arial" w:cs="Arial" w:eastAsia="Arial" w:hAnsi="Arial"/>
          <w:sz w:val="20"/>
          <w:szCs w:val="20"/>
          <w:color w:val="auto"/>
        </w:rPr>
      </w:pPr>
    </w:p>
    <w:p>
      <w:pPr>
        <w:jc w:val="both"/>
        <w:ind w:left="920" w:firstLine="655"/>
        <w:spacing w:after="0" w:line="322" w:lineRule="auto"/>
        <w:tabs>
          <w:tab w:leader="none" w:pos="244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spacing w:after="0" w:line="166" w:lineRule="exact"/>
        <w:rPr>
          <w:rFonts w:ascii="Arial" w:cs="Arial" w:eastAsia="Arial" w:hAnsi="Arial"/>
          <w:sz w:val="18"/>
          <w:szCs w:val="18"/>
          <w:color w:val="auto"/>
        </w:rPr>
      </w:pPr>
    </w:p>
    <w:p>
      <w:pPr>
        <w:ind w:left="920" w:firstLine="655"/>
        <w:spacing w:after="0" w:line="289" w:lineRule="auto"/>
        <w:tabs>
          <w:tab w:leader="none" w:pos="2436" w:val="left"/>
        </w:tabs>
        <w:numPr>
          <w:ilvl w:val="0"/>
          <w:numId w:val="261"/>
        </w:numPr>
        <w:rPr>
          <w:rFonts w:ascii="Arial" w:cs="Arial" w:eastAsia="Arial" w:hAnsi="Arial"/>
          <w:sz w:val="20"/>
          <w:szCs w:val="20"/>
          <w:color w:val="auto"/>
        </w:rPr>
      </w:pPr>
      <w:r>
        <w:rPr>
          <w:rFonts w:ascii="Arial" w:cs="Arial" w:eastAsia="Arial" w:hAnsi="Arial"/>
          <w:sz w:val="20"/>
          <w:szCs w:val="20"/>
          <w:color w:val="auto"/>
        </w:rPr>
        <w:t>require that the Borrowers Cash Collateralize the L/C Obligations (in an amount equal to the then Outstanding Amount thereof); and</w:t>
      </w:r>
    </w:p>
    <w:p>
      <w:pPr>
        <w:spacing w:after="0" w:line="188" w:lineRule="exact"/>
        <w:rPr>
          <w:rFonts w:ascii="Arial" w:cs="Arial" w:eastAsia="Arial" w:hAnsi="Arial"/>
          <w:sz w:val="20"/>
          <w:szCs w:val="20"/>
          <w:color w:val="auto"/>
        </w:rPr>
      </w:pPr>
    </w:p>
    <w:p>
      <w:pPr>
        <w:ind w:left="920" w:firstLine="655"/>
        <w:spacing w:after="0" w:line="289" w:lineRule="auto"/>
        <w:tabs>
          <w:tab w:leader="none" w:pos="2447" w:val="left"/>
        </w:tabs>
        <w:numPr>
          <w:ilvl w:val="0"/>
          <w:numId w:val="261"/>
        </w:numPr>
        <w:rPr>
          <w:rFonts w:ascii="Arial" w:cs="Arial" w:eastAsia="Arial" w:hAnsi="Arial"/>
          <w:sz w:val="20"/>
          <w:szCs w:val="20"/>
          <w:color w:val="auto"/>
        </w:rPr>
      </w:pPr>
      <w:r>
        <w:rPr>
          <w:rFonts w:ascii="Arial" w:cs="Arial" w:eastAsia="Arial" w:hAnsi="Arial"/>
          <w:sz w:val="20"/>
          <w:szCs w:val="20"/>
          <w:color w:val="auto"/>
        </w:rPr>
        <w:t>exercise on behalf of itself and the Lenders all rights and remedies available to it and the Lenders under the Loan Documents or applicable Law;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60" w:name="page261"/>
    <w:bookmarkEnd w:id="260"/>
    <w:p>
      <w:pPr>
        <w:jc w:val="both"/>
        <w:ind w:left="280"/>
        <w:spacing w:after="0" w:line="26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 actual or deemed entry of an Event of Default under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with respect to any Borrower,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94"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Exclusion of Immaterial Subsidiaries</w:t>
      </w:r>
      <w:r>
        <w:rPr>
          <w:rFonts w:ascii="Arial" w:cs="Arial" w:eastAsia="Arial" w:hAnsi="Arial"/>
          <w:sz w:val="20"/>
          <w:szCs w:val="20"/>
          <w:color w:val="auto"/>
        </w:rPr>
        <w:t xml:space="preserve">. Solely for the purpose of determining whether a Default has occurred under clause (f) or (g) of </w:t>
      </w:r>
      <w:r>
        <w:rPr>
          <w:rFonts w:ascii="Arial" w:cs="Arial" w:eastAsia="Arial" w:hAnsi="Arial"/>
          <w:sz w:val="20"/>
          <w:szCs w:val="20"/>
          <w:u w:val="single" w:color="auto"/>
          <w:color w:val="auto"/>
        </w:rPr>
        <w:t>Section 8.01</w:t>
      </w:r>
      <w:r>
        <w:rPr>
          <w:rFonts w:ascii="Arial" w:cs="Arial" w:eastAsia="Arial" w:hAnsi="Arial"/>
          <w:sz w:val="20"/>
          <w:szCs w:val="20"/>
          <w:color w:val="auto"/>
        </w:rPr>
        <w:t>, any reference in any such clause to any Subsidiary or Loan Party shall be deemed not to include any Immaterial Subsidiary (it being agreed that all Immaterial Subsidiaries affected by any event or circumstance referred to in any such clause shall be considered together, as a single consolidated Immaterial Subsidiary, for purposes of determining whether the condition specified above is satisfied).</w:t>
      </w:r>
    </w:p>
    <w:p>
      <w:pPr>
        <w:spacing w:after="0" w:line="222"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Application of Funds</w:t>
      </w:r>
      <w:r>
        <w:rPr>
          <w:rFonts w:ascii="Arial" w:cs="Arial" w:eastAsia="Arial" w:hAnsi="Arial"/>
          <w:sz w:val="20"/>
          <w:szCs w:val="20"/>
          <w:color w:val="auto"/>
        </w:rPr>
        <w:t xml:space="preserve">. 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any amounts received on account of the Obligations shall be applied by the Administrative Agent in the following order:</w:t>
      </w:r>
    </w:p>
    <w:p>
      <w:pPr>
        <w:spacing w:after="0" w:line="192" w:lineRule="exact"/>
        <w:rPr>
          <w:sz w:val="20"/>
          <w:szCs w:val="20"/>
          <w:color w:val="auto"/>
        </w:rPr>
      </w:pPr>
    </w:p>
    <w:p>
      <w:pPr>
        <w:jc w:val="both"/>
        <w:ind w:left="920" w:firstLine="648"/>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(other than principal and interest, but including Attorney Costs payable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each of the Administrative Agent and the Collateral Agent in its capacity as such;</w:t>
      </w:r>
    </w:p>
    <w:p>
      <w:pPr>
        <w:spacing w:after="0" w:line="200" w:lineRule="exact"/>
        <w:rPr>
          <w:sz w:val="20"/>
          <w:szCs w:val="20"/>
          <w:color w:val="auto"/>
        </w:rPr>
      </w:pPr>
    </w:p>
    <w:p>
      <w:pPr>
        <w:jc w:val="both"/>
        <w:ind w:left="920" w:firstLine="648"/>
        <w:spacing w:after="0" w:line="246"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(other than commitment fees, letter of credit fees and facility fees), indemnities and other amounts (other than principal and interest) payable to the Lenders (including Attorney Costs payable under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ratably among them in proportion to the amounts described in this clause Second payable to them;</w:t>
      </w:r>
    </w:p>
    <w:p>
      <w:pPr>
        <w:spacing w:after="0" w:line="192" w:lineRule="exact"/>
        <w:rPr>
          <w:sz w:val="20"/>
          <w:szCs w:val="20"/>
          <w:color w:val="auto"/>
        </w:rPr>
      </w:pPr>
    </w:p>
    <w:p>
      <w:pPr>
        <w:jc w:val="both"/>
        <w:ind w:left="920" w:firstLine="648"/>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commitment fees, letter of credit fees, facilities fees and interest on the Loans and L/C Borrowings, ratably among the Lenders in proportion to the respective amounts described in this clause Third payable to them;</w:t>
      </w:r>
    </w:p>
    <w:p>
      <w:pPr>
        <w:spacing w:after="0" w:line="186" w:lineRule="exact"/>
        <w:rPr>
          <w:sz w:val="20"/>
          <w:szCs w:val="20"/>
          <w:color w:val="auto"/>
        </w:rPr>
      </w:pPr>
    </w:p>
    <w:p>
      <w:pPr>
        <w:jc w:val="both"/>
        <w:ind w:left="920" w:firstLine="648"/>
        <w:spacing w:after="0" w:line="269"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to payment of that portion of the Obligations constituting unpaid principal of the Loans and L/C Borrowings, the Obligations under Secured Hedge Agreements and the Cash Management Obligations, ratably among the Lenders and the other Secured Parties in proportion to the respective amounts described in this clause Fourth held by them;</w:t>
      </w:r>
    </w:p>
    <w:p>
      <w:pPr>
        <w:spacing w:after="0" w:line="170" w:lineRule="exact"/>
        <w:rPr>
          <w:sz w:val="20"/>
          <w:szCs w:val="20"/>
          <w:color w:val="auto"/>
        </w:rPr>
      </w:pPr>
    </w:p>
    <w:p>
      <w:pPr>
        <w:jc w:val="both"/>
        <w:ind w:left="920" w:firstLine="648"/>
        <w:spacing w:after="0" w:line="260"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Administrative Agent for the account of the L/C Issuers, to Cash Collateralize that portion of L/C Obligations comprised of the aggregate undrawn amount of Letters of Credit;</w:t>
      </w:r>
    </w:p>
    <w:p>
      <w:pPr>
        <w:spacing w:after="0" w:line="177" w:lineRule="exact"/>
        <w:rPr>
          <w:sz w:val="20"/>
          <w:szCs w:val="20"/>
          <w:color w:val="auto"/>
        </w:rPr>
      </w:pPr>
    </w:p>
    <w:p>
      <w:pPr>
        <w:jc w:val="both"/>
        <w:ind w:left="920" w:firstLine="648"/>
        <w:spacing w:after="0" w:line="250"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38" w:lineRule="exact"/>
        <w:rPr>
          <w:sz w:val="20"/>
          <w:szCs w:val="20"/>
          <w:color w:val="auto"/>
        </w:rPr>
      </w:pPr>
    </w:p>
    <w:p>
      <w:pPr>
        <w:jc w:val="both"/>
        <w:ind w:left="920" w:right="2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Borrowers or as otherwise required by Law.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33" w:right="239" w:bottom="1440" w:gutter="0" w:footer="0" w:header="0"/>
        </w:sectPr>
      </w:pPr>
    </w:p>
    <w:bookmarkStart w:id="261" w:name="page262"/>
    <w:bookmarkEnd w:id="261"/>
    <w:p>
      <w:pPr>
        <w:jc w:val="both"/>
        <w:ind w:left="280"/>
        <w:spacing w:after="0" w:line="263"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amounts used to Cash Collateralize the aggregate undrawn amount of Letters of Credit pursuant to clause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Borrowers.</w:t>
      </w:r>
    </w:p>
    <w:p>
      <w:pPr>
        <w:spacing w:after="0" w:line="177" w:lineRule="exact"/>
        <w:rPr>
          <w:sz w:val="20"/>
          <w:szCs w:val="20"/>
          <w:color w:val="auto"/>
        </w:rPr>
      </w:pPr>
    </w:p>
    <w:p>
      <w:pPr>
        <w:jc w:val="center"/>
        <w:ind w:left="126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ind w:left="1260"/>
        <w:spacing w:after="0"/>
        <w:rPr>
          <w:sz w:val="20"/>
          <w:szCs w:val="20"/>
          <w:color w:val="auto"/>
        </w:rPr>
      </w:pPr>
      <w:r>
        <w:rPr>
          <w:rFonts w:ascii="Arial" w:cs="Arial" w:eastAsia="Arial" w:hAnsi="Arial"/>
          <w:sz w:val="20"/>
          <w:szCs w:val="20"/>
          <w:u w:val="single" w:color="auto"/>
          <w:color w:val="auto"/>
        </w:rPr>
        <w:t>Administrative Agent and Other Agents</w:t>
      </w:r>
    </w:p>
    <w:p>
      <w:pPr>
        <w:spacing w:after="0" w:line="216"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Appointment and Authorization of Agents</w:t>
      </w:r>
      <w:r>
        <w:rPr>
          <w:rFonts w:ascii="Arial" w:cs="Arial" w:eastAsia="Arial" w:hAnsi="Arial"/>
          <w:sz w:val="18"/>
          <w:szCs w:val="18"/>
          <w:color w:val="auto"/>
        </w:rPr>
        <w:t>. (a) 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8" w:lineRule="exact"/>
        <w:rPr>
          <w:sz w:val="20"/>
          <w:szCs w:val="20"/>
          <w:color w:val="auto"/>
        </w:rPr>
      </w:pPr>
    </w:p>
    <w:p>
      <w:pPr>
        <w:jc w:val="both"/>
        <w:ind w:left="280" w:firstLine="646"/>
        <w:spacing w:after="0" w:line="297" w:lineRule="auto"/>
        <w:tabs>
          <w:tab w:leader="none" w:pos="180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Each L/C Issuer shall act on behalf of the Lenders with respect to any Letters of Credit issued by it and the documents associated therewith, and each such L/C Issuer shall have all of the benefits and immunities (i)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to the Agents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in the definition of “Agent-Related Person” included such L/C Issuer with respect to such acts or omissions, and</w:t>
      </w:r>
    </w:p>
    <w:p>
      <w:pPr>
        <w:spacing w:after="0" w:line="2" w:lineRule="exact"/>
        <w:rPr>
          <w:rFonts w:ascii="Arial" w:cs="Arial" w:eastAsia="Arial" w:hAnsi="Arial"/>
          <w:sz w:val="18"/>
          <w:szCs w:val="18"/>
          <w:color w:val="auto"/>
        </w:rPr>
      </w:pPr>
    </w:p>
    <w:p>
      <w:pPr>
        <w:ind w:left="560" w:hanging="282"/>
        <w:spacing w:after="0"/>
        <w:tabs>
          <w:tab w:leader="none" w:pos="56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as additionally provided herein with respect to such L/C Issuer.</w:t>
      </w:r>
    </w:p>
    <w:p>
      <w:pPr>
        <w:spacing w:after="0" w:line="256" w:lineRule="exact"/>
        <w:rPr>
          <w:rFonts w:ascii="Arial" w:cs="Arial" w:eastAsia="Arial" w:hAnsi="Arial"/>
          <w:sz w:val="20"/>
          <w:szCs w:val="20"/>
          <w:color w:val="auto"/>
        </w:rPr>
      </w:pPr>
    </w:p>
    <w:p>
      <w:pPr>
        <w:jc w:val="both"/>
        <w:ind w:left="280" w:firstLine="646"/>
        <w:spacing w:after="0" w:line="285" w:lineRule="auto"/>
        <w:tabs>
          <w:tab w:leader="none" w:pos="1796"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act as the “collateral agent” under the Loan Documents, and each of the Lenders (in its capacities as a Lender, Swing Line Lender (if applicable), L/C Issuer (if applicable) and a potential Hedge Bank) hereby irrevocably appoints and authorizes the Administrative Agent to act as the agent of (and to hold any security interest created by the Collateral Documents for and on behalf of or on trust for)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 in-fact appointed by the Administrative Agent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9.07</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62" w:name="page263"/>
    <w:bookmarkEnd w:id="262"/>
    <w:p>
      <w:pPr>
        <w:jc w:val="both"/>
        <w:ind w:left="280" w:firstLine="648"/>
        <w:spacing w:after="0" w:line="258"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such sub-agents as shall be deemed necessary by the Administrative Agent and shall be entitled to advice of counsel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 (as determined in the final judgment of a court of competent jurisdiction).</w:t>
      </w:r>
    </w:p>
    <w:p>
      <w:pPr>
        <w:spacing w:after="0" w:line="179"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Liability of Agents</w:t>
      </w:r>
      <w:r>
        <w:rPr>
          <w:rFonts w:ascii="Arial" w:cs="Arial" w:eastAsia="Arial" w:hAnsi="Arial"/>
          <w:sz w:val="18"/>
          <w:szCs w:val="18"/>
          <w:color w:val="auto"/>
        </w:rPr>
        <w:t>. No Agent-Related Person shall (a) be liable for any action taken or omitted to be taken by any of them under or in connection with this Agreement or any other Loan Document or the transactions contemplated hereby (except for its own gross negligence or willful misconduct, as determined by the final judgment of a court of competent jurisdiction, in connection with its duties expressly set forth herein),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perfection or priority of any Lien or security interest created or purported to be created under the Collateral Documents, or for any failure of any Loan Party or any other party to any Loan Document to perform its obligations hereunder or thereunder.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for or have any duty to ascertain or inquire into the utilization of any L/C Issuer’s L/C Commitment (it being understood and agreed that each L/C Issuer shall monitor compliance with its own L/C Commitment without any further action by the Administrative Agent).</w:t>
      </w:r>
    </w:p>
    <w:p>
      <w:pPr>
        <w:spacing w:after="0" w:line="170"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Reliance by Agents</w:t>
      </w:r>
      <w:r>
        <w:rPr>
          <w:rFonts w:ascii="Arial" w:cs="Arial" w:eastAsia="Arial" w:hAnsi="Arial"/>
          <w:sz w:val="18"/>
          <w:szCs w:val="18"/>
          <w:color w:val="auto"/>
        </w:rPr>
        <w:t>. (a) 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198" w:lineRule="exact"/>
        <w:rPr>
          <w:sz w:val="20"/>
          <w:szCs w:val="20"/>
          <w:color w:val="auto"/>
        </w:rPr>
      </w:pPr>
    </w:p>
    <w:p>
      <w:pPr>
        <w:jc w:val="both"/>
        <w:ind w:left="280" w:firstLine="646"/>
        <w:spacing w:after="0" w:line="293" w:lineRule="auto"/>
        <w:tabs>
          <w:tab w:leader="none" w:pos="1807"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with the conditions specified in </w:t>
      </w:r>
      <w:r>
        <w:rPr>
          <w:rFonts w:ascii="Arial" w:cs="Arial" w:eastAsia="Arial" w:hAnsi="Arial"/>
          <w:sz w:val="19"/>
          <w:szCs w:val="19"/>
          <w:u w:val="single" w:color="auto"/>
          <w:color w:val="auto"/>
        </w:rPr>
        <w:t>Article IV</w:t>
      </w:r>
      <w:r>
        <w:rPr>
          <w:rFonts w:ascii="Arial" w:cs="Arial" w:eastAsia="Arial" w:hAnsi="Arial"/>
          <w:sz w:val="19"/>
          <w:szCs w:val="19"/>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63" w:name="page264"/>
    <w:bookmarkEnd w:id="263"/>
    <w:p>
      <w:pPr>
        <w:jc w:val="both"/>
        <w:ind w:left="280" w:firstLine="648"/>
        <w:spacing w:after="0" w:line="27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Company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69"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Credit Decision; Disclosure of Information by Agents</w:t>
      </w:r>
      <w:r>
        <w:rPr>
          <w:rFonts w:ascii="Arial" w:cs="Arial" w:eastAsia="Arial" w:hAnsi="Arial"/>
          <w:sz w:val="18"/>
          <w:szCs w:val="18"/>
          <w:color w:val="auto"/>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89"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Indemnification of Agents</w:t>
      </w:r>
      <w:r>
        <w:rPr>
          <w:rFonts w:ascii="Arial" w:cs="Arial" w:eastAsia="Arial" w:hAnsi="Arial"/>
          <w:sz w:val="18"/>
          <w:szCs w:val="18"/>
          <w:color w:val="auto"/>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in accordance with its Pro Rata Share, and hold harmless each Agent-Related Person from and against any and all Indemnified Liabilities incurred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to any Agent-Related Person of any portion of such Indemnified Liabilities resulting from such Agent-Related Person’s own gross negligence, bad faith or willful misconduct, as determined by the final judgment of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action taken in accordance with the directions of the Required Lenders (or such other number or percentage of the Lenders as shall be required by the Loan Documents) shall be deemed to constitute gross negligence, bad faith or willful misconduct for purposes of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In the case of any investigation, litigation or proceeding giving rise to any Indemnified Liabilities,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64" w:name="page265"/>
    <w:bookmarkEnd w:id="264"/>
    <w:p>
      <w:pPr>
        <w:jc w:val="both"/>
        <w:ind w:left="280"/>
        <w:spacing w:after="0" w:line="269" w:lineRule="auto"/>
        <w:rPr>
          <w:sz w:val="20"/>
          <w:szCs w:val="20"/>
          <w:color w:val="auto"/>
        </w:rPr>
      </w:pPr>
      <w:r>
        <w:rPr>
          <w:rFonts w:ascii="Arial" w:cs="Arial" w:eastAsia="Arial" w:hAnsi="Arial"/>
          <w:sz w:val="19"/>
          <w:szCs w:val="19"/>
          <w:color w:val="auto"/>
        </w:rPr>
        <w:t xml:space="preserve">contemplated by or referred to herein, to the extent that the Administrative Agent is not reimbursed for such expenses by or on behalf of the Borrowers and without limiting the Borrowers’ obligation to do so. The undertaking in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shall survive termination of the Aggregate Commitments, the payment of all other Obligations and the resignation of the Administrative Agent.</w:t>
      </w:r>
    </w:p>
    <w:p>
      <w:pPr>
        <w:spacing w:after="0" w:line="184" w:lineRule="exact"/>
        <w:rPr>
          <w:sz w:val="20"/>
          <w:szCs w:val="20"/>
          <w:color w:val="auto"/>
        </w:rPr>
      </w:pPr>
    </w:p>
    <w:p>
      <w:pPr>
        <w:jc w:val="both"/>
        <w:ind w:left="280" w:firstLine="648"/>
        <w:spacing w:after="0" w:line="241" w:lineRule="auto"/>
        <w:rPr>
          <w:sz w:val="20"/>
          <w:szCs w:val="20"/>
          <w:color w:val="auto"/>
        </w:rPr>
      </w:pPr>
      <w:r>
        <w:rPr>
          <w:rFonts w:ascii="Arial" w:cs="Arial" w:eastAsia="Arial" w:hAnsi="Arial"/>
          <w:sz w:val="20"/>
          <w:szCs w:val="20"/>
          <w:color w:val="auto"/>
        </w:rPr>
        <w:t xml:space="preserve">Section 9.08 </w:t>
      </w:r>
      <w:r>
        <w:rPr>
          <w:rFonts w:ascii="Arial" w:cs="Arial" w:eastAsia="Arial" w:hAnsi="Arial"/>
          <w:sz w:val="20"/>
          <w:szCs w:val="20"/>
          <w:u w:val="single" w:color="auto"/>
          <w:color w:val="auto"/>
        </w:rPr>
        <w:t>Agents in their Individual Capacities</w:t>
      </w:r>
      <w:r>
        <w:rPr>
          <w:rFonts w:ascii="Arial" w:cs="Arial" w:eastAsia="Arial" w:hAnsi="Arial"/>
          <w:sz w:val="20"/>
          <w:szCs w:val="20"/>
          <w:color w:val="auto"/>
        </w:rPr>
        <w:t>. Wells Fargo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Wells Fargo were not the Administrative Agent, the Swing Line Lender or an L/C Issuer hereunder and without notice to or consent of the Lenders. The Lenders acknowledge that, pursuant to such activities, Wells Fargo or its Affiliates may receive information regarding any Loan Party or its Affiliates (including information that may be subject to confidentiality obligations in favor of such Loan Party or such Affiliate) and acknowledge that the Administrative Agent shall be under no obligation to provide such information to them. With respect to its Loans, Wells Fargo shall have the same rights and powers under this Agreement as any other Lender and may exercise such rights and powers as though it were not the Administrative Agent, the Swing Line Lender or an L/C Issuer, and the terms “Lender” and “Lenders” include Wells Fargo in its individual capacity.</w:t>
      </w:r>
    </w:p>
    <w:p>
      <w:pPr>
        <w:spacing w:after="0" w:line="216"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Successor Agents</w:t>
      </w:r>
      <w:r>
        <w:rPr>
          <w:rFonts w:ascii="Arial" w:cs="Arial" w:eastAsia="Arial" w:hAnsi="Arial"/>
          <w:sz w:val="18"/>
          <w:szCs w:val="18"/>
          <w:color w:val="auto"/>
        </w:rPr>
        <w:t xml:space="preserve">. The Administrative Agent may resign as the Administrative Agent upon ten (10) days’ notice to the Lenders and the Borrowers. If the Administrative Agent is subject to an Agent-Related Distress Event, the Required Lenders may remove the Administrative Agent upon ten (10) days’ notice. Upon the resignation or removal of the Administrative Agent under this Agreement, the Required Lenders shall appoint from among the Lenders a successor agent for the Lenders, which successor agent shall be consented to by the Borrowers (which consent of the Borrowers shall not be unreasonably withheld or delayed if such successor is a commercial bank with a combined capital and surplus of at least $1,000,000,000, and otherwise may be withheld at the Borrowers’ sole discretion) at all times other than during the existence of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If no successor agent is appointed prior to the effective date of the resignation of the Administrative Agent, the Administrative Agent may appoint, after consulting with the Lenders and the Borrowers,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and/or Supplemental Administrative Agent, as the case may be, and the retiring Administrative Agent’s appointment, powers and duties as the Administrative Agent shall be terminated. After the retiring Administrative Agent’s resignation or removal hereunder as the Administrative Agent,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shall inure to its benefit as to any actions taken or omitted to be taken by it while it was the Administrative Agent under this Agreement. If no successor agent has accepted appointment as the Administrative Agent by the date which is ten (10) days following the retiring Administrative Agent’s notice of resignation or the receipt by the Administrative Agent of the notice of removal referred to above, as applicable, the retiring Administrative Agent’s resignation or removal, as the case may be,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the retiring Administrative Agent shall be discharged from its duties and obligations under the Loan Documents. The fees payable by the Borrowers to a successor Administrative Agent shall be the same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65" w:name="page266"/>
    <w:bookmarkEnd w:id="265"/>
    <w:p>
      <w:pPr>
        <w:jc w:val="both"/>
        <w:ind w:left="280"/>
        <w:spacing w:after="0" w:line="269" w:lineRule="auto"/>
        <w:rPr>
          <w:sz w:val="20"/>
          <w:szCs w:val="20"/>
          <w:color w:val="auto"/>
        </w:rPr>
      </w:pPr>
      <w:r>
        <w:rPr>
          <w:rFonts w:ascii="Arial" w:cs="Arial" w:eastAsia="Arial" w:hAnsi="Arial"/>
          <w:sz w:val="19"/>
          <w:szCs w:val="19"/>
          <w:color w:val="auto"/>
        </w:rPr>
        <w:t xml:space="preserve">as those payable to its predecessor unless otherwise agreed between the Borrowers and such successor. After the retiring Administrative Agent’s resignation or removal hereunder as the Administrative Agent,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continue in effect for its benefit in respect of any actions taken or omitted to be taken by it while it was acting as the Administrative Agent.</w:t>
      </w:r>
    </w:p>
    <w:p>
      <w:pPr>
        <w:spacing w:after="0" w:line="184"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222" w:lineRule="exact"/>
        <w:rPr>
          <w:sz w:val="20"/>
          <w:szCs w:val="20"/>
          <w:color w:val="auto"/>
        </w:rPr>
      </w:pPr>
    </w:p>
    <w:p>
      <w:pPr>
        <w:jc w:val="both"/>
        <w:ind w:left="920" w:firstLine="655"/>
        <w:spacing w:after="0" w:line="272" w:lineRule="auto"/>
        <w:tabs>
          <w:tab w:leader="none" w:pos="2436"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191" w:lineRule="exact"/>
        <w:rPr>
          <w:rFonts w:ascii="Arial" w:cs="Arial" w:eastAsia="Arial" w:hAnsi="Arial"/>
          <w:sz w:val="20"/>
          <w:szCs w:val="20"/>
          <w:color w:val="auto"/>
        </w:rPr>
      </w:pPr>
    </w:p>
    <w:p>
      <w:pPr>
        <w:ind w:left="2460" w:hanging="885"/>
        <w:spacing w:after="0"/>
        <w:tabs>
          <w:tab w:leader="none" w:pos="24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w:t>
      </w:r>
    </w:p>
    <w:p>
      <w:pPr>
        <w:spacing w:after="0" w:line="4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20"/>
          <w:szCs w:val="20"/>
          <w:color w:val="auto"/>
        </w:rPr>
        <w:t>the same;</w:t>
      </w:r>
    </w:p>
    <w:p>
      <w:pPr>
        <w:spacing w:after="0" w:line="243" w:lineRule="exact"/>
        <w:rPr>
          <w:sz w:val="20"/>
          <w:szCs w:val="20"/>
          <w:color w:val="auto"/>
        </w:rPr>
      </w:pPr>
    </w:p>
    <w:p>
      <w:pPr>
        <w:jc w:val="both"/>
        <w:ind w:left="280"/>
        <w:spacing w:after="0" w:line="244"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95"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4" w:lineRule="exact"/>
        <w:rPr>
          <w:sz w:val="20"/>
          <w:szCs w:val="20"/>
          <w:color w:val="auto"/>
        </w:rPr>
      </w:pPr>
    </w:p>
    <w:p>
      <w:pPr>
        <w:ind w:left="920"/>
        <w:spacing w:after="0"/>
        <w:tabs>
          <w:tab w:leader="none" w:pos="2080" w:val="left"/>
        </w:tabs>
        <w:rPr>
          <w:sz w:val="20"/>
          <w:szCs w:val="20"/>
          <w:color w:val="auto"/>
        </w:rPr>
      </w:pPr>
      <w:r>
        <w:rPr>
          <w:rFonts w:ascii="Arial" w:cs="Arial" w:eastAsia="Arial" w:hAnsi="Arial"/>
          <w:sz w:val="20"/>
          <w:szCs w:val="20"/>
          <w:color w:val="auto"/>
        </w:rPr>
        <w:t>Section 9.11</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The Lenders irrevocably agree:</w:t>
      </w:r>
    </w:p>
    <w:p>
      <w:pPr>
        <w:spacing w:after="0" w:line="229" w:lineRule="exact"/>
        <w:rPr>
          <w:sz w:val="20"/>
          <w:szCs w:val="20"/>
          <w:color w:val="auto"/>
        </w:rPr>
      </w:pPr>
    </w:p>
    <w:p>
      <w:pPr>
        <w:jc w:val="both"/>
        <w:ind w:left="920" w:firstLine="655"/>
        <w:spacing w:after="0" w:line="269" w:lineRule="auto"/>
        <w:tabs>
          <w:tab w:leader="none" w:pos="2436"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that any Lien on any property granted to or held by the Administrative Agent or the Collateral Agent under any Loan Document shall be automatically released (i) upon termination of the Aggregate Commitments and payment in full of all Obligations (other than (x) obligations under Secured Hedge Agreements not yet due and payable, (y) Cash Management Obligations not yet due and payable and (z) contingent indemnification obligations not yet accrued and payable) and the expiration or termination of all Letters of Credit (or upon cash collateralization of all Letters of Credit in a manner and pursuant to arrangements reasonably satisfactory to the Administrative Agent and the applicable L/C Issuers or receipt of backstop letters of credit, in form and substance and from a financial institution, reasonably satisfactory to the Administrative Agent and the applicable L/C Issuers), (ii) at the time the property subject to such Lien is transferred or to be transferred as part of or in connection with any transfer permitted hereunder or under any other Loan Document to any Person other than any Borrower or any Guarantor (whether as a Disposition or Investment), (iii) subject to </w:t>
      </w:r>
      <w:r>
        <w:rPr>
          <w:rFonts w:ascii="Arial" w:cs="Arial" w:eastAsia="Arial" w:hAnsi="Arial"/>
          <w:sz w:val="20"/>
          <w:szCs w:val="20"/>
          <w:u w:val="single" w:color="auto"/>
          <w:color w:val="auto"/>
        </w:rPr>
        <w:t>Section 10.01</w:t>
      </w:r>
      <w:r>
        <w:rPr>
          <w:rFonts w:ascii="Arial" w:cs="Arial" w:eastAsia="Arial" w:hAnsi="Arial"/>
          <w:sz w:val="20"/>
          <w:szCs w:val="20"/>
          <w:color w:val="auto"/>
        </w:rPr>
        <w:t>, if the release of such Lien is approved, authorized or ratified in writing by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66" w:name="page267"/>
    <w:bookmarkEnd w:id="266"/>
    <w:p>
      <w:pPr>
        <w:ind w:left="920"/>
        <w:spacing w:after="0" w:line="289" w:lineRule="auto"/>
        <w:rPr>
          <w:sz w:val="20"/>
          <w:szCs w:val="20"/>
          <w:color w:val="auto"/>
        </w:rPr>
      </w:pPr>
      <w:r>
        <w:rPr>
          <w:rFonts w:ascii="Arial" w:cs="Arial" w:eastAsia="Arial" w:hAnsi="Arial"/>
          <w:sz w:val="20"/>
          <w:szCs w:val="20"/>
          <w:color w:val="auto"/>
        </w:rPr>
        <w:t>the Required Lenders, or (iv) if the property subject to such Lien is owned by a Guarantor, upon release of such Guarantor from its obligations under its Guaranty pursuant to clause (c) below;</w:t>
      </w:r>
    </w:p>
    <w:p>
      <w:pPr>
        <w:spacing w:after="0" w:line="189" w:lineRule="exact"/>
        <w:rPr>
          <w:sz w:val="20"/>
          <w:szCs w:val="20"/>
          <w:color w:val="auto"/>
        </w:rPr>
      </w:pPr>
    </w:p>
    <w:p>
      <w:pPr>
        <w:ind w:left="920" w:firstLine="655"/>
        <w:spacing w:after="0" w:line="347" w:lineRule="auto"/>
        <w:tabs>
          <w:tab w:leader="none" w:pos="24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to 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jc w:val="both"/>
        <w:ind w:left="920" w:firstLine="655"/>
        <w:spacing w:after="0" w:line="314" w:lineRule="auto"/>
        <w:tabs>
          <w:tab w:leader="none" w:pos="243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that any Guarantor shall be automatically released from its obligations under the Guaranty if such Person ceases to be a Subsidiary as a result of a transaction or designation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Guarantor continues (after giving effect to the consummation of such transaction or designation) to be a guarantor in respect of any unsecured Indebtedness, any Indebtedness that is secured on a junior basis to the Obligations or any Junior Financing.</w:t>
      </w:r>
    </w:p>
    <w:p>
      <w:pPr>
        <w:spacing w:after="0" w:line="159"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Upon request by the Administrative Agent at any time, the Required Lenders (or such greater number of Lenders as may be required pursuant to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In each case as specified in this </w:t>
      </w:r>
      <w:r>
        <w:rPr>
          <w:rFonts w:ascii="Arial" w:cs="Arial" w:eastAsia="Arial" w:hAnsi="Arial"/>
          <w:sz w:val="19"/>
          <w:szCs w:val="19"/>
          <w:u w:val="single" w:color="auto"/>
          <w:color w:val="auto"/>
        </w:rPr>
        <w:t>Section 9.11</w:t>
      </w:r>
      <w:r>
        <w:rPr>
          <w:rFonts w:ascii="Arial" w:cs="Arial" w:eastAsia="Arial" w:hAnsi="Arial"/>
          <w:sz w:val="19"/>
          <w:szCs w:val="19"/>
          <w:color w:val="auto"/>
        </w:rPr>
        <w:t xml:space="preserve">, the Administrative Agent will (and each Lender irrevocably authorizes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9"/>
          <w:szCs w:val="19"/>
          <w:u w:val="single" w:color="auto"/>
          <w:color w:val="auto"/>
        </w:rPr>
        <w:t>Section 9.11.</w:t>
      </w:r>
    </w:p>
    <w:p>
      <w:pPr>
        <w:spacing w:after="0" w:line="181"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Other Agents; Arrangers and Managers</w:t>
      </w:r>
      <w:r>
        <w:rPr>
          <w:rFonts w:ascii="Arial" w:cs="Arial" w:eastAsia="Arial" w:hAnsi="Arial"/>
          <w:sz w:val="19"/>
          <w:szCs w:val="19"/>
          <w:color w:val="auto"/>
        </w:rPr>
        <w:t>. None of the Lenders or other Persons identified on the facing page or signature pages of this Agreement as a “syndication agent,” “documentation agent”, “joint bookrunner” or “joint 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92"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Appointment of Supplemental Administrative Agents</w:t>
      </w:r>
      <w:r>
        <w:rPr>
          <w:rFonts w:ascii="Arial" w:cs="Arial" w:eastAsia="Arial" w:hAnsi="Arial"/>
          <w:sz w:val="19"/>
          <w:szCs w:val="19"/>
          <w:color w:val="auto"/>
        </w:rPr>
        <w:t>. (a)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9"/>
          <w:szCs w:val="19"/>
          <w:u w:val="single" w:color="auto"/>
          <w:color w:val="auto"/>
        </w:rPr>
        <w:t>Supplemental Administrative Agent</w:t>
      </w:r>
      <w:r>
        <w:rPr>
          <w:rFonts w:ascii="Arial" w:cs="Arial" w:eastAsia="Arial" w:hAnsi="Arial"/>
          <w:sz w:val="19"/>
          <w:szCs w:val="19"/>
          <w:color w:val="auto"/>
        </w:rPr>
        <w:t>” and collectively as “</w:t>
      </w:r>
      <w:r>
        <w:rPr>
          <w:rFonts w:ascii="Arial" w:cs="Arial" w:eastAsia="Arial" w:hAnsi="Arial"/>
          <w:sz w:val="19"/>
          <w:szCs w:val="19"/>
          <w:u w:val="single" w:color="auto"/>
          <w:color w:val="auto"/>
        </w:rPr>
        <w:t>Supplemental Administrative Agents</w:t>
      </w:r>
      <w:r>
        <w:rPr>
          <w:rFonts w:ascii="Arial" w:cs="Arial" w:eastAsia="Arial" w:hAnsi="Arial"/>
          <w:sz w:val="19"/>
          <w:szCs w:val="19"/>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267" w:name="page268"/>
    <w:bookmarkEnd w:id="267"/>
    <w:p>
      <w:pPr>
        <w:ind w:left="1800" w:hanging="874"/>
        <w:spacing w:after="0"/>
        <w:tabs>
          <w:tab w:leader="none" w:pos="180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the event that the Administrative Agent appoints a Supplemental Administrative Agent with respect to any Collateral,</w:t>
      </w:r>
    </w:p>
    <w:p>
      <w:pPr>
        <w:spacing w:after="0" w:line="49" w:lineRule="exact"/>
        <w:rPr>
          <w:rFonts w:ascii="Arial" w:cs="Arial" w:eastAsia="Arial" w:hAnsi="Arial"/>
          <w:sz w:val="18"/>
          <w:szCs w:val="18"/>
          <w:color w:val="auto"/>
        </w:rPr>
      </w:pPr>
    </w:p>
    <w:p>
      <w:pPr>
        <w:jc w:val="both"/>
        <w:ind w:left="280" w:hanging="2"/>
        <w:spacing w:after="0" w:line="334" w:lineRule="auto"/>
        <w:tabs>
          <w:tab w:leader="none" w:pos="544"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w:t>
      </w:r>
    </w:p>
    <w:p>
      <w:pPr>
        <w:spacing w:after="0" w:line="3" w:lineRule="exact"/>
        <w:rPr>
          <w:rFonts w:ascii="Arial" w:cs="Arial" w:eastAsia="Arial" w:hAnsi="Arial"/>
          <w:sz w:val="16"/>
          <w:szCs w:val="16"/>
          <w:color w:val="auto"/>
        </w:rPr>
      </w:pPr>
    </w:p>
    <w:p>
      <w:pPr>
        <w:jc w:val="both"/>
        <w:ind w:left="280" w:hanging="2"/>
        <w:spacing w:after="0" w:line="278" w:lineRule="auto"/>
        <w:tabs>
          <w:tab w:leader="none" w:pos="577"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and of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10.05</w:t>
      </w:r>
      <w:r>
        <w:rPr>
          <w:rFonts w:ascii="Arial" w:cs="Arial" w:eastAsia="Arial" w:hAnsi="Arial"/>
          <w:sz w:val="20"/>
          <w:szCs w:val="20"/>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6" w:lineRule="exact"/>
        <w:rPr>
          <w:rFonts w:ascii="Arial" w:cs="Arial" w:eastAsia="Arial" w:hAnsi="Arial"/>
          <w:sz w:val="20"/>
          <w:szCs w:val="20"/>
          <w:color w:val="auto"/>
        </w:rPr>
      </w:pPr>
    </w:p>
    <w:p>
      <w:pPr>
        <w:jc w:val="both"/>
        <w:ind w:left="280" w:firstLine="646"/>
        <w:spacing w:after="0" w:line="271" w:lineRule="auto"/>
        <w:tabs>
          <w:tab w:leader="none" w:pos="1796" w:val="left"/>
        </w:tabs>
        <w:numPr>
          <w:ilvl w:val="1"/>
          <w:numId w:val="269"/>
        </w:numPr>
        <w:rPr>
          <w:rFonts w:ascii="Arial" w:cs="Arial" w:eastAsia="Arial" w:hAnsi="Arial"/>
          <w:sz w:val="20"/>
          <w:szCs w:val="20"/>
          <w:color w:val="auto"/>
        </w:rPr>
      </w:pPr>
      <w:r>
        <w:rPr>
          <w:rFonts w:ascii="Arial" w:cs="Arial" w:eastAsia="Arial" w:hAnsi="Arial"/>
          <w:sz w:val="20"/>
          <w:szCs w:val="20"/>
          <w:color w:val="auto"/>
        </w:rPr>
        <w:t>Should any instrument in writing from any Borrower or any other Loan Party be required by any Supplemental Administrative Agent so appointed by the Administrative Agent for more fully and certainly vesting in and confirming to him or it such rights, powers, privileges and duties, such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94" w:lineRule="exact"/>
        <w:rPr>
          <w:sz w:val="20"/>
          <w:szCs w:val="20"/>
          <w:color w:val="auto"/>
        </w:rPr>
      </w:pPr>
    </w:p>
    <w:p>
      <w:pPr>
        <w:ind w:left="920"/>
        <w:spacing w:after="0"/>
        <w:tabs>
          <w:tab w:leader="none" w:pos="2100" w:val="left"/>
        </w:tabs>
        <w:rPr>
          <w:sz w:val="20"/>
          <w:szCs w:val="20"/>
          <w:color w:val="auto"/>
        </w:rPr>
      </w:pPr>
      <w:r>
        <w:rPr>
          <w:rFonts w:ascii="Arial" w:cs="Arial" w:eastAsia="Arial" w:hAnsi="Arial"/>
          <w:sz w:val="20"/>
          <w:szCs w:val="20"/>
          <w:color w:val="auto"/>
        </w:rPr>
        <w:t>Section 9.14</w:t>
      </w:r>
      <w:r>
        <w:rPr>
          <w:sz w:val="20"/>
          <w:szCs w:val="20"/>
          <w:color w:val="auto"/>
        </w:rPr>
        <w:tab/>
      </w:r>
      <w:r>
        <w:rPr>
          <w:rFonts w:ascii="Arial" w:cs="Arial" w:eastAsia="Arial" w:hAnsi="Arial"/>
          <w:sz w:val="16"/>
          <w:szCs w:val="16"/>
          <w:u w:val="single" w:color="auto"/>
          <w:color w:val="auto"/>
        </w:rPr>
        <w:t>Lender Representation</w:t>
      </w:r>
      <w:r>
        <w:rPr>
          <w:rFonts w:ascii="Arial" w:cs="Arial" w:eastAsia="Arial" w:hAnsi="Arial"/>
          <w:sz w:val="16"/>
          <w:szCs w:val="16"/>
          <w:color w:val="auto"/>
        </w:rPr>
        <w:t>.</w:t>
      </w:r>
    </w:p>
    <w:p>
      <w:pPr>
        <w:spacing w:after="0" w:line="229" w:lineRule="exact"/>
        <w:rPr>
          <w:sz w:val="20"/>
          <w:szCs w:val="20"/>
          <w:color w:val="auto"/>
        </w:rPr>
      </w:pPr>
    </w:p>
    <w:p>
      <w:pPr>
        <w:jc w:val="both"/>
        <w:ind w:left="280" w:firstLine="646"/>
        <w:spacing w:after="0" w:line="293" w:lineRule="auto"/>
        <w:tabs>
          <w:tab w:leader="none" w:pos="1796" w:val="left"/>
        </w:tabs>
        <w:numPr>
          <w:ilvl w:val="0"/>
          <w:numId w:val="270"/>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Joint Lead Arrangers and their respective Affiliates, and not, for the avoidance of doubt, to or for the benefit of the Borrower or any other Loan Party, that at least one of the following is and will be true:</w:t>
      </w:r>
    </w:p>
    <w:p>
      <w:pPr>
        <w:spacing w:after="0" w:line="175" w:lineRule="exact"/>
        <w:rPr>
          <w:rFonts w:ascii="Arial" w:cs="Arial" w:eastAsia="Arial" w:hAnsi="Arial"/>
          <w:sz w:val="19"/>
          <w:szCs w:val="19"/>
          <w:color w:val="auto"/>
        </w:rPr>
      </w:pPr>
    </w:p>
    <w:p>
      <w:pPr>
        <w:ind w:left="920" w:firstLine="655"/>
        <w:spacing w:after="0" w:line="347" w:lineRule="auto"/>
        <w:tabs>
          <w:tab w:leader="none" w:pos="2403"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2510.3- 101, as modified by Section 3(42) of ERISA) of one or more Benefit Plans in connection with the Loans, the Letters of Credit or the Commitments,</w:t>
      </w:r>
    </w:p>
    <w:p>
      <w:pPr>
        <w:spacing w:after="0" w:line="130" w:lineRule="exact"/>
        <w:rPr>
          <w:rFonts w:ascii="Arial" w:cs="Arial" w:eastAsia="Arial" w:hAnsi="Arial"/>
          <w:sz w:val="18"/>
          <w:szCs w:val="18"/>
          <w:color w:val="auto"/>
        </w:rPr>
      </w:pPr>
    </w:p>
    <w:p>
      <w:pPr>
        <w:jc w:val="both"/>
        <w:ind w:left="920" w:firstLine="655"/>
        <w:spacing w:after="0" w:line="271" w:lineRule="auto"/>
        <w:tabs>
          <w:tab w:leader="none" w:pos="2458" w:val="left"/>
        </w:tabs>
        <w:numPr>
          <w:ilvl w:val="1"/>
          <w:numId w:val="270"/>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90" w:right="239" w:bottom="1440" w:gutter="0" w:footer="0" w:header="0"/>
        </w:sectPr>
      </w:pPr>
    </w:p>
    <w:bookmarkStart w:id="268" w:name="page269"/>
    <w:bookmarkEnd w:id="268"/>
    <w:p>
      <w:pPr>
        <w:jc w:val="both"/>
        <w:ind w:left="920" w:firstLine="655"/>
        <w:spacing w:after="0" w:line="297" w:lineRule="auto"/>
        <w:tabs>
          <w:tab w:leader="none" w:pos="2513"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1" w:lineRule="exact"/>
        <w:rPr>
          <w:rFonts w:ascii="Arial" w:cs="Arial" w:eastAsia="Arial" w:hAnsi="Arial"/>
          <w:sz w:val="18"/>
          <w:szCs w:val="18"/>
          <w:color w:val="auto"/>
        </w:rPr>
      </w:pPr>
    </w:p>
    <w:p>
      <w:pPr>
        <w:jc w:val="both"/>
        <w:ind w:left="920" w:firstLine="6"/>
        <w:spacing w:after="0" w:line="314" w:lineRule="auto"/>
        <w:tabs>
          <w:tab w:leader="none" w:pos="12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9" w:lineRule="exact"/>
        <w:rPr>
          <w:rFonts w:ascii="Arial" w:cs="Arial" w:eastAsia="Arial" w:hAnsi="Arial"/>
          <w:sz w:val="18"/>
          <w:szCs w:val="18"/>
          <w:color w:val="auto"/>
        </w:rPr>
      </w:pPr>
    </w:p>
    <w:p>
      <w:pPr>
        <w:ind w:left="920" w:firstLine="655"/>
        <w:spacing w:after="0" w:line="289" w:lineRule="auto"/>
        <w:tabs>
          <w:tab w:leader="none" w:pos="2502" w:val="left"/>
        </w:tabs>
        <w:numPr>
          <w:ilvl w:val="1"/>
          <w:numId w:val="27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jc w:val="both"/>
        <w:ind w:left="280" w:firstLine="646"/>
        <w:spacing w:after="0" w:line="272" w:lineRule="auto"/>
        <w:tabs>
          <w:tab w:leader="none" w:pos="1807" w:val="left"/>
        </w:tabs>
        <w:numPr>
          <w:ilvl w:val="0"/>
          <w:numId w:val="273"/>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Loan Party, that:</w:t>
      </w:r>
    </w:p>
    <w:p>
      <w:pPr>
        <w:spacing w:after="0" w:line="205" w:lineRule="exact"/>
        <w:rPr>
          <w:rFonts w:ascii="Arial" w:cs="Arial" w:eastAsia="Arial" w:hAnsi="Arial"/>
          <w:sz w:val="20"/>
          <w:szCs w:val="20"/>
          <w:color w:val="auto"/>
        </w:rPr>
      </w:pPr>
    </w:p>
    <w:p>
      <w:pPr>
        <w:jc w:val="both"/>
        <w:ind w:left="920" w:firstLine="655"/>
        <w:spacing w:after="0" w:line="299" w:lineRule="auto"/>
        <w:tabs>
          <w:tab w:leader="none" w:pos="2403" w:val="left"/>
        </w:tabs>
        <w:numPr>
          <w:ilvl w:val="1"/>
          <w:numId w:val="273"/>
        </w:numPr>
        <w:rPr>
          <w:rFonts w:ascii="Arial" w:cs="Arial" w:eastAsia="Arial" w:hAnsi="Arial"/>
          <w:sz w:val="19"/>
          <w:szCs w:val="19"/>
          <w:color w:val="auto"/>
        </w:rPr>
      </w:pPr>
      <w:r>
        <w:rPr>
          <w:rFonts w:ascii="Arial" w:cs="Arial" w:eastAsia="Arial" w:hAnsi="Arial"/>
          <w:sz w:val="19"/>
          <w:szCs w:val="19"/>
          <w:color w:val="auto"/>
        </w:rPr>
        <w:t>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69" w:lineRule="exact"/>
        <w:rPr>
          <w:rFonts w:ascii="Arial" w:cs="Arial" w:eastAsia="Arial" w:hAnsi="Arial"/>
          <w:sz w:val="19"/>
          <w:szCs w:val="19"/>
          <w:color w:val="auto"/>
        </w:rPr>
      </w:pPr>
    </w:p>
    <w:p>
      <w:pPr>
        <w:jc w:val="both"/>
        <w:ind w:left="920" w:firstLine="655"/>
        <w:spacing w:after="0" w:line="273" w:lineRule="auto"/>
        <w:tabs>
          <w:tab w:leader="none" w:pos="2458" w:val="left"/>
        </w:tabs>
        <w:numPr>
          <w:ilvl w:val="1"/>
          <w:numId w:val="273"/>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204" w:lineRule="exact"/>
        <w:rPr>
          <w:rFonts w:ascii="Arial" w:cs="Arial" w:eastAsia="Arial" w:hAnsi="Arial"/>
          <w:sz w:val="20"/>
          <w:szCs w:val="20"/>
          <w:color w:val="auto"/>
        </w:rPr>
      </w:pPr>
    </w:p>
    <w:p>
      <w:pPr>
        <w:jc w:val="both"/>
        <w:ind w:left="920" w:firstLine="655"/>
        <w:spacing w:after="0" w:line="274" w:lineRule="auto"/>
        <w:tabs>
          <w:tab w:leader="none" w:pos="2513" w:val="left"/>
        </w:tabs>
        <w:numPr>
          <w:ilvl w:val="1"/>
          <w:numId w:val="273"/>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92" w:lineRule="exact"/>
        <w:rPr>
          <w:rFonts w:ascii="Arial" w:cs="Arial" w:eastAsia="Arial" w:hAnsi="Arial"/>
          <w:sz w:val="20"/>
          <w:szCs w:val="20"/>
          <w:color w:val="auto"/>
        </w:rPr>
      </w:pPr>
    </w:p>
    <w:p>
      <w:pPr>
        <w:jc w:val="both"/>
        <w:ind w:left="920" w:firstLine="655"/>
        <w:spacing w:after="0" w:line="293" w:lineRule="auto"/>
        <w:tabs>
          <w:tab w:leader="none" w:pos="2502" w:val="left"/>
        </w:tabs>
        <w:numPr>
          <w:ilvl w:val="1"/>
          <w:numId w:val="273"/>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09" w:right="239" w:bottom="1440" w:gutter="0" w:footer="0" w:header="0"/>
        </w:sectPr>
      </w:pPr>
    </w:p>
    <w:bookmarkStart w:id="269" w:name="page270"/>
    <w:bookmarkEnd w:id="269"/>
    <w:p>
      <w:pPr>
        <w:jc w:val="both"/>
        <w:ind w:left="920" w:firstLine="655"/>
        <w:spacing w:after="0" w:line="278" w:lineRule="auto"/>
        <w:tabs>
          <w:tab w:leader="none" w:pos="2447" w:val="left"/>
        </w:tabs>
        <w:numPr>
          <w:ilvl w:val="1"/>
          <w:numId w:val="274"/>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or any Joint Lead Arranger or any their respective Affiliates for investment advice (as opposed to other services) in connection with the Loans, the Letters of Credit, the Commitments or this Agreement.</w:t>
      </w:r>
    </w:p>
    <w:p>
      <w:pPr>
        <w:spacing w:after="0" w:line="200" w:lineRule="exact"/>
        <w:rPr>
          <w:rFonts w:ascii="Arial" w:cs="Arial" w:eastAsia="Arial" w:hAnsi="Arial"/>
          <w:sz w:val="20"/>
          <w:szCs w:val="20"/>
          <w:color w:val="auto"/>
        </w:rPr>
      </w:pPr>
    </w:p>
    <w:p>
      <w:pPr>
        <w:jc w:val="both"/>
        <w:ind w:left="280" w:firstLine="646"/>
        <w:spacing w:after="0" w:line="303" w:lineRule="auto"/>
        <w:tabs>
          <w:tab w:leader="none" w:pos="179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Administrative Agent and each Joint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ind w:left="1260"/>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Except as otherwise set forth in this Agreement, no amendment, modification, supplement or waiver of any provision of this Agreement or any other Loan Document, and no consent to any departure by any Borrower or any other Loan Party therefrom, shall be effective unless in writing signed by the Required Lenders and each Borrower or the other applicable Loan Party, as the case may be, and each such waiver, amendment, modification, supplement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supplement, waiver or consent shall:</w:t>
      </w:r>
    </w:p>
    <w:p>
      <w:pPr>
        <w:spacing w:after="0" w:line="179" w:lineRule="exact"/>
        <w:rPr>
          <w:sz w:val="20"/>
          <w:szCs w:val="20"/>
          <w:color w:val="auto"/>
        </w:rPr>
      </w:pPr>
    </w:p>
    <w:p>
      <w:pPr>
        <w:jc w:val="both"/>
        <w:ind w:left="920" w:firstLine="655"/>
        <w:spacing w:after="0" w:line="291" w:lineRule="auto"/>
        <w:tabs>
          <w:tab w:leader="none" w:pos="198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without the written consent of such Lender (it being understood that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the waiver of any Default, mandatory prepayment or mandatory reduction of the Commitments shall not constitute an extension or increase of any Commitment of any Lender);</w:t>
      </w:r>
    </w:p>
    <w:p>
      <w:pPr>
        <w:spacing w:after="0" w:line="178" w:lineRule="exact"/>
        <w:rPr>
          <w:rFonts w:ascii="Arial" w:cs="Arial" w:eastAsia="Arial" w:hAnsi="Arial"/>
          <w:sz w:val="18"/>
          <w:szCs w:val="18"/>
          <w:color w:val="auto"/>
        </w:rPr>
      </w:pPr>
    </w:p>
    <w:p>
      <w:pPr>
        <w:jc w:val="both"/>
        <w:ind w:left="920" w:firstLine="655"/>
        <w:spacing w:after="0" w:line="274" w:lineRule="auto"/>
        <w:tabs>
          <w:tab w:leader="none" w:pos="2447" w:val="left"/>
        </w:tabs>
        <w:numPr>
          <w:ilvl w:val="0"/>
          <w:numId w:val="276"/>
        </w:numPr>
        <w:rPr>
          <w:rFonts w:ascii="Arial" w:cs="Arial" w:eastAsia="Arial" w:hAnsi="Arial"/>
          <w:sz w:val="20"/>
          <w:szCs w:val="20"/>
          <w:color w:val="auto"/>
        </w:rPr>
      </w:pPr>
      <w:r>
        <w:rPr>
          <w:rFonts w:ascii="Arial" w:cs="Arial" w:eastAsia="Arial" w:hAnsi="Arial"/>
          <w:sz w:val="20"/>
          <w:szCs w:val="20"/>
          <w:color w:val="auto"/>
        </w:rPr>
        <w:t xml:space="preserve">postpone any date scheduled for, or reduce the amount of, any payment of principal, interest or fees under </w:t>
      </w:r>
      <w:r>
        <w:rPr>
          <w:rFonts w:ascii="Arial" w:cs="Arial" w:eastAsia="Arial" w:hAnsi="Arial"/>
          <w:sz w:val="20"/>
          <w:szCs w:val="20"/>
          <w:u w:val="single" w:color="auto"/>
          <w:color w:val="auto"/>
        </w:rPr>
        <w:t>Section 2.07</w:t>
      </w:r>
      <w:r>
        <w:rPr>
          <w:rFonts w:ascii="Arial" w:cs="Arial" w:eastAsia="Arial" w:hAnsi="Arial"/>
          <w:sz w:val="20"/>
          <w:szCs w:val="20"/>
          <w:color w:val="auto"/>
        </w:rPr>
        <w:t xml:space="preserve">, </w:t>
      </w:r>
      <w:r>
        <w:rPr>
          <w:rFonts w:ascii="Arial" w:cs="Arial" w:eastAsia="Arial" w:hAnsi="Arial"/>
          <w:sz w:val="20"/>
          <w:szCs w:val="20"/>
          <w:u w:val="single" w:color="auto"/>
          <w:color w:val="auto"/>
        </w:rPr>
        <w:t>2.08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without the written consent of each Lender directly affected thereby, it being understood that the waiver of (or amendment to the terms of) any mandatory prepayment of the Term Loans shall not constitute a postponement of any date scheduled for the payment of principal or interest;</w:t>
      </w:r>
    </w:p>
    <w:p>
      <w:pPr>
        <w:spacing w:after="0" w:line="205" w:lineRule="exact"/>
        <w:rPr>
          <w:rFonts w:ascii="Arial" w:cs="Arial" w:eastAsia="Arial" w:hAnsi="Arial"/>
          <w:sz w:val="20"/>
          <w:szCs w:val="20"/>
          <w:color w:val="auto"/>
        </w:rPr>
      </w:pPr>
    </w:p>
    <w:p>
      <w:pPr>
        <w:jc w:val="both"/>
        <w:ind w:left="920" w:firstLine="655"/>
        <w:spacing w:after="0" w:line="307" w:lineRule="auto"/>
        <w:tabs>
          <w:tab w:leader="none" w:pos="2436"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reduce or forgive the principal of, or the rate of interest specified herein on, any Loan or L/C Borrowing, or (subject to clause (iii)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it being understood that any change to the definition of Total Net Leverage Ratio, Consolidated Senior Secured Net Leverage Ratio or in the component definitions thereof shall not constitute a reduction in the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Borrowers to pay interest at the Default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6" w:right="239" w:bottom="1440" w:gutter="0" w:footer="0" w:header="0"/>
        </w:sectPr>
      </w:pPr>
    </w:p>
    <w:bookmarkStart w:id="270" w:name="page271"/>
    <w:bookmarkEnd w:id="270"/>
    <w:p>
      <w:pPr>
        <w:ind w:left="920" w:firstLine="655"/>
        <w:spacing w:after="0" w:line="347" w:lineRule="auto"/>
        <w:tabs>
          <w:tab w:leader="none" w:pos="24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definition of “Required Lenders”, “Required Facility Lenders” or “Pro Rata Share” or </w:t>
      </w:r>
      <w:r>
        <w:rPr>
          <w:rFonts w:ascii="Arial" w:cs="Arial" w:eastAsia="Arial" w:hAnsi="Arial"/>
          <w:sz w:val="18"/>
          <w:szCs w:val="18"/>
          <w:u w:val="single" w:color="auto"/>
          <w:color w:val="auto"/>
        </w:rPr>
        <w:t>Section 2.06(c)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without the written consent of each Lender directly affected thereby;</w:t>
      </w:r>
    </w:p>
    <w:p>
      <w:pPr>
        <w:spacing w:after="0" w:line="130" w:lineRule="exact"/>
        <w:rPr>
          <w:rFonts w:ascii="Arial" w:cs="Arial" w:eastAsia="Arial" w:hAnsi="Arial"/>
          <w:sz w:val="18"/>
          <w:szCs w:val="18"/>
          <w:color w:val="auto"/>
        </w:rPr>
      </w:pPr>
    </w:p>
    <w:p>
      <w:pPr>
        <w:ind w:left="920" w:firstLine="655"/>
        <w:spacing w:after="0" w:line="289" w:lineRule="auto"/>
        <w:tabs>
          <w:tab w:leader="none" w:pos="2436" w:val="left"/>
        </w:tabs>
        <w:numPr>
          <w:ilvl w:val="0"/>
          <w:numId w:val="277"/>
        </w:numPr>
        <w:rPr>
          <w:rFonts w:ascii="Arial" w:cs="Arial" w:eastAsia="Arial" w:hAnsi="Arial"/>
          <w:sz w:val="20"/>
          <w:szCs w:val="20"/>
          <w:color w:val="auto"/>
        </w:rPr>
      </w:pPr>
      <w:r>
        <w:rPr>
          <w:rFonts w:ascii="Arial" w:cs="Arial" w:eastAsia="Arial" w:hAnsi="Arial"/>
          <w:sz w:val="20"/>
          <w:szCs w:val="20"/>
          <w:color w:val="auto"/>
        </w:rPr>
        <w:t xml:space="preserve">other than in connection with a transaction permitted under </w:t>
      </w:r>
      <w:r>
        <w:rPr>
          <w:rFonts w:ascii="Arial" w:cs="Arial" w:eastAsia="Arial" w:hAnsi="Arial"/>
          <w:sz w:val="20"/>
          <w:szCs w:val="20"/>
          <w:u w:val="single" w:color="auto"/>
          <w:color w:val="auto"/>
        </w:rPr>
        <w:t>Section 7.05</w:t>
      </w:r>
      <w:r>
        <w:rPr>
          <w:rFonts w:ascii="Arial" w:cs="Arial" w:eastAsia="Arial" w:hAnsi="Arial"/>
          <w:sz w:val="20"/>
          <w:szCs w:val="20"/>
          <w:color w:val="auto"/>
        </w:rPr>
        <w:t>, release all or substantially all of the Collateral in any transaction or series of related transactions, without the written consent of each Lender;</w:t>
      </w:r>
    </w:p>
    <w:p>
      <w:pPr>
        <w:spacing w:after="0" w:line="188" w:lineRule="exact"/>
        <w:rPr>
          <w:rFonts w:ascii="Arial" w:cs="Arial" w:eastAsia="Arial" w:hAnsi="Arial"/>
          <w:sz w:val="20"/>
          <w:szCs w:val="20"/>
          <w:color w:val="auto"/>
        </w:rPr>
      </w:pPr>
    </w:p>
    <w:p>
      <w:pPr>
        <w:ind w:left="920" w:firstLine="655"/>
        <w:spacing w:after="0" w:line="289" w:lineRule="auto"/>
        <w:tabs>
          <w:tab w:leader="none" w:pos="2414" w:val="left"/>
        </w:tabs>
        <w:numPr>
          <w:ilvl w:val="0"/>
          <w:numId w:val="277"/>
        </w:numPr>
        <w:rPr>
          <w:rFonts w:ascii="Arial" w:cs="Arial" w:eastAsia="Arial" w:hAnsi="Arial"/>
          <w:sz w:val="20"/>
          <w:szCs w:val="20"/>
          <w:color w:val="auto"/>
        </w:rPr>
      </w:pPr>
      <w:r>
        <w:rPr>
          <w:rFonts w:ascii="Arial" w:cs="Arial" w:eastAsia="Arial" w:hAnsi="Arial"/>
          <w:sz w:val="20"/>
          <w:szCs w:val="20"/>
          <w:color w:val="auto"/>
        </w:rPr>
        <w:t xml:space="preserve">other than in connection with a transaction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release all or substantially all of the aggregate value of the Guarantees, without the written consent of each Lender;</w:t>
      </w:r>
    </w:p>
    <w:p>
      <w:pPr>
        <w:spacing w:after="0" w:line="188" w:lineRule="exact"/>
        <w:rPr>
          <w:rFonts w:ascii="Arial" w:cs="Arial" w:eastAsia="Arial" w:hAnsi="Arial"/>
          <w:sz w:val="20"/>
          <w:szCs w:val="20"/>
          <w:color w:val="auto"/>
        </w:rPr>
      </w:pPr>
    </w:p>
    <w:p>
      <w:pPr>
        <w:jc w:val="both"/>
        <w:ind w:left="920" w:firstLine="655"/>
        <w:spacing w:after="0" w:line="302" w:lineRule="auto"/>
        <w:tabs>
          <w:tab w:leader="none" w:pos="244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amend, waive or otherwise modify any term or provision (including the waiver of any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to any Credit Extension under one or more Revolving Credit Facilities) which directly affects Lenders under one or more Revolving Credit Facilities and does not directly affect Lenders under any other Facilities, in each case, (i) for matters that would otherwise require the written consent of the Required Lenders, without the written consent of the Required Facility Lenders under such applicable Revolving Credit Facility or Facilities with respect to Revolving Credit Commitments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Revolving Credit Facility or Facilities with respect to Revolving Credit Commitments (and in the case of multiple Facilities which are affected, such Required Facility Lenders shall consent together as one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waivers described in this clause (g) shall not require the consent of any Lenders other than the Required Facility Lenders under such Facility or Facilities with respect to Revolving Credit Commitments (it being understood that any amendment to the conditions of effectiveness of Incremental Commitments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be subject to clause (i) below);</w:t>
      </w:r>
    </w:p>
    <w:p>
      <w:pPr>
        <w:spacing w:after="0" w:line="183" w:lineRule="exact"/>
        <w:rPr>
          <w:rFonts w:ascii="Arial" w:cs="Arial" w:eastAsia="Arial" w:hAnsi="Arial"/>
          <w:sz w:val="18"/>
          <w:szCs w:val="18"/>
          <w:color w:val="auto"/>
        </w:rPr>
      </w:pPr>
    </w:p>
    <w:p>
      <w:pPr>
        <w:jc w:val="both"/>
        <w:ind w:left="920" w:firstLine="655"/>
        <w:spacing w:after="0" w:line="285" w:lineRule="auto"/>
        <w:tabs>
          <w:tab w:leader="none" w:pos="2447"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amend, waive or otherwise modify any term or provision which directly affects Lenders under one or more Term Facilities and does not directly affect Lenders under any other Facilities, in each case, (i) for matters that would otherwise require the written consent of the Required Lenders, without the written consent of the Required Facility Lenders under such applicable Term Facility or Facilities with respect to Term Commitments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Term Facility or Facilities with respect to Term Commitments (and in the case of multiple Facilities which are affected, such Required Facility Lenders shall consent together as one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waivers described in this clause (h) shall not require the consent of any Lenders other than the Required Facility Lenders under such Facility or Facilities with respect to Term Commitments (it being understood that any amendment to the conditions of effectiveness of Incremental Commitments set forth in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shall be subject to clause (i) below);</w:t>
      </w:r>
    </w:p>
    <w:p>
      <w:pPr>
        <w:spacing w:after="0" w:line="184" w:lineRule="exact"/>
        <w:rPr>
          <w:rFonts w:ascii="Arial" w:cs="Arial" w:eastAsia="Arial" w:hAnsi="Arial"/>
          <w:sz w:val="19"/>
          <w:szCs w:val="19"/>
          <w:color w:val="auto"/>
        </w:rPr>
      </w:pPr>
    </w:p>
    <w:p>
      <w:pPr>
        <w:jc w:val="both"/>
        <w:ind w:left="920" w:firstLine="655"/>
        <w:spacing w:after="0" w:line="293" w:lineRule="auto"/>
        <w:tabs>
          <w:tab w:leader="none" w:pos="2403"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amend, waive or otherwise modify any term or provision (including the availability and conditions to funding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with respect to Incremental Term Loans and the rate of interest applicable thereto) which directly affects Lenders of one or more Incremental Term Loans and does not directly affect Lenders under any other Facility, in each case, (i) for matters that would otherwise require the written consent of the Required Lenders, without the written consent of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71" w:name="page272"/>
    <w:bookmarkEnd w:id="271"/>
    <w:p>
      <w:pPr>
        <w:jc w:val="both"/>
        <w:ind w:left="920"/>
        <w:spacing w:after="0" w:line="307" w:lineRule="auto"/>
        <w:rPr>
          <w:sz w:val="20"/>
          <w:szCs w:val="20"/>
          <w:color w:val="auto"/>
        </w:rPr>
      </w:pPr>
      <w:r>
        <w:rPr>
          <w:rFonts w:ascii="Arial" w:cs="Arial" w:eastAsia="Arial" w:hAnsi="Arial"/>
          <w:sz w:val="18"/>
          <w:szCs w:val="18"/>
          <w:color w:val="auto"/>
        </w:rPr>
        <w:t xml:space="preserve">Required Facility Lenders under such applicable Incremental Term Loans (and in the case of multiple Facilities which are affected, such Required Facility Lenders shall consent together as one Facility) and (ii) for matters that would otherwise require the consent of each Lender, without the written consent of each directly and adversely affected Lender under such applicable Incremental Term Loans (and in the case of multiple Facilities which are affected, such Required Facility Lenders shall consent together as one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permitted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the waivers described in this clause (i) shall only require the consent of the Required Facility Lenders under such applicable Incremental Term Loans; or</w:t>
      </w:r>
    </w:p>
    <w:p>
      <w:pPr>
        <w:spacing w:after="0" w:line="181" w:lineRule="exact"/>
        <w:rPr>
          <w:sz w:val="20"/>
          <w:szCs w:val="20"/>
          <w:color w:val="auto"/>
        </w:rPr>
      </w:pPr>
    </w:p>
    <w:p>
      <w:pPr>
        <w:ind w:left="920" w:firstLine="655"/>
        <w:spacing w:after="0" w:line="289" w:lineRule="auto"/>
        <w:tabs>
          <w:tab w:leader="none" w:pos="2403" w:val="left"/>
        </w:tabs>
        <w:numPr>
          <w:ilvl w:val="0"/>
          <w:numId w:val="278"/>
        </w:numPr>
        <w:rPr>
          <w:rFonts w:ascii="Arial" w:cs="Arial" w:eastAsia="Arial" w:hAnsi="Arial"/>
          <w:sz w:val="20"/>
          <w:szCs w:val="20"/>
          <w:color w:val="auto"/>
        </w:rPr>
      </w:pPr>
      <w:r>
        <w:rPr>
          <w:rFonts w:ascii="Arial" w:cs="Arial" w:eastAsia="Arial" w:hAnsi="Arial"/>
          <w:sz w:val="20"/>
          <w:szCs w:val="20"/>
          <w:color w:val="auto"/>
        </w:rPr>
        <w:t xml:space="preserve">except as expressly permitted by </w:t>
      </w:r>
      <w:r>
        <w:rPr>
          <w:rFonts w:ascii="Arial" w:cs="Arial" w:eastAsia="Arial" w:hAnsi="Arial"/>
          <w:sz w:val="20"/>
          <w:szCs w:val="20"/>
          <w:u w:val="single" w:color="auto"/>
          <w:color w:val="auto"/>
        </w:rPr>
        <w:t>Section 7.04(d)</w:t>
      </w:r>
      <w:r>
        <w:rPr>
          <w:rFonts w:ascii="Arial" w:cs="Arial" w:eastAsia="Arial" w:hAnsi="Arial"/>
          <w:sz w:val="20"/>
          <w:szCs w:val="20"/>
          <w:color w:val="auto"/>
        </w:rPr>
        <w:t>, consent to the assignment or transfer by any Borrower of any of its rights or obligations under this Agreement or any other Loan Document;</w:t>
      </w:r>
    </w:p>
    <w:p>
      <w:pPr>
        <w:spacing w:after="0" w:line="175" w:lineRule="exact"/>
        <w:rPr>
          <w:sz w:val="20"/>
          <w:szCs w:val="20"/>
          <w:color w:val="auto"/>
        </w:rPr>
      </w:pPr>
    </w:p>
    <w:p>
      <w:pPr>
        <w:jc w:val="both"/>
        <w:ind w:left="280"/>
        <w:spacing w:after="0" w:line="269"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amendment, waiver or consent shall, unless in writing and signed by each L/C Issuer in addition to the Lenders required above, affect the rights or duties of an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w:t>
      </w:r>
      <w:r>
        <w:rPr>
          <w:rFonts w:ascii="Arial" w:cs="Arial" w:eastAsia="Arial" w:hAnsi="Arial"/>
          <w:sz w:val="18"/>
          <w:szCs w:val="18"/>
          <w:u w:val="single" w:color="auto"/>
          <w:color w:val="auto"/>
        </w:rPr>
        <w:t>Section 10.07(h)</w:t>
      </w:r>
      <w:r>
        <w:rPr>
          <w:rFonts w:ascii="Arial" w:cs="Arial" w:eastAsia="Arial" w:hAnsi="Arial"/>
          <w:sz w:val="18"/>
          <w:szCs w:val="18"/>
          <w:color w:val="auto"/>
        </w:rPr>
        <w:t xml:space="preserve"> may not be amended, waived or otherwise modified without the consent of each Granting Lender all or any part of whose Loans are being funded by an SPC at the time of such amendment, waiver or other modification; (v) the consent of Lenders holding more than 50% of any Class of Commitments shall be required with respect to any amendment that by its terms adversely affects the rights of such Class in respect of payments hereunder in a manner different than such amendment affects other Classes; and (vi) the Administrative Agent and the Borrower may, without the consent of any Lender, enter into amendments or modifications to this Agreement or any of the other Loan Documents or to enter into additional Loan Documents as the Administrative Agent reasonably deems appropriate in order to implement any Replacement Rate or otherwise effectuate the terms of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in accordance with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3.03(b)</w:t>
      </w:r>
      <w:r>
        <w:rPr>
          <w:rFonts w:ascii="Arial" w:cs="Arial" w:eastAsia="Arial" w:hAnsi="Arial"/>
          <w:sz w:val="18"/>
          <w:szCs w:val="18"/>
          <w:color w:val="auto"/>
        </w:rPr>
        <w:t xml:space="preserve">. Any such waiver and any such amendment, modification or supplement in accordance with the terms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shall apply equally to each of the Lenders and shall be binding on the Loan Parties, the Lenders, the Agents and all future holders of the Loans and Commitments. Notwithstanding anything to the contrary herein, no Defaulting Lender shall have any right to approve or disapprove any amendment, waiver or consent hereunder, except that the Commitment of such Lender may not be increased or extended without the consent of such Lender (it being understood that any Commitments or Loans held or deemed held by any Defaulting Lender shall be excluded for a vote of the Lenders hereunder requiring any consent of the Lenders).</w:t>
      </w:r>
    </w:p>
    <w:p>
      <w:pPr>
        <w:spacing w:after="0" w:line="184"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No Lender consent is required to effect any amendment or supplement to any First Lien Intercreditor Agreement or other intercreditor agreement or arrangement permitted under this Agreement (i) that is for the purpose of adding the holders of Permitted Pari Passu Secured Refinancing Debt, secured Incremental Equivalent Debt or other secured Indebtedness permitted to be incurred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7.03</w:t>
      </w:r>
      <w:r>
        <w:rPr>
          <w:rFonts w:ascii="Arial" w:cs="Arial" w:eastAsia="Arial" w:hAnsi="Arial"/>
          <w:sz w:val="19"/>
          <w:szCs w:val="19"/>
          <w:color w:val="auto"/>
        </w:rPr>
        <w:t xml:space="preserve"> (or a Senior Representative with respect thereto) as parties thereto, as expressly contemplated by the terms of such First Lien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other changes are not adverse, in any material respect, to the interests of the Lenders) or (ii) that is expressly contemplated by any First Lien Intercreditor Agreement or other intercreditor agreement or arrangement permitted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such agreement shall amend, modify or otherwise affect the rights or duties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72" w:name="page273"/>
    <w:bookmarkEnd w:id="272"/>
    <w:p>
      <w:pPr>
        <w:ind w:left="280"/>
        <w:spacing w:after="0"/>
        <w:rPr>
          <w:sz w:val="20"/>
          <w:szCs w:val="20"/>
          <w:color w:val="auto"/>
        </w:rPr>
      </w:pPr>
      <w:r>
        <w:rPr>
          <w:rFonts w:ascii="Arial" w:cs="Arial" w:eastAsia="Arial" w:hAnsi="Arial"/>
          <w:sz w:val="19"/>
          <w:szCs w:val="19"/>
          <w:color w:val="auto"/>
        </w:rPr>
        <w:t>Administrative Agent hereunder or under any other Loan Document without the prior written consent of the Administrative Agent.</w:t>
      </w:r>
    </w:p>
    <w:p>
      <w:pPr>
        <w:spacing w:after="0" w:line="241"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Notwithstanding the foregoing, this Agreement may be amended (or amended and restated) with the written consent of the Required Lenders, the Administrative Agent and each Borrower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and the Revolving Credit Loans and the accrued interest and fees in respect thereof and (b) to include appropriately the Lenders holding such credit facilities in any determination of the Required Lenders.</w:t>
      </w:r>
    </w:p>
    <w:p>
      <w:pPr>
        <w:spacing w:after="0" w:line="210"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If the Administrative Agent and the Borrowers shall have jointly identified an obvious error (including, but not limited to, an incorrect cross-reference) or any error or omission of a technical or immaterial nature, in each case, in any provision of this Agreement or any other Loan Document (including, for the avoidance of doubt, any exhibit, schedule or other attachment to any Loan Document), then the Administrative Agent (acting in its sole discretion) and the Borrowers or any other relevant Loan Party shall be permitted to amend such provision and such amendment shall become effective without any further action or consent of any other party to any Loan Document. Notification of such amendment shall be made by the Administrative Agent to the Lenders promptly upon such amendment becoming effective.</w:t>
      </w:r>
    </w:p>
    <w:p>
      <w:pPr>
        <w:spacing w:after="0" w:line="193"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6"/>
          <w:szCs w:val="16"/>
          <w:u w:val="single" w:color="auto"/>
          <w:color w:val="auto"/>
        </w:rPr>
        <w:t>Notices and Other Communications; Facsimile Copies</w:t>
      </w:r>
      <w:r>
        <w:rPr>
          <w:rFonts w:ascii="Arial" w:cs="Arial" w:eastAsia="Arial" w:hAnsi="Arial"/>
          <w:sz w:val="16"/>
          <w:szCs w:val="16"/>
          <w:color w:val="auto"/>
        </w:rPr>
        <w:t>.</w:t>
      </w:r>
    </w:p>
    <w:p>
      <w:pPr>
        <w:spacing w:after="0" w:line="229" w:lineRule="exact"/>
        <w:rPr>
          <w:sz w:val="20"/>
          <w:szCs w:val="20"/>
          <w:color w:val="auto"/>
        </w:rPr>
      </w:pPr>
    </w:p>
    <w:p>
      <w:pPr>
        <w:jc w:val="both"/>
        <w:ind w:left="280" w:firstLine="646"/>
        <w:spacing w:after="0" w:line="314" w:lineRule="auto"/>
        <w:tabs>
          <w:tab w:leader="none" w:pos="1796"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2" w:lineRule="exact"/>
        <w:rPr>
          <w:rFonts w:ascii="Arial" w:cs="Arial" w:eastAsia="Arial" w:hAnsi="Arial"/>
          <w:sz w:val="18"/>
          <w:szCs w:val="18"/>
          <w:color w:val="auto"/>
        </w:rPr>
      </w:pPr>
    </w:p>
    <w:p>
      <w:pPr>
        <w:jc w:val="both"/>
        <w:ind w:left="1500" w:firstLine="642"/>
        <w:spacing w:after="0" w:line="274" w:lineRule="auto"/>
        <w:tabs>
          <w:tab w:leader="none" w:pos="2956" w:val="left"/>
        </w:tabs>
        <w:numPr>
          <w:ilvl w:val="1"/>
          <w:numId w:val="279"/>
        </w:numPr>
        <w:rPr>
          <w:rFonts w:ascii="Arial" w:cs="Arial" w:eastAsia="Arial" w:hAnsi="Arial"/>
          <w:sz w:val="20"/>
          <w:szCs w:val="20"/>
          <w:color w:val="auto"/>
        </w:rPr>
      </w:pPr>
      <w:r>
        <w:rPr>
          <w:rFonts w:ascii="Arial" w:cs="Arial" w:eastAsia="Arial" w:hAnsi="Arial"/>
          <w:sz w:val="20"/>
          <w:szCs w:val="20"/>
          <w:color w:val="auto"/>
        </w:rPr>
        <w:t xml:space="preserve">if to any Borrower, the Administrative Agent, an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or to such other address, facsimile number, electronic mail address or telephone number as shall be designated by such party in a notice to the other parties; and</w:t>
      </w:r>
    </w:p>
    <w:p>
      <w:pPr>
        <w:spacing w:after="0" w:line="206" w:lineRule="exact"/>
        <w:rPr>
          <w:sz w:val="20"/>
          <w:szCs w:val="20"/>
          <w:color w:val="auto"/>
        </w:rPr>
      </w:pPr>
    </w:p>
    <w:p>
      <w:pPr>
        <w:jc w:val="both"/>
        <w:ind w:left="1500" w:firstLine="642"/>
        <w:spacing w:after="0" w:line="274" w:lineRule="auto"/>
        <w:tabs>
          <w:tab w:leader="none" w:pos="2956" w:val="left"/>
        </w:tabs>
        <w:numPr>
          <w:ilvl w:val="0"/>
          <w:numId w:val="280"/>
        </w:numPr>
        <w:rPr>
          <w:rFonts w:ascii="Arial" w:cs="Arial" w:eastAsia="Arial" w:hAnsi="Arial"/>
          <w:sz w:val="20"/>
          <w:szCs w:val="20"/>
          <w:color w:val="auto"/>
        </w:rPr>
      </w:pPr>
      <w:r>
        <w:rPr>
          <w:rFonts w:ascii="Arial" w:cs="Arial" w:eastAsia="Arial" w:hAnsi="Arial"/>
          <w:sz w:val="20"/>
          <w:szCs w:val="20"/>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a Borrower, the Administrative Agent, the L/C Issuers and the Swing Line Lender.</w:t>
      </w:r>
    </w:p>
    <w:p>
      <w:pPr>
        <w:spacing w:after="0" w:line="192" w:lineRule="exact"/>
        <w:rPr>
          <w:sz w:val="20"/>
          <w:szCs w:val="20"/>
          <w:color w:val="auto"/>
        </w:rPr>
      </w:pPr>
    </w:p>
    <w:p>
      <w:pPr>
        <w:jc w:val="both"/>
        <w:ind w:left="280"/>
        <w:spacing w:after="0" w:line="258" w:lineRule="auto"/>
        <w:rPr>
          <w:sz w:val="20"/>
          <w:szCs w:val="20"/>
          <w:color w:val="auto"/>
        </w:rPr>
      </w:pPr>
      <w:r>
        <w:rPr>
          <w:rFonts w:ascii="Arial" w:cs="Arial" w:eastAsia="Arial" w:hAnsi="Arial"/>
          <w:sz w:val="19"/>
          <w:szCs w:val="19"/>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when delivered;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and other communications to the Administrative Agent, the L/C Issuers and the Swing Line Lender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shall not be effective until actually received by such Person. In no event shall a voice mail message be effective as a notice, communication or confirmation 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73" w:name="page274"/>
    <w:bookmarkEnd w:id="273"/>
    <w:p>
      <w:pPr>
        <w:jc w:val="both"/>
        <w:ind w:left="280" w:firstLine="646"/>
        <w:spacing w:after="0" w:line="274" w:lineRule="auto"/>
        <w:tabs>
          <w:tab w:leader="none" w:pos="1807"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Effectiveness of Facsimile Documents and Electronic Transmission and Signatures</w:t>
      </w:r>
      <w:r>
        <w:rPr>
          <w:rFonts w:ascii="Arial" w:cs="Arial" w:eastAsia="Arial" w:hAnsi="Arial"/>
          <w:sz w:val="20"/>
          <w:szCs w:val="20"/>
          <w:color w:val="auto"/>
        </w:rPr>
        <w:t>. Loan Documents may be transmitted and/or signed by facsimile or electronic format (i.e. “tif” or “pdf”). The effectiveness of any such documents and signatures shall, subject to applicable Law, have the same force and effect as manually signed originals and shall be binding on all Loan Parties, the Agents and the Lenders.</w:t>
      </w:r>
    </w:p>
    <w:p>
      <w:pPr>
        <w:spacing w:after="0" w:line="192" w:lineRule="exact"/>
        <w:rPr>
          <w:rFonts w:ascii="Arial" w:cs="Arial" w:eastAsia="Arial" w:hAnsi="Arial"/>
          <w:sz w:val="20"/>
          <w:szCs w:val="20"/>
          <w:color w:val="auto"/>
        </w:rPr>
      </w:pPr>
    </w:p>
    <w:p>
      <w:pPr>
        <w:jc w:val="both"/>
        <w:ind w:left="280" w:firstLine="646"/>
        <w:spacing w:after="0" w:line="270" w:lineRule="auto"/>
        <w:tabs>
          <w:tab w:leader="none" w:pos="1796" w:val="left"/>
        </w:tabs>
        <w:numPr>
          <w:ilvl w:val="0"/>
          <w:numId w:val="281"/>
        </w:numPr>
        <w:rPr>
          <w:rFonts w:ascii="Arial" w:cs="Arial" w:eastAsia="Arial" w:hAnsi="Arial"/>
          <w:sz w:val="20"/>
          <w:szCs w:val="20"/>
          <w:color w:val="auto"/>
        </w:rPr>
      </w:pPr>
      <w:r>
        <w:rPr>
          <w:rFonts w:ascii="Arial" w:cs="Arial" w:eastAsia="Arial" w:hAnsi="Arial"/>
          <w:sz w:val="20"/>
          <w:szCs w:val="20"/>
          <w:u w:val="single" w:color="auto"/>
          <w:color w:val="auto"/>
        </w:rPr>
        <w:t>Reliance by Agents and Lenders</w:t>
      </w:r>
      <w:r>
        <w:rPr>
          <w:rFonts w:ascii="Arial" w:cs="Arial" w:eastAsia="Arial" w:hAnsi="Arial"/>
          <w:sz w:val="20"/>
          <w:szCs w:val="20"/>
          <w:color w:val="auto"/>
        </w:rPr>
        <w:t>. The Administrative Agent and the Lenders shall be entitled to rely and act upon any notices (including telephonic Committed Loan Notices and Swing Line Loan Notices) purportedly given by or on behalf of the Company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each Agent-Related Person and each Lender from all losses, costs, expenses and liabilities resulting from the reliance by such Person on each notice purportedly given by or on behalf of the Company in the absence of gross negligence or willful misconduct. All telephonic notices to the Administrative Agent may be recorded by the Administrative Agent, and each of the parties hereto hereby consents to such recording.</w:t>
      </w:r>
    </w:p>
    <w:p>
      <w:pPr>
        <w:spacing w:after="0" w:line="199"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10.03 </w:t>
      </w:r>
      <w:r>
        <w:rPr>
          <w:rFonts w:ascii="Arial" w:cs="Arial" w:eastAsia="Arial" w:hAnsi="Arial"/>
          <w:sz w:val="20"/>
          <w:szCs w:val="20"/>
          <w:u w:val="single" w:color="auto"/>
          <w:color w:val="auto"/>
        </w:rPr>
        <w:t>No Waiver; Cumulative Remedies</w:t>
      </w:r>
      <w:r>
        <w:rPr>
          <w:rFonts w:ascii="Arial" w:cs="Arial" w:eastAsia="Arial" w:hAnsi="Arial"/>
          <w:sz w:val="20"/>
          <w:szCs w:val="20"/>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10"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Attorney Costs, Expenses and Taxes</w:t>
      </w:r>
      <w:r>
        <w:rPr>
          <w:rFonts w:ascii="Arial" w:cs="Arial" w:eastAsia="Arial" w:hAnsi="Arial"/>
          <w:sz w:val="18"/>
          <w:szCs w:val="18"/>
          <w:color w:val="auto"/>
        </w:rPr>
        <w:t xml:space="preserve">. Each Borrower agrees (a) if the Closing Date occurs, to pay or reimburse the Administrative Agent, each Co-Syndication Agent, each Co- Documentation Agent and the Joint Lead Arrangers for all reasonable and documented out-of-pocket costs and expenses incurred (promptly following written demand therefor, together with backup documentation supporting such reimbursement request) in connection with the preparation, negotiation, syndication and execution of this Agreement and the other Loan Documents, and any amendment, waiver, consent or other modification of the provisions hereof and thereof (whether or not the transactions contemplated thereby are consummated), and the consummation and administration of the transactions contemplated hereby and thereby, including all Attorney Costs, which shall be limited to McGuireWoods LLP and, if necessary, one firm of local counsel in any relevant jurisdiction, and (b) after the Closing Date, upon presentation of a summary statement, together with any supporting documentation reasonably requested by the Borrowers, to promptly pay or reimburse the Administrative Agent, each Co-Syndication Agent, each Co-Documentation Agent, the Joint Lead Arrangers and each Lender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including all Attorney Costs, which shall be limited to Attorney Costs of one counsel to the Administrative Agent and the Lenders taken as a whole (and, if necessary, one firm of local counsel to the Administrative Agent and the Lenders taken as a whole in any relevant jurisdiction and, solely in the event of any actual or potential conflict of interest, one additional counsel in each relevant jurisdiction to each group of similarly situated affected persons taken as a whole)).The agreements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survive the termination of the Aggregate Commitments and repayment of all other Obligations.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paid within thirty (30) days of receipt by the Borrowers of an invoice relating thereto setting forth such expenses in reasonable detail;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Closing Date,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paid on the Closing Date to the extent invoiced to the Borrowers within three (3) Business Days prior to the Closing Date. If any Loan Party fails to pay when due any costs, expenses or other amounts payable by it hereunder or under any Loan Document, such amount may be paid on behalf of such Loan Party by the Administrative Agent in its sole discretion.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not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74" w:name="page275"/>
    <w:bookmarkEnd w:id="274"/>
    <w:p>
      <w:pPr>
        <w:jc w:val="both"/>
        <w:ind w:left="280"/>
        <w:spacing w:after="0" w:line="260" w:lineRule="auto"/>
        <w:rPr>
          <w:sz w:val="20"/>
          <w:szCs w:val="20"/>
          <w:color w:val="auto"/>
        </w:rPr>
      </w:pPr>
      <w:r>
        <w:rPr>
          <w:rFonts w:ascii="Arial" w:cs="Arial" w:eastAsia="Arial" w:hAnsi="Arial"/>
          <w:sz w:val="20"/>
          <w:szCs w:val="20"/>
          <w:color w:val="auto"/>
        </w:rPr>
        <w:t xml:space="preserve">apply to Indemnified Taxes or Excluded Taxes, which, in each case, shall be governed by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also shall not apply to taxes covered by </w:t>
      </w:r>
      <w:r>
        <w:rPr>
          <w:rFonts w:ascii="Arial" w:cs="Arial" w:eastAsia="Arial" w:hAnsi="Arial"/>
          <w:sz w:val="20"/>
          <w:szCs w:val="20"/>
          <w:u w:val="single" w:color="auto"/>
          <w:color w:val="auto"/>
        </w:rPr>
        <w:t>Section 3.04</w:t>
      </w:r>
      <w:r>
        <w:rPr>
          <w:rFonts w:ascii="Arial" w:cs="Arial" w:eastAsia="Arial" w:hAnsi="Arial"/>
          <w:sz w:val="20"/>
          <w:szCs w:val="20"/>
          <w:color w:val="auto"/>
        </w:rPr>
        <w:t>.</w:t>
      </w:r>
    </w:p>
    <w:p>
      <w:pPr>
        <w:spacing w:after="0" w:line="177"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Whether or not the transactions contemplated hereby are consummated, each Borrower shall indemnify and hold harmless each Agent-Related Person, each Lender and their respective Affiliates, directors, officers, employees, counsel, agents, trustees, investment advisors and attorneys-in-fact (collectively the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liabilities, obligations, losses, damages, penalties, claims, demands, actions, judgments, suits, costs, expenses and disbursements (including Attorney Costs,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of Hazardous Materials on or from any property currently or formerly owned or operated by any Borrower, any Subsidiary or any other Loan Party, or any Environmental Liability related in any way to any Borrower, any Subsidiary or any other Loan Party,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in all cases, whether or not caused by or arising, in whole or in part, out of the negligence of the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liabilities, obligations, losses, damages, penalties, claims, demands, actions, judgments, suits, costs, expenses or disbursements resulted from the gross negligence, bad faith or willful misconduct of, or material breach of Loan Document by, such Indemnitee or of any affiliate, director, officer, employee, counsel, agent or attorney-in-fact of such Indemnitee as determined by a court of competent jurisdiction in a final and non-appealable decision. No Indemnitee shall be liable for any damages arising from the use by others of any information or other materials obtained through IntraLinks or other similar information transmission systems in connection with this Agreement (except for damages resulting from the gross negligence, bad faith or willful misconduct, as determined by a court of competent jurisdiction in a final and non-appealable decision, of any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be paid within ten (10) Business Days after demand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Indemnitee shall promptly refund such amount to the extent that there is a final judicial or arbitral determination that such Indemnitee was not entitled to indemnification or contribution rights with respect to such payment pursuant to the express terms of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shall survive the resignation of the Administrative Agent, the replacement of any Lender, the termination of the Aggregate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75" w:name="page276"/>
    <w:bookmarkEnd w:id="275"/>
    <w:p>
      <w:pPr>
        <w:jc w:val="both"/>
        <w:ind w:left="280"/>
        <w:spacing w:after="0" w:line="260" w:lineRule="auto"/>
        <w:rPr>
          <w:sz w:val="20"/>
          <w:szCs w:val="20"/>
          <w:color w:val="auto"/>
        </w:rPr>
      </w:pPr>
      <w:r>
        <w:rPr>
          <w:rFonts w:ascii="Arial" w:cs="Arial" w:eastAsia="Arial" w:hAnsi="Arial"/>
          <w:sz w:val="20"/>
          <w:szCs w:val="20"/>
          <w:color w:val="auto"/>
        </w:rPr>
        <w:t xml:space="preserve">Commitments and the repayment, satisfaction or discharge of all the other Obligations. This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shall not apply to Taxes, other than any Taxes that represent losses, claims, damages, etc. arising from any non-Tax claim.</w:t>
      </w:r>
    </w:p>
    <w:p>
      <w:pPr>
        <w:spacing w:after="0" w:line="190"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Section 10.06 </w:t>
      </w:r>
      <w:r>
        <w:rPr>
          <w:rFonts w:ascii="Arial" w:cs="Arial" w:eastAsia="Arial" w:hAnsi="Arial"/>
          <w:sz w:val="19"/>
          <w:szCs w:val="19"/>
          <w:u w:val="single" w:color="auto"/>
          <w:color w:val="auto"/>
        </w:rPr>
        <w:t>Payments Set Aside</w:t>
      </w:r>
      <w:r>
        <w:rPr>
          <w:rFonts w:ascii="Arial" w:cs="Arial" w:eastAsia="Arial" w:hAnsi="Arial"/>
          <w:sz w:val="19"/>
          <w:szCs w:val="19"/>
          <w:color w:val="auto"/>
        </w:rPr>
        <w:t xml:space="preserve">. To the extent that any payment by or on behalf of the Borrowers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interest thereon from the date of such demand to the date such payment is made at a rate per annum equal to the Federal Funds Rate from time to time in effect.</w:t>
      </w:r>
    </w:p>
    <w:p>
      <w:pPr>
        <w:spacing w:after="0" w:line="198"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(a)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each Lender (except as expressly permitted by </w:t>
      </w:r>
      <w:r>
        <w:rPr>
          <w:rFonts w:ascii="Arial" w:cs="Arial" w:eastAsia="Arial" w:hAnsi="Arial"/>
          <w:sz w:val="18"/>
          <w:szCs w:val="18"/>
          <w:u w:val="single" w:color="auto"/>
          <w:color w:val="auto"/>
        </w:rPr>
        <w:t>Section 7.04(d)</w:t>
      </w:r>
      <w:r>
        <w:rPr>
          <w:rFonts w:ascii="Arial" w:cs="Arial" w:eastAsia="Arial" w:hAnsi="Arial"/>
          <w:sz w:val="18"/>
          <w:szCs w:val="18"/>
          <w:color w:val="auto"/>
        </w:rPr>
        <w:t xml:space="preserve">)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Section 10.07(b)</w:t>
      </w:r>
      <w:r>
        <w:rPr>
          <w:rFonts w:ascii="Arial" w:cs="Arial" w:eastAsia="Arial" w:hAnsi="Arial"/>
          <w:sz w:val="18"/>
          <w:szCs w:val="18"/>
          <w:color w:val="auto"/>
        </w:rPr>
        <w:t xml:space="preserve">, (ii) by way of participation in accordance with the provisions of </w:t>
      </w:r>
      <w:r>
        <w:rPr>
          <w:rFonts w:ascii="Arial" w:cs="Arial" w:eastAsia="Arial" w:hAnsi="Arial"/>
          <w:sz w:val="18"/>
          <w:szCs w:val="18"/>
          <w:u w:val="single" w:color="auto"/>
          <w:color w:val="auto"/>
        </w:rPr>
        <w:t>Section 10.07(e)</w:t>
      </w:r>
      <w:r>
        <w:rPr>
          <w:rFonts w:ascii="Arial" w:cs="Arial" w:eastAsia="Arial" w:hAnsi="Arial"/>
          <w:sz w:val="18"/>
          <w:szCs w:val="18"/>
          <w:color w:val="auto"/>
        </w:rPr>
        <w:t xml:space="preserve">, (iii) by way of pledge or assignment of a security interest subject to the restrictions of </w:t>
      </w:r>
      <w:r>
        <w:rPr>
          <w:rFonts w:ascii="Arial" w:cs="Arial" w:eastAsia="Arial" w:hAnsi="Arial"/>
          <w:sz w:val="18"/>
          <w:szCs w:val="18"/>
          <w:u w:val="single" w:color="auto"/>
          <w:color w:val="auto"/>
        </w:rPr>
        <w:t>Section 10.07(g)</w:t>
      </w:r>
      <w:r>
        <w:rPr>
          <w:rFonts w:ascii="Arial" w:cs="Arial" w:eastAsia="Arial" w:hAnsi="Arial"/>
          <w:sz w:val="18"/>
          <w:szCs w:val="18"/>
          <w:color w:val="auto"/>
        </w:rPr>
        <w:t xml:space="preserve"> and (i) or (iv) to an SPC in accordance with the provisions of </w:t>
      </w:r>
      <w:r>
        <w:rPr>
          <w:rFonts w:ascii="Arial" w:cs="Arial" w:eastAsia="Arial" w:hAnsi="Arial"/>
          <w:sz w:val="18"/>
          <w:szCs w:val="18"/>
          <w:u w:val="single" w:color="auto"/>
          <w:color w:val="auto"/>
        </w:rPr>
        <w:t>Section 10.07(h)</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Section 10.07(f)</w:t>
      </w:r>
      <w:r>
        <w:rPr>
          <w:rFonts w:ascii="Arial" w:cs="Arial" w:eastAsia="Arial" w:hAnsi="Arial"/>
          <w:sz w:val="18"/>
          <w:szCs w:val="18"/>
          <w:color w:val="auto"/>
        </w:rPr>
        <w:t xml:space="preserve"> and, to the extent expressly contemplated hereby, the Indemnitees) any legal or equitable right, remedy or claim under or by reason of this Agreement.</w:t>
      </w:r>
    </w:p>
    <w:p>
      <w:pPr>
        <w:spacing w:after="0" w:line="202" w:lineRule="exact"/>
        <w:rPr>
          <w:sz w:val="20"/>
          <w:szCs w:val="20"/>
          <w:color w:val="auto"/>
        </w:rPr>
      </w:pPr>
    </w:p>
    <w:p>
      <w:pPr>
        <w:jc w:val="both"/>
        <w:ind w:left="280" w:firstLine="646"/>
        <w:spacing w:after="0" w:line="290" w:lineRule="auto"/>
        <w:tabs>
          <w:tab w:leader="none" w:pos="1807" w:val="left"/>
        </w:tabs>
        <w:numPr>
          <w:ilvl w:val="0"/>
          <w:numId w:val="282"/>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any Lender may assign to one or more assignees (other than to natural persons, the Company and its Subsidiaries and Affiliates, Disqualified Institutions and Defaulting Lenders) (“</w:t>
      </w:r>
      <w:r>
        <w:rPr>
          <w:rFonts w:ascii="Arial" w:cs="Arial" w:eastAsia="Arial" w:hAnsi="Arial"/>
          <w:sz w:val="19"/>
          <w:szCs w:val="19"/>
          <w:u w:val="single" w:color="auto"/>
          <w:color w:val="auto"/>
        </w:rPr>
        <w:t>Assignees</w:t>
      </w:r>
      <w:r>
        <w:rPr>
          <w:rFonts w:ascii="Arial" w:cs="Arial" w:eastAsia="Arial" w:hAnsi="Arial"/>
          <w:sz w:val="19"/>
          <w:szCs w:val="19"/>
          <w:color w:val="auto"/>
        </w:rPr>
        <w:t xml:space="preserve">”) all or a portion of its rights and obligations under this Agreement (including all or a portion of its Commitment and the Loans (including for purposes of this </w:t>
      </w:r>
      <w:r>
        <w:rPr>
          <w:rFonts w:ascii="Arial" w:cs="Arial" w:eastAsia="Arial" w:hAnsi="Arial"/>
          <w:sz w:val="19"/>
          <w:szCs w:val="19"/>
          <w:u w:val="single" w:color="auto"/>
          <w:color w:val="auto"/>
        </w:rPr>
        <w:t>Section 10.07(b)</w:t>
      </w:r>
      <w:r>
        <w:rPr>
          <w:rFonts w:ascii="Arial" w:cs="Arial" w:eastAsia="Arial" w:hAnsi="Arial"/>
          <w:sz w:val="19"/>
          <w:szCs w:val="19"/>
          <w:color w:val="auto"/>
        </w:rPr>
        <w:t>, participations in L/C Obligations and in Swing Line Loans) at the time owing to it) with the prior written consent (such consent not to be unreasonably withheld, delayed or conditioned) of:</w:t>
      </w:r>
    </w:p>
    <w:p>
      <w:pPr>
        <w:spacing w:after="0" w:line="179" w:lineRule="exact"/>
        <w:rPr>
          <w:rFonts w:ascii="Arial" w:cs="Arial" w:eastAsia="Arial" w:hAnsi="Arial"/>
          <w:sz w:val="19"/>
          <w:szCs w:val="19"/>
          <w:color w:val="auto"/>
        </w:rPr>
      </w:pPr>
    </w:p>
    <w:p>
      <w:pPr>
        <w:jc w:val="both"/>
        <w:ind w:left="2220" w:firstLine="651"/>
        <w:spacing w:after="0" w:line="287" w:lineRule="auto"/>
        <w:tabs>
          <w:tab w:leader="none" w:pos="3791" w:val="left"/>
        </w:tabs>
        <w:numPr>
          <w:ilvl w:val="1"/>
          <w:numId w:val="282"/>
        </w:numPr>
        <w:rPr>
          <w:rFonts w:ascii="Arial" w:cs="Arial" w:eastAsia="Arial" w:hAnsi="Arial"/>
          <w:sz w:val="19"/>
          <w:szCs w:val="19"/>
          <w:color w:val="auto"/>
        </w:rPr>
      </w:pPr>
      <w:r>
        <w:rPr>
          <w:rFonts w:ascii="Arial" w:cs="Arial" w:eastAsia="Arial" w:hAnsi="Arial"/>
          <w:sz w:val="19"/>
          <w:szCs w:val="19"/>
          <w:color w:val="auto"/>
        </w:rPr>
        <w:t xml:space="preserve">each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any Borrower shall be required for (i) an assignment of a Term Loan to a Lender, an Affiliate of a Lender, an Approved Fund, (ii) an assignment of a Revolving Credit Commitment to a Revolving Credit Lender or an Affiliate of a Revolving Credit Lender or an Approved Fund of a Revolving Credit Lender or (iii) if an Event of Default under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has occurred and is continuing, an assignment to any Assignee;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Borrower shall be deemed to have consented to any such assignment unless it shall object thereto by written notice to the Administrative Agent within 10 Business Days after having received notice thereof;</w:t>
      </w:r>
    </w:p>
    <w:p>
      <w:pPr>
        <w:spacing w:after="0" w:line="196" w:lineRule="exact"/>
        <w:rPr>
          <w:rFonts w:ascii="Arial" w:cs="Arial" w:eastAsia="Arial" w:hAnsi="Arial"/>
          <w:sz w:val="19"/>
          <w:szCs w:val="19"/>
          <w:color w:val="auto"/>
        </w:rPr>
      </w:pPr>
    </w:p>
    <w:p>
      <w:pPr>
        <w:ind w:left="2220" w:firstLine="651"/>
        <w:spacing w:after="0" w:line="289" w:lineRule="auto"/>
        <w:tabs>
          <w:tab w:leader="none" w:pos="3780" w:val="left"/>
        </w:tabs>
        <w:numPr>
          <w:ilvl w:val="1"/>
          <w:numId w:val="282"/>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(i) of all or any portion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76" w:name="page277"/>
    <w:bookmarkEnd w:id="276"/>
    <w:p>
      <w:pPr>
        <w:ind w:left="2220"/>
        <w:spacing w:after="0"/>
        <w:rPr>
          <w:sz w:val="20"/>
          <w:szCs w:val="20"/>
          <w:color w:val="auto"/>
        </w:rPr>
      </w:pPr>
      <w:r>
        <w:rPr>
          <w:rFonts w:ascii="Arial" w:cs="Arial" w:eastAsia="Arial" w:hAnsi="Arial"/>
          <w:sz w:val="19"/>
          <w:szCs w:val="19"/>
          <w:color w:val="auto"/>
        </w:rPr>
        <w:t>a Loan to a Lender, an Affiliate of a Lender or an Approved Fund or (ii) to an Agent or an Affiliate of an Agent;</w:t>
      </w:r>
    </w:p>
    <w:p>
      <w:pPr>
        <w:spacing w:after="0" w:line="268" w:lineRule="exact"/>
        <w:rPr>
          <w:sz w:val="20"/>
          <w:szCs w:val="20"/>
          <w:color w:val="auto"/>
        </w:rPr>
      </w:pPr>
    </w:p>
    <w:p>
      <w:pPr>
        <w:jc w:val="both"/>
        <w:ind w:left="2220" w:firstLine="651"/>
        <w:spacing w:after="0" w:line="278" w:lineRule="auto"/>
        <w:tabs>
          <w:tab w:leader="none" w:pos="378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 xml:space="preserve">each Principal L/C Issuer at the time of such assignment,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Principal L/C Issuers shall be required for any assignment of a Term Loan or any assignment to an Agent or an Affiliate of an Agent; and</w:t>
      </w:r>
    </w:p>
    <w:p>
      <w:pPr>
        <w:spacing w:after="0" w:line="200" w:lineRule="exact"/>
        <w:rPr>
          <w:rFonts w:ascii="Arial" w:cs="Arial" w:eastAsia="Arial" w:hAnsi="Arial"/>
          <w:sz w:val="20"/>
          <w:szCs w:val="20"/>
          <w:color w:val="auto"/>
        </w:rPr>
      </w:pPr>
    </w:p>
    <w:p>
      <w:pPr>
        <w:ind w:left="2220" w:firstLine="651"/>
        <w:spacing w:after="0" w:line="289" w:lineRule="auto"/>
        <w:tabs>
          <w:tab w:leader="none" w:pos="3791" w:val="left"/>
        </w:tabs>
        <w:numPr>
          <w:ilvl w:val="1"/>
          <w:numId w:val="283"/>
        </w:numPr>
        <w:rPr>
          <w:rFonts w:ascii="Arial" w:cs="Arial" w:eastAsia="Arial" w:hAnsi="Arial"/>
          <w:sz w:val="20"/>
          <w:szCs w:val="20"/>
          <w:color w:val="auto"/>
        </w:rPr>
      </w:pPr>
      <w:r>
        <w:rPr>
          <w:rFonts w:ascii="Arial" w:cs="Arial" w:eastAsia="Arial" w:hAnsi="Arial"/>
          <w:sz w:val="20"/>
          <w:szCs w:val="20"/>
          <w:color w:val="auto"/>
        </w:rPr>
        <w:t xml:space="preserve">the Swing Line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Swing Line Lender shall be required for any assignment of a Term Loan or any assignment to an Agent or an Affiliate of an Agent.</w:t>
      </w:r>
    </w:p>
    <w:p>
      <w:pPr>
        <w:spacing w:after="0" w:line="161" w:lineRule="exact"/>
        <w:rPr>
          <w:rFonts w:ascii="Arial" w:cs="Arial" w:eastAsia="Arial" w:hAnsi="Arial"/>
          <w:sz w:val="20"/>
          <w:szCs w:val="20"/>
          <w:color w:val="auto"/>
        </w:rPr>
      </w:pPr>
    </w:p>
    <w:p>
      <w:pPr>
        <w:ind w:left="2780" w:hanging="638"/>
        <w:spacing w:after="0"/>
        <w:tabs>
          <w:tab w:leader="none" w:pos="278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2" w:lineRule="exact"/>
        <w:rPr>
          <w:rFonts w:ascii="Arial" w:cs="Arial" w:eastAsia="Arial" w:hAnsi="Arial"/>
          <w:sz w:val="20"/>
          <w:szCs w:val="20"/>
          <w:color w:val="auto"/>
        </w:rPr>
      </w:pPr>
    </w:p>
    <w:p>
      <w:pPr>
        <w:jc w:val="both"/>
        <w:ind w:left="2220" w:firstLine="651"/>
        <w:spacing w:after="0" w:line="302" w:lineRule="auto"/>
        <w:tabs>
          <w:tab w:leader="none" w:pos="379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Approved Fund of a Lender or an assignment of the entire remaining amount of the assigning Lender’s Commitment or Loans of any Class, the amount of the Commitment or Loans of the assigning Lender subject to each such assignment (determined as of the date the Assignment and Assumption Agreement with respect to such assignment is delivered to the Administrative Agent) shall not be less than $5,000,000 unless each of the Borrowers and the Administrative Agent otherwise consents,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no such consent of the Borrowers shall be required if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has occurred and is continuing and (2) such amounts shall be aggregated in respect of each Lender and its Affiliates or Approved Funds, if 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each Borrower shall be deemed to have given its consent 10 Business Days after the date written notice thereof has been delivered by the assigning Lender (through the Administrative Agent) unless such consent is expressly refused by each Borrower prior to such 10th Business Day;</w:t>
      </w:r>
    </w:p>
    <w:p>
      <w:pPr>
        <w:spacing w:after="0" w:line="187" w:lineRule="exact"/>
        <w:rPr>
          <w:rFonts w:ascii="Arial" w:cs="Arial" w:eastAsia="Arial" w:hAnsi="Arial"/>
          <w:sz w:val="18"/>
          <w:szCs w:val="18"/>
          <w:color w:val="auto"/>
        </w:rPr>
      </w:pPr>
    </w:p>
    <w:p>
      <w:pPr>
        <w:jc w:val="both"/>
        <w:ind w:left="2220" w:firstLine="651"/>
        <w:spacing w:after="0" w:line="273" w:lineRule="auto"/>
        <w:tabs>
          <w:tab w:leader="none" w:pos="378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 xml:space="preserve">the parties to each assignment shall execute and deliver to the Administrative Agent an Assignment and Assumption Agreement, together with a processing and recordation fee of $3,500, unless waived or reduced by the Administrative Agent in its sole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only one such fee shall be payable in the event of simultaneous assignments from any Lender or its Approved Funds to one or more other Approved Funds; and</w:t>
      </w:r>
    </w:p>
    <w:p>
      <w:pPr>
        <w:spacing w:after="0" w:line="204" w:lineRule="exact"/>
        <w:rPr>
          <w:rFonts w:ascii="Arial" w:cs="Arial" w:eastAsia="Arial" w:hAnsi="Arial"/>
          <w:sz w:val="20"/>
          <w:szCs w:val="20"/>
          <w:color w:val="auto"/>
        </w:rPr>
      </w:pPr>
    </w:p>
    <w:p>
      <w:pPr>
        <w:ind w:left="2220" w:firstLine="651"/>
        <w:spacing w:after="0" w:line="289" w:lineRule="auto"/>
        <w:tabs>
          <w:tab w:leader="none" w:pos="3780" w:val="left"/>
        </w:tabs>
        <w:numPr>
          <w:ilvl w:val="1"/>
          <w:numId w:val="284"/>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w:t>
      </w:r>
    </w:p>
    <w:p>
      <w:pPr>
        <w:spacing w:after="0" w:line="175"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This paragraph (b) shall not prohibit any Lender from assigning all or a portion of its rights and obligations among separate Facilities on a non-pro rata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77" w:name="page278"/>
    <w:bookmarkEnd w:id="277"/>
    <w:p>
      <w:pPr>
        <w:jc w:val="both"/>
        <w:ind w:left="280" w:firstLine="646"/>
        <w:spacing w:after="0" w:line="344" w:lineRule="auto"/>
        <w:tabs>
          <w:tab w:leader="none" w:pos="179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Section 10.07(d)</w:t>
      </w:r>
      <w:r>
        <w:rPr>
          <w:rFonts w:ascii="Arial" w:cs="Arial" w:eastAsia="Arial" w:hAnsi="Arial"/>
          <w:sz w:val="16"/>
          <w:szCs w:val="16"/>
          <w:color w:val="auto"/>
        </w:rPr>
        <w:t xml:space="preserve">, from and after the effective date specified in each Assignment and Assumption Agreement, the Eligible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with respect to facts and circumstances occurring prior to the effective date of such assignment). Upon request, and the surrender by the assigning Lender of its Note, each Borrower (at its expense) shall execute and deliver a Note to the assignee Lender. Any assignment or transfer by a Lender of rights or obligations under this Agreement that does not comply with this clause (c)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Section 10.07(e)</w:t>
      </w:r>
      <w:r>
        <w:rPr>
          <w:rFonts w:ascii="Arial" w:cs="Arial" w:eastAsia="Arial" w:hAnsi="Arial"/>
          <w:sz w:val="16"/>
          <w:szCs w:val="16"/>
          <w:color w:val="auto"/>
        </w:rPr>
        <w:t xml:space="preserve"> (other than a purported assignment to a natural person, which shall be null and void).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jc w:val="both"/>
        <w:ind w:left="280" w:firstLine="646"/>
        <w:spacing w:after="0" w:line="302" w:lineRule="auto"/>
        <w:tabs>
          <w:tab w:leader="none" w:pos="180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The Administrative Agent, acting solely for this purpose as an agent of the Borrowers, shall maintain at the Administrative Agent’s Office a copy of each Assignment and Assumption Agreement delivered to it and a register for the recordation of the names and addresses of the Lenders, and the Commitments of, and principal amounts (and related interest amounts) of the Loans, L/C Obligations (specifying the Unreimbursed Amounts), L/C Borrowings and amounts due under </w:t>
      </w:r>
      <w:r>
        <w:rPr>
          <w:rFonts w:ascii="Arial" w:cs="Arial" w:eastAsia="Arial" w:hAnsi="Arial"/>
          <w:sz w:val="18"/>
          <w:szCs w:val="18"/>
          <w:u w:val="single" w:color="auto"/>
          <w:color w:val="auto"/>
        </w:rPr>
        <w:t>Section 2.03</w:t>
      </w:r>
      <w:r>
        <w:rPr>
          <w:rFonts w:ascii="Arial" w:cs="Arial" w:eastAsia="Arial" w:hAnsi="Arial"/>
          <w:sz w:val="18"/>
          <w:szCs w:val="18"/>
          <w:color w:val="auto"/>
        </w:rPr>
        <w:t>,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The Register shall be available for inspection by the Borrowers, any Agent and any Lender, at any reasonable time and from time to time upon reasonable prior notice. Notwithstanding anything to the contrary contained in this Agreement, the Loans, L/C Obligations and L/C Borrowings are intended to be treated as registered obligations for U.S. federal income tax purposes and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shall be construed so that the they are at all times maintained in “registered form” within the meaning of Sections 163(f), 871(h)(2) and 881(c)(2) of the Code, Section 5f.103-1(c) of the United States Treasury Regulation and any other related regulations (or any successor provisions of the Code or such regulations).</w:t>
      </w:r>
    </w:p>
    <w:p>
      <w:pPr>
        <w:spacing w:after="0" w:line="183" w:lineRule="exact"/>
        <w:rPr>
          <w:rFonts w:ascii="Arial" w:cs="Arial" w:eastAsia="Arial" w:hAnsi="Arial"/>
          <w:sz w:val="18"/>
          <w:szCs w:val="18"/>
          <w:color w:val="auto"/>
        </w:rPr>
      </w:pPr>
    </w:p>
    <w:p>
      <w:pPr>
        <w:jc w:val="both"/>
        <w:ind w:left="280" w:firstLine="646"/>
        <w:spacing w:after="0" w:line="301" w:lineRule="auto"/>
        <w:tabs>
          <w:tab w:leader="none" w:pos="179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Lender may at any time, without the consent of, or notice to, the Borrowers, the Administrative Agent, the Swing Line Lender or any L/C Issuer, sell participations to any Person (other than a natural person, the Company and its Subsidiaries and Affiliates, Disqualified Institutions and Defaulting Lenders)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clauses (a) through (f) of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10.07(f)</w:t>
      </w:r>
      <w:r>
        <w:rPr>
          <w:rFonts w:ascii="Arial" w:cs="Arial" w:eastAsia="Arial" w:hAnsi="Arial"/>
          <w:sz w:val="18"/>
          <w:szCs w:val="18"/>
          <w:color w:val="auto"/>
        </w:rPr>
        <w:t>, each Borrower agrees that each Participant shall be entitled to the benefits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677" w:right="239" w:bottom="1440" w:gutter="0" w:footer="0" w:header="0"/>
        </w:sectPr>
      </w:pPr>
    </w:p>
    <w:bookmarkStart w:id="278" w:name="page279"/>
    <w:bookmarkEnd w:id="278"/>
    <w:p>
      <w:pPr>
        <w:jc w:val="both"/>
        <w:ind w:left="280"/>
        <w:spacing w:after="0" w:line="300" w:lineRule="auto"/>
        <w:rPr>
          <w:sz w:val="20"/>
          <w:szCs w:val="20"/>
          <w:color w:val="auto"/>
        </w:rPr>
      </w:pP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to the same extent as if it were a Lender (subject, for the avoidance of doubt, to the limitations and requirements of those Sections applying to each Participant as if it were a Lender) and had acquired its interest by assignment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10.07(c)</w:t>
      </w:r>
      <w:r>
        <w:rPr>
          <w:rFonts w:ascii="Arial" w:cs="Arial" w:eastAsia="Arial" w:hAnsi="Arial"/>
          <w:sz w:val="18"/>
          <w:szCs w:val="18"/>
          <w:color w:val="auto"/>
        </w:rPr>
        <w:t xml:space="preserve"> but shall not be entitled to recover greater amounts under such Sections than the selling Lender would be entitled to recover except as otherwise provided in </w:t>
      </w:r>
      <w:r>
        <w:rPr>
          <w:rFonts w:ascii="Arial" w:cs="Arial" w:eastAsia="Arial" w:hAnsi="Arial"/>
          <w:sz w:val="18"/>
          <w:szCs w:val="18"/>
          <w:u w:val="single" w:color="auto"/>
          <w:color w:val="auto"/>
        </w:rPr>
        <w:t>Section 10.07(f)</w:t>
      </w:r>
      <w:r>
        <w:rPr>
          <w:rFonts w:ascii="Arial" w:cs="Arial" w:eastAsia="Arial" w:hAnsi="Arial"/>
          <w:sz w:val="18"/>
          <w:szCs w:val="18"/>
          <w:color w:val="auto"/>
        </w:rPr>
        <w:t xml:space="preserve"> below. To the extent permitted by applicable Law, each Participant also shall be entitled to the benefits of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 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(i) that the portion of the Participant Register relating to a Participant shall be made available to the Borrowers and Administrative Agent to the extent the benefits of this Agreement are claimed with respect to such Participant (including, without limitation,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or (ii) otherwise to the extent that such disclosure is necessary to establish that such commitment, loan, letter of credit or other obligation is in registered form under Sections 163(f), 871(h)(2) and 881(c)(2) of the Code and Section 5f.103-1(c) of the United States Treasury Regulations and any other related regulations (or any successor provisions of the Code or such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jc w:val="both"/>
        <w:ind w:left="280" w:firstLine="646"/>
        <w:spacing w:after="0" w:line="273" w:lineRule="auto"/>
        <w:tabs>
          <w:tab w:leader="none" w:pos="1774"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each Borrower’s prior written consent. A Participant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each Borrower is notified of the participation sold to such Participant and such Participant agrees, for the benefit of the Borrowers, to comply with </w:t>
      </w:r>
      <w:r>
        <w:rPr>
          <w:rFonts w:ascii="Arial" w:cs="Arial" w:eastAsia="Arial" w:hAnsi="Arial"/>
          <w:sz w:val="20"/>
          <w:szCs w:val="20"/>
          <w:u w:val="single" w:color="auto"/>
          <w:color w:val="auto"/>
        </w:rPr>
        <w:t>Section 3.01(g)</w:t>
      </w:r>
      <w:r>
        <w:rPr>
          <w:rFonts w:ascii="Arial" w:cs="Arial" w:eastAsia="Arial" w:hAnsi="Arial"/>
          <w:sz w:val="20"/>
          <w:szCs w:val="20"/>
          <w:color w:val="auto"/>
        </w:rPr>
        <w:t xml:space="preserve"> as though it were a Lender.</w:t>
      </w:r>
    </w:p>
    <w:p>
      <w:pPr>
        <w:spacing w:after="0" w:line="191" w:lineRule="exact"/>
        <w:rPr>
          <w:rFonts w:ascii="Arial" w:cs="Arial" w:eastAsia="Arial" w:hAnsi="Arial"/>
          <w:sz w:val="20"/>
          <w:szCs w:val="20"/>
          <w:color w:val="auto"/>
        </w:rPr>
      </w:pPr>
    </w:p>
    <w:p>
      <w:pPr>
        <w:jc w:val="both"/>
        <w:ind w:left="280" w:firstLine="646"/>
        <w:spacing w:after="0" w:line="314" w:lineRule="auto"/>
        <w:tabs>
          <w:tab w:leader="none" w:pos="18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Borrowers or the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2" w:lineRule="exact"/>
        <w:rPr>
          <w:rFonts w:ascii="Arial" w:cs="Arial" w:eastAsia="Arial" w:hAnsi="Arial"/>
          <w:sz w:val="18"/>
          <w:szCs w:val="18"/>
          <w:color w:val="auto"/>
        </w:rPr>
      </w:pPr>
    </w:p>
    <w:p>
      <w:pPr>
        <w:jc w:val="both"/>
        <w:ind w:left="280" w:firstLine="646"/>
        <w:spacing w:after="0" w:line="285" w:lineRule="auto"/>
        <w:tabs>
          <w:tab w:leader="none" w:pos="1807" w:val="left"/>
        </w:tabs>
        <w:numPr>
          <w:ilvl w:val="0"/>
          <w:numId w:val="28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without the consent of the Borrowers or the Administrative Agent, grant to a special purpose funding vehicle identified as such in writing from time to time by the Granting Lender to the Administrative Agent and the Borrowers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the option to provide all or any part of any Loan that such Granting Lender would otherwise be obligated to make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Borrowers under this Agreement (including its obligations under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3.05</w:t>
      </w:r>
      <w:r>
        <w:rPr>
          <w:rFonts w:ascii="Arial" w:cs="Arial" w:eastAsia="Arial" w:hAnsi="Arial"/>
          <w:sz w:val="19"/>
          <w:szCs w:val="19"/>
          <w:color w:val="auto"/>
        </w:rPr>
        <w:t>), (ii) no SPC shall be liable for any indemnity or similar payment obligation under this Agreement for which a Lender would be liable, and (iii) the Granting Lender shall for all purposes, including the approval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79" w:name="page280"/>
    <w:bookmarkEnd w:id="279"/>
    <w:p>
      <w:pPr>
        <w:jc w:val="both"/>
        <w:ind w:left="280"/>
        <w:spacing w:after="0" w:line="271" w:lineRule="auto"/>
        <w:rPr>
          <w:sz w:val="20"/>
          <w:szCs w:val="20"/>
          <w:color w:val="auto"/>
        </w:rPr>
      </w:pPr>
      <w:r>
        <w:rPr>
          <w:rFonts w:ascii="Arial" w:cs="Arial" w:eastAsia="Arial" w:hAnsi="Arial"/>
          <w:sz w:val="20"/>
          <w:szCs w:val="20"/>
          <w:color w:val="auto"/>
        </w:rPr>
        <w:t>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Borrowers and the Administrative Agent and with the payment of a processing fee of $3,500,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208" w:lineRule="exact"/>
        <w:rPr>
          <w:sz w:val="20"/>
          <w:szCs w:val="20"/>
          <w:color w:val="auto"/>
        </w:rPr>
      </w:pPr>
    </w:p>
    <w:p>
      <w:pPr>
        <w:jc w:val="both"/>
        <w:ind w:left="280" w:firstLine="646"/>
        <w:spacing w:after="0" w:line="270" w:lineRule="auto"/>
        <w:tabs>
          <w:tab w:leader="none" w:pos="1763" w:val="left"/>
        </w:tabs>
        <w:numPr>
          <w:ilvl w:val="1"/>
          <w:numId w:val="287"/>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(1) any Lender may, without the consent of the Borrowers or the Administrative Agent, in accordance with applicable Law create a security interest in all or any portion of the Loans owing to it and the Note, if any, held by it and (2) any Lender that is a Fund may, without the consent of the Borrowers or the Administrative Agent, create a security interest in all or any portion of the Loans owing to it and the Note, if any, held by it to the trustee for holders of obligations owed, or securities issued, by such Fund as security for such obligations or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and until such trustee actually becomes a Lender in compliance with the other provisions of this </w:t>
      </w:r>
      <w:r>
        <w:rPr>
          <w:rFonts w:ascii="Arial" w:cs="Arial" w:eastAsia="Arial" w:hAnsi="Arial"/>
          <w:sz w:val="20"/>
          <w:szCs w:val="20"/>
          <w:u w:val="single" w:color="auto"/>
          <w:color w:val="auto"/>
        </w:rPr>
        <w:t>Section 10.07</w:t>
      </w:r>
      <w:r>
        <w:rPr>
          <w:rFonts w:ascii="Arial" w:cs="Arial" w:eastAsia="Arial" w:hAnsi="Arial"/>
          <w:sz w:val="20"/>
          <w:szCs w:val="20"/>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210" w:lineRule="exact"/>
        <w:rPr>
          <w:rFonts w:ascii="Arial" w:cs="Arial" w:eastAsia="Arial" w:hAnsi="Arial"/>
          <w:sz w:val="20"/>
          <w:szCs w:val="20"/>
          <w:color w:val="auto"/>
        </w:rPr>
      </w:pPr>
    </w:p>
    <w:p>
      <w:pPr>
        <w:ind w:left="1760" w:hanging="834"/>
        <w:spacing w:after="0"/>
        <w:tabs>
          <w:tab w:leader="none" w:pos="176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any L/C Issuer or the Swing Line Lender may, upon thirty</w:t>
      </w:r>
    </w:p>
    <w:p>
      <w:pPr>
        <w:spacing w:after="0" w:line="49" w:lineRule="exact"/>
        <w:rPr>
          <w:rFonts w:ascii="Arial" w:cs="Arial" w:eastAsia="Arial" w:hAnsi="Arial"/>
          <w:sz w:val="18"/>
          <w:szCs w:val="18"/>
          <w:color w:val="auto"/>
        </w:rPr>
      </w:pPr>
    </w:p>
    <w:p>
      <w:pPr>
        <w:jc w:val="both"/>
        <w:ind w:left="280" w:hanging="2"/>
        <w:spacing w:after="0" w:line="301" w:lineRule="auto"/>
        <w:tabs>
          <w:tab w:leader="none" w:pos="65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days’ notice to the Borrowers and the Lenders, resign as an L/C Issuer or the Swing Line Lender,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or prior to the expiration of such 30-day period with respect to such resignation, the relevant L/C Issuer or the Swing Line Lender shall have identified a successor L/C Issuer or Swing Line Lender reasonably acceptable to the Borrowers willing to accept its appointment as successor L/C Issuer or Swing Line Lender, as applicable. In the event of any such resignation of an L/C Issuer or the Swing Line Lender, the Borrowers shall be entitled to appoint from among the Lenders willing to accept such appointment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failure by the Borrowers to appoint any such successor shall affect the resignation of the relevant L/C Issuer or the Swing Line Lender, as the case may be, except as expressly provided above.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164"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Agents and the Lenders agrees to maintain the confidentiality of the Information, except that Information may be disclosed (a) to its Affiliates and its and its Affiliates’ directors, officers, employees, trustees, investment advisors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(c) to the extent required by applicable Laws or regulations or by any subpoena or similar legal process; (d) to any other party to this Agreement; (e) subject to an agreement containing provisions substantially the same as those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as may otherwise be reasonably acceptable to the Borrowers), to any pledgee referred to in </w:t>
      </w:r>
      <w:r>
        <w:rPr>
          <w:rFonts w:ascii="Arial" w:cs="Arial" w:eastAsia="Arial" w:hAnsi="Arial"/>
          <w:sz w:val="18"/>
          <w:szCs w:val="18"/>
          <w:u w:val="single" w:color="auto"/>
          <w:color w:val="auto"/>
        </w:rPr>
        <w:t>Section 10.07(g)</w:t>
      </w:r>
      <w:r>
        <w:rPr>
          <w:rFonts w:ascii="Arial" w:cs="Arial" w:eastAsia="Arial" w:hAnsi="Arial"/>
          <w:sz w:val="18"/>
          <w:szCs w:val="18"/>
          <w:color w:val="auto"/>
        </w:rPr>
        <w:t>, counterparty to a Swap Contract, Eligible Assignee of or Participant in, or any prospective Eligible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80" w:right="239" w:bottom="1440" w:gutter="0" w:footer="0" w:header="0"/>
        </w:sectPr>
      </w:pPr>
    </w:p>
    <w:bookmarkStart w:id="280" w:name="page281"/>
    <w:bookmarkEnd w:id="280"/>
    <w:p>
      <w:pPr>
        <w:jc w:val="both"/>
        <w:ind w:left="280"/>
        <w:spacing w:after="0" w:line="272" w:lineRule="auto"/>
        <w:rPr>
          <w:sz w:val="20"/>
          <w:szCs w:val="20"/>
          <w:color w:val="auto"/>
        </w:rPr>
      </w:pPr>
      <w:r>
        <w:rPr>
          <w:rFonts w:ascii="Arial" w:cs="Arial" w:eastAsia="Arial" w:hAnsi="Arial"/>
          <w:sz w:val="18"/>
          <w:szCs w:val="18"/>
          <w:color w:val="auto"/>
        </w:rPr>
        <w:t xml:space="preserve">Assignee of or Participant in, any of its rights or obligations under this Agreement; (f) with the written consent of the Borrowers; (g) to the extent such Information (i) becomes publicly available other than as a result of a breach of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or (ii) becomes available to any Agent or any Lender from a third party that is not, to such Person’s knowledge, subject to confidentiality obligations to the Borrowers;</w:t>
      </w:r>
    </w:p>
    <w:p>
      <w:pPr>
        <w:spacing w:after="0" w:line="1" w:lineRule="exact"/>
        <w:rPr>
          <w:sz w:val="20"/>
          <w:szCs w:val="20"/>
          <w:color w:val="auto"/>
        </w:rPr>
      </w:pPr>
    </w:p>
    <w:p>
      <w:pPr>
        <w:jc w:val="both"/>
        <w:ind w:left="280" w:hanging="2"/>
        <w:spacing w:after="0" w:line="253" w:lineRule="auto"/>
        <w:tabs>
          <w:tab w:leader="none" w:pos="594"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to any Governmental Authority or examiner (including the National Association of Insurance Commissioners or any other similar organization) regulating any Lender or its Affiliates; or (i) to any rating agency when required by it (it being understood that, prior to any such disclosure, such rating agency shall undertake to preserve the confidentiality of any Information relating to the Loan Parties received by it from such Lender).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“Information” means all information received from any Loan Party relating to any Loan Party or its business, other than any such information that is publicly available to any Agent or any Lender prior to disclosure by any Loan Party other than as a result of a breach of this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a Loan Party after the Closing Date, such information is clearly identified at the time of delivery as confidential or (ii) is delivered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6.03</w:t>
      </w:r>
      <w:r>
        <w:rPr>
          <w:rFonts w:ascii="Arial" w:cs="Arial" w:eastAsia="Arial" w:hAnsi="Arial"/>
          <w:sz w:val="19"/>
          <w:szCs w:val="19"/>
          <w:color w:val="auto"/>
        </w:rPr>
        <w:t>.</w:t>
      </w:r>
    </w:p>
    <w:p>
      <w:pPr>
        <w:spacing w:after="0" w:line="192"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Setoff</w:t>
      </w:r>
      <w:r>
        <w:rPr>
          <w:rFonts w:ascii="Arial" w:cs="Arial" w:eastAsia="Arial" w:hAnsi="Arial"/>
          <w:sz w:val="19"/>
          <w:szCs w:val="19"/>
          <w:color w:val="auto"/>
        </w:rPr>
        <w:t xml:space="preserve">. (a) In addition to any rights and remedies of the Lenders provided by Law, upon the occurrence and during the continuance of any Event of Default, each Agent, each Lender and their respective Affiliates is authorized at any time and from time to time, without prior notice to any Borrower or any other Loan Party, any such notice being waived by each Borrower (on its own behalf and on behalf of each Loan Party) to the fullest extent permitted by applicable Law, to set off and apply any and all deposits (general or special, time or demand, provisional or final) at any time held by, and other Indebtedness at any time owing by, such Agent, such Lender and/or such Affiliates to or for the credit or the account of the respective Loan Parties against any and all Obligations owing to such Agent, such Lender and/or such Affiliates hereunder or under any other Loan Document, now or hereafter existing, irrespective of whether or not such Agent or such Lender or Affiliate shall have made demand under this Agreement or any other Loan Document and although such Obligations may be contingent or unmatured or denominated in a currency different from that of the applicable deposit or Indebtedness. Each Lender agrees promptly to notify the Borrowers and the Administrative Agent after any such set 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 The rights of each Agent and each Lender under this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are in addition to other rights and remedies (including other rights of setoff) that such Agent and such Lender may have.</w:t>
      </w:r>
    </w:p>
    <w:p>
      <w:pPr>
        <w:spacing w:after="0" w:line="196" w:lineRule="exact"/>
        <w:rPr>
          <w:sz w:val="20"/>
          <w:szCs w:val="20"/>
          <w:color w:val="auto"/>
        </w:rPr>
      </w:pPr>
    </w:p>
    <w:p>
      <w:pPr>
        <w:jc w:val="both"/>
        <w:ind w:left="280" w:firstLine="646"/>
        <w:spacing w:after="0" w:line="255" w:lineRule="auto"/>
        <w:tabs>
          <w:tab w:leader="none" w:pos="124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 xml:space="preserve">NOTWITHSTANDING THE FOREGOING SUBSECTION (a), AT ANY TIME THAT THE LOANS OR ANY OTHER OBLIGATION SHALL BE SECURED BY REAL PROPERTY LOCATED IN CALIFORNIA, NO LENDER OR AGENT SHALL EXERCISE A RIGHT OF SETOFF, LIEN OR COUNTERCLAIM OR TAKE ANY COURT OR ADMINISTRATIVE ACTION OR INSTITUTE ANY PROCEEDING TO ENFORCE ANY PROVISION OF THIS AGREEMENT OR ANY NOTE UNLESS IT IS TAKEN WITH THE CONSENT OF THE REQUIRED LENDERS OR, TO THE EXTENT REQUIRED BY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OF THIS AGREEMENT, ALL OF THE LENDERS, OR APPROVED IN WRITING BY THE ADMINISTRATIVE AGENT, IF SUCH SETOFF OR ACTION OR PROCEEDING WOULD OR MIGHT (PURSUANT TO CALIFORNIA CODE OF CIVIL PROCEDURE SECTIONS 580a, 580b, 580d AND 726 OF THE CALIFORNIA CODE OF CIVIL PROCEDURE OR SECTION 2924 OF THE CALIFORNIA CIVIL CODE, IF APPLICABLE, OR OTHERWISE) AFFECT OR IMPAIR THE VALIDITY, PRIORITY, OR ENFORCEABILITY OF THE LIENS GRANTED TO THE COLLATERAL AGENT PURSUANT TO THE COLLATERAL DOCUMENTS OR THE ENFORCEABILITY OF THE NOTES AND OTHER OBLIGATIONS HEREUNDER, AND ANY ATTEMPTED EXERCISE BY ANY LENDER OR ANY AGENT OF ANY SUCH RIGHT WITHOUT OBTAINING SUCH CONSENT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47" w:right="239" w:bottom="1440" w:gutter="0" w:footer="0" w:header="0"/>
        </w:sectPr>
      </w:pPr>
    </w:p>
    <w:bookmarkStart w:id="281" w:name="page282"/>
    <w:bookmarkEnd w:id="281"/>
    <w:p>
      <w:pPr>
        <w:jc w:val="both"/>
        <w:ind w:left="280"/>
        <w:spacing w:after="0" w:line="260" w:lineRule="auto"/>
        <w:rPr>
          <w:sz w:val="20"/>
          <w:szCs w:val="20"/>
          <w:color w:val="auto"/>
        </w:rPr>
      </w:pPr>
      <w:r>
        <w:rPr>
          <w:rFonts w:ascii="Arial" w:cs="Arial" w:eastAsia="Arial" w:hAnsi="Arial"/>
          <w:sz w:val="20"/>
          <w:szCs w:val="20"/>
          <w:color w:val="auto"/>
        </w:rPr>
        <w:t>REQUIRED LENDERS OR THE ADMINISTRATIVE AGENT SHALL BE NULL AND VOID. THIS SUBSECTION (b) SHALL BE SOLELY FOR THE BENEFIT OF EACH OF THE LENDERS AND THE ADMINISTRATIVE AGENT HEREUNDER.</w:t>
      </w:r>
    </w:p>
    <w:p>
      <w:pPr>
        <w:spacing w:after="0" w:line="190"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any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5" w:lineRule="exact"/>
        <w:rPr>
          <w:sz w:val="20"/>
          <w:szCs w:val="20"/>
          <w:color w:val="auto"/>
        </w:rPr>
      </w:pPr>
    </w:p>
    <w:p>
      <w:pPr>
        <w:ind w:left="920"/>
        <w:spacing w:after="0"/>
        <w:tabs>
          <w:tab w:leader="none" w:pos="218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Counterparts; Electronic Execution</w:t>
      </w:r>
      <w:r>
        <w:rPr>
          <w:rFonts w:ascii="Arial" w:cs="Arial" w:eastAsia="Arial" w:hAnsi="Arial"/>
          <w:sz w:val="18"/>
          <w:szCs w:val="18"/>
          <w:color w:val="auto"/>
        </w:rPr>
        <w:t>.</w:t>
      </w:r>
    </w:p>
    <w:p>
      <w:pPr>
        <w:spacing w:after="0" w:line="229" w:lineRule="exact"/>
        <w:rPr>
          <w:sz w:val="20"/>
          <w:szCs w:val="20"/>
          <w:color w:val="auto"/>
        </w:rPr>
      </w:pPr>
    </w:p>
    <w:p>
      <w:pPr>
        <w:jc w:val="both"/>
        <w:ind w:left="280" w:firstLine="646"/>
        <w:spacing w:after="0" w:line="271" w:lineRule="auto"/>
        <w:tabs>
          <w:tab w:leader="none" w:pos="1796" w:val="left"/>
        </w:tabs>
        <w:numPr>
          <w:ilvl w:val="0"/>
          <w:numId w:val="29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Agreement and each other Loan Document may be executed in one or more counterparts, each of which shall be deemed an original, but all of which together shall constitute one and the same instrument. Delivery by telecopier or in electronic (i.e., “pdf” or “tif”) format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in electronic format be confirmed by a manually signed original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request or deliver the same shall not limit the effectiveness of any document or signature delivered by telecopier or in electronic format.</w:t>
      </w:r>
    </w:p>
    <w:p>
      <w:pPr>
        <w:spacing w:after="0" w:line="194" w:lineRule="exact"/>
        <w:rPr>
          <w:rFonts w:ascii="Arial" w:cs="Arial" w:eastAsia="Arial" w:hAnsi="Arial"/>
          <w:sz w:val="20"/>
          <w:szCs w:val="20"/>
          <w:color w:val="auto"/>
        </w:rPr>
      </w:pPr>
    </w:p>
    <w:p>
      <w:pPr>
        <w:jc w:val="both"/>
        <w:ind w:left="280" w:firstLine="646"/>
        <w:spacing w:after="0" w:line="272" w:lineRule="auto"/>
        <w:tabs>
          <w:tab w:leader="none" w:pos="1807" w:val="left"/>
        </w:tabs>
        <w:numPr>
          <w:ilvl w:val="0"/>
          <w:numId w:val="291"/>
        </w:numPr>
        <w:rPr>
          <w:rFonts w:ascii="Arial" w:cs="Arial" w:eastAsia="Arial" w:hAnsi="Arial"/>
          <w:sz w:val="20"/>
          <w:szCs w:val="20"/>
          <w:color w:val="auto"/>
        </w:rPr>
      </w:pPr>
      <w:r>
        <w:rPr>
          <w:rFonts w:ascii="Arial" w:cs="Arial" w:eastAsia="Arial" w:hAnsi="Arial"/>
          <w:sz w:val="20"/>
          <w:szCs w:val="20"/>
          <w:u w:val="single" w:color="auto"/>
          <w:color w:val="auto"/>
        </w:rPr>
        <w:t>Electronic Execution of Assignments</w:t>
      </w:r>
      <w:r>
        <w:rPr>
          <w:rFonts w:ascii="Arial" w:cs="Arial" w:eastAsia="Arial" w:hAnsi="Arial"/>
          <w:sz w:val="20"/>
          <w:szCs w:val="20"/>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Integration</w:t>
      </w:r>
      <w:r>
        <w:rPr>
          <w:rFonts w:ascii="Arial" w:cs="Arial" w:eastAsia="Arial" w:hAnsi="Arial"/>
          <w:sz w:val="20"/>
          <w:szCs w:val="20"/>
          <w:color w:val="auto"/>
        </w:rPr>
        <w:t xml:space="preserve">. 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82" w:name="page283"/>
    <w:bookmarkEnd w:id="282"/>
    <w:p>
      <w:pPr>
        <w:jc w:val="both"/>
        <w:ind w:left="280" w:firstLine="648"/>
        <w:spacing w:after="0" w:line="242"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(other than Obligations under Secured Hedge Agreements, Cash Management Obligations or contingent indemnification obligations, in any such case, not then due and payable) or any Letter of Credit shall remain outstanding.</w:t>
      </w:r>
    </w:p>
    <w:p>
      <w:pPr>
        <w:spacing w:after="0" w:line="211"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10.14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w:t>
      </w:r>
    </w:p>
    <w:p>
      <w:pPr>
        <w:spacing w:after="0" w:line="205"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10.15 </w:t>
      </w:r>
      <w:r>
        <w:rPr>
          <w:rFonts w:ascii="Arial" w:cs="Arial" w:eastAsia="Arial" w:hAnsi="Arial"/>
          <w:sz w:val="20"/>
          <w:szCs w:val="20"/>
          <w:u w:val="single" w:color="auto"/>
          <w:color w:val="auto"/>
        </w:rPr>
        <w:t>GOVERNING LAW</w:t>
      </w:r>
      <w:r>
        <w:rPr>
          <w:rFonts w:ascii="Arial" w:cs="Arial" w:eastAsia="Arial" w:hAnsi="Arial"/>
          <w:sz w:val="20"/>
          <w:szCs w:val="20"/>
          <w:color w:val="auto"/>
        </w:rPr>
        <w:t>. (a) THIS AGREEMENT AND EACH OTHER LOAN DOCUMENT SHALL BE GOVERNED BY, AND CONSTRUED IN ACCORDANCE WITH, THE LAW OF THE STATE OF NEW YORK.</w:t>
      </w:r>
    </w:p>
    <w:p>
      <w:pPr>
        <w:spacing w:after="0" w:line="190" w:lineRule="exact"/>
        <w:rPr>
          <w:sz w:val="20"/>
          <w:szCs w:val="20"/>
          <w:color w:val="auto"/>
        </w:rPr>
      </w:pPr>
    </w:p>
    <w:p>
      <w:pPr>
        <w:jc w:val="both"/>
        <w:ind w:left="280" w:firstLine="646"/>
        <w:spacing w:after="0" w:line="269" w:lineRule="auto"/>
        <w:tabs>
          <w:tab w:leader="none" w:pos="1807" w:val="left"/>
        </w:tabs>
        <w:numPr>
          <w:ilvl w:val="0"/>
          <w:numId w:val="292"/>
        </w:numPr>
        <w:rPr>
          <w:rFonts w:ascii="Arial" w:cs="Arial" w:eastAsia="Arial" w:hAnsi="Arial"/>
          <w:sz w:val="20"/>
          <w:szCs w:val="20"/>
          <w:color w:val="auto"/>
        </w:rPr>
      </w:pPr>
      <w:r>
        <w:rPr>
          <w:rFonts w:ascii="Arial" w:cs="Arial" w:eastAsia="Arial" w:hAnsi="Arial"/>
          <w:sz w:val="20"/>
          <w:szCs w:val="20"/>
          <w:color w:val="auto"/>
        </w:rPr>
        <w:t>EACH BORROWER, THE ADMINISTRATIVE AGENT AND EACH LENDER EACH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212" w:lineRule="exact"/>
        <w:rPr>
          <w:rFonts w:ascii="Arial" w:cs="Arial" w:eastAsia="Arial" w:hAnsi="Arial"/>
          <w:sz w:val="20"/>
          <w:szCs w:val="20"/>
          <w:color w:val="auto"/>
        </w:rPr>
      </w:pPr>
    </w:p>
    <w:p>
      <w:pPr>
        <w:jc w:val="both"/>
        <w:ind w:left="280" w:firstLine="646"/>
        <w:spacing w:after="0" w:line="281" w:lineRule="auto"/>
        <w:tabs>
          <w:tab w:leader="none" w:pos="179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EACH BORROWER, THE ADMINISTRATIVE AGENT AND EACH LENDER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w:t>
      </w:r>
    </w:p>
    <w:p>
      <w:pPr>
        <w:spacing w:after="0" w:line="3" w:lineRule="exact"/>
        <w:rPr>
          <w:rFonts w:ascii="Arial" w:cs="Arial" w:eastAsia="Arial" w:hAnsi="Arial"/>
          <w:sz w:val="19"/>
          <w:szCs w:val="19"/>
          <w:color w:val="auto"/>
        </w:rPr>
      </w:pPr>
    </w:p>
    <w:p>
      <w:pPr>
        <w:jc w:val="both"/>
        <w:ind w:left="280"/>
        <w:spacing w:after="0" w:line="278" w:lineRule="auto"/>
        <w:rPr>
          <w:rFonts w:ascii="Arial" w:cs="Arial" w:eastAsia="Arial" w:hAnsi="Arial"/>
          <w:sz w:val="19"/>
          <w:szCs w:val="19"/>
          <w:color w:val="auto"/>
        </w:rPr>
      </w:pPr>
      <w:r>
        <w:rPr>
          <w:rFonts w:ascii="Arial" w:cs="Arial" w:eastAsia="Arial" w:hAnsi="Arial"/>
          <w:sz w:val="20"/>
          <w:szCs w:val="20"/>
          <w:color w:val="auto"/>
        </w:rPr>
        <w:t>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83" w:name="page284"/>
    <w:bookmarkEnd w:id="283"/>
    <w:p>
      <w:pPr>
        <w:jc w:val="both"/>
        <w:ind w:left="280" w:firstLine="646"/>
        <w:spacing w:after="0" w:line="278" w:lineRule="auto"/>
        <w:tabs>
          <w:tab w:leader="none" w:pos="1807"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7" w:lineRule="exact"/>
        <w:rPr>
          <w:sz w:val="20"/>
          <w:szCs w:val="20"/>
          <w:color w:val="auto"/>
        </w:rPr>
      </w:pPr>
    </w:p>
    <w:p>
      <w:pPr>
        <w:jc w:val="both"/>
        <w:ind w:left="280" w:firstLine="648"/>
        <w:spacing w:after="0" w:line="241" w:lineRule="auto"/>
        <w:rPr>
          <w:sz w:val="20"/>
          <w:szCs w:val="20"/>
          <w:color w:val="auto"/>
        </w:rPr>
      </w:pPr>
      <w:r>
        <w:rPr>
          <w:rFonts w:ascii="Arial" w:cs="Arial" w:eastAsia="Arial" w:hAnsi="Arial"/>
          <w:sz w:val="20"/>
          <w:szCs w:val="20"/>
          <w:color w:val="auto"/>
        </w:rPr>
        <w:t xml:space="preserve">Section 10.16 </w:t>
      </w:r>
      <w:r>
        <w:rPr>
          <w:rFonts w:ascii="Arial" w:cs="Arial" w:eastAsia="Arial" w:hAnsi="Arial"/>
          <w:sz w:val="20"/>
          <w:szCs w:val="20"/>
          <w:u w:val="single" w:color="auto"/>
          <w:color w:val="auto"/>
        </w:rPr>
        <w:t>WAIVER OF RIGHT TO TRIAL BY JURY</w:t>
      </w:r>
      <w:r>
        <w:rPr>
          <w:rFonts w:ascii="Arial" w:cs="Arial" w:eastAsia="Arial" w:hAnsi="Arial"/>
          <w:sz w:val="20"/>
          <w:szCs w:val="20"/>
          <w:color w:val="auto"/>
        </w:rPr>
        <w:t xml:space="preserve">.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20"/>
          <w:szCs w:val="20"/>
          <w:u w:val="single" w:color="auto"/>
          <w:color w:val="auto"/>
        </w:rPr>
        <w:t>SECTION 10.16</w:t>
      </w:r>
      <w:r>
        <w:rPr>
          <w:rFonts w:ascii="Arial" w:cs="Arial" w:eastAsia="Arial" w:hAnsi="Arial"/>
          <w:sz w:val="20"/>
          <w:szCs w:val="20"/>
          <w:color w:val="auto"/>
        </w:rPr>
        <w:t xml:space="preserve"> WITH ANY COURT AS WRITTEN EVIDENCE OF THE CONSENT OF THE SIGNATORIES HERETO TO THE WAIVER OF THEIR RIGHT TO TRIAL BY JURY.</w:t>
      </w:r>
    </w:p>
    <w:p>
      <w:pPr>
        <w:spacing w:after="0" w:line="203"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10.17 </w:t>
      </w:r>
      <w:r>
        <w:rPr>
          <w:rFonts w:ascii="Arial" w:cs="Arial" w:eastAsia="Arial" w:hAnsi="Arial"/>
          <w:sz w:val="20"/>
          <w:szCs w:val="20"/>
          <w:u w:val="single" w:color="auto"/>
          <w:color w:val="auto"/>
        </w:rPr>
        <w:t>Binding Effect</w:t>
      </w:r>
      <w:r>
        <w:rPr>
          <w:rFonts w:ascii="Arial" w:cs="Arial" w:eastAsia="Arial" w:hAnsi="Arial"/>
          <w:sz w:val="20"/>
          <w:szCs w:val="20"/>
          <w:color w:val="auto"/>
        </w:rPr>
        <w:t xml:space="preserve">. This Agreement shall become effective when it shall have been executed by each Borrower and the Administrative Agent shall have been notified by each Lender, each L/C Issuer and the Swing Line Lender that each such Lender, each such L/C Issuer and the Swing Line Lender has executed it and thereafter shall be binding upon and inure to the benefit of each Borrower, each Agent, each Lender, each L/C Issuer and the Swing Line Lender and their respective successors and assigns, except that no Borrower shall have the right to assign its rights hereunder or any interest herein without the prior written consent of the Lenders, except for the Borrowers as permitted by </w:t>
      </w:r>
      <w:r>
        <w:rPr>
          <w:rFonts w:ascii="Arial" w:cs="Arial" w:eastAsia="Arial" w:hAnsi="Arial"/>
          <w:sz w:val="20"/>
          <w:szCs w:val="20"/>
          <w:u w:val="single" w:color="auto"/>
          <w:color w:val="auto"/>
        </w:rPr>
        <w:t>Section 7.04(d)</w:t>
      </w:r>
      <w:r>
        <w:rPr>
          <w:rFonts w:ascii="Arial" w:cs="Arial" w:eastAsia="Arial" w:hAnsi="Arial"/>
          <w:sz w:val="20"/>
          <w:szCs w:val="20"/>
          <w:color w:val="auto"/>
        </w:rPr>
        <w:t>.</w:t>
      </w:r>
    </w:p>
    <w:p>
      <w:pPr>
        <w:spacing w:after="0" w:line="197" w:lineRule="exact"/>
        <w:rPr>
          <w:sz w:val="20"/>
          <w:szCs w:val="20"/>
          <w:color w:val="auto"/>
        </w:rPr>
      </w:pPr>
    </w:p>
    <w:p>
      <w:pPr>
        <w:jc w:val="both"/>
        <w:ind w:left="280" w:firstLine="648"/>
        <w:spacing w:after="0" w:line="276"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Lender Action</w:t>
      </w:r>
      <w:r>
        <w:rPr>
          <w:rFonts w:ascii="Arial" w:cs="Arial" w:eastAsia="Arial" w:hAnsi="Arial"/>
          <w:sz w:val="18"/>
          <w:szCs w:val="18"/>
          <w:color w:val="auto"/>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 of this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are for the sole benefit of the Lenders and shall not afford any right to, or constitute a defense available to, any Loan Party.</w:t>
      </w:r>
    </w:p>
    <w:p>
      <w:pPr>
        <w:spacing w:after="0" w:line="165"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10.19 </w:t>
      </w:r>
      <w:r>
        <w:rPr>
          <w:rFonts w:ascii="Arial" w:cs="Arial" w:eastAsia="Arial" w:hAnsi="Arial"/>
          <w:sz w:val="20"/>
          <w:szCs w:val="20"/>
          <w:u w:val="single" w:color="auto"/>
          <w:color w:val="auto"/>
        </w:rPr>
        <w:t>USA PATRIOT Act; Anti-Money Laundering Laws</w:t>
      </w:r>
      <w:r>
        <w:rPr>
          <w:rFonts w:ascii="Arial" w:cs="Arial" w:eastAsia="Arial" w:hAnsi="Arial"/>
          <w:sz w:val="20"/>
          <w:szCs w:val="20"/>
          <w:color w:val="auto"/>
        </w:rPr>
        <w:t>. Each Lender hereby notifies the Loan Parties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or any other Anti-Money Laundering Laws, it is required to obtain, verify and record information that identifies the Loan Parties, which information includes the name and address of the Loan Parties and other information that will allow such Lender to identify the Loan Parties in accordance with the Act or such Anti-Money Laundering Laws.</w:t>
      </w:r>
    </w:p>
    <w:p>
      <w:pPr>
        <w:spacing w:after="0" w:line="208"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Agents and the Joint Lead Arrangers are arm’s-length commercial transactions between the Borrowers and their respective Affiliates, on the one hand, and the Administrative Agent and the Joint Lead Arrangers, on the other hand, (B) each Borrower has consulted its own legal, accounting, regulatory and tax advisors to the extent it has deemed appropriate, and (C) each Borrower is capable of evaluating, and understands and accepts, the terms, risks and conditions of the transactions contemplated hereby and by the other Loan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79" w:right="239" w:bottom="1440" w:gutter="0" w:footer="0" w:header="0"/>
        </w:sectPr>
      </w:pPr>
    </w:p>
    <w:bookmarkStart w:id="284" w:name="page285"/>
    <w:bookmarkEnd w:id="284"/>
    <w:p>
      <w:pPr>
        <w:jc w:val="both"/>
        <w:ind w:left="280"/>
        <w:spacing w:after="0" w:line="271" w:lineRule="auto"/>
        <w:rPr>
          <w:sz w:val="20"/>
          <w:szCs w:val="20"/>
          <w:color w:val="auto"/>
        </w:rPr>
      </w:pPr>
      <w:r>
        <w:rPr>
          <w:rFonts w:ascii="Arial" w:cs="Arial" w:eastAsia="Arial" w:hAnsi="Arial"/>
          <w:sz w:val="18"/>
          <w:szCs w:val="18"/>
          <w:color w:val="auto"/>
        </w:rPr>
        <w:t>Documents; (ii) (A) the Agents, the Joint Lead Arrangers and each Lender is and has been acting solely as a principal and, except as expressly agreed in writing by the relevant parties, has not been, is not, and will not be acting as an advisor, agent or fiduciary for the Borrowers or any of their respective Affiliates, or any other Person and (B) none of the Agents, the Joint Lead Arrangers nor any Lender has any obligation to the Borrowers or any of their respective Affiliates with respect to the transactions contemplated hereby except those obligations expressly set forth herein and in the other Loan Documents; and (iii) the Agents, the Joint Lead Arrangers, the Lender and their respective Affiliates may be engaged in a broad range of transactions that involve interests that differ from those of the Borrowers and their respective Affiliates, and none of the Agents, the Joint Lead Arrangers nor any Lender has any obligation to disclose any of such interests to the Borrowers or any of their respective Affiliates. To the fullest extent permitted by law, each Borrower hereby waives and releases any claims that it may have against the Agents, the Joint Lead Arrangers or any Lender with respect to any breach or alleged breach of agency or fiduciary duty in connection with any aspect of any transaction contemplated hereby.</w:t>
      </w:r>
    </w:p>
    <w:p>
      <w:pPr>
        <w:spacing w:after="0" w:line="17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10.21 </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(a) PURSUANT TO THE EXPRESS TERMS OF EACH FIRST LIEN INTERCREDITOR AGREEMENT, IN THE EVENT OF ANY CONFLICT OR INCONSISTENCY BETWEEN THE TERMS OF THE RELEVANT FIRST LIEN INTERCREDITOR AGREEMENT AND ANY OF THE LOAN DOCUMENTS, THE PROVISIONS OF THE RELEVANT FIRST LIEN INTERCREDITOR AGREEMENT SHALL GOVERN AND CONTROL.</w:t>
      </w:r>
    </w:p>
    <w:p>
      <w:pPr>
        <w:spacing w:after="0" w:line="205" w:lineRule="exact"/>
        <w:rPr>
          <w:sz w:val="20"/>
          <w:szCs w:val="20"/>
          <w:color w:val="auto"/>
        </w:rPr>
      </w:pPr>
    </w:p>
    <w:p>
      <w:pPr>
        <w:jc w:val="both"/>
        <w:ind w:left="280" w:firstLine="646"/>
        <w:spacing w:after="0" w:line="272" w:lineRule="auto"/>
        <w:tabs>
          <w:tab w:leader="none" w:pos="180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EACH LENDER AUTHORIZES AND INSTRUCTS THE COLLATERAL AGENT AND THE ADMINISTRATIVE AGENT TO ENTER INTO THE RELEVANT FIRST LIEN INTERCREDITOR AGREEMENT ON BEHALF OF SUCH LENDER, AND TO TAKE ALL ACTIONS (AND EXECUTE ALL DOCUMENTS) REQUIRED (OR DEEMED ADVISABLE) BY IT IN ACCORDANCE WITH THE TERMS OF SUCH FIRST LIEN INTERCREDITOR AGREEMENT(S). EACH LENDER AGREES TO BE BOUND BY AND WILL TAKE NO ACTIONS CONTRARY TO THE PROVISIONS OF THE RELEVANT FIRST LIEN INTERCREDITOR AGREEMENT.</w:t>
      </w:r>
    </w:p>
    <w:p>
      <w:pPr>
        <w:spacing w:after="0" w:line="205" w:lineRule="exact"/>
        <w:rPr>
          <w:rFonts w:ascii="Arial" w:cs="Arial" w:eastAsia="Arial" w:hAnsi="Arial"/>
          <w:sz w:val="20"/>
          <w:szCs w:val="20"/>
          <w:color w:val="auto"/>
        </w:rPr>
      </w:pPr>
    </w:p>
    <w:p>
      <w:pPr>
        <w:jc w:val="both"/>
        <w:ind w:left="280" w:firstLine="646"/>
        <w:spacing w:after="0" w:line="271" w:lineRule="auto"/>
        <w:tabs>
          <w:tab w:leader="none" w:pos="1796"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10.21</w:t>
      </w:r>
      <w:r>
        <w:rPr>
          <w:rFonts w:ascii="Arial" w:cs="Arial" w:eastAsia="Arial" w:hAnsi="Arial"/>
          <w:sz w:val="20"/>
          <w:szCs w:val="20"/>
          <w:color w:val="auto"/>
        </w:rPr>
        <w:t xml:space="preserve"> ARE NOT INTENDED TO SUMMARIZE ALL RELEVANT PROVISIONS OF THE RELEVANT FIRST LIEN INTERCREDITOR AGREEMENT. REFERENCE MUST BE MADE TO THE RELEVANT FIRST LIEN INTERCREDITOR AGREEMENT ITSELF TO UNDERSTAND ALL TERMS AND CONDITIONS THEREOF. EACH LENDER IS RESPONSIBLE FOR MAKING ITS OWN ANALYSIS AND REVIEW OF THE RELEVANT FIRST LIEN INTERCREDITOR AGREEMENT AND THE TERMS AND PROVISIONS THEREOF, AND NO AGENT (AND NONE OF ITS AFFILIATES) MAKES ANY REPRESENTATION TO ANY LENDER AS TO THE SUFFICIENCY OR ADVISABILITY OF THE PROVISIONS CONTAINED IN THE RELEVANT FIRST LIEN INTERCREDITOR AGREEMENT.</w:t>
      </w:r>
    </w:p>
    <w:p>
      <w:pPr>
        <w:spacing w:after="0" w:line="207" w:lineRule="exact"/>
        <w:rPr>
          <w:rFonts w:ascii="Arial" w:cs="Arial" w:eastAsia="Arial" w:hAnsi="Arial"/>
          <w:sz w:val="20"/>
          <w:szCs w:val="20"/>
          <w:color w:val="auto"/>
        </w:rPr>
      </w:pPr>
    </w:p>
    <w:p>
      <w:pPr>
        <w:ind w:left="280" w:right="20" w:firstLine="646"/>
        <w:spacing w:after="0" w:line="289" w:lineRule="auto"/>
        <w:tabs>
          <w:tab w:leader="none" w:pos="180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10.21</w:t>
      </w:r>
      <w:r>
        <w:rPr>
          <w:rFonts w:ascii="Arial" w:cs="Arial" w:eastAsia="Arial" w:hAnsi="Arial"/>
          <w:sz w:val="20"/>
          <w:szCs w:val="20"/>
          <w:color w:val="auto"/>
        </w:rPr>
        <w:t xml:space="preserve"> SHALL APPLY WITH EQUAL FORCE, MUTATIS MUTANDIS, TO THE FIRST-LIEN INTERCREDITOR AGREEMENT.</w:t>
      </w:r>
    </w:p>
    <w:p>
      <w:pPr>
        <w:spacing w:after="0" w:line="175" w:lineRule="exact"/>
        <w:rPr>
          <w:sz w:val="20"/>
          <w:szCs w:val="20"/>
          <w:color w:val="auto"/>
        </w:rPr>
      </w:pPr>
    </w:p>
    <w:p>
      <w:pPr>
        <w:ind w:left="920"/>
        <w:spacing w:after="0"/>
        <w:tabs>
          <w:tab w:leader="none" w:pos="2200" w:val="left"/>
        </w:tabs>
        <w:rPr>
          <w:sz w:val="20"/>
          <w:szCs w:val="20"/>
          <w:color w:val="auto"/>
        </w:rPr>
      </w:pPr>
      <w:r>
        <w:rPr>
          <w:rFonts w:ascii="Arial" w:cs="Arial" w:eastAsia="Arial" w:hAnsi="Arial"/>
          <w:sz w:val="20"/>
          <w:szCs w:val="20"/>
          <w:color w:val="auto"/>
        </w:rPr>
        <w:t>Section 10.22</w:t>
      </w:r>
      <w:r>
        <w:rPr>
          <w:sz w:val="20"/>
          <w:szCs w:val="20"/>
          <w:color w:val="auto"/>
        </w:rPr>
        <w:tab/>
      </w:r>
      <w:r>
        <w:rPr>
          <w:rFonts w:ascii="Arial" w:cs="Arial" w:eastAsia="Arial" w:hAnsi="Arial"/>
          <w:sz w:val="18"/>
          <w:szCs w:val="18"/>
          <w:u w:val="single" w:color="auto"/>
          <w:color w:val="auto"/>
        </w:rPr>
        <w:t>Company as Agent for the Borrowers</w:t>
      </w:r>
      <w:r>
        <w:rPr>
          <w:rFonts w:ascii="Arial" w:cs="Arial" w:eastAsia="Arial" w:hAnsi="Arial"/>
          <w:sz w:val="18"/>
          <w:szCs w:val="18"/>
          <w:color w:val="auto"/>
        </w:rPr>
        <w:t>.</w:t>
      </w:r>
    </w:p>
    <w:p>
      <w:pPr>
        <w:spacing w:after="0" w:line="229" w:lineRule="exact"/>
        <w:rPr>
          <w:sz w:val="20"/>
          <w:szCs w:val="20"/>
          <w:color w:val="auto"/>
        </w:rPr>
      </w:pPr>
    </w:p>
    <w:p>
      <w:pPr>
        <w:jc w:val="both"/>
        <w:ind w:left="920" w:firstLine="655"/>
        <w:spacing w:after="0" w:line="271" w:lineRule="auto"/>
        <w:tabs>
          <w:tab w:leader="none" w:pos="2436" w:val="left"/>
        </w:tabs>
        <w:numPr>
          <w:ilvl w:val="0"/>
          <w:numId w:val="295"/>
        </w:numPr>
        <w:rPr>
          <w:rFonts w:ascii="Arial" w:cs="Arial" w:eastAsia="Arial" w:hAnsi="Arial"/>
          <w:sz w:val="20"/>
          <w:szCs w:val="20"/>
          <w:color w:val="auto"/>
        </w:rPr>
      </w:pPr>
      <w:r>
        <w:rPr>
          <w:rFonts w:ascii="Arial" w:cs="Arial" w:eastAsia="Arial" w:hAnsi="Arial"/>
          <w:sz w:val="20"/>
          <w:szCs w:val="20"/>
          <w:color w:val="auto"/>
        </w:rPr>
        <w:t>Each Borrower and each other Loan Party, as applicable, hereby irrevocably appoints and constitutes the Company as its agent to (i) request and receive the proceeds of advances in respect of the Loans and request Letters of Credit (and to otherwise act on behalf of such Borrower pursuant to this Agreement and the other Loan Documents) from the Administrative Agent and the Lenders in the name or on behalf of each such Borrower, (ii) receive statements of account and all other notices from the Administrative Agent or any Lender, as applicable, with respect to the Obligations or otherwise under or in connection with this Agreement and the other Loan Documents, (iii) except where otherwise expressly indicated, execute and deliver Compliance Certificates and all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85" w:name="page286"/>
    <w:bookmarkEnd w:id="285"/>
    <w:p>
      <w:pPr>
        <w:ind w:left="920"/>
        <w:spacing w:after="0"/>
        <w:rPr>
          <w:sz w:val="20"/>
          <w:szCs w:val="20"/>
          <w:color w:val="auto"/>
        </w:rPr>
      </w:pPr>
      <w:r>
        <w:rPr>
          <w:rFonts w:ascii="Arial" w:cs="Arial" w:eastAsia="Arial" w:hAnsi="Arial"/>
          <w:sz w:val="16"/>
          <w:szCs w:val="16"/>
          <w:color w:val="auto"/>
        </w:rPr>
        <w:t>notices, certificates and documents to be executed and/or delivered by any Loan Party hereunder or the other Loan Documents, and</w:t>
      </w:r>
    </w:p>
    <w:p>
      <w:pPr>
        <w:spacing w:after="0" w:line="73" w:lineRule="exact"/>
        <w:rPr>
          <w:sz w:val="20"/>
          <w:szCs w:val="20"/>
          <w:color w:val="auto"/>
        </w:rPr>
      </w:pPr>
    </w:p>
    <w:p>
      <w:pPr>
        <w:ind w:left="1260" w:hanging="334"/>
        <w:spacing w:after="0"/>
        <w:tabs>
          <w:tab w:leader="none" w:pos="126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otherwise act on behalf of such Loan Party pursuant to this Agreement and the other Loan Documents.</w:t>
      </w:r>
    </w:p>
    <w:p>
      <w:pPr>
        <w:spacing w:after="0" w:line="256" w:lineRule="exact"/>
        <w:rPr>
          <w:rFonts w:ascii="Arial" w:cs="Arial" w:eastAsia="Arial" w:hAnsi="Arial"/>
          <w:sz w:val="20"/>
          <w:szCs w:val="20"/>
          <w:color w:val="auto"/>
        </w:rPr>
      </w:pPr>
    </w:p>
    <w:p>
      <w:pPr>
        <w:jc w:val="both"/>
        <w:ind w:left="920" w:firstLine="655"/>
        <w:spacing w:after="0" w:line="270" w:lineRule="auto"/>
        <w:tabs>
          <w:tab w:leader="none" w:pos="2447" w:val="left"/>
        </w:tabs>
        <w:numPr>
          <w:ilvl w:val="1"/>
          <w:numId w:val="296"/>
        </w:numPr>
        <w:rPr>
          <w:rFonts w:ascii="Arial" w:cs="Arial" w:eastAsia="Arial" w:hAnsi="Arial"/>
          <w:sz w:val="20"/>
          <w:szCs w:val="20"/>
          <w:color w:val="auto"/>
        </w:rPr>
      </w:pPr>
      <w:r>
        <w:rPr>
          <w:rFonts w:ascii="Arial" w:cs="Arial" w:eastAsia="Arial" w:hAnsi="Arial"/>
          <w:sz w:val="20"/>
          <w:szCs w:val="20"/>
          <w:color w:val="auto"/>
        </w:rPr>
        <w:t xml:space="preserve">The authorizations contained in this </w:t>
      </w:r>
      <w:r>
        <w:rPr>
          <w:rFonts w:ascii="Arial" w:cs="Arial" w:eastAsia="Arial" w:hAnsi="Arial"/>
          <w:sz w:val="20"/>
          <w:szCs w:val="20"/>
          <w:u w:val="single" w:color="auto"/>
          <w:color w:val="auto"/>
        </w:rPr>
        <w:t>Section 10.22</w:t>
      </w:r>
      <w:r>
        <w:rPr>
          <w:rFonts w:ascii="Arial" w:cs="Arial" w:eastAsia="Arial" w:hAnsi="Arial"/>
          <w:sz w:val="20"/>
          <w:szCs w:val="20"/>
          <w:color w:val="auto"/>
        </w:rPr>
        <w:t xml:space="preserve"> are coupled with an interest and shall be irrevocable, and the Administrative Agent and the Lenders may rely on any notice, request, information supplied by the Company, every document executed by the Company, every agreement made by the Company or other action taken by the Company in respect of any Borrower or other Loan Party as if the same were supplied, made or taken by such Borrower or such other Loan Party. Without limiting the generality of the foregoing, the failure of one or more Borrowers or other Loan Parties to join in the execution of any writing in connection herewith shall not relieve any Borrower or other Loan Party from obligations in respect of such writing. No purported termination of the appointment of the Company as agent shall be effective without the prior written consent of the Administrative Agent.</w:t>
      </w:r>
    </w:p>
    <w:p>
      <w:pPr>
        <w:spacing w:after="0" w:line="199"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10.23 </w:t>
      </w:r>
      <w:r>
        <w:rPr>
          <w:rFonts w:ascii="Arial" w:cs="Arial" w:eastAsia="Arial" w:hAnsi="Arial"/>
          <w:sz w:val="20"/>
          <w:szCs w:val="20"/>
          <w:u w:val="single" w:color="auto"/>
          <w:color w:val="auto"/>
        </w:rPr>
        <w:t>Acknowledgement and Consent to Bail-In of EEA Financial Institutions.</w:t>
      </w:r>
      <w:r>
        <w:rPr>
          <w:rFonts w:ascii="Arial" w:cs="Arial" w:eastAsia="Arial" w:hAnsi="Arial"/>
          <w:sz w:val="20"/>
          <w:szCs w:val="20"/>
          <w:color w:val="auto"/>
        </w:rPr>
        <w:t xml:space="preserve">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222" w:lineRule="exact"/>
        <w:rPr>
          <w:sz w:val="20"/>
          <w:szCs w:val="20"/>
          <w:color w:val="auto"/>
        </w:rPr>
      </w:pPr>
    </w:p>
    <w:p>
      <w:pPr>
        <w:ind w:left="280" w:right="20" w:firstLine="646"/>
        <w:spacing w:after="0" w:line="289" w:lineRule="auto"/>
        <w:tabs>
          <w:tab w:leader="none" w:pos="1796"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5" w:lineRule="exact"/>
        <w:rPr>
          <w:rFonts w:ascii="Arial" w:cs="Arial" w:eastAsia="Arial" w:hAnsi="Arial"/>
          <w:sz w:val="20"/>
          <w:szCs w:val="20"/>
          <w:color w:val="auto"/>
        </w:rPr>
      </w:pPr>
    </w:p>
    <w:p>
      <w:pPr>
        <w:ind w:left="1540" w:hanging="614"/>
        <w:spacing w:after="0"/>
        <w:tabs>
          <w:tab w:leader="none" w:pos="1540" w:val="left"/>
        </w:tabs>
        <w:numPr>
          <w:ilvl w:val="0"/>
          <w:numId w:val="29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42" w:lineRule="exact"/>
        <w:rPr>
          <w:rFonts w:ascii="Arial" w:cs="Arial" w:eastAsia="Arial" w:hAnsi="Arial"/>
          <w:sz w:val="20"/>
          <w:szCs w:val="20"/>
          <w:color w:val="auto"/>
        </w:rPr>
      </w:pPr>
    </w:p>
    <w:p>
      <w:pPr>
        <w:ind w:left="2380" w:hanging="805"/>
        <w:spacing w:after="0"/>
        <w:tabs>
          <w:tab w:leader="none" w:pos="238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56" w:lineRule="exact"/>
        <w:rPr>
          <w:rFonts w:ascii="Arial" w:cs="Arial" w:eastAsia="Arial" w:hAnsi="Arial"/>
          <w:sz w:val="20"/>
          <w:szCs w:val="20"/>
          <w:color w:val="auto"/>
        </w:rPr>
      </w:pPr>
    </w:p>
    <w:p>
      <w:pPr>
        <w:jc w:val="both"/>
        <w:ind w:left="920" w:firstLine="655"/>
        <w:spacing w:after="0" w:line="274" w:lineRule="auto"/>
        <w:tabs>
          <w:tab w:leader="none" w:pos="2458"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6" w:lineRule="exact"/>
        <w:rPr>
          <w:sz w:val="20"/>
          <w:szCs w:val="20"/>
          <w:color w:val="auto"/>
        </w:rPr>
      </w:pPr>
    </w:p>
    <w:p>
      <w:pPr>
        <w:ind w:left="900" w:firstLine="648"/>
        <w:spacing w:after="0" w:line="289" w:lineRule="auto"/>
        <w:tabs>
          <w:tab w:leader="none" w:pos="249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u w:val="single" w:color="auto"/>
          <w:color w:val="auto"/>
        </w:rPr>
        <w:t>Amendment and Restatement; No Novation.</w:t>
      </w:r>
      <w:r>
        <w:rPr>
          <w:rFonts w:ascii="Arial" w:cs="Arial" w:eastAsia="Arial" w:hAnsi="Arial"/>
          <w:sz w:val="18"/>
          <w:szCs w:val="18"/>
          <w:color w:val="auto"/>
        </w:rPr>
        <w:t xml:space="preserve">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OSI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460" w:right="239" w:bottom="1440" w:gutter="0" w:footer="0" w:header="0"/>
        </w:sectPr>
      </w:pPr>
    </w:p>
    <w:bookmarkStart w:id="286" w:name="page287"/>
    <w:bookmarkEnd w:id="286"/>
    <w:p>
      <w:pPr>
        <w:ind w:left="280"/>
        <w:spacing w:after="0" w:line="260" w:lineRule="auto"/>
        <w:rPr>
          <w:sz w:val="20"/>
          <w:szCs w:val="20"/>
          <w:color w:val="auto"/>
        </w:rPr>
      </w:pPr>
      <w:r>
        <w:rPr>
          <w:rFonts w:ascii="Arial" w:cs="Arial" w:eastAsia="Arial" w:hAnsi="Arial"/>
          <w:sz w:val="20"/>
          <w:szCs w:val="20"/>
          <w:color w:val="auto"/>
        </w:rPr>
        <w:t>of such Loans, together with any Loans funded on the Closing Date, reflect the respective Loans and Revolving Credit Commitments of the Lenders hereunder.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366"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00" w:lineRule="exact"/>
        <w:rPr>
          <w:sz w:val="20"/>
          <w:szCs w:val="20"/>
          <w:color w:val="auto"/>
        </w:rPr>
      </w:pPr>
    </w:p>
    <w:p>
      <w:pPr>
        <w:spacing w:after="0" w:line="201" w:lineRule="exact"/>
        <w:rPr>
          <w:sz w:val="20"/>
          <w:szCs w:val="20"/>
          <w:color w:val="auto"/>
        </w:rPr>
      </w:pPr>
    </w:p>
    <w:p>
      <w:pPr>
        <w:ind w:left="7060"/>
        <w:spacing w:after="0"/>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378"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OSI RESTAURANT PARTNERS, LLC,</w:t>
      </w:r>
    </w:p>
    <w:p>
      <w:pPr>
        <w:spacing w:after="0" w:line="77"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8"/>
          <w:szCs w:val="18"/>
          <w:color w:val="auto"/>
        </w:rPr>
        <w:t>/s/ Michael A'Hearn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27305</wp:posOffset>
            </wp:positionV>
            <wp:extent cx="21183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2" w:lineRule="exact"/>
        <w:rPr>
          <w:sz w:val="20"/>
          <w:szCs w:val="20"/>
          <w:color w:val="auto"/>
        </w:rPr>
      </w:pPr>
    </w:p>
    <w:p>
      <w:pPr>
        <w:ind w:left="746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7460"/>
        <w:spacing w:after="0"/>
        <w:rPr>
          <w:sz w:val="20"/>
          <w:szCs w:val="20"/>
          <w:color w:val="auto"/>
        </w:rPr>
      </w:pPr>
      <w:r>
        <w:rPr>
          <w:rFonts w:ascii="Arial" w:cs="Arial" w:eastAsia="Arial" w:hAnsi="Arial"/>
          <w:sz w:val="19"/>
          <w:szCs w:val="19"/>
          <w:color w:val="343636"/>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BLOOMIN’ BRANDS, INC.,</w:t>
      </w:r>
    </w:p>
    <w:p>
      <w:pPr>
        <w:spacing w:after="0" w:line="54"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8"/>
          <w:szCs w:val="18"/>
          <w:color w:val="auto"/>
        </w:rPr>
        <w:t>/s/ Micahel A'Hearn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4714240</wp:posOffset>
            </wp:positionH>
            <wp:positionV relativeFrom="paragraph">
              <wp:posOffset>27305</wp:posOffset>
            </wp:positionV>
            <wp:extent cx="21183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2" w:lineRule="exact"/>
        <w:rPr>
          <w:sz w:val="20"/>
          <w:szCs w:val="20"/>
          <w:color w:val="auto"/>
        </w:rPr>
      </w:pPr>
    </w:p>
    <w:p>
      <w:pPr>
        <w:ind w:left="746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7460"/>
        <w:spacing w:after="0"/>
        <w:rPr>
          <w:sz w:val="20"/>
          <w:szCs w:val="20"/>
          <w:color w:val="auto"/>
        </w:rPr>
      </w:pPr>
      <w:r>
        <w:rPr>
          <w:rFonts w:ascii="Arial" w:cs="Arial" w:eastAsia="Arial" w:hAnsi="Arial"/>
          <w:sz w:val="18"/>
          <w:szCs w:val="18"/>
          <w:color w:val="343636"/>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Amended and Restated Credit Agreement</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80"/>
          </w:cols>
          <w:pgMar w:left="900" w:top="366" w:right="719" w:bottom="1440" w:gutter="0" w:footer="0" w:header="0"/>
        </w:sectPr>
      </w:pPr>
    </w:p>
    <w:bookmarkStart w:id="288" w:name="page289"/>
    <w:bookmarkEnd w:id="288"/>
    <w:p>
      <w:pPr>
        <w:ind w:left="6100"/>
        <w:spacing w:after="0"/>
        <w:rPr>
          <w:sz w:val="20"/>
          <w:szCs w:val="20"/>
          <w:color w:val="auto"/>
        </w:rPr>
      </w:pPr>
      <w:r>
        <w:rPr>
          <w:rFonts w:ascii="Arial" w:cs="Arial" w:eastAsia="Arial" w:hAnsi="Arial"/>
          <w:sz w:val="20"/>
          <w:szCs w:val="20"/>
          <w:u w:val="single" w:color="auto"/>
          <w:color w:val="auto"/>
        </w:rPr>
        <w:t>ADMINISTRATIVE AGENT AND LENDERS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WELLS FARGO BANK, NATIONAL ASSICIATION,</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as Administrative Agent, Swing Line Lender, Collateral</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Agent, an L/C Issuer, and a Lender</w:t>
      </w:r>
    </w:p>
    <w:p>
      <w:pPr>
        <w:spacing w:after="0" w:line="370"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8"/>
          <w:szCs w:val="18"/>
          <w:color w:val="auto"/>
        </w:rPr>
        <w:t>/s/ Darcy McLaren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27305</wp:posOffset>
            </wp:positionV>
            <wp:extent cx="2263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4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color w:val="343636"/>
        </w:rPr>
        <w:t>Darcy McLaren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40"/>
          </w:cols>
          <w:pgMar w:left="1440" w:top="528" w:right="319" w:bottom="1440" w:gutter="0" w:footer="0" w:header="0"/>
        </w:sectPr>
      </w:pPr>
    </w:p>
    <w:bookmarkStart w:id="289" w:name="page290"/>
    <w:bookmarkEnd w:id="289"/>
    <w:p>
      <w:pPr>
        <w:jc w:val="right"/>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By: /s/ Aron 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27305</wp:posOffset>
            </wp:positionV>
            <wp:extent cx="21183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color w:val="343636"/>
        </w:rPr>
        <w:t>Aron Frey</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40"/>
          </w:cols>
          <w:pgMar w:left="1440" w:top="528" w:right="819" w:bottom="1440" w:gutter="0" w:footer="0" w:header="0"/>
        </w:sectPr>
      </w:pPr>
    </w:p>
    <w:bookmarkStart w:id="290" w:name="page291"/>
    <w:bookmarkEnd w:id="290"/>
    <w:p>
      <w:pPr>
        <w:jc w:val="right"/>
        <w:spacing w:after="0"/>
        <w:rPr>
          <w:sz w:val="20"/>
          <w:szCs w:val="20"/>
          <w:color w:val="auto"/>
        </w:rPr>
      </w:pPr>
      <w:r>
        <w:rPr>
          <w:rFonts w:ascii="Arial" w:cs="Arial" w:eastAsia="Arial" w:hAnsi="Arial"/>
          <w:sz w:val="20"/>
          <w:szCs w:val="20"/>
          <w:color w:val="auto"/>
        </w:rPr>
        <w:t>JPMORGAN CHASE BANK, N.A., as a Lender</w:t>
      </w:r>
    </w:p>
    <w:p>
      <w:pPr>
        <w:spacing w:after="0" w:line="378" w:lineRule="exact"/>
        <w:rPr>
          <w:sz w:val="20"/>
          <w:szCs w:val="20"/>
          <w:color w:val="auto"/>
        </w:rPr>
      </w:pPr>
    </w:p>
    <w:p>
      <w:pPr>
        <w:ind w:left="6400"/>
        <w:spacing w:after="0"/>
        <w:rPr>
          <w:sz w:val="20"/>
          <w:szCs w:val="20"/>
          <w:color w:val="auto"/>
        </w:rPr>
      </w:pPr>
      <w:r>
        <w:rPr>
          <w:rFonts w:ascii="Arial" w:cs="Arial" w:eastAsia="Arial" w:hAnsi="Arial"/>
          <w:sz w:val="20"/>
          <w:szCs w:val="20"/>
          <w:color w:val="auto"/>
        </w:rPr>
        <w:t>By: /s/ Lauren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27305</wp:posOffset>
            </wp:positionV>
            <wp:extent cx="2229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4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Lauren Baker</w:t>
      </w:r>
    </w:p>
    <w:p>
      <w:pPr>
        <w:spacing w:after="0" w:line="6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528" w:right="439" w:bottom="1440" w:gutter="0" w:footer="0" w:header="0"/>
        </w:sectPr>
      </w:pPr>
    </w:p>
    <w:bookmarkStart w:id="291" w:name="page292"/>
    <w:bookmarkEnd w:id="291"/>
    <w:p>
      <w:pPr>
        <w:ind w:left="5160"/>
        <w:spacing w:after="0"/>
        <w:rPr>
          <w:sz w:val="20"/>
          <w:szCs w:val="20"/>
          <w:color w:val="auto"/>
        </w:rPr>
      </w:pPr>
      <w:r>
        <w:rPr>
          <w:rFonts w:ascii="Arial" w:cs="Arial" w:eastAsia="Arial" w:hAnsi="Arial"/>
          <w:sz w:val="19"/>
          <w:szCs w:val="19"/>
          <w:color w:val="auto"/>
        </w:rPr>
        <w:t>COÖPERATIEVE RABOBANK U.A., NEW YORK</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BRANCH, as a Lender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Van Brandenburg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27305</wp:posOffset>
            </wp:positionV>
            <wp:extent cx="28555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Van Brandenburg</w:t>
      </w:r>
    </w:p>
    <w:p>
      <w:pPr>
        <w:spacing w:after="0" w:line="6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Executive Director</w:t>
      </w:r>
    </w:p>
    <w:p>
      <w:pPr>
        <w:spacing w:after="0" w:line="39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Jennifer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27305</wp:posOffset>
            </wp:positionV>
            <wp:extent cx="2855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4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Jennifer Smith</w:t>
      </w:r>
    </w:p>
    <w:p>
      <w:pPr>
        <w:spacing w:after="0" w:line="6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Vice President</w:t>
      </w:r>
    </w:p>
    <w:p>
      <w:pPr>
        <w:spacing w:after="0" w:line="200" w:lineRule="exact"/>
        <w:rPr>
          <w:sz w:val="20"/>
          <w:szCs w:val="20"/>
          <w:color w:val="auto"/>
        </w:rPr>
      </w:pPr>
    </w:p>
    <w:p>
      <w:pPr>
        <w:spacing w:after="0" w:line="3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80"/>
          </w:cols>
          <w:pgMar w:left="1440" w:top="528" w:right="1079" w:bottom="1440" w:gutter="0" w:footer="0" w:header="0"/>
        </w:sectPr>
      </w:pPr>
    </w:p>
    <w:bookmarkStart w:id="292" w:name="page293"/>
    <w:bookmarkEnd w:id="292"/>
    <w:p>
      <w:pPr>
        <w:jc w:val="right"/>
        <w:spacing w:after="0"/>
        <w:rPr>
          <w:sz w:val="20"/>
          <w:szCs w:val="20"/>
          <w:color w:val="auto"/>
        </w:rPr>
      </w:pPr>
      <w:r>
        <w:rPr>
          <w:rFonts w:ascii="Arial" w:cs="Arial" w:eastAsia="Arial" w:hAnsi="Arial"/>
          <w:sz w:val="20"/>
          <w:szCs w:val="20"/>
          <w:color w:val="auto"/>
        </w:rPr>
        <w:t>PNC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By: /s/ Jonathan Leoniff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27305</wp:posOffset>
            </wp:positionV>
            <wp:extent cx="2573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4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Jonathan Leoniff</w:t>
      </w:r>
    </w:p>
    <w:p>
      <w:pPr>
        <w:spacing w:after="0" w:line="6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color w:val="343636"/>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60"/>
          </w:cols>
          <w:pgMar w:left="1440" w:top="528" w:right="399" w:bottom="1440" w:gutter="0" w:footer="0" w:header="0"/>
        </w:sectPr>
      </w:pPr>
    </w:p>
    <w:bookmarkStart w:id="293" w:name="page294"/>
    <w:bookmarkEnd w:id="293"/>
    <w:p>
      <w:pPr>
        <w:jc w:val="right"/>
        <w:ind w:right="1159"/>
        <w:spacing w:after="0"/>
        <w:rPr>
          <w:sz w:val="20"/>
          <w:szCs w:val="20"/>
          <w:color w:val="auto"/>
        </w:rPr>
      </w:pPr>
      <w:r>
        <w:rPr>
          <w:rFonts w:ascii="Arial" w:cs="Arial" w:eastAsia="Arial" w:hAnsi="Arial"/>
          <w:sz w:val="18"/>
          <w:szCs w:val="18"/>
          <w:color w:val="auto"/>
        </w:rPr>
        <w:t>REGIONS 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Scott C. Tocci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Scott C. Tocci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Managing Director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31"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t>U.S. BANK NATIONAL ASSOCIATION, as a Lender</w:t>
      </w:r>
    </w:p>
    <w:p>
      <w:pPr>
        <w:spacing w:after="0" w:line="38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Sean P.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Sean P. Walters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9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80"/>
          </w:cols>
          <w:pgMar w:left="1440" w:top="530" w:right="879" w:bottom="1440" w:gutter="0" w:footer="0" w:header="0"/>
        </w:sectPr>
      </w:pPr>
    </w:p>
    <w:bookmarkStart w:id="295" w:name="page296"/>
    <w:bookmarkEnd w:id="295"/>
    <w:p>
      <w:pPr>
        <w:jc w:val="right"/>
        <w:ind w:right="699"/>
        <w:spacing w:after="0"/>
        <w:rPr>
          <w:sz w:val="20"/>
          <w:szCs w:val="20"/>
          <w:color w:val="auto"/>
        </w:rPr>
      </w:pPr>
      <w:r>
        <w:rPr>
          <w:rFonts w:ascii="Arial" w:cs="Arial" w:eastAsia="Arial" w:hAnsi="Arial"/>
          <w:sz w:val="18"/>
          <w:szCs w:val="18"/>
          <w:color w:val="auto"/>
        </w:rPr>
        <w:t>CITIZENS BANK, N.A., as a Lender</w:t>
      </w:r>
    </w:p>
    <w:p>
      <w:pPr>
        <w:spacing w:after="0" w:line="38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Carolyn Jarvis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Carolyn Jarvis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30" w:right="1440" w:bottom="1440" w:gutter="0" w:footer="0" w:header="0"/>
        </w:sectPr>
      </w:pPr>
    </w:p>
    <w:bookmarkStart w:id="296" w:name="page297"/>
    <w:bookmarkEnd w:id="296"/>
    <w:p>
      <w:pPr>
        <w:ind w:left="5600"/>
        <w:spacing w:after="0"/>
        <w:rPr>
          <w:sz w:val="20"/>
          <w:szCs w:val="20"/>
          <w:color w:val="auto"/>
        </w:rPr>
      </w:pPr>
      <w:r>
        <w:rPr>
          <w:rFonts w:ascii="Arial" w:cs="Arial" w:eastAsia="Arial" w:hAnsi="Arial"/>
          <w:sz w:val="19"/>
          <w:szCs w:val="19"/>
          <w:color w:val="auto"/>
        </w:rPr>
        <w:t>HSBC BANK USA, NATIONAL ASSOCIATION, as a</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Rafael De Paoli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Rafael De Paoli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9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20"/>
          </w:cols>
          <w:pgMar w:left="1440" w:top="528" w:right="439" w:bottom="1440" w:gutter="0" w:footer="0" w:header="0"/>
        </w:sectPr>
      </w:pPr>
    </w:p>
    <w:bookmarkStart w:id="297" w:name="page298"/>
    <w:bookmarkEnd w:id="297"/>
    <w:p>
      <w:pPr>
        <w:jc w:val="right"/>
        <w:ind w:right="599"/>
        <w:spacing w:after="0"/>
        <w:rPr>
          <w:sz w:val="20"/>
          <w:szCs w:val="20"/>
          <w:color w:val="auto"/>
        </w:rPr>
      </w:pPr>
      <w:r>
        <w:rPr>
          <w:rFonts w:ascii="Arial" w:cs="Arial" w:eastAsia="Arial" w:hAnsi="Arial"/>
          <w:sz w:val="20"/>
          <w:szCs w:val="20"/>
          <w:color w:val="auto"/>
        </w:rPr>
        <w:t>FIFTH THIRD 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John A. Marian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A. Marian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298" w:name="page299"/>
    <w:bookmarkEnd w:id="298"/>
    <w:p>
      <w:pPr>
        <w:ind w:left="5600"/>
        <w:spacing w:after="0"/>
        <w:rPr>
          <w:sz w:val="20"/>
          <w:szCs w:val="20"/>
          <w:color w:val="auto"/>
        </w:rPr>
      </w:pPr>
      <w:r>
        <w:rPr>
          <w:rFonts w:ascii="Arial" w:cs="Arial" w:eastAsia="Arial" w:hAnsi="Arial"/>
          <w:sz w:val="19"/>
          <w:szCs w:val="19"/>
          <w:color w:val="auto"/>
        </w:rPr>
        <w:t>SUMITOMO MITSUI BANKING CORPORATION, as</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a Lender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Katsuyuki Kubo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Katsuyuki Kubo</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9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60"/>
          </w:cols>
          <w:pgMar w:left="1440" w:top="528" w:right="399" w:bottom="1440" w:gutter="0" w:footer="0" w:header="0"/>
        </w:sectPr>
      </w:pPr>
    </w:p>
    <w:bookmarkStart w:id="299" w:name="page300"/>
    <w:bookmarkEnd w:id="299"/>
    <w:p>
      <w:pPr>
        <w:jc w:val="right"/>
        <w:ind w:right="1039"/>
        <w:spacing w:after="0"/>
        <w:rPr>
          <w:sz w:val="20"/>
          <w:szCs w:val="20"/>
          <w:color w:val="auto"/>
        </w:rPr>
      </w:pPr>
      <w:r>
        <w:rPr>
          <w:rFonts w:ascii="Arial" w:cs="Arial" w:eastAsia="Arial" w:hAnsi="Arial"/>
          <w:sz w:val="20"/>
          <w:szCs w:val="20"/>
          <w:color w:val="auto"/>
        </w:rPr>
        <w:t>TD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Alan Garson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Alan Garson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300" w:name="page301"/>
    <w:bookmarkEnd w:id="300"/>
    <w:p>
      <w:pPr>
        <w:jc w:val="right"/>
        <w:ind w:right="379"/>
        <w:spacing w:after="0"/>
        <w:rPr>
          <w:sz w:val="20"/>
          <w:szCs w:val="20"/>
          <w:color w:val="auto"/>
        </w:rPr>
      </w:pPr>
      <w:r>
        <w:rPr>
          <w:rFonts w:ascii="Arial" w:cs="Arial" w:eastAsia="Arial" w:hAnsi="Arial"/>
          <w:sz w:val="20"/>
          <w:szCs w:val="20"/>
          <w:color w:val="auto"/>
        </w:rPr>
        <w:t>CADENCE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John M. Huss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 Huss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301" w:name="page302"/>
    <w:bookmarkEnd w:id="301"/>
    <w:p>
      <w:pPr>
        <w:ind w:left="5600"/>
        <w:spacing w:after="0"/>
        <w:rPr>
          <w:sz w:val="20"/>
          <w:szCs w:val="20"/>
          <w:color w:val="auto"/>
        </w:rPr>
      </w:pPr>
      <w:r>
        <w:rPr>
          <w:rFonts w:ascii="Arial" w:cs="Arial" w:eastAsia="Arial" w:hAnsi="Arial"/>
          <w:sz w:val="19"/>
          <w:szCs w:val="19"/>
          <w:color w:val="auto"/>
        </w:rPr>
        <w:t>FIRST TENNESSEE BANK NATIONAL</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ASSOCIATION, as a Lender</w:t>
      </w:r>
    </w:p>
    <w:p>
      <w:pPr>
        <w:spacing w:after="0" w:line="36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John R. Schmitt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R. Schmitt</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302" w:name="page303"/>
    <w:bookmarkEnd w:id="302"/>
    <w:p>
      <w:pPr>
        <w:jc w:val="right"/>
        <w:ind w:right="959"/>
        <w:spacing w:after="0"/>
        <w:rPr>
          <w:sz w:val="20"/>
          <w:szCs w:val="20"/>
          <w:color w:val="auto"/>
        </w:rPr>
      </w:pPr>
      <w:r>
        <w:rPr>
          <w:rFonts w:ascii="Arial" w:cs="Arial" w:eastAsia="Arial" w:hAnsi="Arial"/>
          <w:sz w:val="20"/>
          <w:szCs w:val="20"/>
          <w:color w:val="auto"/>
        </w:rPr>
        <w:t>USAMERIBANK,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Ronald L. Ciganek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L. Ciganek</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Title: Executive Vice President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303" w:name="page304"/>
    <w:bookmarkEnd w:id="303"/>
    <w:p>
      <w:pPr>
        <w:ind w:left="5600"/>
        <w:spacing w:after="0"/>
        <w:rPr>
          <w:sz w:val="20"/>
          <w:szCs w:val="20"/>
          <w:color w:val="auto"/>
        </w:rPr>
      </w:pPr>
      <w:r>
        <w:rPr>
          <w:rFonts w:ascii="Arial" w:cs="Arial" w:eastAsia="Arial" w:hAnsi="Arial"/>
          <w:sz w:val="20"/>
          <w:szCs w:val="20"/>
          <w:color w:val="auto"/>
        </w:rPr>
        <w:t>IBERIABANK,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Michael J.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Michael J. Roth</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Executive Vice President,</w:t>
      </w:r>
    </w:p>
    <w:p>
      <w:pPr>
        <w:spacing w:after="0" w:line="23"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Tampa Bay Market President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8" w:right="1440" w:bottom="1440" w:gutter="0" w:footer="0" w:header="0"/>
        </w:sectPr>
      </w:pPr>
    </w:p>
    <w:bookmarkStart w:id="304" w:name="page305"/>
    <w:bookmarkEnd w:id="304"/>
    <w:p>
      <w:pPr>
        <w:jc w:val="right"/>
        <w:spacing w:after="0"/>
        <w:rPr>
          <w:sz w:val="20"/>
          <w:szCs w:val="20"/>
          <w:color w:val="auto"/>
        </w:rPr>
      </w:pPr>
      <w:r>
        <w:rPr>
          <w:rFonts w:ascii="Arial" w:cs="Arial" w:eastAsia="Arial" w:hAnsi="Arial"/>
          <w:sz w:val="20"/>
          <w:szCs w:val="20"/>
          <w:color w:val="auto"/>
        </w:rPr>
        <w:t>RAYMOND JAMES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Alexander L. Rody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Alexander L. Rody</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80"/>
          </w:cols>
          <w:pgMar w:left="1440" w:top="527" w:right="1079" w:bottom="1440" w:gutter="0" w:footer="0" w:header="0"/>
        </w:sectPr>
      </w:pPr>
    </w:p>
    <w:bookmarkStart w:id="305" w:name="page306"/>
    <w:bookmarkEnd w:id="305"/>
    <w:p>
      <w:pPr>
        <w:jc w:val="right"/>
        <w:ind w:right="379"/>
        <w:spacing w:after="0"/>
        <w:rPr>
          <w:sz w:val="20"/>
          <w:szCs w:val="20"/>
          <w:color w:val="auto"/>
        </w:rPr>
      </w:pPr>
      <w:r>
        <w:rPr>
          <w:rFonts w:ascii="Arial" w:cs="Arial" w:eastAsia="Arial" w:hAnsi="Arial"/>
          <w:sz w:val="20"/>
          <w:szCs w:val="20"/>
          <w:color w:val="auto"/>
        </w:rPr>
        <w:t>WEBSTER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Carol Pirek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Carol Pirek</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27" w:right="1440" w:bottom="1440" w:gutter="0" w:footer="0" w:header="0"/>
        </w:sectPr>
      </w:pPr>
    </w:p>
    <w:bookmarkStart w:id="306" w:name="page307"/>
    <w:bookmarkEnd w:id="306"/>
    <w:p>
      <w:pPr>
        <w:ind w:left="5600"/>
        <w:spacing w:after="0"/>
        <w:rPr>
          <w:sz w:val="20"/>
          <w:szCs w:val="20"/>
          <w:color w:val="auto"/>
        </w:rPr>
      </w:pPr>
      <w:r>
        <w:rPr>
          <w:rFonts w:ascii="Arial" w:cs="Arial" w:eastAsia="Arial" w:hAnsi="Arial"/>
          <w:sz w:val="19"/>
          <w:szCs w:val="19"/>
          <w:color w:val="auto"/>
        </w:rPr>
        <w:t>FIRSTBANK PUERTO RICO D/B/A FIRSTBANK</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FLORIDA, as a Lender</w:t>
      </w:r>
    </w:p>
    <w:p>
      <w:pPr>
        <w:spacing w:after="0" w:line="36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Jose M. Lacasa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Jose M. Lacasa</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SVP Corporate Banking</w:t>
      </w:r>
    </w:p>
    <w:p>
      <w:pPr>
        <w:spacing w:after="0" w:line="200" w:lineRule="exact"/>
        <w:rPr>
          <w:sz w:val="20"/>
          <w:szCs w:val="20"/>
          <w:color w:val="auto"/>
        </w:rPr>
      </w:pPr>
    </w:p>
    <w:p>
      <w:pPr>
        <w:spacing w:after="0" w:line="295"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60"/>
          </w:cols>
          <w:pgMar w:left="1440" w:top="528" w:right="699" w:bottom="1440" w:gutter="0" w:footer="0" w:header="0"/>
        </w:sectPr>
      </w:pPr>
    </w:p>
    <w:bookmarkStart w:id="307" w:name="page308"/>
    <w:bookmarkEnd w:id="307"/>
    <w:p>
      <w:pPr>
        <w:jc w:val="right"/>
        <w:spacing w:after="0"/>
        <w:rPr>
          <w:sz w:val="20"/>
          <w:szCs w:val="20"/>
          <w:color w:val="auto"/>
        </w:rPr>
      </w:pPr>
      <w:r>
        <w:rPr>
          <w:rFonts w:ascii="Arial" w:cs="Arial" w:eastAsia="Arial" w:hAnsi="Arial"/>
          <w:sz w:val="20"/>
          <w:szCs w:val="20"/>
          <w:color w:val="auto"/>
        </w:rPr>
        <w:t>CITY NATIONAL BANK OF FLORIDA,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/s/ William H. Lutes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31750</wp:posOffset>
            </wp:positionV>
            <wp:extent cx="2573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H. Lutes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Market Executive, Tampa Region</w:t>
      </w:r>
    </w:p>
    <w:p>
      <w:pPr>
        <w:spacing w:after="0" w:line="27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Amended and Restated Credit Agreement</w:t>
      </w:r>
    </w:p>
    <w:p>
      <w:pPr>
        <w:spacing w:after="0" w:line="32"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40"/>
          </w:cols>
          <w:pgMar w:left="1440" w:top="528" w:right="519" w:bottom="1440" w:gutter="0" w:footer="0" w:header="0"/>
        </w:sectPr>
      </w:pPr>
    </w:p>
    <w:bookmarkStart w:id="308" w:name="page309"/>
    <w:bookmarkEnd w:id="308"/>
    <w:p>
      <w:pPr>
        <w:ind w:left="5000"/>
        <w:spacing w:after="0"/>
        <w:rPr>
          <w:sz w:val="20"/>
          <w:szCs w:val="20"/>
          <w:color w:val="auto"/>
        </w:rPr>
      </w:pPr>
      <w:r>
        <w:rPr>
          <w:rFonts w:ascii="Arial" w:cs="Arial" w:eastAsia="Arial" w:hAnsi="Arial"/>
          <w:sz w:val="22"/>
          <w:szCs w:val="22"/>
          <w:b w:val="1"/>
          <w:bCs w:val="1"/>
          <w:color w:val="auto"/>
        </w:rPr>
        <w:t>Schedule 1.01A</w:t>
      </w:r>
    </w:p>
    <w:p>
      <w:pPr>
        <w:ind w:left="4960"/>
        <w:spacing w:after="0"/>
        <w:rPr>
          <w:sz w:val="20"/>
          <w:szCs w:val="20"/>
          <w:color w:val="auto"/>
        </w:rPr>
      </w:pPr>
      <w:r>
        <w:rPr>
          <w:rFonts w:ascii="Arial" w:cs="Arial" w:eastAsia="Arial" w:hAnsi="Arial"/>
          <w:sz w:val="22"/>
          <w:szCs w:val="22"/>
          <w:b w:val="1"/>
          <w:bCs w:val="1"/>
          <w:color w:val="auto"/>
        </w:rPr>
        <w:t>Excluded Assets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Excluded Assets </w:t>
      </w:r>
      <w:r>
        <w:rPr>
          <w:rFonts w:ascii="Arial" w:cs="Arial" w:eastAsia="Arial" w:hAnsi="Arial"/>
          <w:sz w:val="22"/>
          <w:szCs w:val="22"/>
          <w:color w:val="auto"/>
        </w:rPr>
        <w:t>(pursuant to subsection (vi)(C) of the definition of Excluded Assets)</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All of the outstanding Equity Interests held by Carrabba’s Italian Grill, LLC and Outback Steakhouse of Florida, LLC (constituting 20% of the total outstanding Equity Interests) in Northlake Drainage Association, Inc., a not-for-profit corporation organized under the Laws of the State of Florida.</w:t>
      </w:r>
    </w:p>
    <w:p>
      <w:pPr>
        <w:sectPr>
          <w:pgSz w:w="11900" w:h="16838" w:orient="portrait"/>
          <w:cols w:equalWidth="0" w:num="1">
            <w:col w:w="11420"/>
          </w:cols>
          <w:pgMar w:left="240" w:top="626" w:right="239" w:bottom="1440" w:gutter="0" w:footer="0" w:header="0"/>
        </w:sectPr>
      </w:pPr>
    </w:p>
    <w:bookmarkStart w:id="309" w:name="page310"/>
    <w:bookmarkEnd w:id="309"/>
    <w:p>
      <w:pPr>
        <w:jc w:val="center"/>
        <w:spacing w:after="0"/>
        <w:rPr>
          <w:sz w:val="20"/>
          <w:szCs w:val="20"/>
          <w:color w:val="auto"/>
        </w:rPr>
      </w:pPr>
      <w:r>
        <w:rPr>
          <w:rFonts w:ascii="Arial" w:cs="Arial" w:eastAsia="Arial" w:hAnsi="Arial"/>
          <w:sz w:val="22"/>
          <w:szCs w:val="22"/>
          <w:b w:val="1"/>
          <w:bCs w:val="1"/>
          <w:color w:val="auto"/>
        </w:rPr>
        <w:t>Schedule 1.01B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Excluded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17780</wp:posOffset>
            </wp:positionV>
            <wp:extent cx="5360035" cy="6757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5360035" cy="675767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10" w:name="page311"/>
    <w:bookmarkEnd w:id="310"/>
    <w:p>
      <w:pPr>
        <w:jc w:val="center"/>
        <w:ind w:right="20"/>
        <w:spacing w:after="0"/>
        <w:rPr>
          <w:sz w:val="20"/>
          <w:szCs w:val="20"/>
          <w:color w:val="auto"/>
        </w:rPr>
      </w:pPr>
      <w:r>
        <w:rPr>
          <w:rFonts w:ascii="Arial" w:cs="Arial" w:eastAsia="Arial" w:hAnsi="Arial"/>
          <w:sz w:val="22"/>
          <w:szCs w:val="22"/>
          <w:b w:val="1"/>
          <w:bCs w:val="1"/>
          <w:color w:val="auto"/>
        </w:rPr>
        <w:t>Schedule 1.01C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Existing Letters of Credit</w:t>
      </w: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32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22"/>
                <w:szCs w:val="22"/>
                <w:color w:val="auto"/>
              </w:rPr>
              <w:t>Issuing Bank</w:t>
            </w:r>
          </w:p>
        </w:tc>
        <w:tc>
          <w:tcPr>
            <w:tcW w:w="344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22"/>
                <w:szCs w:val="22"/>
                <w:color w:val="auto"/>
              </w:rPr>
              <w:t>Beneficiary</w:t>
            </w:r>
          </w:p>
        </w:tc>
        <w:tc>
          <w:tcPr>
            <w:tcW w:w="19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8"/>
              </w:rPr>
              <w:t>Letter of Credit No.</w:t>
            </w:r>
          </w:p>
        </w:tc>
        <w:tc>
          <w:tcPr>
            <w:tcW w:w="14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Expiry Date</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Amount Outstanding</w:t>
            </w:r>
          </w:p>
        </w:tc>
      </w:tr>
      <w:tr>
        <w:trPr>
          <w:trHeight w:val="297"/>
        </w:trPr>
        <w:tc>
          <w:tcPr>
            <w:tcW w:w="2320" w:type="dxa"/>
            <w:vAlign w:val="bottom"/>
            <w:tcBorders>
              <w:left w:val="single" w:sz="8" w:color="auto"/>
              <w:right w:val="single" w:sz="8" w:color="auto"/>
            </w:tcBorders>
          </w:tcPr>
          <w:p>
            <w:pPr>
              <w:spacing w:after="0"/>
              <w:rPr>
                <w:sz w:val="24"/>
                <w:szCs w:val="24"/>
                <w:color w:val="auto"/>
              </w:rPr>
            </w:pPr>
          </w:p>
        </w:tc>
        <w:tc>
          <w:tcPr>
            <w:tcW w:w="344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As of Date</w:t>
            </w:r>
          </w:p>
        </w:tc>
      </w:tr>
      <w:tr>
        <w:trPr>
          <w:trHeight w:val="308"/>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11/16/2017</w:t>
            </w:r>
          </w:p>
        </w:tc>
      </w:tr>
      <w:tr>
        <w:trPr>
          <w:trHeight w:val="249"/>
        </w:trPr>
        <w:tc>
          <w:tcPr>
            <w:tcW w:w="23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Wells Fargo Bank</w:t>
            </w:r>
          </w:p>
        </w:tc>
        <w:tc>
          <w:tcPr>
            <w:tcW w:w="34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6"/>
              </w:rPr>
              <w:t>National Union Fire Insurance Co of</w:t>
            </w:r>
          </w:p>
        </w:tc>
        <w:tc>
          <w:tcPr>
            <w:tcW w:w="19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IS0000017151U</w:t>
            </w:r>
          </w:p>
        </w:tc>
        <w:tc>
          <w:tcPr>
            <w:tcW w:w="14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0"/>
              </w:rPr>
              <w:t>10/17/2018</w:t>
            </w:r>
          </w:p>
        </w:tc>
        <w:tc>
          <w:tcPr>
            <w:tcW w:w="226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rPr>
              <w:t>$100,000.00</w:t>
            </w:r>
          </w:p>
        </w:tc>
      </w:tr>
      <w:tr>
        <w:trPr>
          <w:trHeight w:val="285"/>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Pittsburgh</w:t>
            </w: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49"/>
        </w:trPr>
        <w:tc>
          <w:tcPr>
            <w:tcW w:w="23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Wells Fargo Bank</w:t>
            </w:r>
          </w:p>
        </w:tc>
        <w:tc>
          <w:tcPr>
            <w:tcW w:w="34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Wells Fargo Bank (Flemings,</w:t>
            </w:r>
          </w:p>
        </w:tc>
        <w:tc>
          <w:tcPr>
            <w:tcW w:w="19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IS0000196990U</w:t>
            </w:r>
          </w:p>
        </w:tc>
        <w:tc>
          <w:tcPr>
            <w:tcW w:w="14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0"/>
              </w:rPr>
              <w:t>10/17/2018</w:t>
            </w:r>
          </w:p>
        </w:tc>
        <w:tc>
          <w:tcPr>
            <w:tcW w:w="226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rPr>
              <w:t>$200,000.00</w:t>
            </w:r>
          </w:p>
        </w:tc>
      </w:tr>
      <w:tr>
        <w:trPr>
          <w:trHeight w:val="285"/>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Beverly Hills CA</w:t>
            </w: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49"/>
        </w:trPr>
        <w:tc>
          <w:tcPr>
            <w:tcW w:w="23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Wells Fargo Bank</w:t>
            </w:r>
          </w:p>
        </w:tc>
        <w:tc>
          <w:tcPr>
            <w:tcW w:w="34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The Travelers Indemnity</w:t>
            </w:r>
          </w:p>
        </w:tc>
        <w:tc>
          <w:tcPr>
            <w:tcW w:w="19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LC870-116646</w:t>
            </w:r>
          </w:p>
        </w:tc>
        <w:tc>
          <w:tcPr>
            <w:tcW w:w="14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1/1/2018</w:t>
            </w:r>
          </w:p>
        </w:tc>
        <w:tc>
          <w:tcPr>
            <w:tcW w:w="226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rPr>
              <w:t>$15,000,000.00</w:t>
            </w:r>
          </w:p>
        </w:tc>
      </w:tr>
      <w:tr>
        <w:trPr>
          <w:trHeight w:val="285"/>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Company</w:t>
            </w: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49"/>
        </w:trPr>
        <w:tc>
          <w:tcPr>
            <w:tcW w:w="232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Wells Fargo Bank</w:t>
            </w:r>
          </w:p>
        </w:tc>
        <w:tc>
          <w:tcPr>
            <w:tcW w:w="34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The Safety National Casualty</w:t>
            </w:r>
          </w:p>
        </w:tc>
        <w:tc>
          <w:tcPr>
            <w:tcW w:w="19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IS0450529U</w:t>
            </w:r>
          </w:p>
        </w:tc>
        <w:tc>
          <w:tcPr>
            <w:tcW w:w="14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1/1/2018</w:t>
            </w:r>
          </w:p>
        </w:tc>
        <w:tc>
          <w:tcPr>
            <w:tcW w:w="226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rPr>
              <w:t>$7,400,000.00</w:t>
            </w:r>
          </w:p>
        </w:tc>
      </w:tr>
      <w:tr>
        <w:trPr>
          <w:trHeight w:val="285"/>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Corporation</w:t>
            </w:r>
          </w:p>
        </w:tc>
        <w:tc>
          <w:tcPr>
            <w:tcW w:w="194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Wells Fargo Bank</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Deutsche Bank AG NY</w:t>
            </w: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IS000022847U</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11/28/2018</w:t>
            </w:r>
          </w:p>
        </w:tc>
        <w:tc>
          <w:tcPr>
            <w:tcW w:w="22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$103,000.00</w:t>
            </w:r>
          </w:p>
        </w:tc>
      </w:tr>
    </w:tbl>
    <w:p>
      <w:pPr>
        <w:sectPr>
          <w:pgSz w:w="11900" w:h="16838" w:orient="portrait"/>
          <w:cols w:equalWidth="0" w:num="1">
            <w:col w:w="11440"/>
          </w:cols>
          <w:pgMar w:left="240" w:top="368" w:right="219" w:bottom="1440" w:gutter="0" w:footer="0" w:header="0"/>
        </w:sectPr>
      </w:pPr>
    </w:p>
    <w:bookmarkStart w:id="311" w:name="page312"/>
    <w:bookmarkEnd w:id="311"/>
    <w:p>
      <w:pPr>
        <w:jc w:val="center"/>
        <w:ind w:right="-1200"/>
        <w:spacing w:after="0"/>
        <w:rPr>
          <w:sz w:val="20"/>
          <w:szCs w:val="20"/>
          <w:color w:val="auto"/>
        </w:rPr>
      </w:pPr>
      <w:r>
        <w:rPr>
          <w:rFonts w:ascii="Arial" w:cs="Arial" w:eastAsia="Arial" w:hAnsi="Arial"/>
          <w:sz w:val="22"/>
          <w:szCs w:val="22"/>
          <w:b w:val="1"/>
          <w:bCs w:val="1"/>
          <w:color w:val="auto"/>
        </w:rPr>
        <w:t>Schedule 1.01D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Foreign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9" w:right="1440" w:bottom="1440" w:gutter="0" w:footer="0" w:header="0"/>
        </w:sectPr>
      </w:pPr>
    </w:p>
    <w:bookmarkStart w:id="312" w:name="page313"/>
    <w:bookmarkEnd w:id="312"/>
    <w:p>
      <w:pPr>
        <w:jc w:val="center"/>
        <w:ind w:right="-1200"/>
        <w:spacing w:after="0"/>
        <w:rPr>
          <w:sz w:val="20"/>
          <w:szCs w:val="20"/>
          <w:color w:val="auto"/>
        </w:rPr>
      </w:pPr>
      <w:r>
        <w:rPr>
          <w:rFonts w:ascii="Arial" w:cs="Arial" w:eastAsia="Arial" w:hAnsi="Arial"/>
          <w:sz w:val="22"/>
          <w:szCs w:val="22"/>
          <w:b w:val="1"/>
          <w:bCs w:val="1"/>
          <w:color w:val="auto"/>
        </w:rPr>
        <w:t>Schedule 1.01E</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Certain Restaurant LPs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Bonefish/Centreville, Limited Partnership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Bonefish/Fredericksburg,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Bonefish/Newport News,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Bonefish/Richmond,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Bonefish/Southern Virginia,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Bonefish/Virginia,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Outback/Hampton, Limited Partnership</w:t>
      </w:r>
    </w:p>
    <w:p>
      <w:pPr>
        <w:sectPr>
          <w:pgSz w:w="11900" w:h="16838" w:orient="portrait"/>
          <w:cols w:equalWidth="0" w:num="1">
            <w:col w:w="10219"/>
          </w:cols>
          <w:pgMar w:left="240" w:top="368" w:right="1440" w:bottom="1440" w:gutter="0" w:footer="0" w:header="0"/>
        </w:sectPr>
      </w:pPr>
    </w:p>
    <w:bookmarkStart w:id="313" w:name="page314"/>
    <w:bookmarkEnd w:id="313"/>
    <w:p>
      <w:pPr>
        <w:jc w:val="center"/>
        <w:ind w:right="20"/>
        <w:spacing w:after="0"/>
        <w:rPr>
          <w:sz w:val="20"/>
          <w:szCs w:val="20"/>
          <w:color w:val="auto"/>
        </w:rPr>
      </w:pPr>
      <w:r>
        <w:rPr>
          <w:rFonts w:ascii="Arial" w:cs="Arial" w:eastAsia="Arial" w:hAnsi="Arial"/>
          <w:sz w:val="22"/>
          <w:szCs w:val="22"/>
          <w:b w:val="1"/>
          <w:bCs w:val="1"/>
          <w:color w:val="auto"/>
        </w:rPr>
        <w:t>Schedule 2.01 Commitments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60" w:type="dxa"/>
            <w:vAlign w:val="bottom"/>
            <w:tcBorders>
              <w:top w:val="single" w:sz="8" w:color="auto"/>
              <w:left w:val="single" w:sz="8" w:color="auto"/>
              <w:right w:val="single" w:sz="8" w:color="auto"/>
            </w:tcBorders>
            <w:shd w:val="clear" w:color="auto" w:fill="C0C0C0"/>
          </w:tcPr>
          <w:p>
            <w:pPr>
              <w:ind w:left="1720"/>
              <w:spacing w:after="0"/>
              <w:rPr>
                <w:sz w:val="20"/>
                <w:szCs w:val="20"/>
                <w:color w:val="auto"/>
              </w:rPr>
            </w:pPr>
            <w:r>
              <w:rPr>
                <w:rFonts w:ascii="Arial" w:cs="Arial" w:eastAsia="Arial" w:hAnsi="Arial"/>
                <w:sz w:val="18"/>
                <w:szCs w:val="18"/>
                <w:b w:val="1"/>
                <w:bCs w:val="1"/>
                <w:color w:val="auto"/>
              </w:rPr>
              <w:t>Lender</w:t>
            </w:r>
          </w:p>
        </w:tc>
        <w:tc>
          <w:tcPr>
            <w:tcW w:w="2400" w:type="dxa"/>
            <w:vAlign w:val="bottom"/>
            <w:tcBorders>
              <w:top w:val="single" w:sz="8" w:color="auto"/>
              <w:right w:val="single" w:sz="8" w:color="auto"/>
            </w:tcBorders>
            <w:shd w:val="clear" w:color="auto" w:fill="C0C0C0"/>
          </w:tcPr>
          <w:p>
            <w:pPr>
              <w:jc w:val="center"/>
              <w:ind w:right="290"/>
              <w:spacing w:after="0"/>
              <w:rPr>
                <w:sz w:val="20"/>
                <w:szCs w:val="20"/>
                <w:color w:val="auto"/>
              </w:rPr>
            </w:pPr>
            <w:r>
              <w:rPr>
                <w:rFonts w:ascii="Arial" w:cs="Arial" w:eastAsia="Arial" w:hAnsi="Arial"/>
                <w:sz w:val="18"/>
                <w:szCs w:val="18"/>
                <w:b w:val="1"/>
                <w:bCs w:val="1"/>
                <w:color w:val="auto"/>
                <w:w w:val="90"/>
              </w:rPr>
              <w:t>Revolving Credit</w:t>
            </w:r>
          </w:p>
        </w:tc>
        <w:tc>
          <w:tcPr>
            <w:tcW w:w="2380" w:type="dxa"/>
            <w:vAlign w:val="bottom"/>
            <w:tcBorders>
              <w:top w:val="single" w:sz="8" w:color="auto"/>
              <w:right w:val="single" w:sz="8" w:color="auto"/>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Term Commitment</w:t>
            </w:r>
          </w:p>
        </w:tc>
        <w:tc>
          <w:tcPr>
            <w:tcW w:w="2400" w:type="dxa"/>
            <w:vAlign w:val="bottom"/>
            <w:tcBorders>
              <w:top w:val="single" w:sz="8" w:color="auto"/>
              <w:right w:val="single" w:sz="8" w:color="auto"/>
            </w:tcBorders>
            <w:shd w:val="clear" w:color="auto" w:fill="C0C0C0"/>
          </w:tcPr>
          <w:p>
            <w:pPr>
              <w:ind w:left="380"/>
              <w:spacing w:after="0"/>
              <w:rPr>
                <w:sz w:val="20"/>
                <w:szCs w:val="20"/>
                <w:color w:val="auto"/>
              </w:rPr>
            </w:pPr>
            <w:r>
              <w:rPr>
                <w:rFonts w:ascii="Arial" w:cs="Arial" w:eastAsia="Arial" w:hAnsi="Arial"/>
                <w:sz w:val="18"/>
                <w:szCs w:val="18"/>
                <w:b w:val="1"/>
                <w:bCs w:val="1"/>
                <w:color w:val="auto"/>
              </w:rPr>
              <w:t>L/C Commitment</w:t>
            </w:r>
          </w:p>
        </w:tc>
      </w:tr>
      <w:tr>
        <w:trPr>
          <w:trHeight w:val="266"/>
        </w:trPr>
        <w:tc>
          <w:tcPr>
            <w:tcW w:w="4260" w:type="dxa"/>
            <w:vAlign w:val="bottom"/>
            <w:tcBorders>
              <w:left w:val="single" w:sz="8" w:color="auto"/>
              <w:bottom w:val="single" w:sz="8" w:color="C0C0C0"/>
              <w:right w:val="single" w:sz="8" w:color="auto"/>
            </w:tcBorders>
            <w:shd w:val="clear" w:color="auto" w:fill="C0C0C0"/>
          </w:tcPr>
          <w:p>
            <w:pPr>
              <w:spacing w:after="0"/>
              <w:rPr>
                <w:sz w:val="22"/>
                <w:szCs w:val="22"/>
                <w:color w:val="auto"/>
              </w:rPr>
            </w:pPr>
          </w:p>
        </w:tc>
        <w:tc>
          <w:tcPr>
            <w:tcW w:w="2400" w:type="dxa"/>
            <w:vAlign w:val="bottom"/>
            <w:tcBorders>
              <w:bottom w:val="single" w:sz="8" w:color="C0C0C0"/>
              <w:right w:val="single" w:sz="8" w:color="auto"/>
            </w:tcBorders>
            <w:shd w:val="clear" w:color="auto" w:fill="C0C0C0"/>
          </w:tcPr>
          <w:p>
            <w:pPr>
              <w:jc w:val="center"/>
              <w:ind w:right="290"/>
              <w:spacing w:after="0"/>
              <w:rPr>
                <w:sz w:val="20"/>
                <w:szCs w:val="20"/>
                <w:color w:val="auto"/>
              </w:rPr>
            </w:pPr>
            <w:r>
              <w:rPr>
                <w:rFonts w:ascii="Arial" w:cs="Arial" w:eastAsia="Arial" w:hAnsi="Arial"/>
                <w:sz w:val="18"/>
                <w:szCs w:val="18"/>
                <w:b w:val="1"/>
                <w:bCs w:val="1"/>
                <w:color w:val="auto"/>
                <w:w w:val="92"/>
              </w:rPr>
              <w:t>Commitment</w:t>
            </w:r>
          </w:p>
        </w:tc>
        <w:tc>
          <w:tcPr>
            <w:tcW w:w="2380" w:type="dxa"/>
            <w:vAlign w:val="bottom"/>
            <w:tcBorders>
              <w:bottom w:val="single" w:sz="8" w:color="C0C0C0"/>
              <w:right w:val="single" w:sz="8" w:color="auto"/>
            </w:tcBorders>
            <w:shd w:val="clear" w:color="auto" w:fill="C0C0C0"/>
          </w:tcPr>
          <w:p>
            <w:pPr>
              <w:spacing w:after="0"/>
              <w:rPr>
                <w:sz w:val="22"/>
                <w:szCs w:val="22"/>
                <w:color w:val="auto"/>
              </w:rPr>
            </w:pPr>
          </w:p>
        </w:tc>
        <w:tc>
          <w:tcPr>
            <w:tcW w:w="2400" w:type="dxa"/>
            <w:vAlign w:val="bottom"/>
            <w:tcBorders>
              <w:bottom w:val="single" w:sz="8" w:color="C0C0C0"/>
              <w:right w:val="single" w:sz="8" w:color="auto"/>
            </w:tcBorders>
            <w:shd w:val="clear" w:color="auto" w:fill="C0C0C0"/>
          </w:tcPr>
          <w:p>
            <w:pPr>
              <w:spacing w:after="0"/>
              <w:rPr>
                <w:sz w:val="22"/>
                <w:szCs w:val="22"/>
                <w:color w:val="auto"/>
              </w:rPr>
            </w:pPr>
          </w:p>
        </w:tc>
      </w:tr>
      <w:tr>
        <w:trPr>
          <w:trHeight w:val="453"/>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Wells Fargo Bank,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$116,666,666.66</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$58,333,333.34</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$25,000,000.00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453"/>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Bank of America,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$110,000,000.00</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$55,000,000.00</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$20,000,000.00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453"/>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JPMorgan Chase Bank, 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$96,666,666.67</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$48,333,333.33</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$15,000,000.00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547"/>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Coöperatieve Rabobank U.A., New York Branch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$96,666,666.67</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$48,333,333.33</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$15,000,000.00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480"/>
        </w:trPr>
        <w:tc>
          <w:tcPr>
            <w:tcW w:w="4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Regions Bank</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$66,666,666.67</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$33,333,333.33</w:t>
            </w:r>
          </w:p>
        </w:tc>
        <w:tc>
          <w:tcPr>
            <w:tcW w:w="2400" w:type="dxa"/>
            <w:vAlign w:val="bottom"/>
            <w:tcBorders>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Citizens Bank, N.A.</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$60,000,000.00</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PNC Bank,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$60,000,000.00</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Bank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$60,000,000.00</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HSBC Bank USA,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$26,666,666.67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Fifth Third Bank</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$24,166,666.67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Mitsui Banking Corporation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$24,166,666.67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TD Bank, N.A.</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$48,333,333.33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$24,166,666.67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USAmeriBank</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$11,666,666.67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Cadence Bank NA</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$21,666,666.67</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$10,833,333.33</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 Tennessee Bank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$8,333,333.33</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Iberiabank</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$8,333,333.33</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Raymond James Bank, N.A.</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$8,333,333.33</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Webster Bank, National Association</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$16,666,666.67</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$8,333,333.33</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Firstbank Puerto Rico</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$13,333,333.33</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$6,666,666.67</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80"/>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City National Bank of Florida</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$5,000,000</w:t>
            </w:r>
          </w:p>
        </w:tc>
        <w:tc>
          <w:tcPr>
            <w:tcW w:w="24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r>
      <w:tr>
        <w:trPr>
          <w:trHeight w:val="453"/>
        </w:trPr>
        <w:tc>
          <w:tcPr>
            <w:tcW w:w="4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$1,000,000,000.00</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$500,000,000.00</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$75,000,000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68" w:right="219" w:bottom="1440" w:gutter="0" w:footer="0" w:header="0"/>
        </w:sectPr>
      </w:pPr>
    </w:p>
    <w:bookmarkStart w:id="314" w:name="page315"/>
    <w:bookmarkEnd w:id="314"/>
    <w:p>
      <w:pPr>
        <w:jc w:val="center"/>
        <w:ind w:right="-1220"/>
        <w:spacing w:after="0"/>
        <w:rPr>
          <w:sz w:val="20"/>
          <w:szCs w:val="20"/>
          <w:color w:val="auto"/>
        </w:rPr>
      </w:pPr>
      <w:r>
        <w:rPr>
          <w:rFonts w:ascii="Arial" w:cs="Arial" w:eastAsia="Arial" w:hAnsi="Arial"/>
          <w:sz w:val="22"/>
          <w:szCs w:val="22"/>
          <w:b w:val="1"/>
          <w:bCs w:val="1"/>
          <w:color w:val="auto"/>
        </w:rPr>
        <w:t>Schedule 5.06</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Certain Litigation</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368" w:right="1440" w:bottom="1440" w:gutter="0" w:footer="0" w:header="0"/>
        </w:sectPr>
      </w:pPr>
    </w:p>
    <w:bookmarkStart w:id="315" w:name="page316"/>
    <w:bookmarkEnd w:id="315"/>
    <w:p>
      <w:pPr>
        <w:jc w:val="center"/>
        <w:ind w:right="20"/>
        <w:spacing w:after="0"/>
        <w:rPr>
          <w:sz w:val="20"/>
          <w:szCs w:val="20"/>
          <w:color w:val="auto"/>
        </w:rPr>
      </w:pPr>
      <w:r>
        <w:rPr>
          <w:rFonts w:ascii="Arial" w:cs="Arial" w:eastAsia="Arial" w:hAnsi="Arial"/>
          <w:sz w:val="22"/>
          <w:szCs w:val="22"/>
          <w:b w:val="1"/>
          <w:bCs w:val="1"/>
          <w:color w:val="auto"/>
        </w:rPr>
        <w:t>Schedule 5.12</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Subsidiaries and Other Equity Investments</w:t>
      </w:r>
    </w:p>
    <w:p>
      <w:pPr>
        <w:spacing w:after="0" w:line="209" w:lineRule="exact"/>
        <w:rPr>
          <w:sz w:val="20"/>
          <w:szCs w:val="20"/>
          <w:color w:val="auto"/>
        </w:rPr>
      </w:pPr>
    </w:p>
    <w:p>
      <w:pPr>
        <w:ind w:left="1580" w:hanging="640"/>
        <w:spacing w:after="0"/>
        <w:tabs>
          <w:tab w:leader="none" w:pos="158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t>Pledged Subsidiaries with Equity Interests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Annapolis Outback, Inc.</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4000 shares of</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99.95%</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99.95%</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 Air Outback,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BFG Nebraska,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BFG Oklahoma,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BFG/FPS of Marlton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Brands Gift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Card Services,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Baltimore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County,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Beverages,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Holdings,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Unit</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Brandywine,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Designated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Holdings,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 Unit</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Kansas,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of Bel Air,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Bonefish/Anne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998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99.8%</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Arundel,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68" w:right="219" w:bottom="1440" w:gutter="0" w:footer="0" w:header="0"/>
        </w:sectPr>
      </w:pPr>
    </w:p>
    <w:bookmarkStart w:id="316" w:name="page317"/>
    <w:bookmarkEnd w:id="3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Bonefish/Asheville,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Bonefish Designated</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Bonefish/Carolinas,</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Bonefish Designated</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Bonefish/Columbus- I,</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Bonefish/Crescent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Springs, Limited</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Bonefish/Glen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5090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99.78%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Burnie,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Bonefish/Greensbor o,</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Bonefish Designated</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Bonefish/Hyde Park,</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Designated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 Grill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97.826%</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97.826%</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Overlea,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317" w:name="page318"/>
    <w:bookmarkEnd w:id="3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Carrabba’s Italian Grill</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10 shares of Class B</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Howard County,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90 shares of Class A</w:t>
            </w: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837"/>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 Grill,</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Kansas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of Bowie,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Germantown,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56"/>
        </w:trPr>
        <w:tc>
          <w:tcPr>
            <w:tcW w:w="6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 shares of</w:t>
            </w:r>
          </w:p>
        </w:tc>
        <w:tc>
          <w:tcPr>
            <w:tcW w:w="14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324"/>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of Ocean City,</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56"/>
        </w:trPr>
        <w:tc>
          <w:tcPr>
            <w:tcW w:w="6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8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 shares of</w:t>
            </w:r>
          </w:p>
        </w:tc>
        <w:tc>
          <w:tcPr>
            <w:tcW w:w="14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324"/>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Pasadena,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Waldorf,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7" w:right="219" w:bottom="1440" w:gutter="0" w:footer="0" w:header="0"/>
        </w:sectPr>
      </w:pPr>
    </w:p>
    <w:bookmarkStart w:id="318" w:name="page319"/>
    <w:bookmarkEnd w:id="3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600" w:type="dxa"/>
            <w:vAlign w:val="bottom"/>
            <w:tcBorders>
              <w:top w:val="single" w:sz="8" w:color="auto"/>
              <w:left w:val="single" w:sz="8" w:color="auto"/>
              <w:right w:val="single" w:sz="8" w:color="auto"/>
            </w:tcBorders>
          </w:tcPr>
          <w:p>
            <w:pPr>
              <w:spacing w:after="0"/>
              <w:rPr>
                <w:sz w:val="24"/>
                <w:szCs w:val="24"/>
                <w:color w:val="auto"/>
              </w:rPr>
            </w:pPr>
          </w:p>
        </w:tc>
        <w:tc>
          <w:tcPr>
            <w:tcW w:w="218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1820" w:type="dxa"/>
            <w:vAlign w:val="bottom"/>
            <w:tcBorders>
              <w:top w:val="single" w:sz="8" w:color="auto"/>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400 shares of</w:t>
            </w:r>
          </w:p>
        </w:tc>
        <w:tc>
          <w:tcPr>
            <w:tcW w:w="1460" w:type="dxa"/>
            <w:vAlign w:val="bottom"/>
            <w:tcBorders>
              <w:top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vMerge w:val="continue"/>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Carrabba’s/Birming ham</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280, Limited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Carrabba’s Designated</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Carrabba’s/DC-I, Limited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Carrabba’s Designated</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Beverages of Texas,</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Holdings,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Holdings,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Nebraska,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Oklahoma,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Carrabba’s Italian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Grill,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CIGI/BFG of East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Brunswick 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DoorSide,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Frederick Outback,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7" w:right="219" w:bottom="1440" w:gutter="0" w:footer="0" w:header="0"/>
        </w:sectPr>
      </w:pPr>
    </w:p>
    <w:bookmarkStart w:id="319" w:name="page320"/>
    <w:bookmarkEnd w:id="3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Hagerstown</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4000 shares of</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99.95%</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99.95%</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OBTex Holdings,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Ocean City Outback,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Management,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Mortgage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Holdings,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Prime,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Realty,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Restaurant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Southern,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Tropical,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Nebraska,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Oklahoma,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320" w:name="page321"/>
    <w:bookmarkEnd w:id="3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OSF/BFG of Deptford</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OSF/BFG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Lawrenceville</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Bonefish Grill,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continue"/>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56.</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OSF/CIGI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Evesham</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 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II, 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II,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Brands,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HoldCo, 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&amp; Carrabba’s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NM</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Mexico,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Alabama,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$0.01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Beverages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OBTex Holdings,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Texas,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Designated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Kansas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KS</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Units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98" w:right="219" w:bottom="1440" w:gutter="0" w:footer="0" w:header="0"/>
        </w:sectPr>
      </w:pPr>
    </w:p>
    <w:bookmarkStart w:id="321" w:name="page322"/>
    <w:bookmarkEnd w:id="3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gridSpan w:val="2"/>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gridSpan w:val="2"/>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gridSpan w:val="2"/>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740" w:type="dxa"/>
            <w:vAlign w:val="bottom"/>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86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740" w:type="dxa"/>
            <w:vAlign w:val="bottom"/>
            <w:shd w:val="clear" w:color="auto" w:fill="E1E1E1"/>
          </w:tcPr>
          <w:p>
            <w:pPr>
              <w:spacing w:after="0"/>
              <w:rPr>
                <w:sz w:val="18"/>
                <w:szCs w:val="18"/>
                <w:color w:val="auto"/>
              </w:rPr>
            </w:pPr>
          </w:p>
        </w:tc>
        <w:tc>
          <w:tcPr>
            <w:tcW w:w="86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740" w:type="dxa"/>
            <w:vAlign w:val="bottom"/>
            <w:tcBorders>
              <w:bottom w:val="single" w:sz="8" w:color="E1E1E1"/>
            </w:tcBorders>
            <w:shd w:val="clear" w:color="auto" w:fill="E1E1E1"/>
          </w:tcPr>
          <w:p>
            <w:pPr>
              <w:spacing w:after="0"/>
              <w:rPr>
                <w:sz w:val="22"/>
                <w:szCs w:val="22"/>
                <w:color w:val="auto"/>
              </w:rPr>
            </w:pPr>
          </w:p>
        </w:tc>
        <w:tc>
          <w:tcPr>
            <w:tcW w:w="86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of Aspen Hill,</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of Calvert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740" w:type="dxa"/>
            <w:vAlign w:val="bottom"/>
          </w:tcPr>
          <w:p>
            <w:pPr>
              <w:ind w:left="20"/>
              <w:spacing w:after="0"/>
              <w:rPr>
                <w:sz w:val="20"/>
                <w:szCs w:val="20"/>
                <w:color w:val="auto"/>
              </w:rPr>
            </w:pPr>
            <w:r>
              <w:rPr>
                <w:rFonts w:ascii="Arial" w:cs="Arial" w:eastAsia="Arial" w:hAnsi="Arial"/>
                <w:sz w:val="18"/>
                <w:szCs w:val="18"/>
                <w:color w:val="auto"/>
              </w:rPr>
              <w:t>4000</w:t>
            </w:r>
          </w:p>
        </w:tc>
        <w:tc>
          <w:tcPr>
            <w:tcW w:w="8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8"/>
              </w:rPr>
              <w:t>common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89.87 %</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89.87 %</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County,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740" w:type="dxa"/>
            <w:vAlign w:val="bottom"/>
          </w:tcPr>
          <w:p>
            <w:pPr>
              <w:ind w:left="20"/>
              <w:spacing w:after="0"/>
              <w:rPr>
                <w:sz w:val="20"/>
                <w:szCs w:val="20"/>
                <w:color w:val="auto"/>
              </w:rPr>
            </w:pPr>
            <w:r>
              <w:rPr>
                <w:rFonts w:ascii="Arial" w:cs="Arial" w:eastAsia="Arial" w:hAnsi="Arial"/>
                <w:sz w:val="18"/>
                <w:szCs w:val="18"/>
                <w:color w:val="auto"/>
              </w:rPr>
              <w:t>shares,</w:t>
            </w:r>
          </w:p>
        </w:tc>
        <w:tc>
          <w:tcPr>
            <w:tcW w:w="8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no   par</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value</w:t>
            </w: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of Germantown,</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of Laurel, LLC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740" w:type="dxa"/>
            <w:vAlign w:val="bottom"/>
          </w:tcPr>
          <w:p>
            <w:pPr>
              <w:ind w:left="20"/>
              <w:spacing w:after="0"/>
              <w:rPr>
                <w:sz w:val="20"/>
                <w:szCs w:val="20"/>
                <w:color w:val="auto"/>
              </w:rPr>
            </w:pPr>
            <w:r>
              <w:rPr>
                <w:rFonts w:ascii="Arial" w:cs="Arial" w:eastAsia="Arial" w:hAnsi="Arial"/>
                <w:sz w:val="18"/>
                <w:szCs w:val="18"/>
                <w:color w:val="auto"/>
              </w:rPr>
              <w:t>N/A</w:t>
            </w:r>
          </w:p>
        </w:tc>
        <w:tc>
          <w:tcPr>
            <w:tcW w:w="8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7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of La Plata,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100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25 shares of</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29"/>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of Waldorf,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800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200 shares of</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37"/>
        </w:trPr>
        <w:tc>
          <w:tcPr>
            <w:tcW w:w="60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29"/>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748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Bowie,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4000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99.95%</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99.95%</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Canton,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w w:val="94"/>
              </w:rPr>
              <w:t>par value</w:t>
            </w: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740" w:type="dxa"/>
            <w:vAlign w:val="bottom"/>
          </w:tcPr>
          <w:p>
            <w:pPr>
              <w:ind w:left="20"/>
              <w:spacing w:after="0"/>
              <w:rPr>
                <w:sz w:val="20"/>
                <w:szCs w:val="20"/>
                <w:color w:val="auto"/>
              </w:rPr>
            </w:pPr>
            <w:r>
              <w:rPr>
                <w:rFonts w:ascii="Arial" w:cs="Arial" w:eastAsia="Arial" w:hAnsi="Arial"/>
                <w:sz w:val="18"/>
                <w:szCs w:val="18"/>
                <w:color w:val="auto"/>
                <w:w w:val="92"/>
              </w:rPr>
              <w:t>100 Units</w:t>
            </w:r>
          </w:p>
        </w:tc>
        <w:tc>
          <w:tcPr>
            <w:tcW w:w="86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7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75.</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90 shares of Class</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Howard County,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 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322" w:name="page323"/>
    <w:bookmarkEnd w:id="3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76.</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Outback Steakhouse of St.</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 shares of</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Mary’s County,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Outback Steakhouse West</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WV</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Virginia,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78.</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Outback/Carrabba’s</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79.</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Outback/Stone-II, Limited</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Designated</w:t>
            </w:r>
          </w:p>
        </w:tc>
        <w:tc>
          <w:tcPr>
            <w:tcW w:w="16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80.</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Outback-Carrabba’s of</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Outback Steakhouse of</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98%</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Hunt Valley, Inc.</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418"/>
        </w:trPr>
        <w:tc>
          <w:tcPr>
            <w:tcW w:w="600" w:type="dxa"/>
            <w:vAlign w:val="bottom"/>
            <w:tcBorders>
              <w:left w:val="single" w:sz="8" w:color="auto"/>
              <w:right w:val="single" w:sz="8" w:color="auto"/>
            </w:tcBorders>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shares of</w:t>
            </w:r>
          </w:p>
        </w:tc>
        <w:tc>
          <w:tcPr>
            <w:tcW w:w="146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no</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70"/>
        </w:trPr>
        <w:tc>
          <w:tcPr>
            <w:tcW w:w="600" w:type="dxa"/>
            <w:vAlign w:val="bottom"/>
            <w:tcBorders>
              <w:left w:val="single" w:sz="8" w:color="auto"/>
              <w:right w:val="single" w:sz="8" w:color="auto"/>
            </w:tcBorders>
          </w:tcPr>
          <w:p>
            <w:pPr>
              <w:spacing w:after="0"/>
              <w:rPr>
                <w:sz w:val="23"/>
                <w:szCs w:val="23"/>
                <w:color w:val="auto"/>
              </w:rPr>
            </w:pPr>
          </w:p>
        </w:tc>
        <w:tc>
          <w:tcPr>
            <w:tcW w:w="218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Carrabba’s Italian Grill,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 value</w:t>
            </w:r>
          </w:p>
        </w:tc>
        <w:tc>
          <w:tcPr>
            <w:tcW w:w="1460" w:type="dxa"/>
            <w:vAlign w:val="bottom"/>
            <w:tcBorders>
              <w:right w:val="single" w:sz="8" w:color="auto"/>
            </w:tcBorders>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r>
      <w:tr>
        <w:trPr>
          <w:trHeight w:val="257"/>
        </w:trPr>
        <w:tc>
          <w:tcPr>
            <w:tcW w:w="600" w:type="dxa"/>
            <w:vAlign w:val="bottom"/>
            <w:tcBorders>
              <w:left w:val="single" w:sz="8" w:color="auto"/>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16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Owings Mills</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Incorporated</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82.</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Perry Hall Outback, Inc.</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4,950 shares of</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99%</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 par value</w:t>
            </w: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83.</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Private Restaurant Master</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Lessee, 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22"/>
        </w:trPr>
        <w:tc>
          <w:tcPr>
            <w:tcW w:w="60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84.</w:t>
            </w: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Private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Restaurant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Restaurant Properties,</w:t>
            </w:r>
          </w:p>
        </w:tc>
        <w:tc>
          <w:tcPr>
            <w:tcW w:w="9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 LLC</w:t>
            </w:r>
          </w:p>
        </w:tc>
        <w:tc>
          <w:tcPr>
            <w:tcW w:w="160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7" w:right="219" w:bottom="1440" w:gutter="0" w:footer="0" w:header="0"/>
        </w:sectPr>
      </w:pPr>
    </w:p>
    <w:bookmarkStart w:id="323" w:name="page324"/>
    <w:bookmarkEnd w:id="3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00" w:type="dxa"/>
            <w:vAlign w:val="bottom"/>
            <w:tcBorders>
              <w:top w:val="single" w:sz="8" w:color="auto"/>
              <w:left w:val="single" w:sz="8" w:color="auto"/>
              <w:right w:val="single" w:sz="8" w:color="auto"/>
            </w:tcBorders>
            <w:shd w:val="clear" w:color="auto" w:fill="E1E1E1"/>
          </w:tcPr>
          <w:p>
            <w:pPr>
              <w:spacing w:after="0"/>
              <w:rPr>
                <w:sz w:val="21"/>
                <w:szCs w:val="21"/>
                <w:color w:val="auto"/>
              </w:rPr>
            </w:pPr>
          </w:p>
        </w:tc>
        <w:tc>
          <w:tcPr>
            <w:tcW w:w="218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Issuer</w:t>
            </w:r>
          </w:p>
        </w:tc>
        <w:tc>
          <w:tcPr>
            <w:tcW w:w="9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Jurisdi</w:t>
            </w:r>
          </w:p>
        </w:tc>
        <w:tc>
          <w:tcPr>
            <w:tcW w:w="17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of</w:t>
            </w:r>
          </w:p>
        </w:tc>
        <w:tc>
          <w:tcPr>
            <w:tcW w:w="182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Registered</w:t>
            </w:r>
          </w:p>
        </w:tc>
        <w:tc>
          <w:tcPr>
            <w:tcW w:w="160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Number and Class</w:t>
            </w:r>
          </w:p>
        </w:tc>
        <w:tc>
          <w:tcPr>
            <w:tcW w:w="146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Equity</w:t>
            </w:r>
          </w:p>
        </w:tc>
        <w:tc>
          <w:tcPr>
            <w:tcW w:w="1140" w:type="dxa"/>
            <w:vAlign w:val="bottom"/>
            <w:tcBorders>
              <w:top w:val="single" w:sz="8" w:color="auto"/>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 of Total</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ction</w:t>
            </w:r>
          </w:p>
        </w:tc>
        <w:tc>
          <w:tcPr>
            <w:tcW w:w="17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Certificate</w:t>
            </w:r>
          </w:p>
        </w:tc>
        <w:tc>
          <w:tcPr>
            <w:tcW w:w="182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Owner(s)</w:t>
            </w: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(if applicable) of</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 Held,</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Issued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Equity Interests</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Directly or</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Interests</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Indirectly, by a</w:t>
            </w:r>
          </w:p>
        </w:tc>
        <w:tc>
          <w:tcPr>
            <w:tcW w:w="114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Pledged</w:t>
            </w:r>
          </w:p>
        </w:tc>
      </w:tr>
      <w:tr>
        <w:trPr>
          <w:trHeight w:val="216"/>
        </w:trPr>
        <w:tc>
          <w:tcPr>
            <w:tcW w:w="600" w:type="dxa"/>
            <w:vAlign w:val="bottom"/>
            <w:tcBorders>
              <w:left w:val="single" w:sz="8" w:color="auto"/>
              <w:right w:val="single" w:sz="8" w:color="auto"/>
            </w:tcBorders>
            <w:shd w:val="clear" w:color="auto" w:fill="E1E1E1"/>
          </w:tcPr>
          <w:p>
            <w:pPr>
              <w:spacing w:after="0"/>
              <w:rPr>
                <w:sz w:val="18"/>
                <w:szCs w:val="18"/>
                <w:color w:val="auto"/>
              </w:rPr>
            </w:pPr>
          </w:p>
        </w:tc>
        <w:tc>
          <w:tcPr>
            <w:tcW w:w="2180" w:type="dxa"/>
            <w:vAlign w:val="bottom"/>
            <w:tcBorders>
              <w:right w:val="single" w:sz="8" w:color="auto"/>
            </w:tcBorders>
            <w:shd w:val="clear" w:color="auto" w:fill="E1E1E1"/>
          </w:tcPr>
          <w:p>
            <w:pPr>
              <w:spacing w:after="0"/>
              <w:rPr>
                <w:sz w:val="18"/>
                <w:szCs w:val="18"/>
                <w:color w:val="auto"/>
              </w:rPr>
            </w:pPr>
          </w:p>
        </w:tc>
        <w:tc>
          <w:tcPr>
            <w:tcW w:w="920" w:type="dxa"/>
            <w:vAlign w:val="bottom"/>
            <w:tcBorders>
              <w:right w:val="single" w:sz="8" w:color="auto"/>
            </w:tcBorders>
            <w:shd w:val="clear" w:color="auto" w:fill="E1E1E1"/>
          </w:tcPr>
          <w:p>
            <w:pPr>
              <w:spacing w:after="0"/>
              <w:rPr>
                <w:sz w:val="18"/>
                <w:szCs w:val="18"/>
                <w:color w:val="auto"/>
              </w:rPr>
            </w:pPr>
          </w:p>
        </w:tc>
        <w:tc>
          <w:tcPr>
            <w:tcW w:w="1720" w:type="dxa"/>
            <w:vAlign w:val="bottom"/>
            <w:tcBorders>
              <w:right w:val="single" w:sz="8" w:color="auto"/>
            </w:tcBorders>
            <w:shd w:val="clear" w:color="auto" w:fill="E1E1E1"/>
          </w:tcPr>
          <w:p>
            <w:pPr>
              <w:spacing w:after="0"/>
              <w:rPr>
                <w:sz w:val="18"/>
                <w:szCs w:val="18"/>
                <w:color w:val="auto"/>
              </w:rPr>
            </w:pPr>
          </w:p>
        </w:tc>
        <w:tc>
          <w:tcPr>
            <w:tcW w:w="1820" w:type="dxa"/>
            <w:vAlign w:val="bottom"/>
            <w:tcBorders>
              <w:right w:val="single" w:sz="8" w:color="auto"/>
            </w:tcBorders>
            <w:shd w:val="clear" w:color="auto" w:fill="E1E1E1"/>
          </w:tcPr>
          <w:p>
            <w:pPr>
              <w:spacing w:after="0"/>
              <w:rPr>
                <w:sz w:val="18"/>
                <w:szCs w:val="18"/>
                <w:color w:val="auto"/>
              </w:rPr>
            </w:pPr>
          </w:p>
        </w:tc>
        <w:tc>
          <w:tcPr>
            <w:tcW w:w="1600" w:type="dxa"/>
            <w:vAlign w:val="bottom"/>
            <w:tcBorders>
              <w:right w:val="single" w:sz="8" w:color="auto"/>
            </w:tcBorders>
            <w:shd w:val="clear" w:color="auto" w:fill="E1E1E1"/>
          </w:tcPr>
          <w:p>
            <w:pPr>
              <w:spacing w:after="0"/>
              <w:rPr>
                <w:sz w:val="18"/>
                <w:szCs w:val="18"/>
                <w:color w:val="auto"/>
              </w:rPr>
            </w:pPr>
          </w:p>
        </w:tc>
        <w:tc>
          <w:tcPr>
            <w:tcW w:w="1460" w:type="dxa"/>
            <w:vAlign w:val="bottom"/>
            <w:tcBorders>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Borrower or a</w:t>
            </w:r>
          </w:p>
        </w:tc>
        <w:tc>
          <w:tcPr>
            <w:tcW w:w="1140" w:type="dxa"/>
            <w:vAlign w:val="bottom"/>
            <w:tcBorders>
              <w:right w:val="single" w:sz="8" w:color="auto"/>
            </w:tcBorders>
            <w:shd w:val="clear" w:color="auto" w:fill="E1E1E1"/>
          </w:tcPr>
          <w:p>
            <w:pPr>
              <w:spacing w:after="0"/>
              <w:rPr>
                <w:sz w:val="18"/>
                <w:szCs w:val="18"/>
                <w:color w:val="auto"/>
              </w:rPr>
            </w:pPr>
          </w:p>
        </w:tc>
      </w:tr>
      <w:tr>
        <w:trPr>
          <w:trHeight w:val="262"/>
        </w:trPr>
        <w:tc>
          <w:tcPr>
            <w:tcW w:w="600" w:type="dxa"/>
            <w:vAlign w:val="bottom"/>
            <w:tcBorders>
              <w:left w:val="single" w:sz="8" w:color="auto"/>
              <w:bottom w:val="single" w:sz="8" w:color="E1E1E1"/>
              <w:right w:val="single" w:sz="8" w:color="auto"/>
            </w:tcBorders>
            <w:shd w:val="clear" w:color="auto" w:fill="E1E1E1"/>
          </w:tcPr>
          <w:p>
            <w:pPr>
              <w:spacing w:after="0"/>
              <w:rPr>
                <w:sz w:val="22"/>
                <w:szCs w:val="22"/>
                <w:color w:val="auto"/>
              </w:rPr>
            </w:pPr>
          </w:p>
        </w:tc>
        <w:tc>
          <w:tcPr>
            <w:tcW w:w="2180" w:type="dxa"/>
            <w:vAlign w:val="bottom"/>
            <w:tcBorders>
              <w:bottom w:val="single" w:sz="8" w:color="E1E1E1"/>
              <w:right w:val="single" w:sz="8" w:color="auto"/>
            </w:tcBorders>
            <w:shd w:val="clear" w:color="auto" w:fill="E1E1E1"/>
          </w:tcPr>
          <w:p>
            <w:pPr>
              <w:spacing w:after="0"/>
              <w:rPr>
                <w:sz w:val="22"/>
                <w:szCs w:val="22"/>
                <w:color w:val="auto"/>
              </w:rPr>
            </w:pPr>
          </w:p>
        </w:tc>
        <w:tc>
          <w:tcPr>
            <w:tcW w:w="920" w:type="dxa"/>
            <w:vAlign w:val="bottom"/>
            <w:tcBorders>
              <w:bottom w:val="single" w:sz="8" w:color="E1E1E1"/>
              <w:right w:val="single" w:sz="8" w:color="auto"/>
            </w:tcBorders>
            <w:shd w:val="clear" w:color="auto" w:fill="E1E1E1"/>
          </w:tcPr>
          <w:p>
            <w:pPr>
              <w:spacing w:after="0"/>
              <w:rPr>
                <w:sz w:val="22"/>
                <w:szCs w:val="22"/>
                <w:color w:val="auto"/>
              </w:rPr>
            </w:pPr>
          </w:p>
        </w:tc>
        <w:tc>
          <w:tcPr>
            <w:tcW w:w="1720" w:type="dxa"/>
            <w:vAlign w:val="bottom"/>
            <w:tcBorders>
              <w:bottom w:val="single" w:sz="8" w:color="E1E1E1"/>
              <w:right w:val="single" w:sz="8" w:color="auto"/>
            </w:tcBorders>
            <w:shd w:val="clear" w:color="auto" w:fill="E1E1E1"/>
          </w:tcPr>
          <w:p>
            <w:pPr>
              <w:spacing w:after="0"/>
              <w:rPr>
                <w:sz w:val="22"/>
                <w:szCs w:val="22"/>
                <w:color w:val="auto"/>
              </w:rPr>
            </w:pPr>
          </w:p>
        </w:tc>
        <w:tc>
          <w:tcPr>
            <w:tcW w:w="1820" w:type="dxa"/>
            <w:vAlign w:val="bottom"/>
            <w:tcBorders>
              <w:bottom w:val="single" w:sz="8" w:color="E1E1E1"/>
              <w:right w:val="single" w:sz="8" w:color="auto"/>
            </w:tcBorders>
            <w:shd w:val="clear" w:color="auto" w:fill="E1E1E1"/>
          </w:tcPr>
          <w:p>
            <w:pPr>
              <w:spacing w:after="0"/>
              <w:rPr>
                <w:sz w:val="22"/>
                <w:szCs w:val="22"/>
                <w:color w:val="auto"/>
              </w:rPr>
            </w:pPr>
          </w:p>
        </w:tc>
        <w:tc>
          <w:tcPr>
            <w:tcW w:w="1600" w:type="dxa"/>
            <w:vAlign w:val="bottom"/>
            <w:tcBorders>
              <w:bottom w:val="single" w:sz="8" w:color="E1E1E1"/>
              <w:right w:val="single" w:sz="8" w:color="auto"/>
            </w:tcBorders>
            <w:shd w:val="clear" w:color="auto" w:fill="E1E1E1"/>
          </w:tcPr>
          <w:p>
            <w:pPr>
              <w:spacing w:after="0"/>
              <w:rPr>
                <w:sz w:val="22"/>
                <w:szCs w:val="22"/>
                <w:color w:val="auto"/>
              </w:rPr>
            </w:pPr>
          </w:p>
        </w:tc>
        <w:tc>
          <w:tcPr>
            <w:tcW w:w="1460" w:type="dxa"/>
            <w:vAlign w:val="bottom"/>
            <w:tcBorders>
              <w:bottom w:val="single" w:sz="8" w:color="E1E1E1"/>
              <w:right w:val="single" w:sz="8" w:color="auto"/>
            </w:tcBorders>
            <w:shd w:val="clear" w:color="auto" w:fill="E1E1E1"/>
          </w:tcPr>
          <w:p>
            <w:pPr>
              <w:ind w:left="20"/>
              <w:spacing w:after="0"/>
              <w:rPr>
                <w:sz w:val="20"/>
                <w:szCs w:val="20"/>
                <w:color w:val="auto"/>
              </w:rPr>
            </w:pPr>
            <w:r>
              <w:rPr>
                <w:rFonts w:ascii="Arial" w:cs="Arial" w:eastAsia="Arial" w:hAnsi="Arial"/>
                <w:sz w:val="18"/>
                <w:szCs w:val="18"/>
                <w:color w:val="auto"/>
              </w:rPr>
              <w:t>Guarantor</w:t>
            </w:r>
          </w:p>
        </w:tc>
        <w:tc>
          <w:tcPr>
            <w:tcW w:w="1140" w:type="dxa"/>
            <w:vAlign w:val="bottom"/>
            <w:tcBorders>
              <w:bottom w:val="single" w:sz="8" w:color="E1E1E1"/>
              <w:right w:val="single" w:sz="8" w:color="auto"/>
            </w:tcBorders>
            <w:shd w:val="clear" w:color="auto" w:fill="E1E1E1"/>
          </w:tcPr>
          <w:p>
            <w:pPr>
              <w:spacing w:after="0"/>
              <w:rPr>
                <w:sz w:val="22"/>
                <w:szCs w:val="22"/>
                <w:color w:val="auto"/>
              </w:rPr>
            </w:pPr>
          </w:p>
        </w:tc>
      </w:tr>
      <w:tr>
        <w:trPr>
          <w:trHeight w:val="222"/>
        </w:trPr>
        <w:tc>
          <w:tcPr>
            <w:tcW w:w="60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85.</w:t>
            </w:r>
          </w:p>
        </w:tc>
        <w:tc>
          <w:tcPr>
            <w:tcW w:w="2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Williamsburg Square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Outback Steakhouse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50%</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50%</w:t>
            </w: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2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Joint Venture</w:t>
            </w:r>
          </w:p>
        </w:tc>
        <w:tc>
          <w:tcPr>
            <w:tcW w:w="9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Florida, LLC</w:t>
            </w: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r>
      <w:tr>
        <w:trPr>
          <w:trHeight w:val="27"/>
        </w:trPr>
        <w:tc>
          <w:tcPr>
            <w:tcW w:w="60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820" w:hanging="650"/>
        <w:spacing w:after="0"/>
        <w:tabs>
          <w:tab w:leader="none" w:pos="820" w:val="left"/>
        </w:tabs>
        <w:numPr>
          <w:ilvl w:val="0"/>
          <w:numId w:val="300"/>
        </w:numPr>
        <w:rPr>
          <w:rFonts w:ascii="Arial" w:cs="Arial" w:eastAsia="Arial" w:hAnsi="Arial"/>
          <w:sz w:val="22"/>
          <w:szCs w:val="22"/>
          <w:b w:val="1"/>
          <w:bCs w:val="1"/>
          <w:color w:val="auto"/>
        </w:rPr>
      </w:pPr>
      <w:r>
        <w:rPr>
          <w:rFonts w:ascii="Arial" w:cs="Arial" w:eastAsia="Arial" w:hAnsi="Arial"/>
          <w:sz w:val="22"/>
          <w:szCs w:val="22"/>
          <w:b w:val="1"/>
          <w:bCs w:val="1"/>
          <w:color w:val="auto"/>
        </w:rPr>
        <w:t>Unpledged Subsidiaries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2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Entity</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Jurisdiction</w:t>
            </w:r>
          </w:p>
        </w:tc>
        <w:tc>
          <w:tcPr>
            <w:tcW w:w="5600" w:type="dxa"/>
            <w:vAlign w:val="bottom"/>
            <w:tcBorders>
              <w:top w:val="single" w:sz="8" w:color="auto"/>
              <w:bottom w:val="single" w:sz="8" w:color="auto"/>
              <w:right w:val="single" w:sz="8" w:color="auto"/>
            </w:tcBorders>
          </w:tcPr>
          <w:p>
            <w:pPr>
              <w:ind w:left="2080"/>
              <w:spacing w:after="0" w:line="283" w:lineRule="exact"/>
              <w:rPr>
                <w:sz w:val="20"/>
                <w:szCs w:val="20"/>
                <w:color w:val="auto"/>
              </w:rPr>
            </w:pPr>
            <w:r>
              <w:rPr>
                <w:rFonts w:ascii="Arial" w:cs="Arial" w:eastAsia="Arial" w:hAnsi="Arial"/>
                <w:sz w:val="18"/>
                <w:szCs w:val="18"/>
                <w:color w:val="auto"/>
              </w:rPr>
              <w:t>Percentage Owned</w:t>
            </w:r>
            <w:r>
              <w:rPr>
                <w:rFonts w:ascii="Arial" w:cs="Arial" w:eastAsia="Arial" w:hAnsi="Arial"/>
                <w:sz w:val="25"/>
                <w:szCs w:val="25"/>
                <w:color w:val="auto"/>
                <w:vertAlign w:val="superscript"/>
              </w:rPr>
              <w:t>1</w:t>
            </w: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BBI International Holdings,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BBI Ristorante Italiano,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BFG New Jersey Services,</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BFG Pennsylvania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Brands Holdings I C.V.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Brands Holdings II C.V.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Brands International,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Holdings III C.V.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Holdings B.V.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Holdings II B.V.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Holdings III B.V.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Korea,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Restaurants, B.V.</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Group Restaurants,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No. 1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No. 2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92.57%</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Participacoes, Ltda.</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99.998%</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 Restaurantes Brasil S.A.</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Hong Kong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Puerto Rico, LP</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Bloomin’ Korea Holding Co.</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Grill International,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 of Gaithersburg,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Bonefish/Centreville,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40" w:hanging="105"/>
        <w:spacing w:after="0"/>
        <w:tabs>
          <w:tab w:leader="none" w:pos="140" w:val="left"/>
        </w:tabs>
        <w:numPr>
          <w:ilvl w:val="0"/>
          <w:numId w:val="301"/>
        </w:numPr>
        <w:rPr>
          <w:rFonts w:ascii="Arial" w:cs="Arial" w:eastAsia="Arial" w:hAnsi="Arial"/>
          <w:sz w:val="25"/>
          <w:szCs w:val="25"/>
          <w:color w:val="auto"/>
          <w:vertAlign w:val="superscript"/>
        </w:rPr>
      </w:pPr>
      <w:r>
        <w:rPr>
          <w:rFonts w:ascii="Arial" w:cs="Arial" w:eastAsia="Arial" w:hAnsi="Arial"/>
          <w:sz w:val="18"/>
          <w:szCs w:val="18"/>
          <w:color w:val="auto"/>
        </w:rPr>
        <w:t>An asterisk denotes a non-wholly owned Restaurant LP or Employee Participation Subsidiary</w:t>
      </w:r>
    </w:p>
    <w:p>
      <w:pPr>
        <w:sectPr>
          <w:pgSz w:w="11900" w:h="16838" w:orient="portrait"/>
          <w:cols w:equalWidth="0" w:num="1">
            <w:col w:w="11440"/>
          </w:cols>
          <w:pgMar w:left="240" w:top="497" w:right="219" w:bottom="1440" w:gutter="0" w:footer="0" w:header="0"/>
        </w:sectPr>
      </w:pPr>
    </w:p>
    <w:bookmarkStart w:id="324" w:name="page325"/>
    <w:bookmarkEnd w:id="324"/>
    <w:tbl>
      <w:tblPr>
        <w:tblLayout w:type="fixed"/>
        <w:tblInd w:w="10" w:type="dxa"/>
        <w:tblCellMar>
          <w:top w:w="0" w:type="dxa"/>
          <w:left w:w="0" w:type="dxa"/>
          <w:bottom w:w="0" w:type="dxa"/>
          <w:right w:w="0" w:type="dxa"/>
        </w:tblCellMar>
      </w:tblPr>
      <w:tr>
        <w:trPr>
          <w:trHeight w:val="242"/>
        </w:trPr>
        <w:tc>
          <w:tcPr>
            <w:tcW w:w="48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Bonefish/Fredericksburg, Limited</w:t>
            </w:r>
          </w:p>
        </w:tc>
        <w:tc>
          <w:tcPr>
            <w:tcW w:w="2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Bonefish/Newport News,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Bonefish/Richmond,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Bonefish/Southern Virginia,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Bonefish/Virginia,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CIGI Florida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Dutch Holdings II,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Dutch Holdings I,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Fleming's International,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Fleming's Beverages,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Fleming's of Baltimore,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98%</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Fleming's/Outback Holdings,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TX</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Fleming's Restaurantes Do Brasil Ltda</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19.9%</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FPS Nebraska,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FPS Oklahoma,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 Niagara Falls,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Arkansas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Florida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Maryland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New Jersey Services,</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New York Services,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North Carolina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Pennsylvania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South Carolina Services, LTD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OSF Virginia Services, Limited</w:t>
            </w:r>
          </w:p>
        </w:tc>
        <w:tc>
          <w:tcPr>
            <w:tcW w:w="216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China Venture</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92.57%</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 International,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OSI/Fleming’s,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89.62%</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Philippines Development</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Holdings Corporation</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619" w:right="219" w:bottom="1440" w:gutter="0" w:footer="0" w:header="0"/>
        </w:sectPr>
      </w:pPr>
    </w:p>
    <w:bookmarkStart w:id="325" w:name="page326"/>
    <w:bookmarkEnd w:id="3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8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3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Outback Puerto Rico Designated Partner,</w:t>
            </w:r>
          </w:p>
        </w:tc>
        <w:tc>
          <w:tcPr>
            <w:tcW w:w="2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5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International</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Cayman Islands</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Investments Co.</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56.</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International</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Services, LLC</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 Steakhouse International, L.P.</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58.</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Outback Steakhouse International, LLC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59.</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Outback Steakhouse Restaurantes Brasil</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97.89%</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Outback/Fleming’s Designated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89.62%</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 LLC</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Outback/Hampton, Limited</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Partnership</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Prince George's County Outback,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MD</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63.</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Snyderman Restaurant Group, Inc.</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NJ</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22"/>
        </w:trPr>
        <w:tc>
          <w:tcPr>
            <w:tcW w:w="48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64.</w:t>
            </w: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Xuanmei Food and Beverage</w:t>
            </w: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92.57%</w:t>
            </w:r>
          </w:p>
        </w:tc>
      </w:tr>
      <w:tr>
        <w:trPr>
          <w:trHeight w:val="230"/>
        </w:trPr>
        <w:tc>
          <w:tcPr>
            <w:tcW w:w="480" w:type="dxa"/>
            <w:vAlign w:val="bottom"/>
            <w:tcBorders>
              <w:left w:val="single" w:sz="8" w:color="auto"/>
              <w:right w:val="single" w:sz="8" w:color="auto"/>
            </w:tcBorders>
          </w:tcPr>
          <w:p>
            <w:pPr>
              <w:spacing w:after="0"/>
              <w:rPr>
                <w:sz w:val="20"/>
                <w:szCs w:val="20"/>
                <w:color w:val="auto"/>
              </w:rPr>
            </w:pPr>
          </w:p>
        </w:tc>
        <w:tc>
          <w:tcPr>
            <w:tcW w:w="32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(Shanghai) Co., Ltd.</w:t>
            </w:r>
          </w:p>
        </w:tc>
        <w:tc>
          <w:tcPr>
            <w:tcW w:w="216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32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680" w:type="dxa"/>
            <w:vAlign w:val="bottom"/>
          </w:tcPr>
          <w:p>
            <w:pPr>
              <w:spacing w:after="0"/>
              <w:rPr>
                <w:sz w:val="24"/>
                <w:szCs w:val="24"/>
                <w:color w:val="auto"/>
              </w:rPr>
            </w:pPr>
          </w:p>
        </w:tc>
        <w:tc>
          <w:tcPr>
            <w:tcW w:w="2940" w:type="dxa"/>
            <w:vAlign w:val="bottom"/>
          </w:tcPr>
          <w:p>
            <w:pPr>
              <w:ind w:left="2560"/>
              <w:spacing w:after="0"/>
              <w:rPr>
                <w:sz w:val="20"/>
                <w:szCs w:val="20"/>
                <w:color w:val="auto"/>
              </w:rPr>
            </w:pPr>
            <w:r>
              <w:rPr>
                <w:rFonts w:ascii="Arial" w:cs="Arial" w:eastAsia="Arial" w:hAnsi="Arial"/>
                <w:sz w:val="22"/>
                <w:szCs w:val="22"/>
                <w:b w:val="1"/>
                <w:bCs w:val="1"/>
                <w:color w:val="auto"/>
              </w:rPr>
              <w:t>C.</w:t>
            </w:r>
          </w:p>
        </w:tc>
        <w:tc>
          <w:tcPr>
            <w:tcW w:w="3060" w:type="dxa"/>
            <w:vAlign w:val="bottom"/>
          </w:tcPr>
          <w:p>
            <w:pPr>
              <w:ind w:left="280"/>
              <w:spacing w:after="0"/>
              <w:rPr>
                <w:sz w:val="20"/>
                <w:szCs w:val="20"/>
                <w:color w:val="auto"/>
              </w:rPr>
            </w:pPr>
            <w:r>
              <w:rPr>
                <w:rFonts w:ascii="Arial" w:cs="Arial" w:eastAsia="Arial" w:hAnsi="Arial"/>
                <w:sz w:val="22"/>
                <w:szCs w:val="22"/>
                <w:b w:val="1"/>
                <w:bCs w:val="1"/>
                <w:color w:val="auto"/>
              </w:rPr>
              <w:t>Non-Subsidiaries</w:t>
            </w:r>
          </w:p>
        </w:tc>
        <w:tc>
          <w:tcPr>
            <w:tcW w:w="19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5"/>
        </w:trPr>
        <w:tc>
          <w:tcPr>
            <w:tcW w:w="6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37"/>
        </w:trPr>
        <w:tc>
          <w:tcPr>
            <w:tcW w:w="680" w:type="dxa"/>
            <w:vAlign w:val="bottom"/>
            <w:tcBorders>
              <w:left w:val="single" w:sz="8" w:color="auto"/>
              <w:right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306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Name of Entity</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c>
          <w:tcPr>
            <w:tcW w:w="214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8"/>
              </w:rPr>
              <w:t>Percentage Owned</w:t>
            </w:r>
          </w:p>
        </w:tc>
      </w:tr>
      <w:tr>
        <w:trPr>
          <w:trHeight w:val="27"/>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680" w:type="dxa"/>
            <w:vAlign w:val="bottom"/>
            <w:tcBorders>
              <w:left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75.</w:t>
            </w:r>
          </w:p>
        </w:tc>
        <w:tc>
          <w:tcPr>
            <w:tcW w:w="2940" w:type="dxa"/>
            <w:vAlign w:val="bottom"/>
          </w:tcPr>
          <w:p>
            <w:pPr>
              <w:ind w:left="20"/>
              <w:spacing w:after="0"/>
              <w:rPr>
                <w:sz w:val="20"/>
                <w:szCs w:val="20"/>
                <w:color w:val="auto"/>
              </w:rPr>
            </w:pPr>
            <w:r>
              <w:rPr>
                <w:rFonts w:ascii="Arial" w:cs="Arial" w:eastAsia="Arial" w:hAnsi="Arial"/>
                <w:sz w:val="18"/>
                <w:szCs w:val="18"/>
                <w:color w:val="auto"/>
                <w:w w:val="99"/>
              </w:rPr>
              <w:t>Northlake Drainage Association, Inc.</w:t>
            </w:r>
          </w:p>
        </w:tc>
        <w:tc>
          <w:tcPr>
            <w:tcW w:w="30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w:t>
            </w:r>
          </w:p>
        </w:tc>
        <w:tc>
          <w:tcPr>
            <w:tcW w:w="214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rPr>
              <w:t>20%</w:t>
            </w:r>
          </w:p>
        </w:tc>
      </w:tr>
      <w:tr>
        <w:trPr>
          <w:trHeight w:val="27"/>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498" w:right="219" w:bottom="1440" w:gutter="0" w:footer="0" w:header="0"/>
        </w:sectPr>
      </w:pPr>
    </w:p>
    <w:bookmarkStart w:id="326" w:name="page327"/>
    <w:bookmarkEnd w:id="326"/>
    <w:p>
      <w:pPr>
        <w:jc w:val="center"/>
        <w:ind w:right="40"/>
        <w:spacing w:after="0"/>
        <w:rPr>
          <w:sz w:val="20"/>
          <w:szCs w:val="20"/>
          <w:color w:val="auto"/>
        </w:rPr>
      </w:pPr>
      <w:r>
        <w:rPr>
          <w:rFonts w:ascii="Arial" w:cs="Arial" w:eastAsia="Arial" w:hAnsi="Arial"/>
          <w:sz w:val="22"/>
          <w:szCs w:val="22"/>
          <w:b w:val="1"/>
          <w:bCs w:val="1"/>
          <w:color w:val="auto"/>
        </w:rPr>
        <w:t>Schedule 7.01(b)</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Existing Liens</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480" w:type="dxa"/>
            <w:vAlign w:val="bottom"/>
            <w:tcBorders>
              <w:top w:val="single" w:sz="8" w:color="auto"/>
              <w:left w:val="single" w:sz="8" w:color="auto"/>
              <w:right w:val="single" w:sz="8" w:color="auto"/>
            </w:tcBorders>
            <w:shd w:val="clear" w:color="auto" w:fill="DADADA"/>
          </w:tcPr>
          <w:p>
            <w:pPr>
              <w:jc w:val="center"/>
              <w:ind w:left="52"/>
              <w:spacing w:after="0"/>
              <w:rPr>
                <w:sz w:val="20"/>
                <w:szCs w:val="20"/>
                <w:color w:val="auto"/>
              </w:rPr>
            </w:pPr>
            <w:r>
              <w:rPr>
                <w:rFonts w:ascii="Arial" w:cs="Arial" w:eastAsia="Arial" w:hAnsi="Arial"/>
                <w:sz w:val="22"/>
                <w:szCs w:val="22"/>
                <w:color w:val="auto"/>
                <w:w w:val="90"/>
              </w:rPr>
              <w:t>Debtor</w:t>
            </w:r>
          </w:p>
        </w:tc>
        <w:tc>
          <w:tcPr>
            <w:tcW w:w="1660" w:type="dxa"/>
            <w:vAlign w:val="bottom"/>
            <w:tcBorders>
              <w:top w:val="single" w:sz="8" w:color="auto"/>
              <w:right w:val="single" w:sz="8" w:color="auto"/>
            </w:tcBorders>
            <w:shd w:val="clear" w:color="auto" w:fill="DADADA"/>
          </w:tcPr>
          <w:p>
            <w:pPr>
              <w:jc w:val="center"/>
              <w:spacing w:after="0"/>
              <w:rPr>
                <w:sz w:val="20"/>
                <w:szCs w:val="20"/>
                <w:color w:val="auto"/>
              </w:rPr>
            </w:pPr>
            <w:r>
              <w:rPr>
                <w:rFonts w:ascii="Arial" w:cs="Arial" w:eastAsia="Arial" w:hAnsi="Arial"/>
                <w:sz w:val="22"/>
                <w:szCs w:val="22"/>
                <w:color w:val="auto"/>
                <w:w w:val="94"/>
              </w:rPr>
              <w:t>Creditor</w:t>
            </w:r>
          </w:p>
        </w:tc>
        <w:tc>
          <w:tcPr>
            <w:tcW w:w="1000" w:type="dxa"/>
            <w:vAlign w:val="bottom"/>
            <w:tcBorders>
              <w:top w:val="single" w:sz="8" w:color="auto"/>
              <w:right w:val="single" w:sz="8" w:color="auto"/>
            </w:tcBorders>
            <w:shd w:val="clear" w:color="auto" w:fill="DADADA"/>
          </w:tcPr>
          <w:p>
            <w:pPr>
              <w:jc w:val="center"/>
              <w:ind w:right="32"/>
              <w:spacing w:after="0"/>
              <w:rPr>
                <w:sz w:val="20"/>
                <w:szCs w:val="20"/>
                <w:color w:val="auto"/>
              </w:rPr>
            </w:pPr>
            <w:r>
              <w:rPr>
                <w:rFonts w:ascii="Arial" w:cs="Arial" w:eastAsia="Arial" w:hAnsi="Arial"/>
                <w:sz w:val="22"/>
                <w:szCs w:val="22"/>
                <w:color w:val="auto"/>
                <w:w w:val="81"/>
              </w:rPr>
              <w:t>State</w:t>
            </w:r>
          </w:p>
        </w:tc>
        <w:tc>
          <w:tcPr>
            <w:tcW w:w="1560" w:type="dxa"/>
            <w:vAlign w:val="bottom"/>
            <w:tcBorders>
              <w:top w:val="single" w:sz="8" w:color="auto"/>
              <w:right w:val="single" w:sz="8" w:color="auto"/>
            </w:tcBorders>
            <w:shd w:val="clear" w:color="auto" w:fill="DADADA"/>
          </w:tcPr>
          <w:p>
            <w:pPr>
              <w:jc w:val="center"/>
              <w:ind w:right="252"/>
              <w:spacing w:after="0"/>
              <w:rPr>
                <w:sz w:val="20"/>
                <w:szCs w:val="20"/>
                <w:color w:val="auto"/>
              </w:rPr>
            </w:pPr>
            <w:r>
              <w:rPr>
                <w:rFonts w:ascii="Arial" w:cs="Arial" w:eastAsia="Arial" w:hAnsi="Arial"/>
                <w:sz w:val="22"/>
                <w:szCs w:val="22"/>
                <w:color w:val="auto"/>
                <w:w w:val="92"/>
              </w:rPr>
              <w:t>Financing</w:t>
            </w:r>
          </w:p>
        </w:tc>
        <w:tc>
          <w:tcPr>
            <w:tcW w:w="920" w:type="dxa"/>
            <w:vAlign w:val="bottom"/>
            <w:tcBorders>
              <w:top w:val="single" w:sz="8" w:color="auto"/>
              <w:right w:val="single" w:sz="8" w:color="auto"/>
            </w:tcBorders>
            <w:shd w:val="clear" w:color="auto" w:fill="DADADA"/>
          </w:tcPr>
          <w:p>
            <w:pPr>
              <w:jc w:val="right"/>
              <w:ind w:right="192"/>
              <w:spacing w:after="0"/>
              <w:rPr>
                <w:sz w:val="20"/>
                <w:szCs w:val="20"/>
                <w:color w:val="auto"/>
              </w:rPr>
            </w:pPr>
            <w:r>
              <w:rPr>
                <w:rFonts w:ascii="Arial" w:cs="Arial" w:eastAsia="Arial" w:hAnsi="Arial"/>
                <w:sz w:val="22"/>
                <w:szCs w:val="22"/>
                <w:color w:val="auto"/>
              </w:rPr>
              <w:t>Filing</w:t>
            </w:r>
          </w:p>
        </w:tc>
        <w:tc>
          <w:tcPr>
            <w:tcW w:w="2800" w:type="dxa"/>
            <w:vAlign w:val="bottom"/>
            <w:tcBorders>
              <w:top w:val="single" w:sz="8" w:color="auto"/>
              <w:right w:val="single" w:sz="8" w:color="auto"/>
            </w:tcBorders>
            <w:shd w:val="clear" w:color="auto" w:fill="DADADA"/>
          </w:tcPr>
          <w:p>
            <w:pPr>
              <w:ind w:left="960"/>
              <w:spacing w:after="0"/>
              <w:rPr>
                <w:sz w:val="20"/>
                <w:szCs w:val="20"/>
                <w:color w:val="auto"/>
              </w:rPr>
            </w:pPr>
            <w:r>
              <w:rPr>
                <w:rFonts w:ascii="Arial" w:cs="Arial" w:eastAsia="Arial" w:hAnsi="Arial"/>
                <w:sz w:val="22"/>
                <w:szCs w:val="22"/>
                <w:color w:val="auto"/>
              </w:rPr>
              <w:t>Collateral</w:t>
            </w:r>
          </w:p>
        </w:tc>
      </w:tr>
      <w:tr>
        <w:trPr>
          <w:trHeight w:val="243"/>
        </w:trPr>
        <w:tc>
          <w:tcPr>
            <w:tcW w:w="2480" w:type="dxa"/>
            <w:vAlign w:val="bottom"/>
            <w:tcBorders>
              <w:left w:val="single" w:sz="8" w:color="auto"/>
              <w:right w:val="single" w:sz="8" w:color="auto"/>
            </w:tcBorders>
            <w:shd w:val="clear" w:color="auto" w:fill="DADADA"/>
          </w:tcPr>
          <w:p>
            <w:pPr>
              <w:spacing w:after="0"/>
              <w:rPr>
                <w:sz w:val="21"/>
                <w:szCs w:val="21"/>
                <w:color w:val="auto"/>
              </w:rPr>
            </w:pPr>
          </w:p>
        </w:tc>
        <w:tc>
          <w:tcPr>
            <w:tcW w:w="1660" w:type="dxa"/>
            <w:vAlign w:val="bottom"/>
            <w:tcBorders>
              <w:right w:val="single" w:sz="8" w:color="auto"/>
            </w:tcBorders>
            <w:shd w:val="clear" w:color="auto" w:fill="DADADA"/>
          </w:tcPr>
          <w:p>
            <w:pPr>
              <w:spacing w:after="0"/>
              <w:rPr>
                <w:sz w:val="21"/>
                <w:szCs w:val="21"/>
                <w:color w:val="auto"/>
              </w:rPr>
            </w:pPr>
          </w:p>
        </w:tc>
        <w:tc>
          <w:tcPr>
            <w:tcW w:w="1000" w:type="dxa"/>
            <w:vAlign w:val="bottom"/>
            <w:tcBorders>
              <w:right w:val="single" w:sz="8" w:color="auto"/>
            </w:tcBorders>
            <w:shd w:val="clear" w:color="auto" w:fill="DADADA"/>
          </w:tcPr>
          <w:p>
            <w:pPr>
              <w:spacing w:after="0"/>
              <w:rPr>
                <w:sz w:val="21"/>
                <w:szCs w:val="21"/>
                <w:color w:val="auto"/>
              </w:rPr>
            </w:pPr>
          </w:p>
        </w:tc>
        <w:tc>
          <w:tcPr>
            <w:tcW w:w="1560" w:type="dxa"/>
            <w:vAlign w:val="bottom"/>
            <w:tcBorders>
              <w:right w:val="single" w:sz="8" w:color="auto"/>
            </w:tcBorders>
            <w:shd w:val="clear" w:color="auto" w:fill="DADADA"/>
          </w:tcPr>
          <w:p>
            <w:pPr>
              <w:jc w:val="center"/>
              <w:ind w:right="252"/>
              <w:spacing w:after="0" w:line="243" w:lineRule="exact"/>
              <w:rPr>
                <w:sz w:val="20"/>
                <w:szCs w:val="20"/>
                <w:color w:val="auto"/>
              </w:rPr>
            </w:pPr>
            <w:r>
              <w:rPr>
                <w:rFonts w:ascii="Arial" w:cs="Arial" w:eastAsia="Arial" w:hAnsi="Arial"/>
                <w:sz w:val="22"/>
                <w:szCs w:val="22"/>
                <w:color w:val="auto"/>
                <w:w w:val="87"/>
              </w:rPr>
              <w:t>Statement</w:t>
            </w:r>
          </w:p>
        </w:tc>
        <w:tc>
          <w:tcPr>
            <w:tcW w:w="920" w:type="dxa"/>
            <w:vAlign w:val="bottom"/>
            <w:tcBorders>
              <w:right w:val="single" w:sz="8" w:color="auto"/>
            </w:tcBorders>
            <w:shd w:val="clear" w:color="auto" w:fill="DADADA"/>
          </w:tcPr>
          <w:p>
            <w:pPr>
              <w:jc w:val="right"/>
              <w:ind w:right="252"/>
              <w:spacing w:after="0" w:line="243" w:lineRule="exact"/>
              <w:rPr>
                <w:sz w:val="20"/>
                <w:szCs w:val="20"/>
                <w:color w:val="auto"/>
              </w:rPr>
            </w:pPr>
            <w:r>
              <w:rPr>
                <w:rFonts w:ascii="Arial" w:cs="Arial" w:eastAsia="Arial" w:hAnsi="Arial"/>
                <w:sz w:val="22"/>
                <w:szCs w:val="22"/>
                <w:color w:val="auto"/>
              </w:rPr>
              <w:t>Date</w:t>
            </w:r>
          </w:p>
        </w:tc>
        <w:tc>
          <w:tcPr>
            <w:tcW w:w="2800" w:type="dxa"/>
            <w:vAlign w:val="bottom"/>
            <w:tcBorders>
              <w:right w:val="single" w:sz="8" w:color="auto"/>
            </w:tcBorders>
            <w:shd w:val="clear" w:color="auto" w:fill="DADADA"/>
          </w:tcPr>
          <w:p>
            <w:pPr>
              <w:spacing w:after="0"/>
              <w:rPr>
                <w:sz w:val="21"/>
                <w:szCs w:val="21"/>
                <w:color w:val="auto"/>
              </w:rPr>
            </w:pPr>
          </w:p>
        </w:tc>
      </w:tr>
      <w:tr>
        <w:trPr>
          <w:trHeight w:val="285"/>
        </w:trPr>
        <w:tc>
          <w:tcPr>
            <w:tcW w:w="2480" w:type="dxa"/>
            <w:vAlign w:val="bottom"/>
            <w:tcBorders>
              <w:left w:val="single" w:sz="8" w:color="auto"/>
              <w:bottom w:val="single" w:sz="8" w:color="auto"/>
              <w:right w:val="single" w:sz="8" w:color="auto"/>
            </w:tcBorders>
            <w:shd w:val="clear" w:color="auto" w:fill="DADADA"/>
          </w:tcPr>
          <w:p>
            <w:pPr>
              <w:spacing w:after="0"/>
              <w:rPr>
                <w:sz w:val="24"/>
                <w:szCs w:val="24"/>
                <w:color w:val="auto"/>
              </w:rPr>
            </w:pPr>
          </w:p>
        </w:tc>
        <w:tc>
          <w:tcPr>
            <w:tcW w:w="1660" w:type="dxa"/>
            <w:vAlign w:val="bottom"/>
            <w:tcBorders>
              <w:bottom w:val="single" w:sz="8" w:color="auto"/>
              <w:right w:val="single" w:sz="8" w:color="auto"/>
            </w:tcBorders>
            <w:shd w:val="clear" w:color="auto" w:fill="DADADA"/>
          </w:tcPr>
          <w:p>
            <w:pPr>
              <w:spacing w:after="0"/>
              <w:rPr>
                <w:sz w:val="24"/>
                <w:szCs w:val="24"/>
                <w:color w:val="auto"/>
              </w:rPr>
            </w:pPr>
          </w:p>
        </w:tc>
        <w:tc>
          <w:tcPr>
            <w:tcW w:w="1000" w:type="dxa"/>
            <w:vAlign w:val="bottom"/>
            <w:tcBorders>
              <w:bottom w:val="single" w:sz="8" w:color="auto"/>
              <w:right w:val="single" w:sz="8" w:color="auto"/>
            </w:tcBorders>
            <w:shd w:val="clear" w:color="auto" w:fill="DADADA"/>
          </w:tcPr>
          <w:p>
            <w:pPr>
              <w:spacing w:after="0"/>
              <w:rPr>
                <w:sz w:val="24"/>
                <w:szCs w:val="24"/>
                <w:color w:val="auto"/>
              </w:rPr>
            </w:pPr>
          </w:p>
        </w:tc>
        <w:tc>
          <w:tcPr>
            <w:tcW w:w="1560" w:type="dxa"/>
            <w:vAlign w:val="bottom"/>
            <w:tcBorders>
              <w:bottom w:val="single" w:sz="8" w:color="auto"/>
              <w:right w:val="single" w:sz="8" w:color="auto"/>
            </w:tcBorders>
            <w:shd w:val="clear" w:color="auto" w:fill="DADADA"/>
          </w:tcPr>
          <w:p>
            <w:pPr>
              <w:jc w:val="center"/>
              <w:ind w:right="252"/>
              <w:spacing w:after="0"/>
              <w:rPr>
                <w:sz w:val="20"/>
                <w:szCs w:val="20"/>
                <w:color w:val="auto"/>
              </w:rPr>
            </w:pPr>
            <w:r>
              <w:rPr>
                <w:rFonts w:ascii="Arial" w:cs="Arial" w:eastAsia="Arial" w:hAnsi="Arial"/>
                <w:sz w:val="22"/>
                <w:szCs w:val="22"/>
                <w:color w:val="auto"/>
                <w:w w:val="93"/>
              </w:rPr>
              <w:t>No.</w:t>
            </w:r>
          </w:p>
        </w:tc>
        <w:tc>
          <w:tcPr>
            <w:tcW w:w="920" w:type="dxa"/>
            <w:vAlign w:val="bottom"/>
            <w:tcBorders>
              <w:bottom w:val="single" w:sz="8" w:color="auto"/>
              <w:right w:val="single" w:sz="8" w:color="auto"/>
            </w:tcBorders>
            <w:shd w:val="clear" w:color="auto" w:fill="DADADA"/>
          </w:tcPr>
          <w:p>
            <w:pPr>
              <w:spacing w:after="0"/>
              <w:rPr>
                <w:sz w:val="24"/>
                <w:szCs w:val="24"/>
                <w:color w:val="auto"/>
              </w:rPr>
            </w:pPr>
          </w:p>
        </w:tc>
        <w:tc>
          <w:tcPr>
            <w:tcW w:w="2800" w:type="dxa"/>
            <w:vAlign w:val="bottom"/>
            <w:tcBorders>
              <w:bottom w:val="single" w:sz="8" w:color="auto"/>
              <w:right w:val="single" w:sz="8" w:color="auto"/>
            </w:tcBorders>
            <w:shd w:val="clear" w:color="auto" w:fill="DADADA"/>
          </w:tcPr>
          <w:p>
            <w:pPr>
              <w:spacing w:after="0"/>
              <w:rPr>
                <w:sz w:val="24"/>
                <w:szCs w:val="24"/>
                <w:color w:val="auto"/>
              </w:rPr>
            </w:pPr>
          </w:p>
        </w:tc>
      </w:tr>
      <w:tr>
        <w:trPr>
          <w:trHeight w:val="249"/>
        </w:trPr>
        <w:tc>
          <w:tcPr>
            <w:tcW w:w="2480" w:type="dxa"/>
            <w:vAlign w:val="bottom"/>
            <w:tcBorders>
              <w:left w:val="single" w:sz="8" w:color="auto"/>
              <w:right w:val="single" w:sz="8" w:color="auto"/>
            </w:tcBorders>
          </w:tcPr>
          <w:p>
            <w:pPr>
              <w:jc w:val="center"/>
              <w:ind w:left="52"/>
              <w:spacing w:after="0" w:line="248" w:lineRule="exact"/>
              <w:rPr>
                <w:sz w:val="20"/>
                <w:szCs w:val="20"/>
                <w:color w:val="auto"/>
              </w:rPr>
            </w:pPr>
            <w:r>
              <w:rPr>
                <w:rFonts w:ascii="Arial" w:cs="Arial" w:eastAsia="Arial" w:hAnsi="Arial"/>
                <w:sz w:val="22"/>
                <w:szCs w:val="22"/>
                <w:color w:val="auto"/>
                <w:w w:val="97"/>
              </w:rPr>
              <w:t>BLOOMIN' BRANDS,</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6"/>
              </w:rPr>
              <w:t>Forsythe</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2013 1357400</w:t>
            </w:r>
          </w:p>
        </w:tc>
        <w:tc>
          <w:tcPr>
            <w:tcW w:w="92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w w:val="91"/>
              </w:rPr>
              <w:t>04/09/13</w:t>
            </w:r>
          </w:p>
        </w:tc>
        <w:tc>
          <w:tcPr>
            <w:tcW w:w="28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Computer, data processing,</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5"/>
              </w:rPr>
              <w:t>INC.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Solutions Group,</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1"/>
              </w:rPr>
              <w:t>telecommunications, and other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Inc.</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equipment together with all</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attachments, accessories,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8"/>
              </w:rPr>
              <w:t>replacements, products, and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proceeds thereof, further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described in, and pursuant to,</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Proposal Number 99680-2</w:t>
            </w:r>
          </w:p>
        </w:tc>
      </w:tr>
      <w:tr>
        <w:trPr>
          <w:trHeight w:val="249"/>
        </w:trPr>
        <w:tc>
          <w:tcPr>
            <w:tcW w:w="2480" w:type="dxa"/>
            <w:vAlign w:val="bottom"/>
            <w:tcBorders>
              <w:left w:val="single" w:sz="8" w:color="auto"/>
              <w:right w:val="single" w:sz="8" w:color="auto"/>
            </w:tcBorders>
          </w:tcPr>
          <w:p>
            <w:pPr>
              <w:jc w:val="center"/>
              <w:ind w:left="52"/>
              <w:spacing w:after="0" w:line="248" w:lineRule="exact"/>
              <w:rPr>
                <w:sz w:val="20"/>
                <w:szCs w:val="20"/>
                <w:color w:val="auto"/>
              </w:rPr>
            </w:pPr>
            <w:r>
              <w:rPr>
                <w:rFonts w:ascii="Arial" w:cs="Arial" w:eastAsia="Arial" w:hAnsi="Arial"/>
                <w:sz w:val="22"/>
                <w:szCs w:val="22"/>
                <w:color w:val="auto"/>
                <w:w w:val="97"/>
              </w:rPr>
              <w:t>BLOOMIN' BRANDS,</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7"/>
              </w:rPr>
              <w:t>HITACHI</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2014 4628798</w:t>
            </w:r>
          </w:p>
        </w:tc>
        <w:tc>
          <w:tcPr>
            <w:tcW w:w="920" w:type="dxa"/>
            <w:vAlign w:val="bottom"/>
            <w:tcBorders>
              <w:right w:val="single" w:sz="8" w:color="auto"/>
            </w:tcBorders>
          </w:tcPr>
          <w:p>
            <w:pPr>
              <w:jc w:val="right"/>
              <w:spacing w:after="0" w:line="248" w:lineRule="exact"/>
              <w:rPr>
                <w:sz w:val="20"/>
                <w:szCs w:val="20"/>
                <w:color w:val="auto"/>
              </w:rPr>
            </w:pPr>
            <w:r>
              <w:rPr>
                <w:rFonts w:ascii="Arial" w:cs="Arial" w:eastAsia="Arial" w:hAnsi="Arial"/>
                <w:sz w:val="22"/>
                <w:szCs w:val="22"/>
                <w:color w:val="auto"/>
                <w:w w:val="93"/>
              </w:rPr>
              <w:t>11/06/14</w:t>
            </w:r>
          </w:p>
        </w:tc>
        <w:tc>
          <w:tcPr>
            <w:tcW w:w="28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All rights under Purchase</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5"/>
              </w:rPr>
              <w:t>INC.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8"/>
              </w:rPr>
              <w:t>CAPITAL</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Order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7"/>
              </w:rPr>
              <w:t>AMERICA</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2015 1551737</w:t>
            </w:r>
          </w:p>
        </w:tc>
        <w:tc>
          <w:tcPr>
            <w:tcW w:w="920" w:type="dxa"/>
            <w:vAlign w:val="bottom"/>
            <w:tcBorders>
              <w:right w:val="single" w:sz="8" w:color="auto"/>
            </w:tcBorders>
          </w:tcPr>
          <w:p>
            <w:pPr>
              <w:jc w:val="right"/>
              <w:spacing w:after="0" w:line="243" w:lineRule="exact"/>
              <w:rPr>
                <w:sz w:val="20"/>
                <w:szCs w:val="20"/>
                <w:color w:val="auto"/>
              </w:rPr>
            </w:pPr>
            <w:r>
              <w:rPr>
                <w:rFonts w:ascii="Arial" w:cs="Arial" w:eastAsia="Arial" w:hAnsi="Arial"/>
                <w:sz w:val="22"/>
                <w:szCs w:val="22"/>
                <w:color w:val="auto"/>
                <w:w w:val="93"/>
              </w:rPr>
              <w:t>03/31/15</w:t>
            </w: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#2562 and related Addendum</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CORPORATION</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(Assignment)</w:t>
            </w: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together with all proceeds,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88"/>
              </w:rPr>
              <w:t>attachments, parts, accessions,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replacements, products,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proceeds, renewals and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9"/>
              </w:rPr>
              <w:t>substitutions of, to or for any</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of the foregoing.</w:t>
            </w:r>
          </w:p>
        </w:tc>
      </w:tr>
      <w:tr>
        <w:trPr>
          <w:trHeight w:val="249"/>
        </w:trPr>
        <w:tc>
          <w:tcPr>
            <w:tcW w:w="2480" w:type="dxa"/>
            <w:vAlign w:val="bottom"/>
            <w:tcBorders>
              <w:left w:val="single" w:sz="8" w:color="auto"/>
              <w:right w:val="single" w:sz="8" w:color="auto"/>
            </w:tcBorders>
          </w:tcPr>
          <w:p>
            <w:pPr>
              <w:jc w:val="center"/>
              <w:ind w:left="52"/>
              <w:spacing w:after="0" w:line="248" w:lineRule="exact"/>
              <w:rPr>
                <w:sz w:val="20"/>
                <w:szCs w:val="20"/>
                <w:color w:val="auto"/>
              </w:rPr>
            </w:pPr>
            <w:r>
              <w:rPr>
                <w:rFonts w:ascii="Arial" w:cs="Arial" w:eastAsia="Arial" w:hAnsi="Arial"/>
                <w:sz w:val="22"/>
                <w:szCs w:val="22"/>
                <w:color w:val="auto"/>
                <w:w w:val="97"/>
              </w:rPr>
              <w:t>BLOOMIN' BRANDS,</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7"/>
              </w:rPr>
              <w:t>IBM CREDIT,</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2016 1810686</w:t>
            </w:r>
          </w:p>
        </w:tc>
        <w:tc>
          <w:tcPr>
            <w:tcW w:w="92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w w:val="91"/>
              </w:rPr>
              <w:t>03/28/16</w:t>
            </w:r>
          </w:p>
        </w:tc>
        <w:tc>
          <w:tcPr>
            <w:tcW w:w="28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Specific equipment together</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5"/>
              </w:rPr>
              <w:t>INC.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LLC</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with all related software,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whether now owned or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hereafter acquired and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wherever located (all as more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7"/>
              </w:rPr>
              <w:t>fully described on IBM Credit</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8"/>
              </w:rPr>
              <w:t>LLC Agreement(s) 0015309.</w:t>
            </w:r>
          </w:p>
        </w:tc>
      </w:tr>
      <w:tr>
        <w:trPr>
          <w:trHeight w:val="249"/>
        </w:trPr>
        <w:tc>
          <w:tcPr>
            <w:tcW w:w="2480" w:type="dxa"/>
            <w:vAlign w:val="bottom"/>
            <w:tcBorders>
              <w:left w:val="single" w:sz="8" w:color="auto"/>
              <w:right w:val="single" w:sz="8" w:color="auto"/>
            </w:tcBorders>
          </w:tcPr>
          <w:p>
            <w:pPr>
              <w:jc w:val="center"/>
              <w:ind w:left="72"/>
              <w:spacing w:after="0" w:line="248" w:lineRule="exact"/>
              <w:rPr>
                <w:sz w:val="20"/>
                <w:szCs w:val="20"/>
                <w:color w:val="auto"/>
              </w:rPr>
            </w:pPr>
            <w:r>
              <w:rPr>
                <w:rFonts w:ascii="Arial" w:cs="Arial" w:eastAsia="Arial" w:hAnsi="Arial"/>
                <w:sz w:val="22"/>
                <w:szCs w:val="22"/>
                <w:color w:val="auto"/>
                <w:w w:val="94"/>
              </w:rPr>
              <w:t>OSI RESTAURANT</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6"/>
              </w:rPr>
              <w:t>GENERAL</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2013 2848993</w:t>
            </w:r>
          </w:p>
        </w:tc>
        <w:tc>
          <w:tcPr>
            <w:tcW w:w="920" w:type="dxa"/>
            <w:vAlign w:val="bottom"/>
            <w:tcBorders>
              <w:right w:val="single" w:sz="8" w:color="auto"/>
            </w:tcBorders>
          </w:tcPr>
          <w:p>
            <w:pPr>
              <w:jc w:val="right"/>
              <w:ind w:right="12"/>
              <w:spacing w:after="0" w:line="248" w:lineRule="exact"/>
              <w:rPr>
                <w:sz w:val="20"/>
                <w:szCs w:val="20"/>
                <w:color w:val="auto"/>
              </w:rPr>
            </w:pPr>
            <w:r>
              <w:rPr>
                <w:rFonts w:ascii="Arial" w:cs="Arial" w:eastAsia="Arial" w:hAnsi="Arial"/>
                <w:sz w:val="22"/>
                <w:szCs w:val="22"/>
                <w:color w:val="auto"/>
                <w:w w:val="91"/>
              </w:rPr>
              <w:t>07/23/13</w:t>
            </w:r>
          </w:p>
        </w:tc>
        <w:tc>
          <w:tcPr>
            <w:tcW w:w="28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All Equipment, leased to or</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1"/>
              </w:rPr>
              <w:t>PARTNERS, LLC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ELECTRIC</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financed for the Debtor by</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8"/>
              </w:rPr>
              <w:t>CAPITAL</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Secured Party under that</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CORPORATION</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certain Equipment Lease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6"/>
              </w:rPr>
              <w:t>Agreement No. 7710619-024</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including all accessories,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accessions, replacements,</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8"/>
              </w:rPr>
              <w:t>additions, substitutions, add-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1"/>
              </w:rPr>
              <w:t>ons and upgrades thereto, and</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any proceeds therefrom.</w:t>
            </w:r>
          </w:p>
        </w:tc>
      </w:tr>
    </w:tbl>
    <w:p>
      <w:pPr>
        <w:sectPr>
          <w:pgSz w:w="11900" w:h="16838" w:orient="portrait"/>
          <w:cols w:equalWidth="0" w:num="1">
            <w:col w:w="10420"/>
          </w:cols>
          <w:pgMar w:left="760" w:top="369" w:right="719" w:bottom="1440" w:gutter="0" w:footer="0" w:header="0"/>
        </w:sectPr>
      </w:pPr>
    </w:p>
    <w:bookmarkStart w:id="327" w:name="page328"/>
    <w:bookmarkEnd w:id="3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480" w:type="dxa"/>
            <w:vAlign w:val="bottom"/>
            <w:tcBorders>
              <w:top w:val="single" w:sz="8" w:color="auto"/>
              <w:left w:val="single" w:sz="8" w:color="auto"/>
              <w:right w:val="single" w:sz="8" w:color="auto"/>
            </w:tcBorders>
            <w:shd w:val="clear" w:color="auto" w:fill="DADADA"/>
          </w:tcPr>
          <w:p>
            <w:pPr>
              <w:jc w:val="center"/>
              <w:ind w:left="52"/>
              <w:spacing w:after="0"/>
              <w:rPr>
                <w:sz w:val="20"/>
                <w:szCs w:val="20"/>
                <w:color w:val="auto"/>
              </w:rPr>
            </w:pPr>
            <w:r>
              <w:rPr>
                <w:rFonts w:ascii="Arial" w:cs="Arial" w:eastAsia="Arial" w:hAnsi="Arial"/>
                <w:sz w:val="22"/>
                <w:szCs w:val="22"/>
                <w:color w:val="auto"/>
                <w:w w:val="90"/>
              </w:rPr>
              <w:t>Debtor</w:t>
            </w:r>
          </w:p>
        </w:tc>
        <w:tc>
          <w:tcPr>
            <w:tcW w:w="1660" w:type="dxa"/>
            <w:vAlign w:val="bottom"/>
            <w:tcBorders>
              <w:top w:val="single" w:sz="8" w:color="auto"/>
              <w:right w:val="single" w:sz="8" w:color="auto"/>
            </w:tcBorders>
            <w:shd w:val="clear" w:color="auto" w:fill="DADADA"/>
          </w:tcPr>
          <w:p>
            <w:pPr>
              <w:jc w:val="center"/>
              <w:spacing w:after="0"/>
              <w:rPr>
                <w:sz w:val="20"/>
                <w:szCs w:val="20"/>
                <w:color w:val="auto"/>
              </w:rPr>
            </w:pPr>
            <w:r>
              <w:rPr>
                <w:rFonts w:ascii="Arial" w:cs="Arial" w:eastAsia="Arial" w:hAnsi="Arial"/>
                <w:sz w:val="22"/>
                <w:szCs w:val="22"/>
                <w:color w:val="auto"/>
                <w:w w:val="94"/>
              </w:rPr>
              <w:t>Creditor</w:t>
            </w:r>
          </w:p>
        </w:tc>
        <w:tc>
          <w:tcPr>
            <w:tcW w:w="1000" w:type="dxa"/>
            <w:vAlign w:val="bottom"/>
            <w:tcBorders>
              <w:top w:val="single" w:sz="8" w:color="auto"/>
              <w:right w:val="single" w:sz="8" w:color="auto"/>
            </w:tcBorders>
            <w:shd w:val="clear" w:color="auto" w:fill="DADADA"/>
          </w:tcPr>
          <w:p>
            <w:pPr>
              <w:jc w:val="center"/>
              <w:ind w:right="32"/>
              <w:spacing w:after="0"/>
              <w:rPr>
                <w:sz w:val="20"/>
                <w:szCs w:val="20"/>
                <w:color w:val="auto"/>
              </w:rPr>
            </w:pPr>
            <w:r>
              <w:rPr>
                <w:rFonts w:ascii="Arial" w:cs="Arial" w:eastAsia="Arial" w:hAnsi="Arial"/>
                <w:sz w:val="22"/>
                <w:szCs w:val="22"/>
                <w:color w:val="auto"/>
                <w:w w:val="81"/>
              </w:rPr>
              <w:t>State</w:t>
            </w:r>
          </w:p>
        </w:tc>
        <w:tc>
          <w:tcPr>
            <w:tcW w:w="1560" w:type="dxa"/>
            <w:vAlign w:val="bottom"/>
            <w:tcBorders>
              <w:top w:val="single" w:sz="8" w:color="auto"/>
              <w:right w:val="single" w:sz="8" w:color="auto"/>
            </w:tcBorders>
            <w:shd w:val="clear" w:color="auto" w:fill="DADADA"/>
          </w:tcPr>
          <w:p>
            <w:pPr>
              <w:jc w:val="center"/>
              <w:ind w:right="252"/>
              <w:spacing w:after="0"/>
              <w:rPr>
                <w:sz w:val="20"/>
                <w:szCs w:val="20"/>
                <w:color w:val="auto"/>
              </w:rPr>
            </w:pPr>
            <w:r>
              <w:rPr>
                <w:rFonts w:ascii="Arial" w:cs="Arial" w:eastAsia="Arial" w:hAnsi="Arial"/>
                <w:sz w:val="22"/>
                <w:szCs w:val="22"/>
                <w:color w:val="auto"/>
                <w:w w:val="92"/>
              </w:rPr>
              <w:t>Financing</w:t>
            </w:r>
          </w:p>
        </w:tc>
        <w:tc>
          <w:tcPr>
            <w:tcW w:w="940" w:type="dxa"/>
            <w:vAlign w:val="bottom"/>
            <w:tcBorders>
              <w:top w:val="single" w:sz="8" w:color="auto"/>
              <w:right w:val="single" w:sz="8" w:color="auto"/>
            </w:tcBorders>
            <w:shd w:val="clear" w:color="auto" w:fill="DADADA"/>
          </w:tcPr>
          <w:p>
            <w:pPr>
              <w:jc w:val="center"/>
              <w:ind w:right="112"/>
              <w:spacing w:after="0"/>
              <w:rPr>
                <w:sz w:val="20"/>
                <w:szCs w:val="20"/>
                <w:color w:val="auto"/>
              </w:rPr>
            </w:pPr>
            <w:r>
              <w:rPr>
                <w:rFonts w:ascii="Arial" w:cs="Arial" w:eastAsia="Arial" w:hAnsi="Arial"/>
                <w:sz w:val="22"/>
                <w:szCs w:val="22"/>
                <w:color w:val="auto"/>
                <w:w w:val="98"/>
              </w:rPr>
              <w:t>Filing</w:t>
            </w:r>
          </w:p>
        </w:tc>
        <w:tc>
          <w:tcPr>
            <w:tcW w:w="2780" w:type="dxa"/>
            <w:vAlign w:val="bottom"/>
            <w:tcBorders>
              <w:top w:val="single" w:sz="8" w:color="auto"/>
              <w:right w:val="single" w:sz="8" w:color="auto"/>
            </w:tcBorders>
            <w:shd w:val="clear" w:color="auto" w:fill="DADADA"/>
          </w:tcPr>
          <w:p>
            <w:pPr>
              <w:ind w:left="940"/>
              <w:spacing w:after="0"/>
              <w:rPr>
                <w:sz w:val="20"/>
                <w:szCs w:val="20"/>
                <w:color w:val="auto"/>
              </w:rPr>
            </w:pPr>
            <w:r>
              <w:rPr>
                <w:rFonts w:ascii="Arial" w:cs="Arial" w:eastAsia="Arial" w:hAnsi="Arial"/>
                <w:sz w:val="22"/>
                <w:szCs w:val="22"/>
                <w:color w:val="auto"/>
              </w:rPr>
              <w:t>Collateral</w:t>
            </w:r>
          </w:p>
        </w:tc>
      </w:tr>
      <w:tr>
        <w:trPr>
          <w:trHeight w:val="243"/>
        </w:trPr>
        <w:tc>
          <w:tcPr>
            <w:tcW w:w="2480" w:type="dxa"/>
            <w:vAlign w:val="bottom"/>
            <w:tcBorders>
              <w:left w:val="single" w:sz="8" w:color="auto"/>
              <w:right w:val="single" w:sz="8" w:color="auto"/>
            </w:tcBorders>
            <w:shd w:val="clear" w:color="auto" w:fill="DADADA"/>
          </w:tcPr>
          <w:p>
            <w:pPr>
              <w:spacing w:after="0"/>
              <w:rPr>
                <w:sz w:val="21"/>
                <w:szCs w:val="21"/>
                <w:color w:val="auto"/>
              </w:rPr>
            </w:pPr>
          </w:p>
        </w:tc>
        <w:tc>
          <w:tcPr>
            <w:tcW w:w="1660" w:type="dxa"/>
            <w:vAlign w:val="bottom"/>
            <w:tcBorders>
              <w:right w:val="single" w:sz="8" w:color="auto"/>
            </w:tcBorders>
            <w:shd w:val="clear" w:color="auto" w:fill="DADADA"/>
          </w:tcPr>
          <w:p>
            <w:pPr>
              <w:spacing w:after="0"/>
              <w:rPr>
                <w:sz w:val="21"/>
                <w:szCs w:val="21"/>
                <w:color w:val="auto"/>
              </w:rPr>
            </w:pPr>
          </w:p>
        </w:tc>
        <w:tc>
          <w:tcPr>
            <w:tcW w:w="1000" w:type="dxa"/>
            <w:vAlign w:val="bottom"/>
            <w:tcBorders>
              <w:right w:val="single" w:sz="8" w:color="auto"/>
            </w:tcBorders>
            <w:shd w:val="clear" w:color="auto" w:fill="DADADA"/>
          </w:tcPr>
          <w:p>
            <w:pPr>
              <w:spacing w:after="0"/>
              <w:rPr>
                <w:sz w:val="21"/>
                <w:szCs w:val="21"/>
                <w:color w:val="auto"/>
              </w:rPr>
            </w:pPr>
          </w:p>
        </w:tc>
        <w:tc>
          <w:tcPr>
            <w:tcW w:w="1560" w:type="dxa"/>
            <w:vAlign w:val="bottom"/>
            <w:tcBorders>
              <w:right w:val="single" w:sz="8" w:color="auto"/>
            </w:tcBorders>
            <w:shd w:val="clear" w:color="auto" w:fill="DADADA"/>
          </w:tcPr>
          <w:p>
            <w:pPr>
              <w:jc w:val="center"/>
              <w:ind w:right="252"/>
              <w:spacing w:after="0" w:line="243" w:lineRule="exact"/>
              <w:rPr>
                <w:sz w:val="20"/>
                <w:szCs w:val="20"/>
                <w:color w:val="auto"/>
              </w:rPr>
            </w:pPr>
            <w:r>
              <w:rPr>
                <w:rFonts w:ascii="Arial" w:cs="Arial" w:eastAsia="Arial" w:hAnsi="Arial"/>
                <w:sz w:val="22"/>
                <w:szCs w:val="22"/>
                <w:color w:val="auto"/>
                <w:w w:val="87"/>
              </w:rPr>
              <w:t>Statement</w:t>
            </w:r>
          </w:p>
        </w:tc>
        <w:tc>
          <w:tcPr>
            <w:tcW w:w="940" w:type="dxa"/>
            <w:vAlign w:val="bottom"/>
            <w:tcBorders>
              <w:right w:val="single" w:sz="8" w:color="auto"/>
            </w:tcBorders>
            <w:shd w:val="clear" w:color="auto" w:fill="DADADA"/>
          </w:tcPr>
          <w:p>
            <w:pPr>
              <w:jc w:val="center"/>
              <w:ind w:right="112"/>
              <w:spacing w:after="0" w:line="243" w:lineRule="exact"/>
              <w:rPr>
                <w:sz w:val="20"/>
                <w:szCs w:val="20"/>
                <w:color w:val="auto"/>
              </w:rPr>
            </w:pPr>
            <w:r>
              <w:rPr>
                <w:rFonts w:ascii="Arial" w:cs="Arial" w:eastAsia="Arial" w:hAnsi="Arial"/>
                <w:sz w:val="22"/>
                <w:szCs w:val="22"/>
                <w:color w:val="auto"/>
                <w:w w:val="85"/>
              </w:rPr>
              <w:t>Date</w:t>
            </w:r>
          </w:p>
        </w:tc>
        <w:tc>
          <w:tcPr>
            <w:tcW w:w="2780" w:type="dxa"/>
            <w:vAlign w:val="bottom"/>
            <w:tcBorders>
              <w:right w:val="single" w:sz="8" w:color="auto"/>
            </w:tcBorders>
            <w:shd w:val="clear" w:color="auto" w:fill="DADADA"/>
          </w:tcPr>
          <w:p>
            <w:pPr>
              <w:spacing w:after="0"/>
              <w:rPr>
                <w:sz w:val="21"/>
                <w:szCs w:val="21"/>
                <w:color w:val="auto"/>
              </w:rPr>
            </w:pPr>
          </w:p>
        </w:tc>
      </w:tr>
      <w:tr>
        <w:trPr>
          <w:trHeight w:val="285"/>
        </w:trPr>
        <w:tc>
          <w:tcPr>
            <w:tcW w:w="2480" w:type="dxa"/>
            <w:vAlign w:val="bottom"/>
            <w:tcBorders>
              <w:left w:val="single" w:sz="8" w:color="auto"/>
              <w:bottom w:val="single" w:sz="8" w:color="auto"/>
              <w:right w:val="single" w:sz="8" w:color="auto"/>
            </w:tcBorders>
            <w:shd w:val="clear" w:color="auto" w:fill="DADADA"/>
          </w:tcPr>
          <w:p>
            <w:pPr>
              <w:spacing w:after="0"/>
              <w:rPr>
                <w:sz w:val="24"/>
                <w:szCs w:val="24"/>
                <w:color w:val="auto"/>
              </w:rPr>
            </w:pPr>
          </w:p>
        </w:tc>
        <w:tc>
          <w:tcPr>
            <w:tcW w:w="1660" w:type="dxa"/>
            <w:vAlign w:val="bottom"/>
            <w:tcBorders>
              <w:bottom w:val="single" w:sz="8" w:color="auto"/>
              <w:right w:val="single" w:sz="8" w:color="auto"/>
            </w:tcBorders>
            <w:shd w:val="clear" w:color="auto" w:fill="DADADA"/>
          </w:tcPr>
          <w:p>
            <w:pPr>
              <w:spacing w:after="0"/>
              <w:rPr>
                <w:sz w:val="24"/>
                <w:szCs w:val="24"/>
                <w:color w:val="auto"/>
              </w:rPr>
            </w:pPr>
          </w:p>
        </w:tc>
        <w:tc>
          <w:tcPr>
            <w:tcW w:w="1000" w:type="dxa"/>
            <w:vAlign w:val="bottom"/>
            <w:tcBorders>
              <w:bottom w:val="single" w:sz="8" w:color="auto"/>
              <w:right w:val="single" w:sz="8" w:color="auto"/>
            </w:tcBorders>
            <w:shd w:val="clear" w:color="auto" w:fill="DADADA"/>
          </w:tcPr>
          <w:p>
            <w:pPr>
              <w:spacing w:after="0"/>
              <w:rPr>
                <w:sz w:val="24"/>
                <w:szCs w:val="24"/>
                <w:color w:val="auto"/>
              </w:rPr>
            </w:pPr>
          </w:p>
        </w:tc>
        <w:tc>
          <w:tcPr>
            <w:tcW w:w="1560" w:type="dxa"/>
            <w:vAlign w:val="bottom"/>
            <w:tcBorders>
              <w:bottom w:val="single" w:sz="8" w:color="auto"/>
              <w:right w:val="single" w:sz="8" w:color="auto"/>
            </w:tcBorders>
            <w:shd w:val="clear" w:color="auto" w:fill="DADADA"/>
          </w:tcPr>
          <w:p>
            <w:pPr>
              <w:jc w:val="center"/>
              <w:ind w:right="252"/>
              <w:spacing w:after="0"/>
              <w:rPr>
                <w:sz w:val="20"/>
                <w:szCs w:val="20"/>
                <w:color w:val="auto"/>
              </w:rPr>
            </w:pPr>
            <w:r>
              <w:rPr>
                <w:rFonts w:ascii="Arial" w:cs="Arial" w:eastAsia="Arial" w:hAnsi="Arial"/>
                <w:sz w:val="22"/>
                <w:szCs w:val="22"/>
                <w:color w:val="auto"/>
                <w:w w:val="93"/>
              </w:rPr>
              <w:t>No.</w:t>
            </w:r>
          </w:p>
        </w:tc>
        <w:tc>
          <w:tcPr>
            <w:tcW w:w="940" w:type="dxa"/>
            <w:vAlign w:val="bottom"/>
            <w:tcBorders>
              <w:bottom w:val="single" w:sz="8" w:color="auto"/>
              <w:right w:val="single" w:sz="8" w:color="auto"/>
            </w:tcBorders>
            <w:shd w:val="clear" w:color="auto" w:fill="DADADA"/>
          </w:tcPr>
          <w:p>
            <w:pPr>
              <w:spacing w:after="0"/>
              <w:rPr>
                <w:sz w:val="24"/>
                <w:szCs w:val="24"/>
                <w:color w:val="auto"/>
              </w:rPr>
            </w:pPr>
          </w:p>
        </w:tc>
        <w:tc>
          <w:tcPr>
            <w:tcW w:w="2780" w:type="dxa"/>
            <w:vAlign w:val="bottom"/>
            <w:tcBorders>
              <w:bottom w:val="single" w:sz="8" w:color="auto"/>
              <w:right w:val="single" w:sz="8" w:color="auto"/>
            </w:tcBorders>
            <w:shd w:val="clear" w:color="auto" w:fill="DADADA"/>
          </w:tcPr>
          <w:p>
            <w:pPr>
              <w:spacing w:after="0"/>
              <w:rPr>
                <w:sz w:val="24"/>
                <w:szCs w:val="24"/>
                <w:color w:val="auto"/>
              </w:rPr>
            </w:pPr>
          </w:p>
        </w:tc>
      </w:tr>
      <w:tr>
        <w:trPr>
          <w:trHeight w:val="249"/>
        </w:trPr>
        <w:tc>
          <w:tcPr>
            <w:tcW w:w="2480" w:type="dxa"/>
            <w:vAlign w:val="bottom"/>
            <w:tcBorders>
              <w:left w:val="single" w:sz="8" w:color="auto"/>
              <w:right w:val="single" w:sz="8" w:color="auto"/>
            </w:tcBorders>
          </w:tcPr>
          <w:p>
            <w:pPr>
              <w:jc w:val="center"/>
              <w:ind w:left="72"/>
              <w:spacing w:after="0" w:line="248" w:lineRule="exact"/>
              <w:rPr>
                <w:sz w:val="20"/>
                <w:szCs w:val="20"/>
                <w:color w:val="auto"/>
              </w:rPr>
            </w:pPr>
            <w:r>
              <w:rPr>
                <w:rFonts w:ascii="Arial" w:cs="Arial" w:eastAsia="Arial" w:hAnsi="Arial"/>
                <w:sz w:val="22"/>
                <w:szCs w:val="22"/>
                <w:color w:val="auto"/>
                <w:w w:val="94"/>
              </w:rPr>
              <w:t>OSI RESTAURANT</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7"/>
              </w:rPr>
              <w:t>IBM CREDIT,</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right"/>
              <w:ind w:right="72"/>
              <w:spacing w:after="0" w:line="248" w:lineRule="exact"/>
              <w:rPr>
                <w:sz w:val="20"/>
                <w:szCs w:val="20"/>
                <w:color w:val="auto"/>
              </w:rPr>
            </w:pPr>
            <w:r>
              <w:rPr>
                <w:rFonts w:ascii="Arial" w:cs="Arial" w:eastAsia="Arial" w:hAnsi="Arial"/>
                <w:sz w:val="22"/>
                <w:szCs w:val="22"/>
                <w:color w:val="auto"/>
                <w:w w:val="96"/>
              </w:rPr>
              <w:t>2016 5250459</w:t>
            </w:r>
          </w:p>
        </w:tc>
        <w:tc>
          <w:tcPr>
            <w:tcW w:w="94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w w:val="91"/>
              </w:rPr>
              <w:t>8/28/2016</w:t>
            </w:r>
          </w:p>
        </w:tc>
        <w:tc>
          <w:tcPr>
            <w:tcW w:w="278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9"/>
              </w:rPr>
              <w:t>Specific equipment together</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1"/>
              </w:rPr>
              <w:t>PARTNERS, LLC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LLC</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with all related software,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whether now owned or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hereafter acquired and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wherever located (all as more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6"/>
              </w:rPr>
              <w:t>fully described on IBM Credit</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LLC Agreement(s) 022957.</w:t>
            </w:r>
          </w:p>
        </w:tc>
      </w:tr>
      <w:tr>
        <w:trPr>
          <w:trHeight w:val="249"/>
        </w:trPr>
        <w:tc>
          <w:tcPr>
            <w:tcW w:w="2480" w:type="dxa"/>
            <w:vAlign w:val="bottom"/>
            <w:tcBorders>
              <w:left w:val="single" w:sz="8" w:color="auto"/>
              <w:right w:val="single" w:sz="8" w:color="auto"/>
            </w:tcBorders>
          </w:tcPr>
          <w:p>
            <w:pPr>
              <w:jc w:val="center"/>
              <w:ind w:left="72"/>
              <w:spacing w:after="0" w:line="248" w:lineRule="exact"/>
              <w:rPr>
                <w:sz w:val="20"/>
                <w:szCs w:val="20"/>
                <w:color w:val="auto"/>
              </w:rPr>
            </w:pPr>
            <w:r>
              <w:rPr>
                <w:rFonts w:ascii="Arial" w:cs="Arial" w:eastAsia="Arial" w:hAnsi="Arial"/>
                <w:sz w:val="22"/>
                <w:szCs w:val="22"/>
                <w:color w:val="auto"/>
                <w:w w:val="94"/>
              </w:rPr>
              <w:t>OSI RESTAURANT</w:t>
            </w:r>
          </w:p>
        </w:tc>
        <w:tc>
          <w:tcPr>
            <w:tcW w:w="166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97"/>
              </w:rPr>
              <w:t>IBM CREDIT,</w:t>
            </w:r>
          </w:p>
        </w:tc>
        <w:tc>
          <w:tcPr>
            <w:tcW w:w="1000" w:type="dxa"/>
            <w:vAlign w:val="bottom"/>
            <w:tcBorders>
              <w:right w:val="single" w:sz="8" w:color="auto"/>
            </w:tcBorders>
          </w:tcPr>
          <w:p>
            <w:pPr>
              <w:jc w:val="center"/>
              <w:ind w:right="32"/>
              <w:spacing w:after="0" w:line="248" w:lineRule="exact"/>
              <w:rPr>
                <w:sz w:val="20"/>
                <w:szCs w:val="20"/>
                <w:color w:val="auto"/>
              </w:rPr>
            </w:pPr>
            <w:r>
              <w:rPr>
                <w:rFonts w:ascii="Arial" w:cs="Arial" w:eastAsia="Arial" w:hAnsi="Arial"/>
                <w:sz w:val="22"/>
                <w:szCs w:val="22"/>
                <w:color w:val="auto"/>
                <w:w w:val="88"/>
              </w:rPr>
              <w:t>Delaware</w:t>
            </w:r>
          </w:p>
        </w:tc>
        <w:tc>
          <w:tcPr>
            <w:tcW w:w="1560" w:type="dxa"/>
            <w:vAlign w:val="bottom"/>
            <w:tcBorders>
              <w:right w:val="single" w:sz="8" w:color="auto"/>
            </w:tcBorders>
          </w:tcPr>
          <w:p>
            <w:pPr>
              <w:jc w:val="right"/>
              <w:ind w:right="72"/>
              <w:spacing w:after="0" w:line="248" w:lineRule="exact"/>
              <w:rPr>
                <w:sz w:val="20"/>
                <w:szCs w:val="20"/>
                <w:color w:val="auto"/>
              </w:rPr>
            </w:pPr>
            <w:r>
              <w:rPr>
                <w:rFonts w:ascii="Arial" w:cs="Arial" w:eastAsia="Arial" w:hAnsi="Arial"/>
                <w:sz w:val="22"/>
                <w:szCs w:val="22"/>
                <w:color w:val="auto"/>
                <w:w w:val="96"/>
              </w:rPr>
              <w:t>2016 5880552</w:t>
            </w:r>
          </w:p>
        </w:tc>
        <w:tc>
          <w:tcPr>
            <w:tcW w:w="940" w:type="dxa"/>
            <w:vAlign w:val="bottom"/>
            <w:tcBorders>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09/26/16</w:t>
            </w:r>
          </w:p>
        </w:tc>
        <w:tc>
          <w:tcPr>
            <w:tcW w:w="278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9"/>
              </w:rPr>
              <w:t>Specific equipment together</w:t>
            </w:r>
          </w:p>
        </w:tc>
      </w:tr>
      <w:tr>
        <w:trPr>
          <w:trHeight w:val="243"/>
        </w:trPr>
        <w:tc>
          <w:tcPr>
            <w:tcW w:w="2480" w:type="dxa"/>
            <w:vAlign w:val="bottom"/>
            <w:tcBorders>
              <w:left w:val="single" w:sz="8" w:color="auto"/>
              <w:right w:val="single" w:sz="8" w:color="auto"/>
            </w:tcBorders>
          </w:tcPr>
          <w:p>
            <w:pPr>
              <w:jc w:val="center"/>
              <w:ind w:left="72"/>
              <w:spacing w:after="0" w:line="243" w:lineRule="exact"/>
              <w:rPr>
                <w:sz w:val="20"/>
                <w:szCs w:val="20"/>
                <w:color w:val="auto"/>
              </w:rPr>
            </w:pPr>
            <w:r>
              <w:rPr>
                <w:rFonts w:ascii="Arial" w:cs="Arial" w:eastAsia="Arial" w:hAnsi="Arial"/>
                <w:sz w:val="22"/>
                <w:szCs w:val="22"/>
                <w:color w:val="auto"/>
                <w:w w:val="91"/>
              </w:rPr>
              <w:t>PARTNERS, LLC</w:t>
            </w:r>
          </w:p>
        </w:tc>
        <w:tc>
          <w:tcPr>
            <w:tcW w:w="16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LLC</w:t>
            </w: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with all related software,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whether now owned or</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hereafter acquired and</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4"/>
              </w:rPr>
              <w:t>wherever located (all as more</w:t>
            </w:r>
          </w:p>
        </w:tc>
      </w:tr>
      <w:tr>
        <w:trPr>
          <w:trHeight w:val="243"/>
        </w:trPr>
        <w:tc>
          <w:tcPr>
            <w:tcW w:w="24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6"/>
              </w:rPr>
              <w:t>fully described on IBM Credit</w:t>
            </w:r>
          </w:p>
        </w:tc>
      </w:tr>
      <w:tr>
        <w:trPr>
          <w:trHeight w:val="285"/>
        </w:trPr>
        <w:tc>
          <w:tcPr>
            <w:tcW w:w="24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LLC Agreement(s) 024623.</w:t>
            </w:r>
          </w:p>
        </w:tc>
      </w:tr>
    </w:tbl>
    <w:p>
      <w:pPr>
        <w:sectPr>
          <w:pgSz w:w="11900" w:h="16838" w:orient="portrait"/>
          <w:cols w:equalWidth="0" w:num="1">
            <w:col w:w="10420"/>
          </w:cols>
          <w:pgMar w:left="760" w:top="497" w:right="719" w:bottom="1440" w:gutter="0" w:footer="0" w:header="0"/>
        </w:sectPr>
      </w:pPr>
    </w:p>
    <w:bookmarkStart w:id="328" w:name="page329"/>
    <w:bookmarkEnd w:id="328"/>
    <w:p>
      <w:pPr>
        <w:jc w:val="center"/>
        <w:ind w:right="278"/>
        <w:spacing w:after="0"/>
        <w:rPr>
          <w:sz w:val="20"/>
          <w:szCs w:val="20"/>
          <w:color w:val="auto"/>
        </w:rPr>
      </w:pPr>
      <w:r>
        <w:rPr>
          <w:rFonts w:ascii="Arial" w:cs="Arial" w:eastAsia="Arial" w:hAnsi="Arial"/>
          <w:sz w:val="22"/>
          <w:szCs w:val="22"/>
          <w:b w:val="1"/>
          <w:bCs w:val="1"/>
          <w:color w:val="auto"/>
        </w:rPr>
        <w:t>Schedule 7.02(f)</w:t>
      </w:r>
    </w:p>
    <w:p>
      <w:pPr>
        <w:spacing w:after="0" w:line="28" w:lineRule="exact"/>
        <w:rPr>
          <w:sz w:val="20"/>
          <w:szCs w:val="20"/>
          <w:color w:val="auto"/>
        </w:rPr>
      </w:pPr>
    </w:p>
    <w:p>
      <w:pPr>
        <w:jc w:val="center"/>
        <w:ind w:right="278"/>
        <w:spacing w:after="0"/>
        <w:rPr>
          <w:sz w:val="20"/>
          <w:szCs w:val="20"/>
          <w:color w:val="auto"/>
        </w:rPr>
      </w:pPr>
      <w:r>
        <w:rPr>
          <w:rFonts w:ascii="Arial" w:cs="Arial" w:eastAsia="Arial" w:hAnsi="Arial"/>
          <w:sz w:val="22"/>
          <w:szCs w:val="22"/>
          <w:b w:val="1"/>
          <w:bCs w:val="1"/>
          <w:color w:val="auto"/>
        </w:rPr>
        <w:t>Existing Investments</w:t>
      </w:r>
    </w:p>
    <w:p>
      <w:pPr>
        <w:spacing w:after="0" w:line="202" w:lineRule="exact"/>
        <w:rPr>
          <w:sz w:val="20"/>
          <w:szCs w:val="20"/>
          <w:color w:val="auto"/>
        </w:rPr>
      </w:pPr>
    </w:p>
    <w:p>
      <w:pPr>
        <w:ind w:left="322" w:right="20" w:hanging="322"/>
        <w:spacing w:after="0" w:line="263" w:lineRule="auto"/>
        <w:tabs>
          <w:tab w:leader="none" w:pos="32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Investments in the form of Equity Interests existing on the Closing Date in the entities listed on Schedule 5.12 and Schedule 1.01A.</w:t>
      </w:r>
    </w:p>
    <w:p>
      <w:pPr>
        <w:spacing w:after="0" w:line="174" w:lineRule="exact"/>
        <w:rPr>
          <w:rFonts w:ascii="Arial" w:cs="Arial" w:eastAsia="Arial" w:hAnsi="Arial"/>
          <w:sz w:val="22"/>
          <w:szCs w:val="22"/>
          <w:color w:val="auto"/>
        </w:rPr>
      </w:pPr>
    </w:p>
    <w:p>
      <w:pPr>
        <w:jc w:val="both"/>
        <w:ind w:left="322" w:hanging="322"/>
        <w:spacing w:after="0" w:line="253" w:lineRule="auto"/>
        <w:tabs>
          <w:tab w:leader="none" w:pos="32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Loans to each certain Restaurant LPs by such Restaurant LP’s general partner pursuant to such Restaurant LP’s limited partnership agreement entered into in the ordinary course of business consistent with past practice and in existence on the Closing Date.</w:t>
      </w:r>
    </w:p>
    <w:p>
      <w:pPr>
        <w:spacing w:after="0" w:line="185" w:lineRule="exact"/>
        <w:rPr>
          <w:rFonts w:ascii="Arial" w:cs="Arial" w:eastAsia="Arial" w:hAnsi="Arial"/>
          <w:sz w:val="22"/>
          <w:szCs w:val="22"/>
          <w:color w:val="auto"/>
        </w:rPr>
      </w:pPr>
    </w:p>
    <w:p>
      <w:pPr>
        <w:jc w:val="both"/>
        <w:ind w:left="322" w:hanging="322"/>
        <w:spacing w:after="0" w:line="253" w:lineRule="auto"/>
        <w:tabs>
          <w:tab w:leader="none" w:pos="32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Notes to former or current managing partners, operating partners and chef partners, in each case who own or owned Equity Interests in Employment Participation Subsidiaries, in an aggregate principal amount not exceeding $5,000,000 plus accrued and unpaid interest.</w:t>
      </w:r>
    </w:p>
    <w:p>
      <w:pPr>
        <w:spacing w:after="0" w:line="199" w:lineRule="exact"/>
        <w:rPr>
          <w:rFonts w:ascii="Arial" w:cs="Arial" w:eastAsia="Arial" w:hAnsi="Arial"/>
          <w:sz w:val="22"/>
          <w:szCs w:val="22"/>
          <w:color w:val="auto"/>
        </w:rPr>
      </w:pPr>
    </w:p>
    <w:p>
      <w:pPr>
        <w:jc w:val="both"/>
        <w:ind w:left="322" w:hanging="322"/>
        <w:spacing w:after="0" w:line="259" w:lineRule="auto"/>
        <w:tabs>
          <w:tab w:leader="none" w:pos="322" w:val="left"/>
        </w:tabs>
        <w:numPr>
          <w:ilvl w:val="0"/>
          <w:numId w:val="302"/>
        </w:numPr>
        <w:rPr>
          <w:rFonts w:ascii="Arial" w:cs="Arial" w:eastAsia="Arial" w:hAnsi="Arial"/>
          <w:sz w:val="21"/>
          <w:szCs w:val="21"/>
          <w:color w:val="auto"/>
        </w:rPr>
      </w:pPr>
      <w:r>
        <w:rPr>
          <w:rFonts w:ascii="Arial" w:cs="Arial" w:eastAsia="Arial" w:hAnsi="Arial"/>
          <w:sz w:val="21"/>
          <w:szCs w:val="21"/>
          <w:color w:val="auto"/>
        </w:rPr>
        <w:t>As a result of the Company assigning its interest in obligations under real estate leases in connection with the sale of certain restaurants, the Company is contingently liable for approximately 30 lease agreements. These leases have varying terms, the latest of which expires in 2032. The potential amount of undiscounted payments the Company could be required to make in the event of non-payment by the primary lessees was approximately</w:t>
      </w:r>
    </w:p>
    <w:p>
      <w:pPr>
        <w:spacing w:after="0" w:line="1" w:lineRule="exact"/>
        <w:rPr>
          <w:rFonts w:ascii="Arial" w:cs="Arial" w:eastAsia="Arial" w:hAnsi="Arial"/>
          <w:sz w:val="21"/>
          <w:szCs w:val="21"/>
          <w:color w:val="auto"/>
        </w:rPr>
      </w:pPr>
    </w:p>
    <w:p>
      <w:pPr>
        <w:jc w:val="both"/>
        <w:ind w:left="322"/>
        <w:spacing w:after="0" w:line="244" w:lineRule="auto"/>
        <w:rPr>
          <w:rFonts w:ascii="Arial" w:cs="Arial" w:eastAsia="Arial" w:hAnsi="Arial"/>
          <w:sz w:val="21"/>
          <w:szCs w:val="21"/>
          <w:color w:val="auto"/>
        </w:rPr>
      </w:pPr>
      <w:r>
        <w:rPr>
          <w:rFonts w:ascii="Arial" w:cs="Arial" w:eastAsia="Arial" w:hAnsi="Arial"/>
          <w:sz w:val="22"/>
          <w:szCs w:val="22"/>
          <w:color w:val="auto"/>
        </w:rPr>
        <w:t>$26.9 million. The present value of these potential payments discounted at the Company’s incremental borrowing rate as of September 24, 2017 was approximately $17.2 million. The Company believes the financial strength and operating history of the buyers significantly reduces the risk that the Company will be required to make payments under these leases. Accordingly, no liability has been recorded.</w:t>
      </w:r>
    </w:p>
    <w:p>
      <w:pPr>
        <w:spacing w:after="0" w:line="209" w:lineRule="exact"/>
        <w:rPr>
          <w:rFonts w:ascii="Arial" w:cs="Arial" w:eastAsia="Arial" w:hAnsi="Arial"/>
          <w:sz w:val="21"/>
          <w:szCs w:val="21"/>
          <w:color w:val="auto"/>
        </w:rPr>
      </w:pPr>
    </w:p>
    <w:p>
      <w:pPr>
        <w:ind w:left="322" w:hanging="322"/>
        <w:spacing w:after="0" w:line="263" w:lineRule="auto"/>
        <w:tabs>
          <w:tab w:leader="none" w:pos="32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Proposed capital contribution by OSI Restaurant Partners, LLC to OSI International LLC in an amount not to exceed $10,000,000 to fund the operations of one or more indirect Subsidiaries of the Borrowers in China.</w:t>
      </w:r>
    </w:p>
    <w:p>
      <w:pPr>
        <w:spacing w:after="0" w:line="188" w:lineRule="exact"/>
        <w:rPr>
          <w:rFonts w:ascii="Arial" w:cs="Arial" w:eastAsia="Arial" w:hAnsi="Arial"/>
          <w:sz w:val="22"/>
          <w:szCs w:val="22"/>
          <w:color w:val="auto"/>
        </w:rPr>
      </w:pPr>
    </w:p>
    <w:p>
      <w:pPr>
        <w:ind w:left="322" w:hanging="322"/>
        <w:spacing w:after="0" w:line="263" w:lineRule="auto"/>
        <w:tabs>
          <w:tab w:leader="none" w:pos="32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Proposed transfer of the following assets relating to the international business of the Borrowers and their Subsidiaries, from a Loan Party to one or more Foreign Subsidiary Holding Companies:</w:t>
      </w:r>
    </w:p>
    <w:p>
      <w:pPr>
        <w:spacing w:after="0" w:line="174" w:lineRule="exact"/>
        <w:rPr>
          <w:rFonts w:ascii="Arial" w:cs="Arial" w:eastAsia="Arial" w:hAnsi="Arial"/>
          <w:sz w:val="22"/>
          <w:szCs w:val="22"/>
          <w:color w:val="auto"/>
        </w:rPr>
      </w:pPr>
    </w:p>
    <w:p>
      <w:pPr>
        <w:ind w:left="1302" w:hanging="329"/>
        <w:spacing w:after="0" w:line="263" w:lineRule="auto"/>
        <w:tabs>
          <w:tab w:leader="none" w:pos="1302" w:val="left"/>
        </w:tabs>
        <w:numPr>
          <w:ilvl w:val="1"/>
          <w:numId w:val="302"/>
        </w:numPr>
        <w:rPr>
          <w:rFonts w:ascii="Arial" w:cs="Arial" w:eastAsia="Arial" w:hAnsi="Arial"/>
          <w:sz w:val="22"/>
          <w:szCs w:val="22"/>
          <w:color w:val="auto"/>
        </w:rPr>
      </w:pPr>
      <w:r>
        <w:rPr>
          <w:rFonts w:ascii="Arial" w:cs="Arial" w:eastAsia="Arial" w:hAnsi="Arial"/>
          <w:sz w:val="22"/>
          <w:szCs w:val="22"/>
          <w:color w:val="auto"/>
        </w:rPr>
        <w:t>Foreign trademarks and domain names relating to the Outback Steakhouse concept (held as of the Closing Date by Outback Steakhouse of Florida, LLC)</w:t>
      </w:r>
    </w:p>
    <w:p>
      <w:pPr>
        <w:spacing w:after="0" w:line="188" w:lineRule="exact"/>
        <w:rPr>
          <w:rFonts w:ascii="Arial" w:cs="Arial" w:eastAsia="Arial" w:hAnsi="Arial"/>
          <w:sz w:val="22"/>
          <w:szCs w:val="22"/>
          <w:color w:val="auto"/>
        </w:rPr>
      </w:pPr>
    </w:p>
    <w:p>
      <w:pPr>
        <w:ind w:left="1302" w:hanging="329"/>
        <w:spacing w:after="0" w:line="263" w:lineRule="auto"/>
        <w:tabs>
          <w:tab w:leader="none" w:pos="1302" w:val="left"/>
        </w:tabs>
        <w:numPr>
          <w:ilvl w:val="1"/>
          <w:numId w:val="302"/>
        </w:numPr>
        <w:rPr>
          <w:rFonts w:ascii="Arial" w:cs="Arial" w:eastAsia="Arial" w:hAnsi="Arial"/>
          <w:sz w:val="22"/>
          <w:szCs w:val="22"/>
          <w:color w:val="auto"/>
        </w:rPr>
      </w:pPr>
      <w:r>
        <w:rPr>
          <w:rFonts w:ascii="Arial" w:cs="Arial" w:eastAsia="Arial" w:hAnsi="Arial"/>
          <w:sz w:val="22"/>
          <w:szCs w:val="22"/>
          <w:color w:val="auto"/>
        </w:rPr>
        <w:t>Foreign trademarks and domain names relating to the Carrabba’s concept (held as of the Closing Date by Carrabba’s Italian Grill, LLC)</w:t>
      </w:r>
    </w:p>
    <w:p>
      <w:pPr>
        <w:spacing w:after="0" w:line="188" w:lineRule="exact"/>
        <w:rPr>
          <w:rFonts w:ascii="Arial" w:cs="Arial" w:eastAsia="Arial" w:hAnsi="Arial"/>
          <w:sz w:val="22"/>
          <w:szCs w:val="22"/>
          <w:color w:val="auto"/>
        </w:rPr>
      </w:pPr>
    </w:p>
    <w:p>
      <w:pPr>
        <w:jc w:val="both"/>
        <w:ind w:left="1302" w:hanging="329"/>
        <w:spacing w:after="0" w:line="253" w:lineRule="auto"/>
        <w:tabs>
          <w:tab w:leader="none" w:pos="1302" w:val="left"/>
        </w:tabs>
        <w:numPr>
          <w:ilvl w:val="1"/>
          <w:numId w:val="302"/>
        </w:numPr>
        <w:rPr>
          <w:rFonts w:ascii="Arial" w:cs="Arial" w:eastAsia="Arial" w:hAnsi="Arial"/>
          <w:sz w:val="22"/>
          <w:szCs w:val="22"/>
          <w:color w:val="auto"/>
        </w:rPr>
      </w:pPr>
      <w:r>
        <w:rPr>
          <w:rFonts w:ascii="Arial" w:cs="Arial" w:eastAsia="Arial" w:hAnsi="Arial"/>
          <w:sz w:val="22"/>
          <w:szCs w:val="22"/>
          <w:color w:val="auto"/>
        </w:rPr>
        <w:t>Foreign trademarks and domain names relating to the Bloomin’ Brands name (held as of the Closing Date by Bloomin’ Brands, Inc. but may be contributed to a Loan Party prior to being transferred to a Foreign Subsidiary Holding Company)</w:t>
      </w:r>
    </w:p>
    <w:p>
      <w:pPr>
        <w:spacing w:after="0" w:line="226" w:lineRule="exact"/>
        <w:rPr>
          <w:rFonts w:ascii="Arial" w:cs="Arial" w:eastAsia="Arial" w:hAnsi="Arial"/>
          <w:sz w:val="22"/>
          <w:szCs w:val="22"/>
          <w:color w:val="auto"/>
        </w:rPr>
      </w:pPr>
    </w:p>
    <w:p>
      <w:pPr>
        <w:ind w:left="1302" w:hanging="329"/>
        <w:spacing w:after="0"/>
        <w:tabs>
          <w:tab w:leader="none" w:pos="1302" w:val="left"/>
        </w:tabs>
        <w:numPr>
          <w:ilvl w:val="1"/>
          <w:numId w:val="302"/>
        </w:numPr>
        <w:rPr>
          <w:rFonts w:ascii="Arial" w:cs="Arial" w:eastAsia="Arial" w:hAnsi="Arial"/>
          <w:sz w:val="21"/>
          <w:szCs w:val="21"/>
          <w:color w:val="auto"/>
        </w:rPr>
      </w:pPr>
      <w:r>
        <w:rPr>
          <w:rFonts w:ascii="Arial" w:cs="Arial" w:eastAsia="Arial" w:hAnsi="Arial"/>
          <w:sz w:val="21"/>
          <w:szCs w:val="21"/>
          <w:color w:val="auto"/>
        </w:rPr>
        <w:t>Foreign trademarks and domain names held as of the Closing Date by Bloom Group Restaurants, LLC.</w:t>
      </w:r>
    </w:p>
    <w:p>
      <w:pPr>
        <w:spacing w:after="0" w:line="82" w:lineRule="exact"/>
        <w:rPr>
          <w:rFonts w:ascii="Arial" w:cs="Arial" w:eastAsia="Arial" w:hAnsi="Arial"/>
          <w:sz w:val="21"/>
          <w:szCs w:val="21"/>
          <w:color w:val="auto"/>
        </w:rPr>
      </w:pPr>
    </w:p>
    <w:p>
      <w:pPr>
        <w:ind w:left="1302" w:hanging="329"/>
        <w:spacing w:after="0" w:line="263" w:lineRule="auto"/>
        <w:tabs>
          <w:tab w:leader="none" w:pos="1302" w:val="left"/>
        </w:tabs>
        <w:numPr>
          <w:ilvl w:val="1"/>
          <w:numId w:val="302"/>
        </w:numPr>
        <w:rPr>
          <w:rFonts w:ascii="Arial" w:cs="Arial" w:eastAsia="Arial" w:hAnsi="Arial"/>
          <w:sz w:val="22"/>
          <w:szCs w:val="22"/>
          <w:color w:val="auto"/>
        </w:rPr>
      </w:pPr>
      <w:r>
        <w:rPr>
          <w:rFonts w:ascii="Arial" w:cs="Arial" w:eastAsia="Arial" w:hAnsi="Arial"/>
          <w:sz w:val="22"/>
          <w:szCs w:val="22"/>
          <w:color w:val="auto"/>
        </w:rPr>
        <w:t>Other foreign domain names (held as of the Closing Date Outback Steakhouse of Florida, LLC, Outback Steakhouse International, LP, OS Prime, LLC or OSI Restaurant Partners, LLC)</w:t>
      </w:r>
    </w:p>
    <w:p>
      <w:pPr>
        <w:sectPr>
          <w:pgSz w:w="11900" w:h="16838" w:orient="portrait"/>
          <w:cols w:equalWidth="0" w:num="1">
            <w:col w:w="11142"/>
          </w:cols>
          <w:pgMar w:left="518" w:top="368" w:right="239" w:bottom="1440" w:gutter="0" w:footer="0" w:header="0"/>
        </w:sectPr>
      </w:pPr>
    </w:p>
    <w:bookmarkStart w:id="329" w:name="page330"/>
    <w:bookmarkEnd w:id="329"/>
    <w:p>
      <w:pPr>
        <w:ind w:left="380" w:hanging="329"/>
        <w:spacing w:after="0" w:line="263" w:lineRule="auto"/>
        <w:tabs>
          <w:tab w:leader="none" w:pos="38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Other IP Rights relating to the international business of the Borrowers and their Subsidiaries (held as of the Closing Date by one or more Loan Parties)</w:t>
      </w:r>
    </w:p>
    <w:p>
      <w:pPr>
        <w:sectPr>
          <w:pgSz w:w="11900" w:h="16838" w:orient="portrait"/>
          <w:cols w:equalWidth="0" w:num="1">
            <w:col w:w="10220"/>
          </w:cols>
          <w:pgMar w:left="1440" w:top="604" w:right="239" w:bottom="1440" w:gutter="0" w:footer="0" w:header="0"/>
        </w:sectPr>
      </w:pPr>
    </w:p>
    <w:bookmarkStart w:id="330" w:name="page331"/>
    <w:bookmarkEnd w:id="330"/>
    <w:p>
      <w:pPr>
        <w:jc w:val="center"/>
        <w:ind w:right="600"/>
        <w:spacing w:after="0"/>
        <w:rPr>
          <w:sz w:val="20"/>
          <w:szCs w:val="20"/>
          <w:color w:val="auto"/>
        </w:rPr>
      </w:pPr>
      <w:r>
        <w:rPr>
          <w:rFonts w:ascii="Arial" w:cs="Arial" w:eastAsia="Arial" w:hAnsi="Arial"/>
          <w:sz w:val="22"/>
          <w:szCs w:val="22"/>
          <w:b w:val="1"/>
          <w:bCs w:val="1"/>
          <w:color w:val="auto"/>
        </w:rPr>
        <w:t>Schedule 7.03(b)</w:t>
      </w:r>
    </w:p>
    <w:p>
      <w:pPr>
        <w:spacing w:after="0" w:line="28" w:lineRule="exact"/>
        <w:rPr>
          <w:sz w:val="20"/>
          <w:szCs w:val="20"/>
          <w:color w:val="auto"/>
        </w:rPr>
      </w:pPr>
    </w:p>
    <w:p>
      <w:pPr>
        <w:jc w:val="center"/>
        <w:ind w:right="600"/>
        <w:spacing w:after="0"/>
        <w:rPr>
          <w:sz w:val="20"/>
          <w:szCs w:val="20"/>
          <w:color w:val="auto"/>
        </w:rPr>
      </w:pPr>
      <w:r>
        <w:rPr>
          <w:rFonts w:ascii="Arial" w:cs="Arial" w:eastAsia="Arial" w:hAnsi="Arial"/>
          <w:sz w:val="22"/>
          <w:szCs w:val="22"/>
          <w:b w:val="1"/>
          <w:bCs w:val="1"/>
          <w:color w:val="auto"/>
        </w:rPr>
        <w:t>Existing Indebtedness</w:t>
      </w:r>
    </w:p>
    <w:p>
      <w:pPr>
        <w:spacing w:after="0" w:line="202" w:lineRule="exact"/>
        <w:rPr>
          <w:sz w:val="20"/>
          <w:szCs w:val="20"/>
          <w:color w:val="auto"/>
        </w:rPr>
      </w:pPr>
    </w:p>
    <w:p>
      <w:pPr>
        <w:jc w:val="both"/>
        <w:ind w:left="320" w:hanging="318"/>
        <w:spacing w:after="0" w:line="263" w:lineRule="auto"/>
        <w:tabs>
          <w:tab w:leader="none" w:pos="320" w:val="left"/>
        </w:tabs>
        <w:numPr>
          <w:ilvl w:val="0"/>
          <w:numId w:val="304"/>
        </w:numPr>
        <w:rPr>
          <w:rFonts w:ascii="Arial" w:cs="Arial" w:eastAsia="Arial" w:hAnsi="Arial"/>
          <w:sz w:val="21"/>
          <w:szCs w:val="21"/>
          <w:color w:val="auto"/>
        </w:rPr>
      </w:pPr>
      <w:r>
        <w:rPr>
          <w:rFonts w:ascii="Arial" w:cs="Arial" w:eastAsia="Arial" w:hAnsi="Arial"/>
          <w:sz w:val="21"/>
          <w:szCs w:val="21"/>
          <w:color w:val="auto"/>
        </w:rPr>
        <w:t>Financing obligation of $19.591 million primarily in connection with the Company selling six restaurant properties to third parties for aggregate proceeds of $18.5 million and entering into lease agreements under which the Company agreed to lease back each of the properties for an initial term of 20 years. As the Company had continuing involvement in these restaurant properties, the sale of the properties does not qualify for sale-leaseback accounting. As a result, the aggregate proceeds have been recorded as a financing obligation.</w:t>
      </w:r>
    </w:p>
    <w:p>
      <w:pPr>
        <w:spacing w:after="0" w:line="216" w:lineRule="exact"/>
        <w:rPr>
          <w:rFonts w:ascii="Arial" w:cs="Arial" w:eastAsia="Arial" w:hAnsi="Arial"/>
          <w:sz w:val="21"/>
          <w:szCs w:val="21"/>
          <w:color w:val="auto"/>
        </w:rPr>
      </w:pPr>
    </w:p>
    <w:p>
      <w:pPr>
        <w:ind w:left="320" w:right="3700" w:hanging="318"/>
        <w:spacing w:after="0" w:line="263" w:lineRule="auto"/>
        <w:tabs>
          <w:tab w:leader="none" w:pos="32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Capitalized Leases for certain property, software and equipment not exceeding $5,000,000.</w:t>
      </w:r>
    </w:p>
    <w:p>
      <w:pPr>
        <w:spacing w:after="0" w:line="188" w:lineRule="exact"/>
        <w:rPr>
          <w:rFonts w:ascii="Arial" w:cs="Arial" w:eastAsia="Arial" w:hAnsi="Arial"/>
          <w:sz w:val="22"/>
          <w:szCs w:val="22"/>
          <w:color w:val="auto"/>
        </w:rPr>
      </w:pPr>
    </w:p>
    <w:p>
      <w:pPr>
        <w:ind w:left="320" w:hanging="318"/>
        <w:spacing w:after="0" w:line="343" w:lineRule="auto"/>
        <w:tabs>
          <w:tab w:leader="none" w:pos="320" w:val="left"/>
        </w:tabs>
        <w:numPr>
          <w:ilvl w:val="0"/>
          <w:numId w:val="304"/>
        </w:numPr>
        <w:rPr>
          <w:rFonts w:ascii="Arial" w:cs="Arial" w:eastAsia="Arial" w:hAnsi="Arial"/>
          <w:sz w:val="19"/>
          <w:szCs w:val="19"/>
          <w:color w:val="auto"/>
        </w:rPr>
      </w:pPr>
      <w:r>
        <w:rPr>
          <w:rFonts w:ascii="Arial" w:cs="Arial" w:eastAsia="Arial" w:hAnsi="Arial"/>
          <w:sz w:val="19"/>
          <w:szCs w:val="19"/>
          <w:color w:val="auto"/>
        </w:rPr>
        <w:t>Notes existing on the Closing Date in an aggregate principal amount not exceeding $10.0 million issued primarily for buyouts of general manager and chef interests in the cash flows of Restaurant LPs and payable over five years.</w:t>
      </w:r>
    </w:p>
    <w:p>
      <w:pPr>
        <w:sectPr>
          <w:pgSz w:w="11900" w:h="16838" w:orient="portrait"/>
          <w:cols w:equalWidth="0" w:num="1">
            <w:col w:w="10820"/>
          </w:cols>
          <w:pgMar w:left="840" w:top="369" w:right="239" w:bottom="1440" w:gutter="0" w:footer="0" w:header="0"/>
        </w:sectPr>
      </w:pPr>
    </w:p>
    <w:bookmarkStart w:id="331" w:name="page332"/>
    <w:bookmarkEnd w:id="331"/>
    <w:p>
      <w:pPr>
        <w:jc w:val="center"/>
        <w:ind w:right="260"/>
        <w:spacing w:after="0"/>
        <w:rPr>
          <w:sz w:val="20"/>
          <w:szCs w:val="20"/>
          <w:color w:val="auto"/>
        </w:rPr>
      </w:pPr>
      <w:r>
        <w:rPr>
          <w:rFonts w:ascii="Arial" w:cs="Arial" w:eastAsia="Arial" w:hAnsi="Arial"/>
          <w:sz w:val="22"/>
          <w:szCs w:val="22"/>
          <w:b w:val="1"/>
          <w:bCs w:val="1"/>
          <w:color w:val="auto"/>
        </w:rPr>
        <w:t>Schedule 7.08</w:t>
      </w:r>
    </w:p>
    <w:p>
      <w:pPr>
        <w:spacing w:after="0" w:line="28"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Transactions with Affiliates</w:t>
      </w:r>
    </w:p>
    <w:p>
      <w:pPr>
        <w:spacing w:after="0" w:line="202" w:lineRule="exact"/>
        <w:rPr>
          <w:sz w:val="20"/>
          <w:szCs w:val="20"/>
          <w:color w:val="auto"/>
        </w:rPr>
      </w:pPr>
    </w:p>
    <w:p>
      <w:pPr>
        <w:ind w:left="320" w:hanging="318"/>
        <w:spacing w:after="0" w:line="263" w:lineRule="auto"/>
        <w:tabs>
          <w:tab w:leader="none" w:pos="32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A Lease Termination and Surrender Agreement dated August 29, 2017, by and between OS Southern, LLC and MVP LRS, LLC.</w:t>
      </w:r>
    </w:p>
    <w:p>
      <w:pPr>
        <w:sectPr>
          <w:pgSz w:w="11900" w:h="16838" w:orient="portrait"/>
          <w:cols w:equalWidth="0" w:num="1">
            <w:col w:w="10480"/>
          </w:cols>
          <w:pgMar w:left="840" w:top="369" w:right="579" w:bottom="1440" w:gutter="0" w:footer="0" w:header="0"/>
        </w:sectPr>
      </w:pPr>
    </w:p>
    <w:bookmarkStart w:id="332" w:name="page333"/>
    <w:bookmarkEnd w:id="332"/>
    <w:p>
      <w:pPr>
        <w:jc w:val="center"/>
        <w:ind w:right="-11"/>
        <w:spacing w:after="0"/>
        <w:rPr>
          <w:sz w:val="20"/>
          <w:szCs w:val="20"/>
          <w:color w:val="auto"/>
        </w:rPr>
      </w:pPr>
      <w:r>
        <w:rPr>
          <w:rFonts w:ascii="Arial" w:cs="Arial" w:eastAsia="Arial" w:hAnsi="Arial"/>
          <w:sz w:val="22"/>
          <w:szCs w:val="22"/>
          <w:b w:val="1"/>
          <w:bCs w:val="1"/>
          <w:color w:val="auto"/>
        </w:rPr>
        <w:t>Schedule 7.09</w:t>
      </w:r>
    </w:p>
    <w:p>
      <w:pPr>
        <w:spacing w:after="0" w:line="28"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Existing Restrictions</w:t>
      </w:r>
    </w:p>
    <w:p>
      <w:pPr>
        <w:spacing w:after="0" w:line="202" w:lineRule="exact"/>
        <w:rPr>
          <w:sz w:val="20"/>
          <w:szCs w:val="20"/>
          <w:color w:val="auto"/>
        </w:rPr>
      </w:pPr>
    </w:p>
    <w:p>
      <w:pPr>
        <w:ind w:left="332" w:hanging="332"/>
        <w:spacing w:after="0" w:line="251" w:lineRule="auto"/>
        <w:tabs>
          <w:tab w:leader="none" w:pos="332"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following Third-Party Sale Leases, in each case as amended or replaced from time to time to the extent such amendment or replacement is not adverse to the Lenders in any material respect:</w:t>
      </w:r>
    </w:p>
    <w:p>
      <w:pPr>
        <w:spacing w:after="0" w:line="2" w:lineRule="exact"/>
        <w:rPr>
          <w:rFonts w:ascii="Arial" w:cs="Arial" w:eastAsia="Arial" w:hAnsi="Arial"/>
          <w:sz w:val="22"/>
          <w:szCs w:val="22"/>
          <w:color w:val="auto"/>
        </w:rPr>
      </w:pPr>
    </w:p>
    <w:p>
      <w:pPr>
        <w:ind w:left="652" w:right="20" w:hanging="328"/>
        <w:spacing w:after="0" w:line="243" w:lineRule="auto"/>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Cole BF Portfolio, LLC and Bonefish Grill, LLC, and related Sublease, dated as of March 14, 2012, between Bonefish Grill, LLC and Outback Steakhouse of Florida, LLC.</w:t>
      </w: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National Retail Properties, LP and Bonefish Grill,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Cole CA Portfolio, LLC and Carrabba’s Italian Grill,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National Retail Properties, LP and Carrabba’s Italian Grill,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Cole FS Englewood Co, LLC and OS Prime,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National Retail Properties, LP and OS Prime,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22"/>
          <w:szCs w:val="22"/>
          <w:color w:val="auto"/>
        </w:rPr>
      </w:pPr>
      <w:r>
        <w:rPr>
          <w:rFonts w:ascii="Arial" w:cs="Arial" w:eastAsia="Arial" w:hAnsi="Arial"/>
          <w:sz w:val="22"/>
          <w:szCs w:val="22"/>
          <w:color w:val="auto"/>
        </w:rPr>
        <w:t>Lease, dated as of March 14, 2012, between Cole OU Portfolio, LLC and Outback Steakhouse of Florida, LLC.</w:t>
      </w:r>
    </w:p>
    <w:p>
      <w:pPr>
        <w:spacing w:after="0" w:line="3" w:lineRule="exact"/>
        <w:rPr>
          <w:rFonts w:ascii="Arial" w:cs="Arial" w:eastAsia="Arial" w:hAnsi="Arial"/>
          <w:sz w:val="22"/>
          <w:szCs w:val="22"/>
          <w:color w:val="auto"/>
        </w:rPr>
      </w:pPr>
    </w:p>
    <w:p>
      <w:pPr>
        <w:ind w:left="652" w:hanging="328"/>
        <w:spacing w:after="0"/>
        <w:tabs>
          <w:tab w:leader="none" w:pos="652" w:val="left"/>
        </w:tabs>
        <w:numPr>
          <w:ilvl w:val="1"/>
          <w:numId w:val="306"/>
        </w:numPr>
        <w:rPr>
          <w:rFonts w:ascii="Arial" w:cs="Arial" w:eastAsia="Arial" w:hAnsi="Arial"/>
          <w:sz w:val="19"/>
          <w:szCs w:val="19"/>
          <w:color w:val="auto"/>
        </w:rPr>
      </w:pPr>
      <w:r>
        <w:rPr>
          <w:rFonts w:ascii="Arial" w:cs="Arial" w:eastAsia="Arial" w:hAnsi="Arial"/>
          <w:sz w:val="19"/>
          <w:szCs w:val="19"/>
          <w:color w:val="auto"/>
        </w:rPr>
        <w:t>Lease, dated as of March 14, 2012, between National Retail Properties, LP and Outback Steakhouse of Florida, LLC.</w:t>
      </w:r>
    </w:p>
    <w:p>
      <w:pPr>
        <w:spacing w:after="0" w:line="38" w:lineRule="exact"/>
        <w:rPr>
          <w:rFonts w:ascii="Arial" w:cs="Arial" w:eastAsia="Arial" w:hAnsi="Arial"/>
          <w:sz w:val="19"/>
          <w:szCs w:val="19"/>
          <w:color w:val="auto"/>
        </w:rPr>
      </w:pPr>
    </w:p>
    <w:p>
      <w:pPr>
        <w:ind w:left="652" w:hanging="328"/>
        <w:spacing w:after="0"/>
        <w:tabs>
          <w:tab w:leader="none" w:pos="652" w:val="left"/>
        </w:tabs>
        <w:numPr>
          <w:ilvl w:val="1"/>
          <w:numId w:val="306"/>
        </w:numPr>
        <w:rPr>
          <w:rFonts w:ascii="Arial" w:cs="Arial" w:eastAsia="Arial" w:hAnsi="Arial"/>
          <w:sz w:val="19"/>
          <w:szCs w:val="19"/>
          <w:color w:val="auto"/>
        </w:rPr>
      </w:pPr>
      <w:r>
        <w:rPr>
          <w:rFonts w:ascii="Arial" w:cs="Arial" w:eastAsia="Arial" w:hAnsi="Arial"/>
          <w:sz w:val="19"/>
          <w:szCs w:val="19"/>
          <w:color w:val="auto"/>
        </w:rPr>
        <w:t>Lease, dated as of March 14, 2012, between National Retail Properties Trust and Outback Steakhouse of Florida, LLC.</w:t>
      </w:r>
    </w:p>
    <w:p>
      <w:pPr>
        <w:sectPr>
          <w:pgSz w:w="11900" w:h="16838" w:orient="portrait"/>
          <w:cols w:equalWidth="0" w:num="1">
            <w:col w:w="11412"/>
          </w:cols>
          <w:pgMar w:left="248" w:top="368" w:right="239" w:bottom="1440" w:gutter="0" w:footer="0" w:header="0"/>
        </w:sectPr>
      </w:pPr>
    </w:p>
    <w:bookmarkStart w:id="333" w:name="page334"/>
    <w:bookmarkEnd w:id="333"/>
    <w:p>
      <w:pPr>
        <w:jc w:val="center"/>
        <w:ind w:right="-1200"/>
        <w:spacing w:after="0"/>
        <w:rPr>
          <w:sz w:val="20"/>
          <w:szCs w:val="20"/>
          <w:color w:val="auto"/>
        </w:rPr>
      </w:pPr>
      <w:r>
        <w:rPr>
          <w:rFonts w:ascii="Arial" w:cs="Arial" w:eastAsia="Arial" w:hAnsi="Arial"/>
          <w:sz w:val="22"/>
          <w:szCs w:val="22"/>
          <w:b w:val="1"/>
          <w:bCs w:val="1"/>
          <w:color w:val="auto"/>
        </w:rPr>
        <w:t>Schedule 10.02</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Administrative Agent’s Office, Certain Addresses for Notices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AGENT: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Administrative Agent’s Office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payments and Requests for Credit Extensions):</w:t>
      </w:r>
    </w:p>
    <w:p>
      <w:pPr>
        <w:spacing w:after="0" w:line="8" w:lineRule="exact"/>
        <w:rPr>
          <w:sz w:val="20"/>
          <w:szCs w:val="20"/>
          <w:color w:val="auto"/>
        </w:rPr>
      </w:pPr>
    </w:p>
    <w:p>
      <w:pPr>
        <w:ind w:right="4819"/>
        <w:spacing w:after="0" w:line="241" w:lineRule="auto"/>
        <w:rPr>
          <w:sz w:val="20"/>
          <w:szCs w:val="20"/>
          <w:color w:val="auto"/>
        </w:rPr>
      </w:pPr>
      <w:r>
        <w:rPr>
          <w:rFonts w:ascii="Arial" w:cs="Arial" w:eastAsia="Arial" w:hAnsi="Arial"/>
          <w:sz w:val="20"/>
          <w:szCs w:val="20"/>
          <w:color w:val="auto"/>
        </w:rPr>
        <w:t>Wells Fargo Bank, National Association MAC D 1109-019 1525 West W.T. Harris Blvd. Charlotte, North Carolina 28262 Attention: Syndication Agency Services Telephone: (704) 590-2703 Facsimile: (704) 715-0092</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20"/>
          <w:szCs w:val="20"/>
          <w:i w:val="1"/>
          <w:iCs w:val="1"/>
          <w:u w:val="single" w:color="auto"/>
          <w:color w:val="auto"/>
        </w:rPr>
        <w:t>With copies to</w:t>
      </w:r>
      <w:r>
        <w:rPr>
          <w:rFonts w:ascii="Arial" w:cs="Arial" w:eastAsia="Arial" w:hAnsi="Arial"/>
          <w:sz w:val="20"/>
          <w:szCs w:val="20"/>
          <w:i w:val="1"/>
          <w:iCs w:val="1"/>
          <w:color w:val="auto"/>
        </w:rPr>
        <w:t>:</w:t>
      </w:r>
    </w:p>
    <w:p>
      <w:pPr>
        <w:spacing w:after="0" w:line="16" w:lineRule="exact"/>
        <w:rPr>
          <w:sz w:val="20"/>
          <w:szCs w:val="20"/>
          <w:color w:val="auto"/>
        </w:rPr>
      </w:pPr>
    </w:p>
    <w:p>
      <w:pPr>
        <w:ind w:left="740" w:right="3959"/>
        <w:spacing w:after="0" w:line="269" w:lineRule="auto"/>
        <w:rPr>
          <w:sz w:val="20"/>
          <w:szCs w:val="20"/>
          <w:color w:val="auto"/>
        </w:rPr>
      </w:pPr>
      <w:r>
        <w:rPr>
          <w:rFonts w:ascii="Arial" w:cs="Arial" w:eastAsia="Arial" w:hAnsi="Arial"/>
          <w:sz w:val="18"/>
          <w:szCs w:val="18"/>
          <w:color w:val="auto"/>
        </w:rPr>
        <w:t>Wells Fargo Bank, National Association 550 S. Tryon St., D1086-061 Charlotte, NC 28202 Attn: Rob Rechkemmer Tel: 704-410-1221</w:t>
      </w:r>
    </w:p>
    <w:p>
      <w:pPr>
        <w:ind w:left="7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robert.rechkemmer@wellsfargo.com</w:t>
      </w:r>
    </w:p>
    <w:p>
      <w:pPr>
        <w:spacing w:after="0" w:line="222" w:lineRule="exact"/>
        <w:rPr>
          <w:sz w:val="20"/>
          <w:szCs w:val="20"/>
          <w:color w:val="auto"/>
        </w:rPr>
      </w:pPr>
    </w:p>
    <w:p>
      <w:pPr>
        <w:ind w:right="2359"/>
        <w:spacing w:after="0" w:line="245" w:lineRule="auto"/>
        <w:rPr>
          <w:sz w:val="20"/>
          <w:szCs w:val="20"/>
          <w:color w:val="auto"/>
        </w:rPr>
      </w:pPr>
      <w:r>
        <w:rPr>
          <w:rFonts w:ascii="Arial" w:cs="Arial" w:eastAsia="Arial" w:hAnsi="Arial"/>
          <w:sz w:val="20"/>
          <w:szCs w:val="20"/>
          <w:i w:val="1"/>
          <w:iCs w:val="1"/>
          <w:u w:val="single" w:color="auto"/>
          <w:color w:val="auto"/>
        </w:rPr>
        <w:t>Other Notices as Administrative Agent</w:t>
      </w:r>
      <w:r>
        <w:rPr>
          <w:rFonts w:ascii="Arial" w:cs="Arial" w:eastAsia="Arial" w:hAnsi="Arial"/>
          <w:sz w:val="20"/>
          <w:szCs w:val="20"/>
          <w:i w:val="1"/>
          <w:iCs w:val="1"/>
          <w:color w:val="auto"/>
        </w:rPr>
        <w:t xml:space="preserve">: </w:t>
      </w:r>
      <w:r>
        <w:rPr>
          <w:rFonts w:ascii="Arial" w:cs="Arial" w:eastAsia="Arial" w:hAnsi="Arial"/>
          <w:sz w:val="20"/>
          <w:szCs w:val="20"/>
          <w:color w:val="auto"/>
        </w:rPr>
        <w:t>Wells Fargo Bank, National Association MAC D 1109-019</w:t>
      </w:r>
      <w:r>
        <w:rPr>
          <w:rFonts w:ascii="Arial" w:cs="Arial" w:eastAsia="Arial" w:hAnsi="Arial"/>
          <w:sz w:val="20"/>
          <w:szCs w:val="20"/>
          <w:i w:val="1"/>
          <w:iCs w:val="1"/>
          <w:color w:val="auto"/>
        </w:rPr>
        <w:t xml:space="preserve"> </w:t>
      </w:r>
      <w:r>
        <w:rPr>
          <w:rFonts w:ascii="Arial" w:cs="Arial" w:eastAsia="Arial" w:hAnsi="Arial"/>
          <w:sz w:val="20"/>
          <w:szCs w:val="20"/>
          <w:color w:val="auto"/>
        </w:rPr>
        <w:t>1525 West W.T. Harris Blvd. Charlotte, North Carolina 28262 Attention: Syndication Agency Services Telephone: (704) 590-2703</w:t>
      </w:r>
    </w:p>
    <w:p>
      <w:pPr>
        <w:spacing w:after="0"/>
        <w:rPr>
          <w:sz w:val="20"/>
          <w:szCs w:val="20"/>
          <w:color w:val="auto"/>
        </w:rPr>
      </w:pPr>
      <w:r>
        <w:rPr>
          <w:rFonts w:ascii="Arial" w:cs="Arial" w:eastAsia="Arial" w:hAnsi="Arial"/>
          <w:sz w:val="20"/>
          <w:szCs w:val="20"/>
          <w:color w:val="auto"/>
        </w:rPr>
        <w:t>Facsimile: (704) 715-0092</w:t>
      </w:r>
    </w:p>
    <w:p>
      <w:pPr>
        <w:spacing w:after="0" w:line="65" w:lineRule="exact"/>
        <w:rPr>
          <w:sz w:val="20"/>
          <w:szCs w:val="20"/>
          <w:color w:val="auto"/>
        </w:rPr>
      </w:pPr>
    </w:p>
    <w:p>
      <w:pPr>
        <w:ind w:left="740"/>
        <w:spacing w:after="0"/>
        <w:rPr>
          <w:sz w:val="20"/>
          <w:szCs w:val="20"/>
          <w:color w:val="auto"/>
        </w:rPr>
      </w:pPr>
      <w:r>
        <w:rPr>
          <w:rFonts w:ascii="Arial" w:cs="Arial" w:eastAsia="Arial" w:hAnsi="Arial"/>
          <w:sz w:val="20"/>
          <w:szCs w:val="20"/>
          <w:i w:val="1"/>
          <w:iCs w:val="1"/>
          <w:u w:val="single" w:color="auto"/>
          <w:color w:val="auto"/>
        </w:rPr>
        <w:t>With copies to</w:t>
      </w:r>
      <w:r>
        <w:rPr>
          <w:rFonts w:ascii="Arial" w:cs="Arial" w:eastAsia="Arial" w:hAnsi="Arial"/>
          <w:sz w:val="20"/>
          <w:szCs w:val="20"/>
          <w:i w:val="1"/>
          <w:iCs w:val="1"/>
          <w:color w:val="auto"/>
        </w:rPr>
        <w:t>:</w:t>
      </w:r>
    </w:p>
    <w:p>
      <w:pPr>
        <w:spacing w:after="0" w:line="16" w:lineRule="exact"/>
        <w:rPr>
          <w:sz w:val="20"/>
          <w:szCs w:val="20"/>
          <w:color w:val="auto"/>
        </w:rPr>
      </w:pPr>
    </w:p>
    <w:p>
      <w:pPr>
        <w:ind w:left="740" w:right="3959"/>
        <w:spacing w:after="0" w:line="241" w:lineRule="auto"/>
        <w:rPr>
          <w:sz w:val="20"/>
          <w:szCs w:val="20"/>
          <w:color w:val="auto"/>
        </w:rPr>
      </w:pPr>
      <w:r>
        <w:rPr>
          <w:rFonts w:ascii="Arial" w:cs="Arial" w:eastAsia="Arial" w:hAnsi="Arial"/>
          <w:sz w:val="20"/>
          <w:szCs w:val="20"/>
          <w:color w:val="auto"/>
        </w:rPr>
        <w:t xml:space="preserve">Wells Fargo Bank, National Association 550 S. Tryon St., D1086-061 Charlotte, NC 28202 Attn: Rob Rechkemmer Tel: 704-410-1221 E-mail: </w:t>
      </w:r>
      <w:r>
        <w:rPr>
          <w:rFonts w:ascii="Arial" w:cs="Arial" w:eastAsia="Arial" w:hAnsi="Arial"/>
          <w:sz w:val="20"/>
          <w:szCs w:val="20"/>
          <w:u w:val="single" w:color="auto"/>
          <w:color w:val="0000FF"/>
        </w:rPr>
        <w:t>robert.rechkemmer@wellsfargo.com</w:t>
      </w:r>
    </w:p>
    <w:p>
      <w:pPr>
        <w:sectPr>
          <w:pgSz w:w="11900" w:h="16838" w:orient="portrait"/>
          <w:cols w:equalWidth="0" w:num="1">
            <w:col w:w="10219"/>
          </w:cols>
          <w:pgMar w:left="240" w:top="368" w:right="1440" w:bottom="1440" w:gutter="0" w:footer="0" w:header="0"/>
        </w:sectPr>
      </w:pPr>
    </w:p>
    <w:bookmarkStart w:id="334" w:name="page335"/>
    <w:bookmarkEnd w:id="334"/>
    <w:p>
      <w:pPr>
        <w:spacing w:after="0"/>
        <w:rPr>
          <w:sz w:val="20"/>
          <w:szCs w:val="20"/>
          <w:color w:val="auto"/>
        </w:rPr>
      </w:pPr>
      <w:r>
        <w:rPr>
          <w:rFonts w:ascii="Arial" w:cs="Arial" w:eastAsia="Arial" w:hAnsi="Arial"/>
          <w:sz w:val="20"/>
          <w:szCs w:val="20"/>
          <w:b w:val="1"/>
          <w:bCs w:val="1"/>
          <w:color w:val="auto"/>
        </w:rPr>
        <w:t>L/C ISSUERS:</w:t>
      </w:r>
    </w:p>
    <w:p>
      <w:pPr>
        <w:spacing w:after="0" w:line="235" w:lineRule="exact"/>
        <w:rPr>
          <w:sz w:val="20"/>
          <w:szCs w:val="20"/>
          <w:color w:val="auto"/>
        </w:rPr>
      </w:pPr>
    </w:p>
    <w:p>
      <w:pPr>
        <w:ind w:right="4819"/>
        <w:spacing w:after="0" w:line="246" w:lineRule="auto"/>
        <w:rPr>
          <w:sz w:val="20"/>
          <w:szCs w:val="20"/>
          <w:color w:val="auto"/>
        </w:rPr>
      </w:pPr>
      <w:r>
        <w:rPr>
          <w:rFonts w:ascii="Arial" w:cs="Arial" w:eastAsia="Arial" w:hAnsi="Arial"/>
          <w:sz w:val="20"/>
          <w:szCs w:val="20"/>
          <w:color w:val="auto"/>
        </w:rPr>
        <w:t>Wells Fargo Bank, National Association MAC D 1109-019 1525 West W.T. Harris Blvd. Charlotte, North Carolina 28262 Attention: Syndication Agency Services Telephone: (704) 590-2703 Facsimile: (704) 715-0092</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20"/>
          <w:szCs w:val="20"/>
          <w:i w:val="1"/>
          <w:iCs w:val="1"/>
          <w:u w:val="single" w:color="auto"/>
          <w:color w:val="auto"/>
        </w:rPr>
        <w:t>With copies to</w:t>
      </w:r>
      <w:r>
        <w:rPr>
          <w:rFonts w:ascii="Arial" w:cs="Arial" w:eastAsia="Arial" w:hAnsi="Arial"/>
          <w:sz w:val="20"/>
          <w:szCs w:val="20"/>
          <w:i w:val="1"/>
          <w:iCs w:val="1"/>
          <w:color w:val="auto"/>
        </w:rPr>
        <w:t>:</w:t>
      </w:r>
    </w:p>
    <w:p>
      <w:pPr>
        <w:spacing w:after="0" w:line="16" w:lineRule="exact"/>
        <w:rPr>
          <w:sz w:val="20"/>
          <w:szCs w:val="20"/>
          <w:color w:val="auto"/>
        </w:rPr>
      </w:pPr>
    </w:p>
    <w:p>
      <w:pPr>
        <w:ind w:left="740" w:right="719"/>
        <w:spacing w:after="0" w:line="242" w:lineRule="auto"/>
        <w:rPr>
          <w:sz w:val="20"/>
          <w:szCs w:val="20"/>
          <w:color w:val="auto"/>
        </w:rPr>
      </w:pPr>
      <w:r>
        <w:rPr>
          <w:rFonts w:ascii="Arial" w:cs="Arial" w:eastAsia="Arial" w:hAnsi="Arial"/>
          <w:sz w:val="20"/>
          <w:szCs w:val="20"/>
          <w:color w:val="auto"/>
        </w:rPr>
        <w:t>Wells Fargo Bank, National Association Wells Fargo Bank, National Association 550 S. Tryon St., D1086-061 Charlotte, NC 28202 Attn: Rob Rechkemmer Tel: 704-410-1221</w:t>
      </w:r>
    </w:p>
    <w:p>
      <w:pPr>
        <w:ind w:left="7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robert.rechkemmer@wellsfargo.com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 Fleet Way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PA6-580-02-30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Scranton, PA 18507</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Attention: Bank of America Global Trade Telephone: 1-800-370-7519</w:t>
      </w:r>
    </w:p>
    <w:p>
      <w:pPr>
        <w:spacing w:after="0"/>
        <w:rPr>
          <w:sz w:val="20"/>
          <w:szCs w:val="20"/>
          <w:color w:val="auto"/>
        </w:rPr>
      </w:pPr>
      <w:r>
        <w:rPr>
          <w:rFonts w:ascii="Arial" w:cs="Arial" w:eastAsia="Arial" w:hAnsi="Arial"/>
          <w:sz w:val="20"/>
          <w:szCs w:val="20"/>
          <w:color w:val="auto"/>
        </w:rPr>
        <w:t>Facsimile: 1-800-755-8743</w:t>
      </w: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EE"/>
        </w:rPr>
        <w:t>tradeclientserviceteamus@baml.com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JPM-Bangalore Loan Operations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500 Stanton Christiana Road, NNC5, Floor 01 Newark, DE 19713-2107</w:t>
      </w:r>
    </w:p>
    <w:p>
      <w:pPr>
        <w:spacing w:after="0"/>
        <w:rPr>
          <w:sz w:val="20"/>
          <w:szCs w:val="20"/>
          <w:color w:val="auto"/>
        </w:rPr>
      </w:pPr>
      <w:r>
        <w:rPr>
          <w:rFonts w:ascii="Arial" w:cs="Arial" w:eastAsia="Arial" w:hAnsi="Arial"/>
          <w:sz w:val="20"/>
          <w:szCs w:val="20"/>
          <w:color w:val="auto"/>
        </w:rPr>
        <w:t>Attention: Bharath Devaraju Facsimile: (201) 244-3885</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na.cpg@jpmorgan.com</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20"/>
          <w:szCs w:val="20"/>
          <w:i w:val="1"/>
          <w:iCs w:val="1"/>
          <w:u w:val="single" w:color="auto"/>
          <w:color w:val="auto"/>
        </w:rPr>
        <w:t>With copies to</w:t>
      </w:r>
      <w:r>
        <w:rPr>
          <w:rFonts w:ascii="Arial" w:cs="Arial" w:eastAsia="Arial" w:hAnsi="Arial"/>
          <w:sz w:val="20"/>
          <w:szCs w:val="20"/>
          <w:i w:val="1"/>
          <w:iCs w:val="1"/>
          <w:color w:val="auto"/>
        </w:rPr>
        <w:t>:</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JPMorgan Chase Bank, N.A.</w:t>
      </w:r>
    </w:p>
    <w:p>
      <w:pPr>
        <w:ind w:left="740"/>
        <w:spacing w:after="0"/>
        <w:rPr>
          <w:sz w:val="20"/>
          <w:szCs w:val="20"/>
          <w:color w:val="auto"/>
        </w:rPr>
      </w:pPr>
      <w:r>
        <w:rPr>
          <w:rFonts w:ascii="Arial" w:cs="Arial" w:eastAsia="Arial" w:hAnsi="Arial"/>
          <w:sz w:val="20"/>
          <w:szCs w:val="20"/>
          <w:color w:val="auto"/>
        </w:rPr>
        <w:t>10420 Highland Manor Drive, Floor 04</w:t>
      </w:r>
    </w:p>
    <w:p>
      <w:pPr>
        <w:ind w:left="740"/>
        <w:spacing w:after="0"/>
        <w:rPr>
          <w:sz w:val="20"/>
          <w:szCs w:val="20"/>
          <w:color w:val="auto"/>
        </w:rPr>
      </w:pPr>
      <w:r>
        <w:rPr>
          <w:rFonts w:ascii="Arial" w:cs="Arial" w:eastAsia="Arial" w:hAnsi="Arial"/>
          <w:sz w:val="20"/>
          <w:szCs w:val="20"/>
          <w:color w:val="auto"/>
        </w:rPr>
        <w:t>Tampa, FL, 33610-9128</w:t>
      </w:r>
    </w:p>
    <w:p>
      <w:pPr>
        <w:ind w:left="740"/>
        <w:spacing w:after="0"/>
        <w:rPr>
          <w:sz w:val="20"/>
          <w:szCs w:val="20"/>
          <w:color w:val="auto"/>
        </w:rPr>
      </w:pPr>
      <w:r>
        <w:rPr>
          <w:rFonts w:ascii="Arial" w:cs="Arial" w:eastAsia="Arial" w:hAnsi="Arial"/>
          <w:sz w:val="20"/>
          <w:szCs w:val="20"/>
          <w:color w:val="auto"/>
        </w:rPr>
        <w:t>Attention: GTS IB Standby Telephone: (800) 634-1969</w:t>
      </w:r>
    </w:p>
    <w:p>
      <w:pPr>
        <w:ind w:left="740"/>
        <w:spacing w:after="0"/>
        <w:rPr>
          <w:sz w:val="20"/>
          <w:szCs w:val="20"/>
          <w:color w:val="auto"/>
        </w:rPr>
      </w:pPr>
      <w:r>
        <w:rPr>
          <w:rFonts w:ascii="Arial" w:cs="Arial" w:eastAsia="Arial" w:hAnsi="Arial"/>
          <w:sz w:val="20"/>
          <w:szCs w:val="20"/>
          <w:color w:val="auto"/>
        </w:rPr>
        <w:t>Facsimile: (856) 294-5267</w:t>
      </w:r>
    </w:p>
    <w:p>
      <w:pPr>
        <w:ind w:left="740"/>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EE"/>
        </w:rPr>
        <w:t>GTS.IB.Standby@JPMChase.com</w:t>
      </w:r>
    </w:p>
    <w:p>
      <w:pPr>
        <w:sectPr>
          <w:pgSz w:w="11900" w:h="16838" w:orient="portrait"/>
          <w:cols w:equalWidth="0" w:num="1">
            <w:col w:w="10219"/>
          </w:cols>
          <w:pgMar w:left="240" w:top="441" w:right="1440" w:bottom="1440" w:gutter="0" w:footer="0" w:header="0"/>
        </w:sectPr>
      </w:pPr>
    </w:p>
    <w:bookmarkStart w:id="335" w:name="page336"/>
    <w:bookmarkEnd w:id="335"/>
    <w:p>
      <w:pPr>
        <w:ind w:right="3939"/>
        <w:spacing w:after="0" w:line="226" w:lineRule="auto"/>
        <w:rPr>
          <w:sz w:val="20"/>
          <w:szCs w:val="20"/>
          <w:color w:val="auto"/>
        </w:rPr>
      </w:pPr>
      <w:r>
        <w:rPr>
          <w:rFonts w:ascii="Arial" w:cs="Arial" w:eastAsia="Arial" w:hAnsi="Arial"/>
          <w:sz w:val="20"/>
          <w:szCs w:val="20"/>
          <w:color w:val="auto"/>
        </w:rPr>
        <w:t>Coöperatieve Rabobank U.A., New York Branch 245 Park Avenue 37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New York, NY 10167 Attention: Sandra Rodriguez Telephone: (212) 574-7315 Facsimile: (914) 304-9326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RaboNYSBLC@rabobank.com</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SWING LINE LENDER:</w:t>
      </w:r>
    </w:p>
    <w:p>
      <w:pPr>
        <w:spacing w:after="0" w:line="22" w:lineRule="exact"/>
        <w:rPr>
          <w:sz w:val="20"/>
          <w:szCs w:val="20"/>
          <w:color w:val="auto"/>
        </w:rPr>
      </w:pPr>
    </w:p>
    <w:p>
      <w:pPr>
        <w:ind w:right="4819"/>
        <w:spacing w:after="0" w:line="241" w:lineRule="auto"/>
        <w:rPr>
          <w:sz w:val="20"/>
          <w:szCs w:val="20"/>
          <w:color w:val="auto"/>
        </w:rPr>
      </w:pPr>
      <w:r>
        <w:rPr>
          <w:rFonts w:ascii="Arial" w:cs="Arial" w:eastAsia="Arial" w:hAnsi="Arial"/>
          <w:sz w:val="20"/>
          <w:szCs w:val="20"/>
          <w:color w:val="auto"/>
        </w:rPr>
        <w:t>Wells Fargo Bank, National Association MAC D 1109-019 1525 West W.T. Harris Blvd. Charlotte, North Carolina 28262 Attention: Syndication Agency Services Telephone: (704) 590-2703 Facsimile: (704) 715-0092</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20"/>
          <w:szCs w:val="20"/>
          <w:i w:val="1"/>
          <w:iCs w:val="1"/>
          <w:u w:val="single" w:color="auto"/>
          <w:color w:val="auto"/>
        </w:rPr>
        <w:t>With copies to</w:t>
      </w:r>
      <w:r>
        <w:rPr>
          <w:rFonts w:ascii="Arial" w:cs="Arial" w:eastAsia="Arial" w:hAnsi="Arial"/>
          <w:sz w:val="20"/>
          <w:szCs w:val="20"/>
          <w:i w:val="1"/>
          <w:iCs w:val="1"/>
          <w:color w:val="auto"/>
        </w:rPr>
        <w:t>:</w:t>
      </w:r>
    </w:p>
    <w:p>
      <w:pPr>
        <w:spacing w:after="0" w:line="16" w:lineRule="exact"/>
        <w:rPr>
          <w:sz w:val="20"/>
          <w:szCs w:val="20"/>
          <w:color w:val="auto"/>
        </w:rPr>
      </w:pPr>
    </w:p>
    <w:p>
      <w:pPr>
        <w:ind w:left="740" w:right="719"/>
        <w:spacing w:after="0" w:line="242" w:lineRule="auto"/>
        <w:rPr>
          <w:sz w:val="20"/>
          <w:szCs w:val="20"/>
          <w:color w:val="auto"/>
        </w:rPr>
      </w:pPr>
      <w:r>
        <w:rPr>
          <w:rFonts w:ascii="Arial" w:cs="Arial" w:eastAsia="Arial" w:hAnsi="Arial"/>
          <w:sz w:val="20"/>
          <w:szCs w:val="20"/>
          <w:color w:val="auto"/>
        </w:rPr>
        <w:t>Wells Fargo Bank, National Association Wells Fargo Bank, National Association 550 S. Tryon St., D1086-061 Charlotte, NC 28202 Attn: Rob Rechkemmer Tel: 704-410-1221</w:t>
      </w:r>
    </w:p>
    <w:p>
      <w:pPr>
        <w:ind w:left="74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robert.rechkemmer@wellsfargo.com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Bloomin’ Brands,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OSI Restaurant Partners, LLC</w:t>
      </w:r>
    </w:p>
    <w:p>
      <w:pPr>
        <w:spacing w:after="0"/>
        <w:rPr>
          <w:sz w:val="20"/>
          <w:szCs w:val="20"/>
          <w:color w:val="auto"/>
        </w:rPr>
      </w:pPr>
      <w:r>
        <w:rPr>
          <w:rFonts w:ascii="Arial" w:cs="Arial" w:eastAsia="Arial" w:hAnsi="Arial"/>
          <w:sz w:val="20"/>
          <w:szCs w:val="20"/>
          <w:color w:val="auto"/>
        </w:rPr>
        <w:t>2202 North West Shore Blvd., Suite 500 Tampa, FL 33607</w:t>
      </w:r>
    </w:p>
    <w:p>
      <w:pPr>
        <w:spacing w:after="0"/>
        <w:rPr>
          <w:sz w:val="20"/>
          <w:szCs w:val="20"/>
          <w:color w:val="auto"/>
        </w:rPr>
      </w:pPr>
      <w:r>
        <w:rPr>
          <w:rFonts w:ascii="Arial" w:cs="Arial" w:eastAsia="Arial" w:hAnsi="Arial"/>
          <w:sz w:val="20"/>
          <w:szCs w:val="20"/>
          <w:color w:val="auto"/>
        </w:rPr>
        <w:t>Attention: David Deno, Chief Financial and Administrative Officer and Executive Vice President</w:t>
      </w:r>
    </w:p>
    <w:p>
      <w:pPr>
        <w:spacing w:after="0"/>
        <w:rPr>
          <w:sz w:val="20"/>
          <w:szCs w:val="20"/>
          <w:color w:val="auto"/>
        </w:rPr>
      </w:pPr>
      <w:r>
        <w:rPr>
          <w:rFonts w:ascii="Arial" w:cs="Arial" w:eastAsia="Arial" w:hAnsi="Arial"/>
          <w:sz w:val="20"/>
          <w:szCs w:val="20"/>
          <w:color w:val="auto"/>
        </w:rPr>
        <w:t>Telephone: (813) 282-1225</w:t>
      </w:r>
    </w:p>
    <w:p>
      <w:pPr>
        <w:spacing w:after="0"/>
        <w:rPr>
          <w:sz w:val="20"/>
          <w:szCs w:val="20"/>
          <w:color w:val="auto"/>
        </w:rPr>
      </w:pPr>
      <w:r>
        <w:rPr>
          <w:rFonts w:ascii="Arial" w:cs="Arial" w:eastAsia="Arial" w:hAnsi="Arial"/>
          <w:sz w:val="20"/>
          <w:szCs w:val="20"/>
          <w:color w:val="auto"/>
        </w:rPr>
        <w:t>Facsimile: (813) 387-8409</w:t>
      </w: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EE"/>
        </w:rPr>
        <w:t>daviddeno@bloominbrands.com</w:t>
      </w:r>
      <w:r>
        <w:rPr>
          <w:rFonts w:ascii="Arial" w:cs="Arial" w:eastAsia="Arial" w:hAnsi="Arial"/>
          <w:sz w:val="20"/>
          <w:szCs w:val="20"/>
          <w:color w:val="auto"/>
        </w:rPr>
        <w:t xml:space="preserve"> Website Address: </w:t>
      </w:r>
      <w:r>
        <w:rPr>
          <w:rFonts w:ascii="Arial" w:cs="Arial" w:eastAsia="Arial" w:hAnsi="Arial"/>
          <w:sz w:val="20"/>
          <w:szCs w:val="20"/>
          <w:u w:val="single" w:color="auto"/>
          <w:color w:val="0000FF"/>
        </w:rPr>
        <w:t>www.bloominbrands.com</w:t>
      </w:r>
    </w:p>
    <w:p>
      <w:pPr>
        <w:sectPr>
          <w:pgSz w:w="11900" w:h="16838" w:orient="portrait"/>
          <w:cols w:equalWidth="0" w:num="1">
            <w:col w:w="10219"/>
          </w:cols>
          <w:pgMar w:left="240" w:top="447"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20"/>
          <w:szCs w:val="20"/>
          <w:u w:val="single" w:color="auto"/>
          <w:color w:val="auto"/>
        </w:rPr>
        <w:t>EXHIBIT A</w:t>
      </w:r>
    </w:p>
    <w:p>
      <w:pPr>
        <w:spacing w:after="0" w:line="115"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 xml:space="preserve">[FORM OF] </w:t>
      </w:r>
      <w:r>
        <w:rPr>
          <w:rFonts w:ascii="Arial" w:cs="Arial" w:eastAsia="Arial" w:hAnsi="Arial"/>
          <w:sz w:val="20"/>
          <w:szCs w:val="20"/>
          <w:b w:val="1"/>
          <w:bCs w:val="1"/>
          <w:u w:val="single" w:color="auto"/>
          <w:color w:val="auto"/>
        </w:rPr>
        <w:t>COMMITTED LOAN NOTICE</w:t>
      </w:r>
    </w:p>
    <w:p>
      <w:pPr>
        <w:spacing w:after="0" w:line="357" w:lineRule="exact"/>
        <w:rPr>
          <w:sz w:val="20"/>
          <w:szCs w:val="20"/>
          <w:color w:val="auto"/>
        </w:rPr>
      </w:pPr>
    </w:p>
    <w:p>
      <w:pPr>
        <w:ind w:left="260"/>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as Administrative Agent MAC D1109-019</w:t>
      </w:r>
    </w:p>
    <w:p>
      <w:pPr>
        <w:ind w:left="900"/>
        <w:spacing w:after="0"/>
        <w:rPr>
          <w:sz w:val="20"/>
          <w:szCs w:val="20"/>
          <w:color w:val="auto"/>
        </w:rPr>
      </w:pPr>
      <w:r>
        <w:rPr>
          <w:rFonts w:ascii="Arial" w:cs="Arial" w:eastAsia="Arial" w:hAnsi="Arial"/>
          <w:sz w:val="20"/>
          <w:szCs w:val="20"/>
          <w:color w:val="auto"/>
        </w:rPr>
        <w:t>1525 West W.T. Harris Blvd. Charlotte, North Carolina 28262</w:t>
      </w:r>
    </w:p>
    <w:p>
      <w:pPr>
        <w:ind w:left="900"/>
        <w:spacing w:after="0"/>
        <w:rPr>
          <w:sz w:val="20"/>
          <w:szCs w:val="20"/>
          <w:color w:val="auto"/>
        </w:rPr>
      </w:pPr>
      <w:r>
        <w:rPr>
          <w:rFonts w:ascii="Arial" w:cs="Arial" w:eastAsia="Arial" w:hAnsi="Arial"/>
          <w:sz w:val="20"/>
          <w:szCs w:val="20"/>
          <w:color w:val="auto"/>
        </w:rPr>
        <w:t>Attention: Syndication Agency Services</w:t>
      </w:r>
    </w:p>
    <w:p>
      <w:pPr>
        <w:spacing w:after="0" w:line="200"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[Date]</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Ladies and Gentlemen:</w:t>
      </w:r>
    </w:p>
    <w:p>
      <w:pPr>
        <w:spacing w:after="0" w:line="208" w:lineRule="exact"/>
        <w:rPr>
          <w:sz w:val="20"/>
          <w:szCs w:val="20"/>
          <w:color w:val="auto"/>
        </w:rPr>
      </w:pPr>
    </w:p>
    <w:p>
      <w:pPr>
        <w:jc w:val="both"/>
        <w:ind w:left="260" w:firstLine="648"/>
        <w:spacing w:after="0" w:line="243" w:lineRule="auto"/>
        <w:rPr>
          <w:sz w:val="20"/>
          <w:szCs w:val="20"/>
          <w:color w:val="auto"/>
        </w:rPr>
      </w:pPr>
      <w:r>
        <w:rPr>
          <w:rFonts w:ascii="Arial" w:cs="Arial" w:eastAsia="Arial" w:hAnsi="Arial"/>
          <w:sz w:val="20"/>
          <w:szCs w:val="20"/>
          <w:color w:val="auto"/>
        </w:rPr>
        <w:t>Reference is made to the Amended and Restated Credit Agreement dated as of November 30, 2017 (as amended, supplemented, restated and/or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Wells Fargo Bank, National Association,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Swing Line Lender and an L/C Issuer. Capitalized terms used herein and not otherwise defined herein shall have the meanings assigned to such terms in the Credit Agreement.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The undersigned Borrower hereby requests (select one):</w:t>
      </w:r>
    </w:p>
    <w:p>
      <w:pPr>
        <w:spacing w:after="0" w:line="108" w:lineRule="exact"/>
        <w:rPr>
          <w:sz w:val="20"/>
          <w:szCs w:val="20"/>
          <w:color w:val="auto"/>
        </w:rPr>
      </w:pPr>
    </w:p>
    <w:p>
      <w:pPr>
        <w:ind w:left="1400" w:hanging="115"/>
        <w:spacing w:after="0"/>
        <w:tabs>
          <w:tab w:leader="none" w:pos="140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A Borrowing of new Loans</w:t>
      </w:r>
    </w:p>
    <w:p>
      <w:pPr>
        <w:spacing w:after="0" w:line="15" w:lineRule="exact"/>
        <w:rPr>
          <w:rFonts w:ascii="Arial" w:cs="Arial" w:eastAsia="Arial" w:hAnsi="Arial"/>
          <w:sz w:val="20"/>
          <w:szCs w:val="20"/>
          <w:color w:val="auto"/>
        </w:rPr>
      </w:pPr>
    </w:p>
    <w:p>
      <w:pPr>
        <w:ind w:left="1400" w:hanging="115"/>
        <w:spacing w:after="0"/>
        <w:tabs>
          <w:tab w:leader="none" w:pos="140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A conversion of Loans</w:t>
      </w:r>
    </w:p>
    <w:p>
      <w:pPr>
        <w:ind w:left="1400" w:hanging="115"/>
        <w:spacing w:after="0"/>
        <w:tabs>
          <w:tab w:leader="none" w:pos="140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A continuation of Loans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to be made on the terms set forth below:</w:t>
      </w:r>
    </w:p>
    <w:p>
      <w:pPr>
        <w:spacing w:after="0" w:line="164" w:lineRule="exact"/>
        <w:rPr>
          <w:sz w:val="20"/>
          <w:szCs w:val="20"/>
          <w:color w:val="auto"/>
        </w:rPr>
      </w:pPr>
    </w:p>
    <w:p>
      <w:pPr>
        <w:ind w:left="740" w:hanging="455"/>
        <w:spacing w:after="0"/>
        <w:tabs>
          <w:tab w:leader="none" w:pos="7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Class of Borrowing</w:t>
      </w:r>
      <w:r>
        <w:rPr>
          <w:rFonts w:ascii="Arial" w:cs="Arial" w:eastAsia="Arial" w:hAnsi="Arial"/>
          <w:sz w:val="25"/>
          <w:szCs w:val="25"/>
          <w:color w:val="auto"/>
          <w:vertAlign w:val="superscript"/>
        </w:rPr>
        <w:t>1</w:t>
      </w:r>
    </w:p>
    <w:p>
      <w:pPr>
        <w:spacing w:after="0" w:line="320" w:lineRule="exact"/>
        <w:rPr>
          <w:rFonts w:ascii="Arial" w:cs="Arial" w:eastAsia="Arial" w:hAnsi="Arial"/>
          <w:sz w:val="18"/>
          <w:szCs w:val="18"/>
          <w:color w:val="auto"/>
        </w:rPr>
      </w:pPr>
    </w:p>
    <w:p>
      <w:pPr>
        <w:ind w:left="740" w:right="8720" w:hanging="455"/>
        <w:spacing w:after="0" w:line="312" w:lineRule="auto"/>
        <w:tabs>
          <w:tab w:leader="none" w:pos="7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Date of Borrowing, conversion or continuation (which is a Business Day)</w:t>
      </w:r>
    </w:p>
    <w:p>
      <w:pPr>
        <w:spacing w:after="0" w:line="322" w:lineRule="exact"/>
        <w:rPr>
          <w:rFonts w:ascii="Arial" w:cs="Arial" w:eastAsia="Arial" w:hAnsi="Arial"/>
          <w:sz w:val="16"/>
          <w:szCs w:val="16"/>
          <w:color w:val="auto"/>
        </w:rPr>
      </w:pPr>
    </w:p>
    <w:p>
      <w:pPr>
        <w:ind w:left="740" w:hanging="455"/>
        <w:spacing w:after="0"/>
        <w:tabs>
          <w:tab w:leader="none" w:pos="7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Principal amount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40" w:hanging="455"/>
        <w:spacing w:after="0"/>
        <w:tabs>
          <w:tab w:leader="none" w:pos="7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Type of Loan</w:t>
      </w:r>
      <w:r>
        <w:rPr>
          <w:rFonts w:ascii="Arial" w:cs="Arial" w:eastAsia="Arial" w:hAnsi="Arial"/>
          <w:sz w:val="25"/>
          <w:szCs w:val="25"/>
          <w:color w:val="auto"/>
          <w:vertAlign w:val="superscript"/>
        </w:rPr>
        <w:t>2</w:t>
      </w:r>
    </w:p>
    <w:p>
      <w:pPr>
        <w:spacing w:after="0" w:line="320" w:lineRule="exact"/>
        <w:rPr>
          <w:rFonts w:ascii="Arial" w:cs="Arial" w:eastAsia="Arial" w:hAnsi="Arial"/>
          <w:sz w:val="18"/>
          <w:szCs w:val="18"/>
          <w:color w:val="auto"/>
        </w:rPr>
      </w:pPr>
    </w:p>
    <w:p>
      <w:pPr>
        <w:ind w:left="740" w:hanging="455"/>
        <w:spacing w:after="0"/>
        <w:tabs>
          <w:tab w:leader="none" w:pos="7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Interest Period</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-18415</wp:posOffset>
            </wp:positionV>
            <wp:extent cx="19551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-404495</wp:posOffset>
            </wp:positionV>
            <wp:extent cx="19551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-790575</wp:posOffset>
            </wp:positionV>
            <wp:extent cx="19551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-1176020</wp:posOffset>
            </wp:positionV>
            <wp:extent cx="19551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-1836420</wp:posOffset>
            </wp:positionV>
            <wp:extent cx="19551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152400</wp:posOffset>
            </wp:positionV>
            <wp:extent cx="14065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78" w:lineRule="exact"/>
        <w:rPr>
          <w:sz w:val="20"/>
          <w:szCs w:val="20"/>
          <w:color w:val="auto"/>
        </w:rPr>
      </w:pPr>
    </w:p>
    <w:p>
      <w:pPr>
        <w:ind w:left="320" w:hanging="89"/>
        <w:spacing w:after="0"/>
        <w:tabs>
          <w:tab w:leader="none" w:pos="320" w:val="left"/>
        </w:tabs>
        <w:numPr>
          <w:ilvl w:val="0"/>
          <w:numId w:val="309"/>
        </w:numPr>
        <w:rPr>
          <w:rFonts w:ascii="Arial" w:cs="Arial" w:eastAsia="Arial" w:hAnsi="Arial"/>
          <w:sz w:val="22"/>
          <w:szCs w:val="22"/>
          <w:color w:val="auto"/>
          <w:vertAlign w:val="superscript"/>
        </w:rPr>
      </w:pPr>
      <w:r>
        <w:rPr>
          <w:rFonts w:ascii="Arial" w:cs="Arial" w:eastAsia="Arial" w:hAnsi="Arial"/>
          <w:sz w:val="16"/>
          <w:szCs w:val="16"/>
          <w:color w:val="auto"/>
        </w:rPr>
        <w:t>Term Loans (specify as to whether such Borrowing shall consist of Term Loans (incurred on the Closing Date), Extended Term Loans, Incremental Term</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or Other Term Loans) or Revolving Credit Loans.</w:t>
      </w:r>
    </w:p>
    <w:p>
      <w:pPr>
        <w:ind w:left="320" w:hanging="89"/>
        <w:spacing w:after="0" w:line="202" w:lineRule="auto"/>
        <w:tabs>
          <w:tab w:leader="none" w:pos="320" w:val="left"/>
        </w:tabs>
        <w:numPr>
          <w:ilvl w:val="0"/>
          <w:numId w:val="310"/>
        </w:numPr>
        <w:rPr>
          <w:rFonts w:ascii="Arial" w:cs="Arial" w:eastAsia="Arial" w:hAnsi="Arial"/>
          <w:sz w:val="23"/>
          <w:szCs w:val="23"/>
          <w:color w:val="auto"/>
          <w:vertAlign w:val="superscript"/>
        </w:rPr>
      </w:pPr>
      <w:r>
        <w:rPr>
          <w:rFonts w:ascii="Arial" w:cs="Arial" w:eastAsia="Arial" w:hAnsi="Arial"/>
          <w:sz w:val="17"/>
          <w:szCs w:val="17"/>
          <w:color w:val="auto"/>
        </w:rPr>
        <w:t>Specify Eurocurrency or Base Rate.</w:t>
      </w:r>
    </w:p>
    <w:p>
      <w:pPr>
        <w:ind w:left="320" w:hanging="89"/>
        <w:spacing w:after="0" w:line="221" w:lineRule="auto"/>
        <w:tabs>
          <w:tab w:leader="none" w:pos="320" w:val="left"/>
        </w:tabs>
        <w:numPr>
          <w:ilvl w:val="0"/>
          <w:numId w:val="311"/>
        </w:numPr>
        <w:rPr>
          <w:rFonts w:ascii="Arial" w:cs="Arial" w:eastAsia="Arial" w:hAnsi="Arial"/>
          <w:sz w:val="23"/>
          <w:szCs w:val="23"/>
          <w:color w:val="auto"/>
          <w:vertAlign w:val="superscript"/>
        </w:rPr>
      </w:pPr>
      <w:r>
        <w:rPr>
          <w:rFonts w:ascii="Arial" w:cs="Arial" w:eastAsia="Arial" w:hAnsi="Arial"/>
          <w:sz w:val="17"/>
          <w:szCs w:val="17"/>
          <w:color w:val="auto"/>
        </w:rPr>
        <w:t>Applicable for Borrowings of Eurocurrency Rate Loans only.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730"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92" w:lineRule="exact"/>
        <w:rPr>
          <w:sz w:val="20"/>
          <w:szCs w:val="20"/>
          <w:color w:val="auto"/>
        </w:rPr>
      </w:pPr>
    </w:p>
    <w:p>
      <w:pPr>
        <w:ind w:left="900"/>
        <w:spacing w:after="0"/>
        <w:tabs>
          <w:tab w:leader="none" w:pos="7500" w:val="left"/>
        </w:tabs>
        <w:rPr>
          <w:sz w:val="20"/>
          <w:szCs w:val="20"/>
          <w:color w:val="auto"/>
        </w:rPr>
      </w:pPr>
      <w:r>
        <w:rPr>
          <w:rFonts w:ascii="Arial" w:cs="Arial" w:eastAsia="Arial" w:hAnsi="Arial"/>
          <w:sz w:val="18"/>
          <w:szCs w:val="18"/>
          <w:color w:val="auto"/>
        </w:rPr>
        <w:t>The above request has been made to the Administrative Agent by telephone at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4620895</wp:posOffset>
            </wp:positionH>
            <wp:positionV relativeFrom="paragraph">
              <wp:posOffset>0</wp:posOffset>
            </wp:positionV>
            <wp:extent cx="1568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-19050</wp:posOffset>
            </wp:positionV>
            <wp:extent cx="12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20"/>
          <w:szCs w:val="20"/>
          <w:color w:val="auto"/>
        </w:rPr>
        <w:t>Exhibit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316"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20"/>
          <w:szCs w:val="20"/>
          <w:color w:val="auto"/>
        </w:rPr>
        <w:t xml:space="preserve">[The undersigned Borrower hereby represents and warrants to the Administrative Agent and the Lenders that, on the date of this Committed Loan Notice and on the date of the related Borrowing, the conditions to lending specified in clauses (a) and (b) of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of the Credit Agreement have been satisfied.]</w:t>
      </w:r>
      <w:r>
        <w:rPr>
          <w:rFonts w:ascii="Arial" w:cs="Arial" w:eastAsia="Arial" w:hAnsi="Arial"/>
          <w:sz w:val="25"/>
          <w:szCs w:val="25"/>
          <w:color w:val="auto"/>
          <w:vertAlign w:val="superscript"/>
        </w:rPr>
        <w:t>4</w:t>
      </w:r>
    </w:p>
    <w:p>
      <w:pPr>
        <w:spacing w:after="0" w:line="260"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[OSI RESTAURANT PARTNERS, LLC,</w:t>
      </w:r>
    </w:p>
    <w:p>
      <w:pPr>
        <w:spacing w:after="0" w:line="378"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27305</wp:posOffset>
            </wp:positionV>
            <wp:extent cx="21183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8120"/>
        <w:spacing w:after="0"/>
        <w:rPr>
          <w:sz w:val="20"/>
          <w:szCs w:val="20"/>
          <w:color w:val="auto"/>
        </w:rPr>
      </w:pPr>
      <w:r>
        <w:rPr>
          <w:rFonts w:ascii="Arial" w:cs="Arial" w:eastAsia="Arial" w:hAnsi="Arial"/>
          <w:sz w:val="19"/>
          <w:szCs w:val="19"/>
          <w:color w:val="343636"/>
        </w:rPr>
        <w:t>Title:]</w:t>
      </w:r>
    </w:p>
    <w:p>
      <w:pPr>
        <w:spacing w:after="0" w:line="381"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[BLOOMIN’ BRANDS, INC.</w:t>
      </w:r>
    </w:p>
    <w:p>
      <w:pPr>
        <w:spacing w:after="0" w:line="378"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27305</wp:posOffset>
            </wp:positionV>
            <wp:extent cx="21183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8120"/>
        <w:spacing w:after="0"/>
        <w:rPr>
          <w:sz w:val="20"/>
          <w:szCs w:val="20"/>
          <w:color w:val="auto"/>
        </w:rPr>
      </w:pPr>
      <w:r>
        <w:rPr>
          <w:rFonts w:ascii="Arial" w:cs="Arial" w:eastAsia="Arial" w:hAnsi="Arial"/>
          <w:sz w:val="19"/>
          <w:szCs w:val="19"/>
          <w:color w:val="343636"/>
        </w:rPr>
        <w:t>Title:]</w:t>
      </w:r>
      <w:r>
        <w:rPr>
          <w:rFonts w:ascii="Arial" w:cs="Arial" w:eastAsia="Arial" w:hAnsi="Arial"/>
          <w:sz w:val="15"/>
          <w:szCs w:val="15"/>
          <w:color w:val="34363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4446270</wp:posOffset>
            </wp:positionV>
            <wp:extent cx="14319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 </w:t>
      </w:r>
      <w:r>
        <w:rPr>
          <w:rFonts w:ascii="Arial" w:cs="Arial" w:eastAsia="Arial" w:hAnsi="Arial"/>
          <w:sz w:val="18"/>
          <w:szCs w:val="18"/>
          <w:color w:val="auto"/>
        </w:rPr>
        <w:t>Insert bracketed language if the applicable Borrower is requesting a Borrowing of Loans after the Closing Date.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 </w:t>
      </w:r>
      <w:r>
        <w:rPr>
          <w:rFonts w:ascii="Arial" w:cs="Arial" w:eastAsia="Arial" w:hAnsi="Arial"/>
          <w:sz w:val="18"/>
          <w:szCs w:val="18"/>
          <w:color w:val="auto"/>
        </w:rPr>
        <w:t>Select applicable Borrower.</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203"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20"/>
          <w:szCs w:val="20"/>
          <w:color w:val="auto"/>
        </w:rPr>
        <w:t>EXHIBIT B</w:t>
      </w:r>
    </w:p>
    <w:p>
      <w:pPr>
        <w:spacing w:after="0" w:line="210"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b w:val="1"/>
          <w:bCs w:val="1"/>
          <w:u w:val="single" w:color="auto"/>
          <w:color w:val="auto"/>
        </w:rPr>
        <w:t>SWING LINE LOAN NOTICE</w:t>
      </w:r>
    </w:p>
    <w:p>
      <w:pPr>
        <w:spacing w:after="0" w:line="330" w:lineRule="exact"/>
        <w:rPr>
          <w:sz w:val="20"/>
          <w:szCs w:val="20"/>
          <w:color w:val="auto"/>
        </w:rPr>
      </w:pPr>
    </w:p>
    <w:p>
      <w:pPr>
        <w:ind w:left="900" w:right="5300" w:hanging="647"/>
        <w:spacing w:after="0" w:line="254" w:lineRule="auto"/>
        <w:tabs>
          <w:tab w:leader="none" w:pos="88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Wells Fargo Bank, National Association, as Administrative Agent MAC D1109-019</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1525 West W.T. Harris Blvd. Charlotte, North Carolina 28262</w:t>
      </w:r>
    </w:p>
    <w:p>
      <w:pPr>
        <w:ind w:left="920"/>
        <w:spacing w:after="0"/>
        <w:rPr>
          <w:sz w:val="20"/>
          <w:szCs w:val="20"/>
          <w:color w:val="auto"/>
        </w:rPr>
      </w:pPr>
      <w:r>
        <w:rPr>
          <w:rFonts w:ascii="Arial" w:cs="Arial" w:eastAsia="Arial" w:hAnsi="Arial"/>
          <w:sz w:val="20"/>
          <w:szCs w:val="20"/>
          <w:color w:val="auto"/>
        </w:rPr>
        <w:t>Attention: Syndication Agency Services</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Ladies and Gentlemen:</w:t>
      </w:r>
    </w:p>
    <w:p>
      <w:pPr>
        <w:spacing w:after="0" w:line="208" w:lineRule="exact"/>
        <w:rPr>
          <w:sz w:val="20"/>
          <w:szCs w:val="20"/>
          <w:color w:val="auto"/>
        </w:rPr>
      </w:pPr>
    </w:p>
    <w:p>
      <w:pPr>
        <w:jc w:val="both"/>
        <w:ind w:left="280" w:firstLine="648"/>
        <w:spacing w:after="0" w:line="242" w:lineRule="auto"/>
        <w:rPr>
          <w:sz w:val="20"/>
          <w:szCs w:val="20"/>
          <w:color w:val="auto"/>
        </w:rPr>
      </w:pPr>
      <w:r>
        <w:rPr>
          <w:rFonts w:ascii="Arial" w:cs="Arial" w:eastAsia="Arial" w:hAnsi="Arial"/>
          <w:sz w:val="20"/>
          <w:szCs w:val="20"/>
          <w:color w:val="auto"/>
        </w:rPr>
        <w:t>Reference is made to the Amended and Restated Credit Agreement dated as of November 30, 2017 (as amended, supplemented, restated and/or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Wells Fargo Bank, National Association,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Swing Line Lender and an L/C Issuer. Capitalized terms used herein and not otherwise defined herein shall have the meanings assigned to such terms in the Credit Agreement. The undersigned Borrower hereby gives you notice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of the Credit Agreement that it requests a Swing Line Borrowing under the Credit Agreement, and in that connection sets forth below the terms on which such Swing Line Borrowing is requested to be made:</w:t>
      </w:r>
    </w:p>
    <w:p>
      <w:pPr>
        <w:spacing w:after="0" w:line="227" w:lineRule="exact"/>
        <w:rPr>
          <w:sz w:val="20"/>
          <w:szCs w:val="20"/>
          <w:color w:val="auto"/>
        </w:rPr>
      </w:pPr>
    </w:p>
    <w:p>
      <w:pPr>
        <w:ind w:left="760" w:right="8980" w:hanging="455"/>
        <w:spacing w:after="0" w:line="282" w:lineRule="auto"/>
        <w:tabs>
          <w:tab w:leader="none" w:pos="7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Principal Amount to be Borrowed</w:t>
      </w:r>
      <w:r>
        <w:rPr>
          <w:rFonts w:ascii="Arial" w:cs="Arial" w:eastAsia="Arial" w:hAnsi="Arial"/>
          <w:sz w:val="25"/>
          <w:szCs w:val="25"/>
          <w:color w:val="auto"/>
          <w:vertAlign w:val="superscript"/>
        </w:rPr>
        <w:t>1</w:t>
      </w:r>
    </w:p>
    <w:p>
      <w:pPr>
        <w:spacing w:after="0" w:line="242" w:lineRule="exact"/>
        <w:rPr>
          <w:rFonts w:ascii="Arial" w:cs="Arial" w:eastAsia="Arial" w:hAnsi="Arial"/>
          <w:sz w:val="18"/>
          <w:szCs w:val="18"/>
          <w:color w:val="auto"/>
        </w:rPr>
      </w:pPr>
    </w:p>
    <w:p>
      <w:pPr>
        <w:ind w:left="760" w:right="8720" w:hanging="455"/>
        <w:spacing w:after="0" w:line="312" w:lineRule="auto"/>
        <w:tabs>
          <w:tab w:leader="none" w:pos="76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Date of Borrowing, conversion or continuation (which is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-17145</wp:posOffset>
            </wp:positionV>
            <wp:extent cx="19551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-677545</wp:posOffset>
            </wp:positionV>
            <wp:extent cx="19551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5" w:lineRule="exact"/>
        <w:rPr>
          <w:sz w:val="20"/>
          <w:szCs w:val="20"/>
          <w:color w:val="auto"/>
        </w:rPr>
      </w:pPr>
    </w:p>
    <w:p>
      <w:pPr>
        <w:ind w:left="920"/>
        <w:spacing w:after="0"/>
        <w:tabs>
          <w:tab w:leader="none" w:pos="9560" w:val="left"/>
        </w:tabs>
        <w:rPr>
          <w:sz w:val="20"/>
          <w:szCs w:val="20"/>
          <w:color w:val="auto"/>
        </w:rPr>
      </w:pPr>
      <w:r>
        <w:rPr>
          <w:rFonts w:ascii="Arial" w:cs="Arial" w:eastAsia="Arial" w:hAnsi="Arial"/>
          <w:sz w:val="18"/>
          <w:szCs w:val="18"/>
          <w:color w:val="auto"/>
        </w:rPr>
        <w:t>The above request has been made to the Swing Line Lender and Administrative Agent by telephone at [(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5848350</wp:posOffset>
            </wp:positionH>
            <wp:positionV relativeFrom="paragraph">
              <wp:posOffset>0</wp:posOffset>
            </wp:positionV>
            <wp:extent cx="2305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230505" cy="8890"/>
                    </a:xfrm>
                    <a:prstGeom prst="rect">
                      <a:avLst/>
                    </a:prstGeom>
                    <a:noFill/>
                  </pic:spPr>
                </pic:pic>
              </a:graphicData>
            </a:graphic>
          </wp:anchor>
        </w:drawing>
      </w:r>
    </w:p>
    <w:p>
      <w:pPr>
        <w:spacing w:after="0" w:line="219"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The undersigned Borrower hereby represents and warrants to the Administrative Agent and the Lenders that, on the date of this Swing Line Loan Notice and on the date of the related Swing Line Borrowing, the conditions to lending specified in clauses (a) and (b) of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of the Credit Agreement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hanging="92"/>
        <w:spacing w:after="0"/>
        <w:tabs>
          <w:tab w:leader="none" w:pos="100" w:val="left"/>
        </w:tabs>
        <w:numPr>
          <w:ilvl w:val="0"/>
          <w:numId w:val="313"/>
        </w:numPr>
        <w:rPr>
          <w:rFonts w:ascii="Arial" w:cs="Arial" w:eastAsia="Arial" w:hAnsi="Arial"/>
          <w:sz w:val="24"/>
          <w:szCs w:val="24"/>
          <w:color w:val="auto"/>
          <w:vertAlign w:val="superscript"/>
        </w:rPr>
      </w:pPr>
      <w:r>
        <w:rPr>
          <w:rFonts w:ascii="Arial" w:cs="Arial" w:eastAsia="Arial" w:hAnsi="Arial"/>
          <w:sz w:val="17"/>
          <w:szCs w:val="17"/>
          <w:color w:val="auto"/>
        </w:rPr>
        <w:t>Shall be a minimum of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4319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4"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20"/>
          <w:szCs w:val="20"/>
          <w:color w:val="auto"/>
        </w:rPr>
        <w:t>Exhibit B</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397"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[OSI RESTAURANT PARTNERS, LLC,</w:t>
      </w:r>
    </w:p>
    <w:p>
      <w:pPr>
        <w:spacing w:after="0" w:line="378"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27305</wp:posOffset>
            </wp:positionV>
            <wp:extent cx="21183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8120"/>
        <w:spacing w:after="0"/>
        <w:rPr>
          <w:sz w:val="20"/>
          <w:szCs w:val="20"/>
          <w:color w:val="auto"/>
        </w:rPr>
      </w:pPr>
      <w:r>
        <w:rPr>
          <w:rFonts w:ascii="Arial" w:cs="Arial" w:eastAsia="Arial" w:hAnsi="Arial"/>
          <w:sz w:val="19"/>
          <w:szCs w:val="19"/>
          <w:color w:val="343636"/>
        </w:rPr>
        <w:t>Title:]</w:t>
      </w:r>
    </w:p>
    <w:p>
      <w:pPr>
        <w:spacing w:after="0" w:line="381"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[BLOOMIN’ BRANDS, INC.</w:t>
      </w:r>
    </w:p>
    <w:p>
      <w:pPr>
        <w:spacing w:after="0" w:line="378" w:lineRule="exact"/>
        <w:rPr>
          <w:sz w:val="20"/>
          <w:szCs w:val="20"/>
          <w:color w:val="auto"/>
        </w:rPr>
      </w:pPr>
    </w:p>
    <w:p>
      <w:pPr>
        <w:ind w:left="7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27305</wp:posOffset>
            </wp:positionV>
            <wp:extent cx="21183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812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8120"/>
        <w:spacing w:after="0"/>
        <w:rPr>
          <w:sz w:val="20"/>
          <w:szCs w:val="20"/>
          <w:color w:val="auto"/>
        </w:rPr>
      </w:pPr>
      <w:r>
        <w:rPr>
          <w:rFonts w:ascii="Arial" w:cs="Arial" w:eastAsia="Arial" w:hAnsi="Arial"/>
          <w:sz w:val="19"/>
          <w:szCs w:val="19"/>
          <w:color w:val="343636"/>
        </w:rPr>
        <w:t>Title:]</w:t>
      </w:r>
      <w:r>
        <w:rPr>
          <w:rFonts w:ascii="Arial" w:cs="Arial" w:eastAsia="Arial" w:hAnsi="Arial"/>
          <w:sz w:val="15"/>
          <w:szCs w:val="15"/>
          <w:color w:val="343636"/>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0" w:hanging="92"/>
        <w:spacing w:after="0"/>
        <w:tabs>
          <w:tab w:leader="none" w:pos="100" w:val="left"/>
        </w:tabs>
        <w:numPr>
          <w:ilvl w:val="0"/>
          <w:numId w:val="314"/>
        </w:numPr>
        <w:rPr>
          <w:rFonts w:ascii="Arial" w:cs="Arial" w:eastAsia="Arial" w:hAnsi="Arial"/>
          <w:sz w:val="24"/>
          <w:szCs w:val="24"/>
          <w:color w:val="auto"/>
          <w:vertAlign w:val="superscript"/>
        </w:rPr>
      </w:pPr>
      <w:r>
        <w:rPr>
          <w:rFonts w:ascii="Arial" w:cs="Arial" w:eastAsia="Arial" w:hAnsi="Arial"/>
          <w:sz w:val="17"/>
          <w:szCs w:val="17"/>
          <w:color w:val="auto"/>
        </w:rPr>
        <w:t>Select applicable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4319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95159948_7</w:t>
      </w:r>
    </w:p>
    <w:p>
      <w:pPr>
        <w:sectPr>
          <w:pgSz w:w="11900" w:h="16838" w:orient="portrait"/>
          <w:cols w:equalWidth="0" w:num="1">
            <w:col w:w="11420"/>
          </w:cols>
          <w:pgMar w:left="240" w:top="204"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20"/>
          <w:szCs w:val="20"/>
          <w:color w:val="auto"/>
        </w:rPr>
        <w:t>EXHIBIT C-1</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LENDER: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 NOTE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York, New York</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08"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FOR VALUE RECEIVED, the undersigned,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and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hereby promise to pay to the Lender set forth above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in lawful money of the United States of America in immediately available funds at the Administrative Agent’s Office (such term, and each other capitalized term used but not defined herein, having the meaning assigned to it in the Amended and Restated Credit Agreement dated as of November 30, 2017 (as the same may be amended, supplemented, restated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Borrowers, the lenders from time to time party thereto and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Swing Line Lender and an L/C Issuer, (i) on the dates set forth in the Credit Agreement, the principal amounts set forth in the Credit Agreement with respect to Term Loans made by the Lender to the Borrowers pursuant to the Credit Agreement and (ii) on each Interest Payment Date, interest at the rate or rates per annum as provided in the Credit Agreement on the unpaid principal amount of all Term Loans made by the Lender to the Borrowers pursuant to the Credit Agreement.</w:t>
      </w:r>
    </w:p>
    <w:p>
      <w:pPr>
        <w:spacing w:after="0" w:line="184"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The Borrowers promise to pay interest, on demand, on any overdue principal and, to the extent permitted by law, overdue interest from their due dates at the rate or rates provided in the Credit Agreement.</w:t>
      </w:r>
    </w:p>
    <w:p>
      <w:pPr>
        <w:spacing w:after="0" w:line="177" w:lineRule="exact"/>
        <w:rPr>
          <w:sz w:val="20"/>
          <w:szCs w:val="20"/>
          <w:color w:val="auto"/>
        </w:rPr>
      </w:pPr>
    </w:p>
    <w:p>
      <w:pPr>
        <w:jc w:val="both"/>
        <w:ind w:left="280" w:firstLine="648"/>
        <w:spacing w:after="0" w:line="386" w:lineRule="auto"/>
        <w:rPr>
          <w:sz w:val="20"/>
          <w:szCs w:val="20"/>
          <w:color w:val="auto"/>
        </w:rPr>
      </w:pPr>
      <w:r>
        <w:rPr>
          <w:rFonts w:ascii="Arial" w:cs="Arial" w:eastAsia="Arial" w:hAnsi="Arial"/>
          <w:sz w:val="16"/>
          <w:szCs w:val="16"/>
          <w:color w:val="auto"/>
        </w:rPr>
        <w:t>The Borrowers hereby waive diligence, presentment, demand, protest and notice of any kind whatsoever. The nonexercise by the holder hereof of any of its rights hereunder in any particular instance shall not constitute a waiver thereof in that or any subsequent instance.</w:t>
      </w:r>
    </w:p>
    <w:p>
      <w:pPr>
        <w:spacing w:after="0" w:line="83"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the holder hereof to make such a notation or any error in such notation shall not affect the obligations of the Borrowers under this note.</w:t>
      </w:r>
    </w:p>
    <w:p>
      <w:pPr>
        <w:spacing w:after="0" w:line="19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This note is one of the Term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spacing w:after="0" w:line="186" w:lineRule="exact"/>
        <w:rPr>
          <w:sz w:val="20"/>
          <w:szCs w:val="20"/>
          <w:color w:val="auto"/>
        </w:rPr>
      </w:pPr>
    </w:p>
    <w:p>
      <w:pPr>
        <w:jc w:val="both"/>
        <w:ind w:left="280" w:firstLine="648"/>
        <w:spacing w:after="0" w:line="267" w:lineRule="auto"/>
        <w:rPr>
          <w:sz w:val="20"/>
          <w:szCs w:val="20"/>
          <w:color w:val="auto"/>
        </w:rPr>
      </w:pPr>
      <w:r>
        <w:rPr>
          <w:rFonts w:ascii="Arial" w:cs="Arial" w:eastAsia="Arial" w:hAnsi="Arial"/>
          <w:sz w:val="20"/>
          <w:szCs w:val="20"/>
          <w:b w:val="1"/>
          <w:bCs w:val="1"/>
          <w:color w:val="auto"/>
        </w:rPr>
        <w:t>THIS NOTE SHALL BE GOVERNED BY, AND CONSTRUED IN ACCORDANCE WITH, THE LAW OF THE STATE OF NEW YORK.</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20"/>
          <w:szCs w:val="20"/>
          <w:color w:val="auto"/>
        </w:rPr>
        <w:t>Exhibit C-1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78"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OSI RESTAURANT PARTNERS, LLC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BLOOMIN’ BRANDS, INC.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20"/>
          <w:szCs w:val="20"/>
          <w:color w:val="auto"/>
        </w:rPr>
        <w:t>Exhibit C-1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316" w:lineRule="exact"/>
        <w:rPr>
          <w:sz w:val="20"/>
          <w:szCs w:val="20"/>
          <w:color w:val="auto"/>
        </w:rPr>
      </w:pPr>
    </w:p>
    <w:p>
      <w:pPr>
        <w:ind w:left="5220"/>
        <w:spacing w:after="0"/>
        <w:rPr>
          <w:sz w:val="20"/>
          <w:szCs w:val="20"/>
          <w:color w:val="auto"/>
        </w:rPr>
      </w:pPr>
      <w:r>
        <w:rPr>
          <w:rFonts w:ascii="Arial" w:cs="Arial" w:eastAsia="Arial" w:hAnsi="Arial"/>
          <w:sz w:val="20"/>
          <w:szCs w:val="20"/>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9"/>
              </w:rPr>
              <w:t>Name</w:t>
            </w:r>
          </w:p>
        </w:tc>
        <w:tc>
          <w:tcPr>
            <w:tcW w:w="460" w:type="dxa"/>
            <w:vAlign w:val="bottom"/>
            <w:gridSpan w:val="2"/>
          </w:tcPr>
          <w:p>
            <w:pPr>
              <w:spacing w:after="0"/>
              <w:rPr>
                <w:sz w:val="19"/>
                <w:szCs w:val="19"/>
                <w:color w:val="auto"/>
              </w:rPr>
            </w:pPr>
          </w:p>
        </w:tc>
      </w:tr>
      <w:tr>
        <w:trPr>
          <w:trHeight w:val="210"/>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spacing w:after="0" w:line="209" w:lineRule="exact"/>
              <w:rPr>
                <w:sz w:val="20"/>
                <w:szCs w:val="20"/>
                <w:color w:val="auto"/>
              </w:rPr>
            </w:pPr>
            <w:r>
              <w:rPr>
                <w:rFonts w:ascii="Arial" w:cs="Arial" w:eastAsia="Arial" w:hAnsi="Arial"/>
                <w:sz w:val="20"/>
                <w:szCs w:val="20"/>
                <w:color w:val="auto"/>
                <w:w w:val="87"/>
              </w:rPr>
              <w:t>Payments</w:t>
            </w:r>
          </w:p>
        </w:tc>
        <w:tc>
          <w:tcPr>
            <w:tcW w:w="720" w:type="dxa"/>
            <w:vAlign w:val="bottom"/>
            <w:gridSpan w:val="2"/>
          </w:tcPr>
          <w:p>
            <w:pPr>
              <w:spacing w:after="0"/>
              <w:rPr>
                <w:sz w:val="18"/>
                <w:szCs w:val="18"/>
                <w:color w:val="auto"/>
              </w:rPr>
            </w:pPr>
          </w:p>
        </w:tc>
        <w:tc>
          <w:tcPr>
            <w:tcW w:w="1400" w:type="dxa"/>
            <w:vAlign w:val="bottom"/>
            <w:gridSpan w:val="6"/>
          </w:tcPr>
          <w:p>
            <w:pPr>
              <w:jc w:val="center"/>
              <w:ind w:right="120"/>
              <w:spacing w:after="0" w:line="209" w:lineRule="exact"/>
              <w:rPr>
                <w:sz w:val="20"/>
                <w:szCs w:val="20"/>
                <w:color w:val="auto"/>
              </w:rPr>
            </w:pPr>
            <w:r>
              <w:rPr>
                <w:rFonts w:ascii="Arial" w:cs="Arial" w:eastAsia="Arial" w:hAnsi="Arial"/>
                <w:sz w:val="20"/>
                <w:szCs w:val="20"/>
                <w:color w:val="auto"/>
                <w:w w:val="93"/>
              </w:rPr>
              <w:t>Principal</w:t>
            </w:r>
          </w:p>
        </w:tc>
        <w:tc>
          <w:tcPr>
            <w:tcW w:w="1540" w:type="dxa"/>
            <w:vAlign w:val="bottom"/>
            <w:gridSpan w:val="9"/>
          </w:tcPr>
          <w:p>
            <w:pPr>
              <w:jc w:val="center"/>
              <w:ind w:left="21"/>
              <w:spacing w:after="0" w:line="209" w:lineRule="exact"/>
              <w:rPr>
                <w:sz w:val="20"/>
                <w:szCs w:val="20"/>
                <w:color w:val="auto"/>
              </w:rPr>
            </w:pPr>
            <w:r>
              <w:rPr>
                <w:rFonts w:ascii="Arial" w:cs="Arial" w:eastAsia="Arial" w:hAnsi="Arial"/>
                <w:sz w:val="20"/>
                <w:szCs w:val="20"/>
                <w:color w:val="auto"/>
                <w:w w:val="91"/>
              </w:rPr>
              <w:t>of Person Making</w:t>
            </w:r>
          </w:p>
        </w:tc>
      </w:tr>
      <w:tr>
        <w:trPr>
          <w:trHeight w:val="20"/>
        </w:trPr>
        <w:tc>
          <w:tcPr>
            <w:tcW w:w="38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10"/>
        </w:trPr>
        <w:tc>
          <w:tcPr>
            <w:tcW w:w="380" w:type="dxa"/>
            <w:vAlign w:val="bottom"/>
          </w:tcPr>
          <w:p>
            <w:pPr>
              <w:spacing w:after="0" w:line="209" w:lineRule="exact"/>
              <w:rPr>
                <w:sz w:val="20"/>
                <w:szCs w:val="20"/>
                <w:color w:val="auto"/>
              </w:rPr>
            </w:pPr>
            <w:r>
              <w:rPr>
                <w:rFonts w:ascii="Arial" w:cs="Arial" w:eastAsia="Arial" w:hAnsi="Arial"/>
                <w:sz w:val="20"/>
                <w:szCs w:val="20"/>
                <w:color w:val="auto"/>
                <w:w w:val="85"/>
              </w:rPr>
              <w:t>Date</w:t>
            </w:r>
          </w:p>
        </w:tc>
        <w:tc>
          <w:tcPr>
            <w:tcW w:w="580" w:type="dxa"/>
            <w:vAlign w:val="bottom"/>
          </w:tcPr>
          <w:p>
            <w:pPr>
              <w:spacing w:after="0"/>
              <w:rPr>
                <w:sz w:val="18"/>
                <w:szCs w:val="18"/>
                <w:color w:val="auto"/>
              </w:rPr>
            </w:pPr>
          </w:p>
        </w:tc>
        <w:tc>
          <w:tcPr>
            <w:tcW w:w="1880" w:type="dxa"/>
            <w:vAlign w:val="bottom"/>
            <w:gridSpan w:val="4"/>
          </w:tcPr>
          <w:p>
            <w:pPr>
              <w:spacing w:after="0" w:line="209" w:lineRule="exact"/>
              <w:rPr>
                <w:sz w:val="20"/>
                <w:szCs w:val="20"/>
                <w:color w:val="auto"/>
              </w:rPr>
            </w:pPr>
            <w:r>
              <w:rPr>
                <w:rFonts w:ascii="Arial" w:cs="Arial" w:eastAsia="Arial" w:hAnsi="Arial"/>
                <w:sz w:val="20"/>
                <w:szCs w:val="20"/>
                <w:color w:val="auto"/>
              </w:rPr>
              <w:t>Amount of Loan</w:t>
            </w:r>
          </w:p>
        </w:tc>
        <w:tc>
          <w:tcPr>
            <w:tcW w:w="1360" w:type="dxa"/>
            <w:vAlign w:val="bottom"/>
            <w:gridSpan w:val="2"/>
          </w:tcPr>
          <w:p>
            <w:pPr>
              <w:spacing w:after="0" w:line="209" w:lineRule="exact"/>
              <w:rPr>
                <w:sz w:val="20"/>
                <w:szCs w:val="20"/>
                <w:color w:val="auto"/>
              </w:rPr>
            </w:pPr>
            <w:r>
              <w:rPr>
                <w:rFonts w:ascii="Arial" w:cs="Arial" w:eastAsia="Arial" w:hAnsi="Arial"/>
                <w:sz w:val="20"/>
                <w:szCs w:val="20"/>
                <w:color w:val="auto"/>
              </w:rPr>
              <w:t>Maturity Date</w:t>
            </w:r>
          </w:p>
        </w:tc>
        <w:tc>
          <w:tcPr>
            <w:tcW w:w="2160" w:type="dxa"/>
            <w:vAlign w:val="bottom"/>
            <w:gridSpan w:val="7"/>
          </w:tcPr>
          <w:p>
            <w:pPr>
              <w:jc w:val="center"/>
              <w:ind w:right="60"/>
              <w:spacing w:after="0" w:line="209" w:lineRule="exact"/>
              <w:rPr>
                <w:sz w:val="20"/>
                <w:szCs w:val="20"/>
                <w:color w:val="auto"/>
              </w:rPr>
            </w:pPr>
            <w:r>
              <w:rPr>
                <w:rFonts w:ascii="Arial" w:cs="Arial" w:eastAsia="Arial" w:hAnsi="Arial"/>
                <w:sz w:val="20"/>
                <w:szCs w:val="20"/>
                <w:color w:val="auto"/>
                <w:w w:val="92"/>
              </w:rPr>
              <w:t>of Principal/Interest</w:t>
            </w:r>
          </w:p>
        </w:tc>
        <w:tc>
          <w:tcPr>
            <w:tcW w:w="1400" w:type="dxa"/>
            <w:vAlign w:val="bottom"/>
            <w:gridSpan w:val="6"/>
          </w:tcPr>
          <w:p>
            <w:pPr>
              <w:jc w:val="center"/>
              <w:ind w:right="120"/>
              <w:spacing w:after="0" w:line="209" w:lineRule="exact"/>
              <w:rPr>
                <w:sz w:val="20"/>
                <w:szCs w:val="20"/>
                <w:color w:val="auto"/>
              </w:rPr>
            </w:pPr>
            <w:r>
              <w:rPr>
                <w:rFonts w:ascii="Arial" w:cs="Arial" w:eastAsia="Arial" w:hAnsi="Arial"/>
                <w:sz w:val="20"/>
                <w:szCs w:val="20"/>
                <w:color w:val="auto"/>
                <w:w w:val="89"/>
              </w:rPr>
              <w:t>Balance of Note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6"/>
          </w:tcPr>
          <w:p>
            <w:pPr>
              <w:jc w:val="center"/>
              <w:ind w:right="220"/>
              <w:spacing w:after="0" w:line="209" w:lineRule="exact"/>
              <w:rPr>
                <w:sz w:val="20"/>
                <w:szCs w:val="20"/>
                <w:color w:val="auto"/>
              </w:rPr>
            </w:pPr>
            <w:r>
              <w:rPr>
                <w:rFonts w:ascii="Arial" w:cs="Arial" w:eastAsia="Arial" w:hAnsi="Arial"/>
                <w:sz w:val="20"/>
                <w:szCs w:val="20"/>
                <w:color w:val="auto"/>
                <w:w w:val="90"/>
              </w:rPr>
              <w:t>the Notation</w:t>
            </w:r>
          </w:p>
        </w:tc>
      </w:tr>
      <w:tr>
        <w:trPr>
          <w:trHeight w:val="20"/>
        </w:trPr>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44" w:name="page345"/>
    <w:bookmarkEnd w:id="344"/>
    <w:p>
      <w:pPr>
        <w:jc w:val="right"/>
        <w:spacing w:after="0"/>
        <w:rPr>
          <w:sz w:val="20"/>
          <w:szCs w:val="20"/>
          <w:color w:val="auto"/>
        </w:rPr>
      </w:pPr>
      <w:r>
        <w:rPr>
          <w:rFonts w:ascii="Arial" w:cs="Arial" w:eastAsia="Arial" w:hAnsi="Arial"/>
          <w:sz w:val="20"/>
          <w:szCs w:val="20"/>
          <w:color w:val="auto"/>
        </w:rPr>
        <w:t>EXHIBIT C-2</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LENDER: [•]</w:t>
      </w:r>
    </w:p>
    <w:p>
      <w:pPr>
        <w:jc w:val="center"/>
        <w:ind w:left="280"/>
        <w:spacing w:after="0"/>
        <w:rPr>
          <w:sz w:val="20"/>
          <w:szCs w:val="20"/>
          <w:color w:val="auto"/>
        </w:rPr>
      </w:pPr>
      <w:r>
        <w:rPr>
          <w:rFonts w:ascii="Arial" w:cs="Arial" w:eastAsia="Arial" w:hAnsi="Arial"/>
          <w:sz w:val="20"/>
          <w:szCs w:val="20"/>
          <w:b w:val="1"/>
          <w:bCs w:val="1"/>
          <w:color w:val="auto"/>
        </w:rPr>
        <w:t>[FORM OF]</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u w:val="single" w:color="auto"/>
          <w:color w:val="auto"/>
        </w:rPr>
        <w:t>[SECOND AMENDED AND RESTATED] REVOLVING CREDIT NOTE</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York, New York</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08" w:lineRule="exact"/>
        <w:rPr>
          <w:sz w:val="20"/>
          <w:szCs w:val="20"/>
          <w:color w:val="auto"/>
        </w:rPr>
      </w:pPr>
    </w:p>
    <w:p>
      <w:pPr>
        <w:jc w:val="both"/>
        <w:ind w:left="260" w:firstLine="648"/>
        <w:spacing w:after="0" w:line="271" w:lineRule="auto"/>
        <w:rPr>
          <w:sz w:val="20"/>
          <w:szCs w:val="20"/>
          <w:color w:val="auto"/>
        </w:rPr>
      </w:pPr>
      <w:r>
        <w:rPr>
          <w:rFonts w:ascii="Arial" w:cs="Arial" w:eastAsia="Arial" w:hAnsi="Arial"/>
          <w:sz w:val="18"/>
          <w:szCs w:val="18"/>
          <w:color w:val="auto"/>
        </w:rPr>
        <w:t>FOR VALUE RECEIVED, the undersigned,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and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hereby promise to pay to the Lender set forth above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in lawful money of the United States of America in immediately available funds at the Administrative Agent’s Office (such term, and each other capitalized term used but not defined herein, having the meaning assigned to it in the Amended and Restated Credit Agreement dated as of November 30, 2017 (as amended, supplemented, restated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Borrowers, the lenders from time to time party thereto and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Swing Line Lender and an L/C Issuer, (A) on the dates set forth in the Credit Agreement, the lesser of (i) the principal amount set forth above and (ii) the aggregate unpaid principal amount of all Revolving Credit Loans made by the Lender to the Borrowers pursuant to the Credit Agreement, and (B) on each Interest Payment Date, interest from the date hereof on the principal amount from time to time outstanding on each such Revolving Credit Loan at the rate or rates per annum and payable on such dates as provided in the Credit Agreement.</w:t>
      </w:r>
    </w:p>
    <w:p>
      <w:pPr>
        <w:spacing w:after="0" w:line="184"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The Borrowers promise to pay interest, on demand, on any overdue principal and, to the extent permitted by law, overdue interest from their due dates at the rate or rates provided in the Credit Agreement.</w:t>
      </w:r>
    </w:p>
    <w:p>
      <w:pPr>
        <w:spacing w:after="0" w:line="190" w:lineRule="exact"/>
        <w:rPr>
          <w:sz w:val="20"/>
          <w:szCs w:val="20"/>
          <w:color w:val="auto"/>
        </w:rPr>
      </w:pPr>
    </w:p>
    <w:p>
      <w:pPr>
        <w:jc w:val="both"/>
        <w:ind w:left="260" w:firstLine="648"/>
        <w:spacing w:after="0" w:line="386" w:lineRule="auto"/>
        <w:rPr>
          <w:sz w:val="20"/>
          <w:szCs w:val="20"/>
          <w:color w:val="auto"/>
        </w:rPr>
      </w:pPr>
      <w:r>
        <w:rPr>
          <w:rFonts w:ascii="Arial" w:cs="Arial" w:eastAsia="Arial" w:hAnsi="Arial"/>
          <w:sz w:val="16"/>
          <w:szCs w:val="16"/>
          <w:color w:val="auto"/>
        </w:rPr>
        <w:t>The Borrowers hereby waive diligence, presentment, demand, protest and notice of any kind whatsoever. The nonexercise by the holder hereof of any of its rights hereunder in any particular instance shall not constitute a waiver thereof in that or any subsequent instance.</w:t>
      </w:r>
    </w:p>
    <w:p>
      <w:pPr>
        <w:spacing w:after="0" w:line="83"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the holder hereof to make such a notation or any error in such notation shall not affect the obligations of the Borrowers under this note.</w:t>
      </w:r>
    </w:p>
    <w:p>
      <w:pPr>
        <w:spacing w:after="0" w:line="195"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This note is one of the promissory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spacing w:after="0" w:line="205" w:lineRule="exact"/>
        <w:rPr>
          <w:sz w:val="20"/>
          <w:szCs w:val="20"/>
          <w:color w:val="auto"/>
        </w:rPr>
      </w:pPr>
    </w:p>
    <w:p>
      <w:pPr>
        <w:jc w:val="both"/>
        <w:ind w:left="260" w:firstLine="648"/>
        <w:spacing w:after="0" w:line="263" w:lineRule="auto"/>
        <w:rPr>
          <w:sz w:val="20"/>
          <w:szCs w:val="20"/>
          <w:color w:val="auto"/>
        </w:rPr>
      </w:pPr>
      <w:r>
        <w:rPr>
          <w:rFonts w:ascii="Arial" w:cs="Arial" w:eastAsia="Arial" w:hAnsi="Arial"/>
          <w:sz w:val="19"/>
          <w:szCs w:val="19"/>
          <w:color w:val="auto"/>
        </w:rPr>
        <w:t>[This Second Amended and Restated Revolving Credit Note amends and restates, and supersedes and replaces, in each case in its entirety, the Amended and Restated Revolving Credit Note dated as of March 31, 2015 (the “</w:t>
      </w:r>
      <w:r>
        <w:rPr>
          <w:rFonts w:ascii="Arial" w:cs="Arial" w:eastAsia="Arial" w:hAnsi="Arial"/>
          <w:sz w:val="19"/>
          <w:szCs w:val="19"/>
          <w:u w:val="single" w:color="auto"/>
          <w:color w:val="auto"/>
        </w:rPr>
        <w:t>Original Note</w:t>
      </w:r>
      <w:r>
        <w:rPr>
          <w:rFonts w:ascii="Arial" w:cs="Arial" w:eastAsia="Arial" w:hAnsi="Arial"/>
          <w:sz w:val="19"/>
          <w:szCs w:val="19"/>
          <w:color w:val="auto"/>
        </w:rPr>
        <w:t>”) executed by OSI in favor of the Lender in connection with the Existing Credit Agreement, but no novation of the Indebtedness outstanding under the Original Note shall be deemed to have occurred by virtue of the amendment and restatement of the Original Note, and none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4"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20"/>
          <w:szCs w:val="20"/>
          <w:color w:val="auto"/>
        </w:rPr>
        <w:t>Exhibit C-2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316" w:lineRule="exact"/>
        <w:rPr>
          <w:sz w:val="20"/>
          <w:szCs w:val="20"/>
          <w:color w:val="auto"/>
        </w:rPr>
      </w:pPr>
    </w:p>
    <w:p>
      <w:pPr>
        <w:ind w:left="260" w:right="760"/>
        <w:spacing w:after="0" w:line="260" w:lineRule="auto"/>
        <w:rPr>
          <w:sz w:val="20"/>
          <w:szCs w:val="20"/>
          <w:color w:val="auto"/>
        </w:rPr>
      </w:pPr>
      <w:r>
        <w:rPr>
          <w:rFonts w:ascii="Arial" w:cs="Arial" w:eastAsia="Arial" w:hAnsi="Arial"/>
          <w:sz w:val="20"/>
          <w:szCs w:val="20"/>
          <w:color w:val="auto"/>
        </w:rPr>
        <w:t>intended or implied. By execution hereof, the Borrowers hereby confirm and reaffirm their continuing liability with respect to such Indebtedness.]</w:t>
      </w:r>
    </w:p>
    <w:p>
      <w:pPr>
        <w:spacing w:after="0" w:line="171" w:lineRule="exact"/>
        <w:rPr>
          <w:sz w:val="20"/>
          <w:szCs w:val="20"/>
          <w:color w:val="auto"/>
        </w:rPr>
      </w:pPr>
    </w:p>
    <w:p>
      <w:pPr>
        <w:ind w:left="260" w:right="220" w:firstLine="648"/>
        <w:spacing w:after="0" w:line="267" w:lineRule="auto"/>
        <w:rPr>
          <w:sz w:val="20"/>
          <w:szCs w:val="20"/>
          <w:color w:val="auto"/>
        </w:rPr>
      </w:pPr>
      <w:r>
        <w:rPr>
          <w:rFonts w:ascii="Arial" w:cs="Arial" w:eastAsia="Arial" w:hAnsi="Arial"/>
          <w:sz w:val="20"/>
          <w:szCs w:val="20"/>
          <w:b w:val="1"/>
          <w:bCs w:val="1"/>
          <w:color w:val="auto"/>
        </w:rPr>
        <w:t>THIS NOTE SHALL BE GOVERNED BY, AND CONSTRUED IN ACCORDANCE WITH, THE LAW OF THE STATE OF NEW YORK.</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46" w:name="page347"/>
    <w:bookmarkEnd w:id="346"/>
    <w:p>
      <w:pPr>
        <w:jc w:val="right"/>
        <w:spacing w:after="0"/>
        <w:rPr>
          <w:sz w:val="20"/>
          <w:szCs w:val="20"/>
          <w:color w:val="auto"/>
        </w:rPr>
      </w:pPr>
      <w:r>
        <w:rPr>
          <w:rFonts w:ascii="Arial" w:cs="Arial" w:eastAsia="Arial" w:hAnsi="Arial"/>
          <w:sz w:val="20"/>
          <w:szCs w:val="20"/>
          <w:color w:val="auto"/>
        </w:rPr>
        <w:t>Exhibit C-2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397"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OSI RESTAURANT PARTNERS, LLC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BLOOMIN’ BRANDS, INC.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47" w:name="page348"/>
    <w:bookmarkEnd w:id="347"/>
    <w:p>
      <w:pPr>
        <w:jc w:val="right"/>
        <w:spacing w:after="0"/>
        <w:rPr>
          <w:sz w:val="20"/>
          <w:szCs w:val="20"/>
          <w:color w:val="auto"/>
        </w:rPr>
      </w:pPr>
      <w:r>
        <w:rPr>
          <w:rFonts w:ascii="Arial" w:cs="Arial" w:eastAsia="Arial" w:hAnsi="Arial"/>
          <w:sz w:val="20"/>
          <w:szCs w:val="20"/>
          <w:color w:val="auto"/>
        </w:rPr>
        <w:t>Exhibit C-2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4</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C-2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4</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11"/>
          </w:tcPr>
          <w:p>
            <w:pPr>
              <w:ind w:left="180"/>
              <w:spacing w:after="0"/>
              <w:rPr>
                <w:sz w:val="20"/>
                <w:szCs w:val="20"/>
                <w:color w:val="auto"/>
              </w:rPr>
            </w:pPr>
            <w:r>
              <w:rPr>
                <w:rFonts w:ascii="Arial" w:cs="Arial" w:eastAsia="Arial" w:hAnsi="Arial"/>
                <w:sz w:val="20"/>
                <w:szCs w:val="20"/>
                <w:color w:val="auto"/>
              </w:rPr>
              <w:t>LOANS AND PAYMENTS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871"/>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jc w:val="center"/>
              <w:ind w:left="61"/>
              <w:spacing w:after="0"/>
              <w:rPr>
                <w:sz w:val="20"/>
                <w:szCs w:val="20"/>
                <w:color w:val="auto"/>
              </w:rPr>
            </w:pPr>
            <w:r>
              <w:rPr>
                <w:rFonts w:ascii="Arial" w:cs="Arial" w:eastAsia="Arial" w:hAnsi="Arial"/>
                <w:sz w:val="20"/>
                <w:szCs w:val="20"/>
                <w:color w:val="auto"/>
                <w:w w:val="88"/>
              </w:rPr>
              <w:t>Name of Person</w:t>
            </w:r>
          </w:p>
        </w:tc>
      </w:tr>
      <w:tr>
        <w:trPr>
          <w:trHeight w:val="210"/>
        </w:trPr>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line="209" w:lineRule="exact"/>
              <w:rPr>
                <w:sz w:val="20"/>
                <w:szCs w:val="20"/>
                <w:color w:val="auto"/>
              </w:rPr>
            </w:pPr>
            <w:r>
              <w:rPr>
                <w:rFonts w:ascii="Arial" w:cs="Arial" w:eastAsia="Arial" w:hAnsi="Arial"/>
                <w:sz w:val="20"/>
                <w:szCs w:val="20"/>
                <w:color w:val="auto"/>
                <w:w w:val="88"/>
              </w:rPr>
              <w:t>Payments of</w:t>
            </w: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4"/>
          </w:tcPr>
          <w:p>
            <w:pPr>
              <w:jc w:val="center"/>
              <w:ind w:right="340"/>
              <w:spacing w:after="0" w:line="209" w:lineRule="exact"/>
              <w:rPr>
                <w:sz w:val="20"/>
                <w:szCs w:val="20"/>
                <w:color w:val="auto"/>
              </w:rPr>
            </w:pPr>
            <w:r>
              <w:rPr>
                <w:rFonts w:ascii="Arial" w:cs="Arial" w:eastAsia="Arial" w:hAnsi="Arial"/>
                <w:sz w:val="20"/>
                <w:szCs w:val="20"/>
                <w:color w:val="auto"/>
                <w:w w:val="93"/>
              </w:rPr>
              <w:t>Principal</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center"/>
              <w:ind w:right="160"/>
              <w:spacing w:after="0" w:line="209" w:lineRule="exact"/>
              <w:rPr>
                <w:sz w:val="20"/>
                <w:szCs w:val="20"/>
                <w:color w:val="auto"/>
              </w:rPr>
            </w:pPr>
            <w:r>
              <w:rPr>
                <w:rFonts w:ascii="Arial" w:cs="Arial" w:eastAsia="Arial" w:hAnsi="Arial"/>
                <w:sz w:val="20"/>
                <w:szCs w:val="20"/>
                <w:color w:val="auto"/>
                <w:w w:val="96"/>
              </w:rPr>
              <w:t>Making</w:t>
            </w:r>
          </w:p>
        </w:tc>
      </w:tr>
      <w:tr>
        <w:trPr>
          <w:trHeight w:val="20"/>
        </w:trPr>
        <w:tc>
          <w:tcPr>
            <w:tcW w:w="38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0" w:type="dxa"/>
            <w:vAlign w:val="bottom"/>
          </w:tcPr>
          <w:p>
            <w:pPr>
              <w:spacing w:after="0" w:line="209" w:lineRule="exact"/>
              <w:rPr>
                <w:sz w:val="20"/>
                <w:szCs w:val="20"/>
                <w:color w:val="auto"/>
              </w:rPr>
            </w:pPr>
            <w:r>
              <w:rPr>
                <w:rFonts w:ascii="Arial" w:cs="Arial" w:eastAsia="Arial" w:hAnsi="Arial"/>
                <w:sz w:val="20"/>
                <w:szCs w:val="20"/>
                <w:color w:val="auto"/>
                <w:w w:val="85"/>
              </w:rPr>
              <w:t>Date</w:t>
            </w:r>
          </w:p>
        </w:tc>
        <w:tc>
          <w:tcPr>
            <w:tcW w:w="580" w:type="dxa"/>
            <w:vAlign w:val="bottom"/>
          </w:tcPr>
          <w:p>
            <w:pPr>
              <w:spacing w:after="0"/>
              <w:rPr>
                <w:sz w:val="18"/>
                <w:szCs w:val="18"/>
                <w:color w:val="auto"/>
              </w:rPr>
            </w:pPr>
          </w:p>
        </w:tc>
        <w:tc>
          <w:tcPr>
            <w:tcW w:w="1320" w:type="dxa"/>
            <w:vAlign w:val="bottom"/>
          </w:tcPr>
          <w:p>
            <w:pPr>
              <w:spacing w:after="0" w:line="209" w:lineRule="exact"/>
              <w:rPr>
                <w:sz w:val="20"/>
                <w:szCs w:val="20"/>
                <w:color w:val="auto"/>
              </w:rPr>
            </w:pPr>
            <w:r>
              <w:rPr>
                <w:rFonts w:ascii="Arial" w:cs="Arial" w:eastAsia="Arial" w:hAnsi="Arial"/>
                <w:sz w:val="20"/>
                <w:szCs w:val="20"/>
                <w:color w:val="auto"/>
                <w:w w:val="92"/>
              </w:rPr>
              <w:t>Amount of Loan</w:t>
            </w:r>
          </w:p>
        </w:tc>
        <w:tc>
          <w:tcPr>
            <w:tcW w:w="560" w:type="dxa"/>
            <w:vAlign w:val="bottom"/>
          </w:tcPr>
          <w:p>
            <w:pPr>
              <w:spacing w:after="0"/>
              <w:rPr>
                <w:sz w:val="18"/>
                <w:szCs w:val="18"/>
                <w:color w:val="auto"/>
              </w:rPr>
            </w:pPr>
          </w:p>
        </w:tc>
        <w:tc>
          <w:tcPr>
            <w:tcW w:w="1300" w:type="dxa"/>
            <w:vAlign w:val="bottom"/>
            <w:gridSpan w:val="2"/>
          </w:tcPr>
          <w:p>
            <w:pPr>
              <w:spacing w:after="0" w:line="209" w:lineRule="exact"/>
              <w:rPr>
                <w:sz w:val="20"/>
                <w:szCs w:val="20"/>
                <w:color w:val="auto"/>
              </w:rPr>
            </w:pPr>
            <w:r>
              <w:rPr>
                <w:rFonts w:ascii="Arial" w:cs="Arial" w:eastAsia="Arial" w:hAnsi="Arial"/>
                <w:sz w:val="20"/>
                <w:szCs w:val="20"/>
                <w:color w:val="auto"/>
              </w:rPr>
              <w:t>Maturity Date</w:t>
            </w:r>
          </w:p>
        </w:tc>
        <w:tc>
          <w:tcPr>
            <w:tcW w:w="180" w:type="dxa"/>
            <w:vAlign w:val="bottom"/>
          </w:tcPr>
          <w:p>
            <w:pPr>
              <w:spacing w:after="0"/>
              <w:rPr>
                <w:sz w:val="18"/>
                <w:szCs w:val="18"/>
                <w:color w:val="auto"/>
              </w:rPr>
            </w:pPr>
          </w:p>
        </w:tc>
        <w:tc>
          <w:tcPr>
            <w:tcW w:w="2040" w:type="dxa"/>
            <w:vAlign w:val="bottom"/>
            <w:gridSpan w:val="5"/>
          </w:tcPr>
          <w:p>
            <w:pPr>
              <w:jc w:val="center"/>
              <w:ind w:right="200"/>
              <w:spacing w:after="0" w:line="209" w:lineRule="exact"/>
              <w:rPr>
                <w:sz w:val="20"/>
                <w:szCs w:val="20"/>
                <w:color w:val="auto"/>
              </w:rPr>
            </w:pPr>
            <w:r>
              <w:rPr>
                <w:rFonts w:ascii="Arial" w:cs="Arial" w:eastAsia="Arial" w:hAnsi="Arial"/>
                <w:sz w:val="20"/>
                <w:szCs w:val="20"/>
                <w:color w:val="auto"/>
                <w:w w:val="91"/>
              </w:rPr>
              <w:t>Principal/Interest</w:t>
            </w:r>
          </w:p>
        </w:tc>
        <w:tc>
          <w:tcPr>
            <w:tcW w:w="1440" w:type="dxa"/>
            <w:vAlign w:val="bottom"/>
            <w:gridSpan w:val="5"/>
          </w:tcPr>
          <w:p>
            <w:pPr>
              <w:jc w:val="center"/>
              <w:ind w:right="160"/>
              <w:spacing w:after="0" w:line="209" w:lineRule="exact"/>
              <w:rPr>
                <w:sz w:val="20"/>
                <w:szCs w:val="20"/>
                <w:color w:val="auto"/>
              </w:rPr>
            </w:pPr>
            <w:r>
              <w:rPr>
                <w:rFonts w:ascii="Arial" w:cs="Arial" w:eastAsia="Arial" w:hAnsi="Arial"/>
                <w:sz w:val="20"/>
                <w:szCs w:val="20"/>
                <w:color w:val="auto"/>
                <w:w w:val="89"/>
              </w:rPr>
              <w:t>Balance of Note</w:t>
            </w:r>
          </w:p>
        </w:tc>
        <w:tc>
          <w:tcPr>
            <w:tcW w:w="160" w:type="dxa"/>
            <w:vAlign w:val="bottom"/>
          </w:tcPr>
          <w:p>
            <w:pPr>
              <w:spacing w:after="0"/>
              <w:rPr>
                <w:sz w:val="18"/>
                <w:szCs w:val="18"/>
                <w:color w:val="auto"/>
              </w:rPr>
            </w:pPr>
          </w:p>
        </w:tc>
        <w:tc>
          <w:tcPr>
            <w:tcW w:w="1280" w:type="dxa"/>
            <w:vAlign w:val="bottom"/>
            <w:gridSpan w:val="5"/>
          </w:tcPr>
          <w:p>
            <w:pPr>
              <w:jc w:val="center"/>
              <w:ind w:right="20"/>
              <w:spacing w:after="0" w:line="209" w:lineRule="exact"/>
              <w:rPr>
                <w:sz w:val="20"/>
                <w:szCs w:val="20"/>
                <w:color w:val="auto"/>
              </w:rPr>
            </w:pPr>
            <w:r>
              <w:rPr>
                <w:rFonts w:ascii="Arial" w:cs="Arial" w:eastAsia="Arial" w:hAnsi="Arial"/>
                <w:sz w:val="20"/>
                <w:szCs w:val="20"/>
                <w:color w:val="auto"/>
                <w:w w:val="90"/>
              </w:rPr>
              <w:t>the Notation</w:t>
            </w:r>
          </w:p>
        </w:tc>
      </w:tr>
      <w:tr>
        <w:trPr>
          <w:trHeight w:val="20"/>
        </w:trPr>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48" w:name="page349"/>
    <w:bookmarkEnd w:id="348"/>
    <w:p>
      <w:pPr>
        <w:jc w:val="right"/>
        <w:spacing w:after="0"/>
        <w:rPr>
          <w:sz w:val="20"/>
          <w:szCs w:val="20"/>
          <w:color w:val="auto"/>
        </w:rPr>
      </w:pPr>
      <w:r>
        <w:rPr>
          <w:rFonts w:ascii="Arial" w:cs="Arial" w:eastAsia="Arial" w:hAnsi="Arial"/>
          <w:sz w:val="20"/>
          <w:szCs w:val="20"/>
          <w:color w:val="auto"/>
        </w:rPr>
        <w:t>EXHIBIT C-3</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LENDER: </w:t>
      </w:r>
      <w:r>
        <w:rPr>
          <w:rFonts w:ascii="Arial" w:cs="Arial" w:eastAsia="Arial" w:hAnsi="Arial"/>
          <w:sz w:val="20"/>
          <w:szCs w:val="20"/>
          <w:b w:val="1"/>
          <w:bCs w:val="1"/>
          <w:color w:val="auto"/>
        </w:rPr>
        <w:t>WELLS FARGO BANK, NATIONAL ASSOCIATION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AMENDED AND RESTATED SWING LINE NOTE</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jc w:val="both"/>
        <w:ind w:left="260" w:firstLine="648"/>
        <w:spacing w:after="0" w:line="271" w:lineRule="auto"/>
        <w:rPr>
          <w:sz w:val="20"/>
          <w:szCs w:val="20"/>
          <w:color w:val="auto"/>
        </w:rPr>
      </w:pPr>
      <w:r>
        <w:rPr>
          <w:rFonts w:ascii="Arial" w:cs="Arial" w:eastAsia="Arial" w:hAnsi="Arial"/>
          <w:sz w:val="18"/>
          <w:szCs w:val="18"/>
          <w:color w:val="auto"/>
        </w:rPr>
        <w:t>FOR VALUE RECEIVED, the undersigned,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and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hereby promise to pay to the Lender set forth above (the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in lawful money of the United States of America in immediately available funds at the Administrative Agent’s Office (such term, and each other capitalized term used but not defined herein, having the meaning assigned to it in the Amended and Restated Credit Agreement dated as of November 30, 2017 (as amended, supplemented, restated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Borrowers, the lenders from time to time party thereto and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Swing Line Lender and an L/C Issuer, (A) on the dates set forth in the Credit Agreement, the lesser of (i) the principal amount set forth above and (ii) the aggregate unpaid principal amount of all Swing Line Loans made by the Lender to the Borrowers pursuant to the Credit Agreement, and (B) on each Interest Payment Date, interest from the date hereof on the principal amount from time to time outstanding on each such Swing Line Loan at the rate or rates per annum and payable on such dates as provided in the Credit Agreement.</w:t>
      </w:r>
    </w:p>
    <w:p>
      <w:pPr>
        <w:spacing w:after="0" w:line="184"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The Borrowers promise to pay interest, on demand, on any overdue principal and, to the extent permitted by law, overdue interest from their due dates at a rate or rates provided in the Credit Agreement.</w:t>
      </w:r>
    </w:p>
    <w:p>
      <w:pPr>
        <w:spacing w:after="0" w:line="190" w:lineRule="exact"/>
        <w:rPr>
          <w:sz w:val="20"/>
          <w:szCs w:val="20"/>
          <w:color w:val="auto"/>
        </w:rPr>
      </w:pPr>
    </w:p>
    <w:p>
      <w:pPr>
        <w:jc w:val="both"/>
        <w:ind w:left="260" w:firstLine="648"/>
        <w:spacing w:after="0" w:line="386" w:lineRule="auto"/>
        <w:rPr>
          <w:sz w:val="20"/>
          <w:szCs w:val="20"/>
          <w:color w:val="auto"/>
        </w:rPr>
      </w:pPr>
      <w:r>
        <w:rPr>
          <w:rFonts w:ascii="Arial" w:cs="Arial" w:eastAsia="Arial" w:hAnsi="Arial"/>
          <w:sz w:val="16"/>
          <w:szCs w:val="16"/>
          <w:color w:val="auto"/>
        </w:rPr>
        <w:t>The Borrowers hereby waive diligence, presentment, demand, protest and notice of any kind whatsoever. The nonexercise by the holder hereof of any of its rights hereunder in any particular instance shall not constitute a waiver thereof in that or any subsequent instance.</w:t>
      </w:r>
    </w:p>
    <w:p>
      <w:pPr>
        <w:spacing w:after="0" w:line="83"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 xml:space="preserve">All borrowings evidenced by this note and all payments and prepayments of the principal hereof and interest hereon and the respective dates thereof shall be endorsed by the holder hereof on the schedule attached hereto and made a part hereof or on a continuation thereof which shall be attached hereto and made a part hereof, or otherwise recorded by such holder in its internal records;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the holder hereof to make such a notation or any error in such notation shall not affect the obligations of the Borrowers under this note.</w:t>
      </w:r>
    </w:p>
    <w:p>
      <w:pPr>
        <w:spacing w:after="0" w:line="195"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This note is one of the promissory notes referred to in the Credit Agreement that, among other things, contains provisions for the acceleration of the maturity hereof upon the happening of certain events, for optional and mandatory prepayment of the principal hereof prior to the maturity hereof and for the amendment or waiver of certain provisions of the Credit Agreement, all upon the terms and conditions therein specified.</w:t>
      </w:r>
    </w:p>
    <w:p>
      <w:pPr>
        <w:spacing w:after="0" w:line="205"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This Amended and Restated Swing Line Note amends and restates, and supersedes and replaces, in each case in its entirety, the Swing Line Note dated as of May 16, 2014 (the “</w:t>
      </w:r>
      <w:r>
        <w:rPr>
          <w:rFonts w:ascii="Arial" w:cs="Arial" w:eastAsia="Arial" w:hAnsi="Arial"/>
          <w:sz w:val="20"/>
          <w:szCs w:val="20"/>
          <w:u w:val="single" w:color="auto"/>
          <w:color w:val="auto"/>
        </w:rPr>
        <w:t>Original Note</w:t>
      </w:r>
      <w:r>
        <w:rPr>
          <w:rFonts w:ascii="Arial" w:cs="Arial" w:eastAsia="Arial" w:hAnsi="Arial"/>
          <w:sz w:val="20"/>
          <w:szCs w:val="20"/>
          <w:color w:val="auto"/>
        </w:rPr>
        <w:t>”) executed by OSI in favor of the Lender in connection with the Existing Credit Agreement, but no novation of the Indebtedness outstanding under the Original Note shall be deemed to have occurred by virtue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20"/>
          <w:szCs w:val="20"/>
          <w:color w:val="auto"/>
        </w:rPr>
        <w:t>Exhibit C-3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316" w:lineRule="exact"/>
        <w:rPr>
          <w:sz w:val="20"/>
          <w:szCs w:val="20"/>
          <w:color w:val="auto"/>
        </w:rPr>
      </w:pPr>
    </w:p>
    <w:p>
      <w:pPr>
        <w:ind w:left="260" w:right="140"/>
        <w:spacing w:after="0" w:line="260" w:lineRule="auto"/>
        <w:rPr>
          <w:sz w:val="20"/>
          <w:szCs w:val="20"/>
          <w:color w:val="auto"/>
        </w:rPr>
      </w:pPr>
      <w:r>
        <w:rPr>
          <w:rFonts w:ascii="Arial" w:cs="Arial" w:eastAsia="Arial" w:hAnsi="Arial"/>
          <w:sz w:val="20"/>
          <w:szCs w:val="20"/>
          <w:color w:val="auto"/>
        </w:rPr>
        <w:t>amendment and restatement of the Original Note, and none is intended or implied. By execution hereof, the Borrowers hereby confirm and reaffirm their continuing liability with respect to such Indebtedness.</w:t>
      </w:r>
    </w:p>
    <w:p>
      <w:pPr>
        <w:spacing w:after="0" w:line="171" w:lineRule="exact"/>
        <w:rPr>
          <w:sz w:val="20"/>
          <w:szCs w:val="20"/>
          <w:color w:val="auto"/>
        </w:rPr>
      </w:pPr>
    </w:p>
    <w:p>
      <w:pPr>
        <w:ind w:left="260" w:right="220" w:firstLine="648"/>
        <w:spacing w:after="0" w:line="267" w:lineRule="auto"/>
        <w:rPr>
          <w:sz w:val="20"/>
          <w:szCs w:val="20"/>
          <w:color w:val="auto"/>
        </w:rPr>
      </w:pPr>
      <w:r>
        <w:rPr>
          <w:rFonts w:ascii="Arial" w:cs="Arial" w:eastAsia="Arial" w:hAnsi="Arial"/>
          <w:sz w:val="20"/>
          <w:szCs w:val="20"/>
          <w:b w:val="1"/>
          <w:bCs w:val="1"/>
          <w:color w:val="auto"/>
        </w:rPr>
        <w:t>THIS NOTE SHALL BE GOVERNED BY, AND CONSTRUED IN ACCORDANCE WITH, THE LAW OF THE STATE OF NEW YORK.</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20"/>
          <w:szCs w:val="20"/>
          <w:color w:val="auto"/>
        </w:rPr>
        <w:t>Exhibit C-3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397"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OSI RESTAURANT PARTNERS, LLC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BLOOMIN’ BRANDS, INC.</w:t>
      </w:r>
    </w:p>
    <w:p>
      <w:pPr>
        <w:spacing w:after="0" w:line="378" w:lineRule="exact"/>
        <w:rPr>
          <w:sz w:val="20"/>
          <w:szCs w:val="20"/>
          <w:color w:val="auto"/>
        </w:rPr>
      </w:pPr>
    </w:p>
    <w:p>
      <w:pPr>
        <w:jc w:val="right"/>
        <w:ind w:right="42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27305</wp:posOffset>
            </wp:positionV>
            <wp:extent cx="2701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50"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4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20"/>
          <w:szCs w:val="20"/>
          <w:color w:val="auto"/>
        </w:rPr>
        <w:t>Exhibit C-3</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4</w:t>
      </w:r>
    </w:p>
    <w:p>
      <w:pPr>
        <w:spacing w:after="0" w:line="316" w:lineRule="exact"/>
        <w:rPr>
          <w:sz w:val="20"/>
          <w:szCs w:val="20"/>
          <w:color w:val="auto"/>
        </w:rPr>
      </w:pPr>
    </w:p>
    <w:p>
      <w:pPr>
        <w:ind w:left="5220"/>
        <w:spacing w:after="0"/>
        <w:rPr>
          <w:sz w:val="20"/>
          <w:szCs w:val="20"/>
          <w:color w:val="auto"/>
        </w:rPr>
      </w:pPr>
      <w:r>
        <w:rPr>
          <w:rFonts w:ascii="Arial" w:cs="Arial" w:eastAsia="Arial" w:hAnsi="Arial"/>
          <w:sz w:val="20"/>
          <w:szCs w:val="20"/>
          <w:u w:val="single" w:color="auto"/>
          <w:color w:val="auto"/>
        </w:rPr>
        <w:t>LOANS AND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5"/>
          </w:tcPr>
          <w:p>
            <w:pPr>
              <w:jc w:val="center"/>
              <w:ind w:right="180"/>
              <w:spacing w:after="0"/>
              <w:rPr>
                <w:sz w:val="20"/>
                <w:szCs w:val="20"/>
                <w:color w:val="auto"/>
              </w:rPr>
            </w:pPr>
            <w:r>
              <w:rPr>
                <w:rFonts w:ascii="Arial" w:cs="Arial" w:eastAsia="Arial" w:hAnsi="Arial"/>
                <w:sz w:val="20"/>
                <w:szCs w:val="20"/>
                <w:color w:val="auto"/>
                <w:w w:val="93"/>
              </w:rPr>
              <w:t>Principal</w:t>
            </w:r>
          </w:p>
        </w:tc>
        <w:tc>
          <w:tcPr>
            <w:tcW w:w="1400" w:type="dxa"/>
            <w:vAlign w:val="bottom"/>
            <w:gridSpan w:val="6"/>
          </w:tcPr>
          <w:p>
            <w:pPr>
              <w:jc w:val="center"/>
              <w:ind w:left="21"/>
              <w:spacing w:after="0"/>
              <w:rPr>
                <w:sz w:val="20"/>
                <w:szCs w:val="20"/>
                <w:color w:val="auto"/>
              </w:rPr>
            </w:pPr>
            <w:r>
              <w:rPr>
                <w:rFonts w:ascii="Arial" w:cs="Arial" w:eastAsia="Arial" w:hAnsi="Arial"/>
                <w:sz w:val="20"/>
                <w:szCs w:val="20"/>
                <w:color w:val="auto"/>
                <w:w w:val="88"/>
              </w:rPr>
              <w:t>Name of Person</w:t>
            </w: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center"/>
              <w:ind w:right="360"/>
              <w:spacing w:after="0" w:line="209" w:lineRule="exact"/>
              <w:rPr>
                <w:sz w:val="20"/>
                <w:szCs w:val="20"/>
                <w:color w:val="auto"/>
              </w:rPr>
            </w:pPr>
            <w:r>
              <w:rPr>
                <w:rFonts w:ascii="Arial" w:cs="Arial" w:eastAsia="Arial" w:hAnsi="Arial"/>
                <w:sz w:val="20"/>
                <w:szCs w:val="20"/>
                <w:color w:val="auto"/>
                <w:w w:val="88"/>
              </w:rPr>
              <w:t>Payments of</w:t>
            </w:r>
          </w:p>
        </w:tc>
        <w:tc>
          <w:tcPr>
            <w:tcW w:w="1140" w:type="dxa"/>
            <w:vAlign w:val="bottom"/>
            <w:gridSpan w:val="6"/>
          </w:tcPr>
          <w:p>
            <w:pPr>
              <w:jc w:val="center"/>
              <w:spacing w:after="0" w:line="209" w:lineRule="exact"/>
              <w:rPr>
                <w:sz w:val="20"/>
                <w:szCs w:val="20"/>
                <w:color w:val="auto"/>
              </w:rPr>
            </w:pPr>
            <w:r>
              <w:rPr>
                <w:rFonts w:ascii="Arial" w:cs="Arial" w:eastAsia="Arial" w:hAnsi="Arial"/>
                <w:sz w:val="20"/>
                <w:szCs w:val="20"/>
                <w:color w:val="auto"/>
                <w:w w:val="90"/>
              </w:rPr>
              <w:t>Balance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center"/>
              <w:ind w:right="140"/>
              <w:spacing w:after="0" w:line="209" w:lineRule="exact"/>
              <w:rPr>
                <w:sz w:val="20"/>
                <w:szCs w:val="20"/>
                <w:color w:val="auto"/>
              </w:rPr>
            </w:pPr>
            <w:r>
              <w:rPr>
                <w:rFonts w:ascii="Arial" w:cs="Arial" w:eastAsia="Arial" w:hAnsi="Arial"/>
                <w:sz w:val="20"/>
                <w:szCs w:val="20"/>
                <w:color w:val="auto"/>
                <w:w w:val="96"/>
              </w:rPr>
              <w:t>Making</w:t>
            </w:r>
          </w:p>
        </w:tc>
      </w:tr>
      <w:tr>
        <w:trPr>
          <w:trHeight w:val="20"/>
        </w:trPr>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80" w:type="dxa"/>
            <w:vAlign w:val="bottom"/>
          </w:tcPr>
          <w:p>
            <w:pPr>
              <w:spacing w:after="0" w:line="209" w:lineRule="exact"/>
              <w:rPr>
                <w:sz w:val="20"/>
                <w:szCs w:val="20"/>
                <w:color w:val="auto"/>
              </w:rPr>
            </w:pPr>
            <w:r>
              <w:rPr>
                <w:rFonts w:ascii="Arial" w:cs="Arial" w:eastAsia="Arial" w:hAnsi="Arial"/>
                <w:sz w:val="20"/>
                <w:szCs w:val="20"/>
                <w:color w:val="auto"/>
                <w:w w:val="85"/>
              </w:rPr>
              <w:t>Date</w:t>
            </w:r>
          </w:p>
        </w:tc>
        <w:tc>
          <w:tcPr>
            <w:tcW w:w="320" w:type="dxa"/>
            <w:vAlign w:val="bottom"/>
          </w:tcPr>
          <w:p>
            <w:pPr>
              <w:spacing w:after="0"/>
              <w:rPr>
                <w:sz w:val="18"/>
                <w:szCs w:val="18"/>
                <w:color w:val="auto"/>
              </w:rPr>
            </w:pPr>
          </w:p>
        </w:tc>
        <w:tc>
          <w:tcPr>
            <w:tcW w:w="2800" w:type="dxa"/>
            <w:vAlign w:val="bottom"/>
            <w:gridSpan w:val="4"/>
          </w:tcPr>
          <w:p>
            <w:pPr>
              <w:spacing w:after="0" w:line="209" w:lineRule="exact"/>
              <w:rPr>
                <w:sz w:val="20"/>
                <w:szCs w:val="20"/>
                <w:color w:val="auto"/>
              </w:rPr>
            </w:pPr>
            <w:r>
              <w:rPr>
                <w:rFonts w:ascii="Arial" w:cs="Arial" w:eastAsia="Arial" w:hAnsi="Arial"/>
                <w:sz w:val="20"/>
                <w:szCs w:val="20"/>
                <w:color w:val="auto"/>
              </w:rPr>
              <w:t>Amount of Loan  Maturity Date</w:t>
            </w:r>
          </w:p>
        </w:tc>
        <w:tc>
          <w:tcPr>
            <w:tcW w:w="1700" w:type="dxa"/>
            <w:vAlign w:val="bottom"/>
            <w:gridSpan w:val="5"/>
          </w:tcPr>
          <w:p>
            <w:pPr>
              <w:jc w:val="center"/>
              <w:spacing w:after="0" w:line="209" w:lineRule="exact"/>
              <w:rPr>
                <w:sz w:val="20"/>
                <w:szCs w:val="20"/>
                <w:color w:val="auto"/>
              </w:rPr>
            </w:pPr>
            <w:r>
              <w:rPr>
                <w:rFonts w:ascii="Arial" w:cs="Arial" w:eastAsia="Arial" w:hAnsi="Arial"/>
                <w:sz w:val="20"/>
                <w:szCs w:val="20"/>
                <w:color w:val="auto"/>
                <w:w w:val="91"/>
              </w:rPr>
              <w:t>Principal/Interest</w:t>
            </w:r>
          </w:p>
        </w:tc>
        <w:tc>
          <w:tcPr>
            <w:tcW w:w="240" w:type="dxa"/>
            <w:vAlign w:val="bottom"/>
          </w:tcPr>
          <w:p>
            <w:pPr>
              <w:spacing w:after="0"/>
              <w:rPr>
                <w:sz w:val="18"/>
                <w:szCs w:val="18"/>
                <w:color w:val="auto"/>
              </w:rPr>
            </w:pPr>
          </w:p>
        </w:tc>
        <w:tc>
          <w:tcPr>
            <w:tcW w:w="900" w:type="dxa"/>
            <w:vAlign w:val="bottom"/>
            <w:gridSpan w:val="5"/>
          </w:tcPr>
          <w:p>
            <w:pPr>
              <w:jc w:val="center"/>
              <w:ind w:right="160"/>
              <w:spacing w:after="0" w:line="209" w:lineRule="exact"/>
              <w:rPr>
                <w:sz w:val="20"/>
                <w:szCs w:val="20"/>
                <w:color w:val="auto"/>
              </w:rPr>
            </w:pPr>
            <w:r>
              <w:rPr>
                <w:rFonts w:ascii="Arial" w:cs="Arial" w:eastAsia="Arial" w:hAnsi="Arial"/>
                <w:sz w:val="20"/>
                <w:szCs w:val="20"/>
                <w:color w:val="auto"/>
                <w:w w:val="89"/>
              </w:rPr>
              <w:t>Note</w:t>
            </w:r>
          </w:p>
        </w:tc>
        <w:tc>
          <w:tcPr>
            <w:tcW w:w="120" w:type="dxa"/>
            <w:vAlign w:val="bottom"/>
          </w:tcPr>
          <w:p>
            <w:pPr>
              <w:spacing w:after="0"/>
              <w:rPr>
                <w:sz w:val="18"/>
                <w:szCs w:val="18"/>
                <w:color w:val="auto"/>
              </w:rPr>
            </w:pPr>
          </w:p>
        </w:tc>
        <w:tc>
          <w:tcPr>
            <w:tcW w:w="1280" w:type="dxa"/>
            <w:vAlign w:val="bottom"/>
            <w:gridSpan w:val="5"/>
          </w:tcPr>
          <w:p>
            <w:pPr>
              <w:jc w:val="center"/>
              <w:spacing w:after="0" w:line="209" w:lineRule="exact"/>
              <w:rPr>
                <w:sz w:val="20"/>
                <w:szCs w:val="20"/>
                <w:color w:val="auto"/>
              </w:rPr>
            </w:pPr>
            <w:r>
              <w:rPr>
                <w:rFonts w:ascii="Arial" w:cs="Arial" w:eastAsia="Arial" w:hAnsi="Arial"/>
                <w:sz w:val="20"/>
                <w:szCs w:val="20"/>
                <w:color w:val="auto"/>
                <w:w w:val="90"/>
              </w:rPr>
              <w:t>the Notation</w:t>
            </w:r>
          </w:p>
        </w:tc>
      </w:tr>
      <w:tr>
        <w:trPr>
          <w:trHeight w:val="20"/>
        </w:trPr>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20"/>
          <w:szCs w:val="20"/>
          <w:u w:val="single" w:color="auto"/>
          <w:color w:val="auto"/>
        </w:rPr>
        <w:t>EXHIBIT D</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COMPLIANCE CERTIFICATE</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Reference is made to the Amended and Restated Credit Agreement dated as of November 30, 2017</w:t>
      </w:r>
    </w:p>
    <w:p>
      <w:pPr>
        <w:spacing w:after="0" w:line="16" w:lineRule="exact"/>
        <w:rPr>
          <w:sz w:val="20"/>
          <w:szCs w:val="20"/>
          <w:color w:val="auto"/>
        </w:rPr>
      </w:pPr>
    </w:p>
    <w:p>
      <w:pPr>
        <w:jc w:val="both"/>
        <w:ind w:left="260"/>
        <w:spacing w:after="0"/>
        <w:rPr>
          <w:sz w:val="20"/>
          <w:szCs w:val="20"/>
          <w:color w:val="auto"/>
        </w:rPr>
      </w:pPr>
      <w:r>
        <w:rPr>
          <w:rFonts w:ascii="Arial" w:cs="Arial" w:eastAsia="Arial" w:hAnsi="Arial"/>
          <w:sz w:val="20"/>
          <w:szCs w:val="20"/>
          <w:color w:val="auto"/>
        </w:rPr>
        <w:t>(as amended, supplemented, restated and/or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Wells Fargo Bank, National Association, as Administrative Agent (in such capacity,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 xml:space="preserve">”), Swing Line Lender and an L/C Issuer (capitalized terms used herein have the meanings attributed thereto in the Credit Agreement unless otherwise defined herein). Pursuant to </w:t>
      </w:r>
      <w:r>
        <w:rPr>
          <w:rFonts w:ascii="Arial" w:cs="Arial" w:eastAsia="Arial" w:hAnsi="Arial"/>
          <w:sz w:val="20"/>
          <w:szCs w:val="20"/>
          <w:u w:val="single" w:color="auto"/>
          <w:color w:val="auto"/>
        </w:rPr>
        <w:t>Section 6.02(b)</w:t>
      </w:r>
      <w:r>
        <w:rPr>
          <w:rFonts w:ascii="Arial" w:cs="Arial" w:eastAsia="Arial" w:hAnsi="Arial"/>
          <w:sz w:val="20"/>
          <w:szCs w:val="20"/>
          <w:color w:val="auto"/>
        </w:rPr>
        <w:t xml:space="preserve"> of the Credit Agreement, the undersigned, in his/her capacity as a Responsible Officer of the Company, certifies as follows:</w:t>
      </w:r>
    </w:p>
    <w:p>
      <w:pPr>
        <w:spacing w:after="0" w:line="198" w:lineRule="exact"/>
        <w:rPr>
          <w:sz w:val="20"/>
          <w:szCs w:val="20"/>
          <w:color w:val="auto"/>
        </w:rPr>
      </w:pPr>
    </w:p>
    <w:p>
      <w:pPr>
        <w:ind w:left="1520" w:hanging="641"/>
        <w:spacing w:after="0"/>
        <w:tabs>
          <w:tab w:leader="none" w:pos="15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the audited consolidated balance sheet of the Company and its Subsidiaries as of December</w:t>
      </w:r>
    </w:p>
    <w:p>
      <w:pPr>
        <w:spacing w:after="0" w:line="62" w:lineRule="exact"/>
        <w:rPr>
          <w:sz w:val="20"/>
          <w:szCs w:val="20"/>
          <w:color w:val="auto"/>
        </w:rPr>
      </w:pPr>
    </w:p>
    <w:p>
      <w:pPr>
        <w:jc w:val="both"/>
        <w:ind w:left="1520"/>
        <w:spacing w:after="0" w:line="255" w:lineRule="auto"/>
        <w:rPr>
          <w:sz w:val="20"/>
          <w:szCs w:val="20"/>
          <w:color w:val="auto"/>
        </w:rPr>
      </w:pPr>
      <w:r>
        <w:rPr>
          <w:rFonts w:ascii="Arial" w:cs="Arial" w:eastAsia="Arial" w:hAnsi="Arial"/>
          <w:sz w:val="19"/>
          <w:szCs w:val="19"/>
          <w:color w:val="auto"/>
        </w:rPr>
        <w:t>31, 20[ ] and related consolidated statements of income or operations, stockholders’ equity and cash flows for the fiscal year then ended, setting forth in each case in comparative form the figures for the previous fiscal year, all in reasonable detail and prepared in accordance with GAAP, audited and accompanied by a report and opinion of [ ], prepared in accordance with [Public Company Oversight Board] [American Institute of Certified Public Accountants] auditing standards and not subject to any “going concern” or like qualification or exception or any qualification or exception as to the scope of such audit (except as may be required as a result of (x) a prospective Event of Default with respect to the Financial Covenant or (y) the impending maturity of the Loans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-619125</wp:posOffset>
            </wp:positionV>
            <wp:extent cx="1657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spacing w:after="0" w:line="176" w:lineRule="exact"/>
        <w:rPr>
          <w:sz w:val="20"/>
          <w:szCs w:val="20"/>
          <w:color w:val="auto"/>
        </w:rPr>
      </w:pPr>
    </w:p>
    <w:p>
      <w:pPr>
        <w:ind w:left="880"/>
        <w:spacing w:after="0"/>
        <w:tabs>
          <w:tab w:leader="none" w:pos="1500" w:val="left"/>
          <w:tab w:leader="none" w:pos="106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the consolidated balance sheet of the Company and its Subsidiaries as of [</w:t>
      </w:r>
      <w:r>
        <w:rPr>
          <w:sz w:val="20"/>
          <w:szCs w:val="20"/>
          <w:color w:val="auto"/>
        </w:rPr>
        <w:tab/>
      </w:r>
      <w:r>
        <w:rPr>
          <w:rFonts w:ascii="Arial" w:cs="Arial" w:eastAsia="Arial" w:hAnsi="Arial"/>
          <w:sz w:val="19"/>
          <w:szCs w:val="19"/>
          <w:color w:val="auto"/>
        </w:rPr>
        <w: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-14605</wp:posOffset>
            </wp:positionV>
            <wp:extent cx="2254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225425" cy="8890"/>
                    </a:xfrm>
                    <a:prstGeom prst="rect">
                      <a:avLst/>
                    </a:prstGeom>
                    <a:noFill/>
                  </pic:spPr>
                </pic:pic>
              </a:graphicData>
            </a:graphic>
          </wp:anchor>
        </w:drawing>
      </w:r>
    </w:p>
    <w:p>
      <w:pPr>
        <w:jc w:val="both"/>
        <w:ind w:left="1520"/>
        <w:spacing w:after="0" w:line="255" w:lineRule="auto"/>
        <w:rPr>
          <w:sz w:val="20"/>
          <w:szCs w:val="20"/>
          <w:color w:val="auto"/>
        </w:rPr>
      </w:pPr>
      <w:r>
        <w:rPr>
          <w:rFonts w:ascii="Arial" w:cs="Arial" w:eastAsia="Arial" w:hAnsi="Arial"/>
          <w:sz w:val="19"/>
          <w:szCs w:val="19"/>
          <w:color w:val="auto"/>
        </w:rPr>
        <w:t>related (i) consolidated statements of income or operations for such fiscal quarter and for the portion of the fiscal year then ended and (ii)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These present fairly in all material respects the financial condition, results of operations, stockholders’ equity and cash flows of the Company and its Subsidiaries in accordance with GAAP, subject only to normal year-end audit adjustments and the absence of footnotes.]</w:t>
      </w:r>
    </w:p>
    <w:p>
      <w:pPr>
        <w:spacing w:after="0" w:line="198" w:lineRule="exact"/>
        <w:rPr>
          <w:sz w:val="20"/>
          <w:szCs w:val="20"/>
          <w:color w:val="auto"/>
        </w:rPr>
      </w:pPr>
    </w:p>
    <w:p>
      <w:pPr>
        <w:ind w:left="1520" w:hanging="641"/>
        <w:spacing w:after="0"/>
        <w:tabs>
          <w:tab w:leader="none" w:pos="15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To my knowledge, except as otherwise disclosed to the Administrative Agent in writing pursuant to the Credit Agreement,</w:t>
      </w:r>
    </w:p>
    <w:p>
      <w:pPr>
        <w:spacing w:after="0" w:line="39" w:lineRule="exact"/>
        <w:rPr>
          <w:sz w:val="20"/>
          <w:szCs w:val="20"/>
          <w:color w:val="auto"/>
        </w:rPr>
      </w:pPr>
    </w:p>
    <w:p>
      <w:pPr>
        <w:jc w:val="both"/>
        <w:ind w:left="1520"/>
        <w:spacing w:after="0" w:line="241" w:lineRule="auto"/>
        <w:rPr>
          <w:sz w:val="20"/>
          <w:szCs w:val="20"/>
          <w:color w:val="auto"/>
        </w:rPr>
      </w:pPr>
      <w:r>
        <w:rPr>
          <w:rFonts w:ascii="Arial" w:cs="Arial" w:eastAsia="Arial" w:hAnsi="Arial"/>
          <w:sz w:val="20"/>
          <w:szCs w:val="20"/>
          <w:color w:val="auto"/>
        </w:rPr>
        <w:t>at no time during the period between [ ] and [ ] (the “</w:t>
      </w:r>
      <w:r>
        <w:rPr>
          <w:rFonts w:ascii="Arial" w:cs="Arial" w:eastAsia="Arial" w:hAnsi="Arial"/>
          <w:sz w:val="20"/>
          <w:szCs w:val="20"/>
          <w:u w:val="single" w:color="auto"/>
          <w:color w:val="auto"/>
        </w:rPr>
        <w:t>Certificate Period</w:t>
      </w:r>
      <w:r>
        <w:rPr>
          <w:rFonts w:ascii="Arial" w:cs="Arial" w:eastAsia="Arial" w:hAnsi="Arial"/>
          <w:sz w:val="20"/>
          <w:szCs w:val="20"/>
          <w:color w:val="auto"/>
        </w:rPr>
        <w:t xml:space="preserve">”) did a Default or an Event of Default exist. [If unable to provide the foregoing certification, fully describe the reasons therefor and circumstances thereof and any action taken or proposed to be taken with respect thereto on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-318770</wp:posOffset>
            </wp:positionV>
            <wp:extent cx="1657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165735" cy="889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-318770</wp:posOffset>
            </wp:positionV>
            <wp:extent cx="1657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spacing w:after="0" w:line="163" w:lineRule="exact"/>
        <w:rPr>
          <w:sz w:val="20"/>
          <w:szCs w:val="20"/>
          <w:color w:val="auto"/>
        </w:rPr>
      </w:pPr>
    </w:p>
    <w:p>
      <w:pPr>
        <w:ind w:left="1520" w:hanging="641"/>
        <w:spacing w:after="0" w:line="260" w:lineRule="auto"/>
        <w:tabs>
          <w:tab w:leader="none" w:pos="152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The following represent true and accurate calculations, as of the last day of the Certificate Period, to be used to determine whether the Company is in compliance with the Financial Covenant:</w:t>
      </w:r>
    </w:p>
    <w:p>
      <w:pPr>
        <w:spacing w:after="0" w:line="190" w:lineRule="exact"/>
        <w:rPr>
          <w:sz w:val="20"/>
          <w:szCs w:val="20"/>
          <w:color w:val="auto"/>
        </w:rPr>
      </w:pPr>
    </w:p>
    <w:p>
      <w:pPr>
        <w:ind w:left="2200" w:right="6980" w:hanging="672"/>
        <w:spacing w:after="0" w:line="275" w:lineRule="auto"/>
        <w:tabs>
          <w:tab w:leader="none" w:pos="236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Total Net Leverage Ratio: Consolidated= [ ]</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249" w:lineRule="exact"/>
        <w:rPr>
          <w:sz w:val="20"/>
          <w:szCs w:val="20"/>
          <w:color w:val="auto"/>
        </w:rPr>
      </w:pPr>
    </w:p>
    <w:p>
      <w:pPr>
        <w:ind w:left="2220"/>
        <w:spacing w:after="0"/>
        <w:tabs>
          <w:tab w:leader="none" w:pos="4340" w:val="left"/>
          <w:tab w:leader="none" w:pos="4600" w:val="left"/>
        </w:tabs>
        <w:rPr>
          <w:sz w:val="20"/>
          <w:szCs w:val="20"/>
          <w:color w:val="auto"/>
        </w:rPr>
      </w:pPr>
      <w:r>
        <w:rPr>
          <w:rFonts w:ascii="Arial" w:cs="Arial" w:eastAsia="Arial" w:hAnsi="Arial"/>
          <w:sz w:val="20"/>
          <w:szCs w:val="20"/>
          <w:color w:val="auto"/>
        </w:rPr>
        <w:t>Consolidated EBITDA=</w:t>
        <w:tab/>
        <w:t>[</w:t>
        <w:tab/>
        <w:t>]</w:t>
      </w:r>
    </w:p>
    <w:p>
      <w:pPr>
        <w:spacing w:after="0" w:line="20" w:lineRule="exact"/>
        <w:rPr>
          <w:sz w:val="20"/>
          <w:szCs w:val="20"/>
          <w:color w:val="auto"/>
        </w:rPr>
      </w:pPr>
    </w:p>
    <w:tbl>
      <w:tblPr>
        <w:tblLayout w:type="fixed"/>
        <w:tblInd w:w="2220" w:type="dxa"/>
        <w:tblCellMar>
          <w:top w:w="0" w:type="dxa"/>
          <w:left w:w="0" w:type="dxa"/>
          <w:bottom w:w="0" w:type="dxa"/>
          <w:right w:w="0" w:type="dxa"/>
        </w:tblCellMar>
      </w:tblPr>
      <w:tr>
        <w:trPr>
          <w:trHeight w:val="236"/>
        </w:trPr>
        <w:tc>
          <w:tcPr>
            <w:tcW w:w="1320" w:type="dxa"/>
            <w:vAlign w:val="bottom"/>
          </w:tcPr>
          <w:p>
            <w:pPr>
              <w:spacing w:after="0"/>
              <w:rPr>
                <w:sz w:val="20"/>
                <w:szCs w:val="20"/>
                <w:color w:val="auto"/>
              </w:rPr>
            </w:pPr>
            <w:r>
              <w:rPr>
                <w:rFonts w:ascii="Arial" w:cs="Arial" w:eastAsia="Arial" w:hAnsi="Arial"/>
                <w:sz w:val="20"/>
                <w:szCs w:val="20"/>
                <w:color w:val="auto"/>
              </w:rPr>
              <w:t>Actual Ratio=</w:t>
            </w:r>
          </w:p>
        </w:tc>
        <w:tc>
          <w:tcPr>
            <w:tcW w:w="26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760" w:type="dxa"/>
            <w:vAlign w:val="bottom"/>
          </w:tcPr>
          <w:p>
            <w:pPr>
              <w:spacing w:after="0"/>
              <w:rPr>
                <w:sz w:val="20"/>
                <w:szCs w:val="20"/>
                <w:color w:val="auto"/>
              </w:rPr>
            </w:pPr>
            <w:r>
              <w:rPr>
                <w:rFonts w:ascii="Arial" w:cs="Arial" w:eastAsia="Arial" w:hAnsi="Arial"/>
                <w:sz w:val="20"/>
                <w:szCs w:val="20"/>
                <w:color w:val="auto"/>
              </w:rPr>
              <w:t>] to 1.0</w:t>
            </w:r>
          </w:p>
        </w:tc>
      </w:tr>
      <w:tr>
        <w:trPr>
          <w:trHeight w:val="250"/>
        </w:trPr>
        <w:tc>
          <w:tcPr>
            <w:tcW w:w="1320" w:type="dxa"/>
            <w:vAlign w:val="bottom"/>
          </w:tcPr>
          <w:p>
            <w:pPr>
              <w:spacing w:after="0"/>
              <w:rPr>
                <w:sz w:val="20"/>
                <w:szCs w:val="20"/>
                <w:color w:val="auto"/>
              </w:rPr>
            </w:pPr>
            <w:r>
              <w:rPr>
                <w:rFonts w:ascii="Arial" w:cs="Arial" w:eastAsia="Arial" w:hAnsi="Arial"/>
                <w:sz w:val="20"/>
                <w:szCs w:val="20"/>
                <w:color w:val="auto"/>
                <w:w w:val="89"/>
              </w:rPr>
              <w:t>Required Ratio=</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60" w:type="dxa"/>
            <w:vAlign w:val="bottom"/>
          </w:tcPr>
          <w:p>
            <w:pPr>
              <w:ind w:left="200"/>
              <w:spacing w:after="0"/>
              <w:rPr>
                <w:sz w:val="20"/>
                <w:szCs w:val="20"/>
                <w:color w:val="auto"/>
              </w:rPr>
            </w:pPr>
            <w:r>
              <w:rPr>
                <w:rFonts w:ascii="Arial" w:cs="Arial" w:eastAsia="Arial" w:hAnsi="Arial"/>
                <w:sz w:val="20"/>
                <w:szCs w:val="20"/>
                <w:color w:val="auto"/>
                <w:w w:val="88"/>
              </w:rPr>
              <w:t>] to 1.0</w:t>
            </w:r>
          </w:p>
        </w:tc>
      </w:tr>
    </w:tbl>
    <w:p>
      <w:pPr>
        <w:spacing w:after="0" w:line="19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Supporting detail showing the calculation of Consolidated Total Debt is attached hereto as </w:t>
      </w:r>
      <w:r>
        <w:rPr>
          <w:rFonts w:ascii="Arial" w:cs="Arial" w:eastAsia="Arial" w:hAnsi="Arial"/>
          <w:sz w:val="20"/>
          <w:szCs w:val="20"/>
          <w:u w:val="single" w:color="auto"/>
          <w:color w:val="auto"/>
        </w:rPr>
        <w:t>Schedule</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20"/>
          <w:szCs w:val="20"/>
          <w:u w:val="single" w:color="auto"/>
          <w:color w:val="auto"/>
        </w:rPr>
        <w:t>1</w:t>
      </w:r>
      <w:r>
        <w:rPr>
          <w:rFonts w:ascii="Arial" w:cs="Arial" w:eastAsia="Arial" w:hAnsi="Arial"/>
          <w:sz w:val="20"/>
          <w:szCs w:val="20"/>
          <w:color w:val="auto"/>
        </w:rPr>
        <w:t xml:space="preserve">. Supporting detail showing the calculation of Consolidated EBITDA is attached hereto as </w:t>
      </w:r>
      <w:r>
        <w:rPr>
          <w:rFonts w:ascii="Arial" w:cs="Arial" w:eastAsia="Arial" w:hAnsi="Arial"/>
          <w:sz w:val="20"/>
          <w:szCs w:val="20"/>
          <w:u w:val="single" w:color="auto"/>
          <w:color w:val="auto"/>
        </w:rPr>
        <w:t>Schedule 2</w:t>
      </w:r>
      <w:r>
        <w:rPr>
          <w:rFonts w:ascii="Arial" w:cs="Arial" w:eastAsia="Arial" w:hAnsi="Arial"/>
          <w:sz w:val="20"/>
          <w:szCs w:val="20"/>
          <w:color w:val="auto"/>
        </w:rPr>
        <w:t>.</w:t>
      </w:r>
    </w:p>
    <w:p>
      <w:pPr>
        <w:spacing w:after="0" w:line="200" w:lineRule="exact"/>
        <w:rPr>
          <w:sz w:val="20"/>
          <w:szCs w:val="20"/>
          <w:color w:val="auto"/>
        </w:rPr>
      </w:pPr>
    </w:p>
    <w:p>
      <w:pPr>
        <w:ind w:left="1580" w:hanging="654"/>
        <w:spacing w:after="0" w:line="260" w:lineRule="auto"/>
        <w:tabs>
          <w:tab w:leader="none" w:pos="158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following represent true and accurate calculations, as of the last day of the Certificate Period, to be used to determine the Applicable Rate in accordance with the Credit Agreement:</w:t>
      </w:r>
    </w:p>
    <w:p>
      <w:pPr>
        <w:spacing w:after="0" w:line="41" w:lineRule="exact"/>
        <w:rPr>
          <w:rFonts w:ascii="Arial" w:cs="Arial" w:eastAsia="Arial" w:hAnsi="Arial"/>
          <w:sz w:val="20"/>
          <w:szCs w:val="20"/>
          <w:color w:val="auto"/>
        </w:rPr>
      </w:pPr>
    </w:p>
    <w:p>
      <w:pPr>
        <w:ind w:left="2220" w:hanging="645"/>
        <w:spacing w:after="0"/>
        <w:tabs>
          <w:tab w:leader="none" w:pos="222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Total Net Leverage Ratio:</w:t>
      </w:r>
    </w:p>
    <w:p>
      <w:pPr>
        <w:sectPr>
          <w:pgSz w:w="11900" w:h="16838" w:orient="portrait"/>
          <w:cols w:equalWidth="0" w:num="1">
            <w:col w:w="11420"/>
          </w:cols>
          <w:pgMar w:left="240" w:top="204" w:right="239" w:bottom="1440" w:gutter="0" w:footer="0" w:header="0"/>
        </w:sectPr>
      </w:pPr>
    </w:p>
    <w:p>
      <w:pPr>
        <w:spacing w:after="0" w:line="2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Consolidated Total Debt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sectPr>
          <w:pgSz w:w="11900" w:h="16838" w:orient="portrait"/>
          <w:cols w:equalWidth="0" w:num="3">
            <w:col w:w="4320" w:space="200"/>
            <w:col w:w="60" w:space="200"/>
            <w:col w:w="6640"/>
          </w:cols>
          <w:pgMar w:left="240" w:top="204" w:right="239" w:bottom="1440" w:gutter="0" w:footer="0" w:header="0"/>
          <w:type w:val="continuous"/>
        </w:sectPr>
      </w:pPr>
    </w:p>
    <w:p>
      <w:pPr>
        <w:ind w:left="2220"/>
        <w:spacing w:after="0"/>
        <w:rPr>
          <w:sz w:val="20"/>
          <w:szCs w:val="20"/>
          <w:color w:val="auto"/>
        </w:rPr>
      </w:pPr>
      <w:r>
        <w:rPr>
          <w:rFonts w:ascii="Arial" w:cs="Arial" w:eastAsia="Arial" w:hAnsi="Arial"/>
          <w:sz w:val="18"/>
          <w:szCs w:val="18"/>
          <w:color w:val="auto"/>
        </w:rPr>
        <w:t>Consolidated EBITDA=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sectPr>
          <w:pgSz w:w="11900" w:h="16838" w:orient="portrait"/>
          <w:cols w:equalWidth="0" w:num="3">
            <w:col w:w="4160" w:space="200"/>
            <w:col w:w="60" w:space="200"/>
            <w:col w:w="6800"/>
          </w:cols>
          <w:pgMar w:left="240" w:top="204" w:right="239" w:bottom="1440" w:gutter="0" w:footer="0" w:header="0"/>
          <w:type w:val="continuous"/>
        </w:sectPr>
      </w:pPr>
    </w:p>
    <w:p>
      <w:pPr>
        <w:ind w:left="2220"/>
        <w:spacing w:after="0"/>
        <w:tabs>
          <w:tab w:leader="none" w:pos="2940" w:val="left"/>
          <w:tab w:leader="none" w:pos="3200" w:val="left"/>
        </w:tabs>
        <w:rPr>
          <w:sz w:val="20"/>
          <w:szCs w:val="20"/>
          <w:color w:val="auto"/>
        </w:rPr>
      </w:pPr>
      <w:r>
        <w:rPr>
          <w:rFonts w:ascii="Arial" w:cs="Arial" w:eastAsia="Arial" w:hAnsi="Arial"/>
          <w:sz w:val="20"/>
          <w:szCs w:val="20"/>
          <w:color w:val="auto"/>
        </w:rPr>
        <w:t>Ratio=</w:t>
        <w:tab/>
        <w:t>[</w:t>
      </w:r>
      <w:r>
        <w:rPr>
          <w:sz w:val="20"/>
          <w:szCs w:val="20"/>
          <w:color w:val="auto"/>
        </w:rPr>
        <w:tab/>
      </w:r>
      <w:r>
        <w:rPr>
          <w:rFonts w:ascii="Arial" w:cs="Arial" w:eastAsia="Arial" w:hAnsi="Arial"/>
          <w:sz w:val="18"/>
          <w:szCs w:val="18"/>
          <w:color w:val="auto"/>
        </w:rPr>
        <w:t>] to 1.0</w:t>
      </w:r>
    </w:p>
    <w:p>
      <w:pPr>
        <w:sectPr>
          <w:pgSz w:w="11900" w:h="16838" w:orient="portrait"/>
          <w:cols w:equalWidth="0" w:num="1">
            <w:col w:w="11420"/>
          </w:cols>
          <w:pgMar w:left="240" w:top="204" w:right="239" w:bottom="1440" w:gutter="0" w:footer="0" w:header="0"/>
          <w:type w:val="continuous"/>
        </w:sectPr>
      </w:pPr>
    </w:p>
    <w:p>
      <w:pPr>
        <w:spacing w:after="0" w:line="208" w:lineRule="exact"/>
        <w:rPr>
          <w:sz w:val="20"/>
          <w:szCs w:val="20"/>
          <w:color w:val="auto"/>
        </w:rPr>
      </w:pPr>
    </w:p>
    <w:p>
      <w:pPr>
        <w:ind w:left="1580" w:right="20" w:hanging="654"/>
        <w:spacing w:after="0" w:line="276" w:lineRule="auto"/>
        <w:tabs>
          <w:tab w:leader="none" w:pos="15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the information required to be delivered pursuant to </w:t>
      </w:r>
      <w:r>
        <w:rPr>
          <w:rFonts w:ascii="Arial" w:cs="Arial" w:eastAsia="Arial" w:hAnsi="Arial"/>
          <w:sz w:val="20"/>
          <w:szCs w:val="20"/>
          <w:u w:val="single" w:color="auto"/>
          <w:color w:val="auto"/>
        </w:rPr>
        <w:t>Section 6.02(e)(iii)</w:t>
      </w:r>
      <w:r>
        <w:rPr>
          <w:rFonts w:ascii="Arial" w:cs="Arial" w:eastAsia="Arial" w:hAnsi="Arial"/>
          <w:sz w:val="20"/>
          <w:szCs w:val="20"/>
          <w:color w:val="auto"/>
        </w:rPr>
        <w:t xml:space="preserve"> of the Credit Agreement.]</w:t>
      </w:r>
      <w:r>
        <w:rPr>
          <w:rFonts w:ascii="Arial" w:cs="Arial" w:eastAsia="Arial" w:hAnsi="Arial"/>
          <w:sz w:val="25"/>
          <w:szCs w:val="25"/>
          <w:color w:val="auto"/>
          <w:vertAlign w:val="superscript"/>
        </w:rPr>
        <w:t>1</w:t>
      </w:r>
    </w:p>
    <w:p>
      <w:pPr>
        <w:spacing w:after="0" w:line="80" w:lineRule="exact"/>
        <w:rPr>
          <w:rFonts w:ascii="Arial" w:cs="Arial" w:eastAsia="Arial" w:hAnsi="Arial"/>
          <w:sz w:val="20"/>
          <w:szCs w:val="20"/>
          <w:color w:val="auto"/>
        </w:rPr>
      </w:pPr>
    </w:p>
    <w:p>
      <w:pPr>
        <w:ind w:left="1540" w:hanging="614"/>
        <w:spacing w:after="0"/>
        <w:tabs>
          <w:tab w:leader="none" w:pos="154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are detailed calculations setting forth Excess Cash Flow.]</w:t>
      </w:r>
      <w:r>
        <w:rPr>
          <w:rFonts w:ascii="Arial" w:cs="Arial" w:eastAsia="Arial" w:hAnsi="Arial"/>
          <w:sz w:val="25"/>
          <w:szCs w:val="25"/>
          <w:color w:val="auto"/>
          <w:vertAlign w:val="superscript"/>
        </w:rPr>
        <w:t>2</w:t>
      </w:r>
    </w:p>
    <w:p>
      <w:pPr>
        <w:spacing w:after="0" w:line="158" w:lineRule="exact"/>
        <w:rPr>
          <w:rFonts w:ascii="Arial" w:cs="Arial" w:eastAsia="Arial" w:hAnsi="Arial"/>
          <w:sz w:val="20"/>
          <w:szCs w:val="20"/>
          <w:color w:val="auto"/>
        </w:rPr>
      </w:pPr>
    </w:p>
    <w:p>
      <w:pPr>
        <w:ind w:left="1580" w:right="20" w:hanging="654"/>
        <w:spacing w:after="0" w:line="260" w:lineRule="auto"/>
        <w:tabs>
          <w:tab w:leader="none" w:pos="15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[Set forth below is a description of each event, condition or circumstance during the Certificate Period that required a mandatory prepayment under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of the Credit Agreement:</w:t>
      </w:r>
    </w:p>
    <w:p>
      <w:pPr>
        <w:spacing w:after="0" w:line="41" w:lineRule="exact"/>
        <w:rPr>
          <w:rFonts w:ascii="Arial" w:cs="Arial" w:eastAsia="Arial" w:hAnsi="Arial"/>
          <w:sz w:val="20"/>
          <w:szCs w:val="20"/>
          <w:color w:val="auto"/>
        </w:rPr>
      </w:pPr>
    </w:p>
    <w:p>
      <w:pPr>
        <w:ind w:left="2220" w:hanging="645"/>
        <w:spacing w:after="0"/>
        <w:tabs>
          <w:tab w:leader="none" w:pos="2220" w:val="left"/>
        </w:tabs>
        <w:numPr>
          <w:ilvl w:val="1"/>
          <w:numId w:val="320"/>
        </w:numPr>
        <w:rPr>
          <w:rFonts w:ascii="Arial" w:cs="Arial" w:eastAsia="Arial" w:hAnsi="Arial"/>
          <w:sz w:val="20"/>
          <w:szCs w:val="20"/>
          <w:color w:val="auto"/>
        </w:rPr>
      </w:pP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of the Credit Agreement; see paragraph 7 above.</w:t>
      </w:r>
    </w:p>
    <w:p>
      <w:pPr>
        <w:spacing w:after="0" w:line="80" w:lineRule="exact"/>
        <w:rPr>
          <w:rFonts w:ascii="Arial" w:cs="Arial" w:eastAsia="Arial" w:hAnsi="Arial"/>
          <w:sz w:val="20"/>
          <w:szCs w:val="20"/>
          <w:color w:val="auto"/>
        </w:rPr>
      </w:pPr>
    </w:p>
    <w:p>
      <w:pPr>
        <w:ind w:left="2220" w:hanging="645"/>
        <w:spacing w:after="0"/>
        <w:tabs>
          <w:tab w:leader="none" w:pos="2220" w:val="left"/>
        </w:tabs>
        <w:numPr>
          <w:ilvl w:val="1"/>
          <w:numId w:val="320"/>
        </w:numPr>
        <w:rPr>
          <w:rFonts w:ascii="Arial" w:cs="Arial" w:eastAsia="Arial" w:hAnsi="Arial"/>
          <w:sz w:val="20"/>
          <w:szCs w:val="20"/>
          <w:color w:val="auto"/>
        </w:rPr>
      </w:pPr>
      <w:r>
        <w:rPr>
          <w:rFonts w:ascii="Arial" w:cs="Arial" w:eastAsia="Arial" w:hAnsi="Arial"/>
          <w:sz w:val="20"/>
          <w:szCs w:val="20"/>
          <w:u w:val="single" w:color="auto"/>
          <w:color w:val="auto"/>
        </w:rPr>
        <w:t>Section 2.05(b)(ii)</w:t>
      </w:r>
      <w:r>
        <w:rPr>
          <w:rFonts w:ascii="Arial" w:cs="Arial" w:eastAsia="Arial" w:hAnsi="Arial"/>
          <w:sz w:val="20"/>
          <w:szCs w:val="20"/>
          <w:color w:val="auto"/>
        </w:rPr>
        <w:t xml:space="preserve"> of the Credit Agreement;</w:t>
      </w:r>
    </w:p>
    <w:p>
      <w:pPr>
        <w:spacing w:after="0" w:line="80" w:lineRule="exact"/>
        <w:rPr>
          <w:rFonts w:ascii="Arial" w:cs="Arial" w:eastAsia="Arial" w:hAnsi="Arial"/>
          <w:sz w:val="20"/>
          <w:szCs w:val="20"/>
          <w:color w:val="auto"/>
        </w:rPr>
      </w:pPr>
    </w:p>
    <w:p>
      <w:pPr>
        <w:ind w:left="2220" w:hanging="645"/>
        <w:spacing w:after="0"/>
        <w:tabs>
          <w:tab w:leader="none" w:pos="2220" w:val="left"/>
        </w:tabs>
        <w:numPr>
          <w:ilvl w:val="1"/>
          <w:numId w:val="320"/>
        </w:numPr>
        <w:rPr>
          <w:rFonts w:ascii="Arial" w:cs="Arial" w:eastAsia="Arial" w:hAnsi="Arial"/>
          <w:sz w:val="20"/>
          <w:szCs w:val="20"/>
          <w:color w:val="auto"/>
        </w:rPr>
      </w:pPr>
      <w:r>
        <w:rPr>
          <w:rFonts w:ascii="Arial" w:cs="Arial" w:eastAsia="Arial" w:hAnsi="Arial"/>
          <w:sz w:val="20"/>
          <w:szCs w:val="20"/>
          <w:u w:val="single" w:color="auto"/>
          <w:color w:val="auto"/>
        </w:rPr>
        <w:t>Section 2.05(b)(iii)</w:t>
      </w:r>
      <w:r>
        <w:rPr>
          <w:rFonts w:ascii="Arial" w:cs="Arial" w:eastAsia="Arial" w:hAnsi="Arial"/>
          <w:sz w:val="20"/>
          <w:szCs w:val="20"/>
          <w:color w:val="auto"/>
        </w:rPr>
        <w:t xml:space="preserve"> of the Credit Agreement;</w:t>
      </w:r>
      <w:r>
        <w:rPr>
          <w:rFonts w:ascii="Arial" w:cs="Arial" w:eastAsia="Arial" w:hAnsi="Arial"/>
          <w:sz w:val="25"/>
          <w:szCs w:val="25"/>
          <w:color w:val="auto"/>
          <w:vertAlign w:val="superscript"/>
        </w:rPr>
        <w:t>]3</w:t>
      </w:r>
    </w:p>
    <w:p>
      <w:pPr>
        <w:spacing w:after="0" w:line="144" w:lineRule="exact"/>
        <w:rPr>
          <w:rFonts w:ascii="Arial" w:cs="Arial" w:eastAsia="Arial" w:hAnsi="Arial"/>
          <w:sz w:val="20"/>
          <w:szCs w:val="20"/>
          <w:color w:val="auto"/>
        </w:rPr>
      </w:pPr>
    </w:p>
    <w:p>
      <w:pPr>
        <w:jc w:val="both"/>
        <w:ind w:left="1580" w:hanging="654"/>
        <w:spacing w:after="0" w:line="259" w:lineRule="auto"/>
        <w:tabs>
          <w:tab w:leader="none" w:pos="15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 xml:space="preserve">[Attached as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is an update of the information required pursuant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of the Security Agreement] [There has been no change in respect of the information required pursuant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of the Security Agreement since [the Closing Date][the date of the last annual Compliance Certificate.]]</w:t>
      </w:r>
      <w:r>
        <w:rPr>
          <w:rFonts w:ascii="Arial" w:cs="Arial" w:eastAsia="Arial" w:hAnsi="Arial"/>
          <w:sz w:val="25"/>
          <w:szCs w:val="25"/>
          <w:color w:val="auto"/>
          <w:vertAlign w:val="superscript"/>
        </w:rPr>
        <w:t>4</w:t>
      </w:r>
    </w:p>
    <w:p>
      <w:pPr>
        <w:spacing w:after="0" w:line="100" w:lineRule="exact"/>
        <w:rPr>
          <w:rFonts w:ascii="Arial" w:cs="Arial" w:eastAsia="Arial" w:hAnsi="Arial"/>
          <w:sz w:val="20"/>
          <w:szCs w:val="20"/>
          <w:color w:val="auto"/>
        </w:rPr>
      </w:pPr>
    </w:p>
    <w:p>
      <w:pPr>
        <w:ind w:left="5540"/>
        <w:spacing w:after="0"/>
        <w:rPr>
          <w:rFonts w:ascii="Arial" w:cs="Arial" w:eastAsia="Arial" w:hAnsi="Arial"/>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hanging="92"/>
        <w:spacing w:after="0"/>
        <w:tabs>
          <w:tab w:leader="none" w:pos="100" w:val="left"/>
        </w:tabs>
        <w:numPr>
          <w:ilvl w:val="0"/>
          <w:numId w:val="321"/>
        </w:numPr>
        <w:rPr>
          <w:rFonts w:ascii="Arial" w:cs="Arial" w:eastAsia="Arial" w:hAnsi="Arial"/>
          <w:sz w:val="24"/>
          <w:szCs w:val="24"/>
          <w:color w:val="auto"/>
          <w:vertAlign w:val="superscript"/>
        </w:rPr>
      </w:pPr>
      <w:r>
        <w:rPr>
          <w:rFonts w:ascii="Arial" w:cs="Arial" w:eastAsia="Arial" w:hAnsi="Arial"/>
          <w:sz w:val="17"/>
          <w:szCs w:val="17"/>
          <w:color w:val="auto"/>
        </w:rPr>
        <w:t>To be included only in the annual compliance certificate.</w:t>
      </w:r>
    </w:p>
    <w:p>
      <w:pPr>
        <w:spacing w:after="0" w:line="42" w:lineRule="exact"/>
        <w:rPr>
          <w:rFonts w:ascii="Arial" w:cs="Arial" w:eastAsia="Arial" w:hAnsi="Arial"/>
          <w:sz w:val="24"/>
          <w:szCs w:val="24"/>
          <w:color w:val="auto"/>
          <w:vertAlign w:val="superscript"/>
        </w:rPr>
      </w:pPr>
    </w:p>
    <w:p>
      <w:pPr>
        <w:jc w:val="both"/>
        <w:ind w:right="7220"/>
        <w:spacing w:after="0" w:line="265" w:lineRule="auto"/>
        <w:rPr>
          <w:rFonts w:ascii="Arial" w:cs="Arial" w:eastAsia="Arial" w:hAnsi="Arial"/>
          <w:sz w:val="24"/>
          <w:szCs w:val="24"/>
          <w:color w:val="auto"/>
          <w:vertAlign w:val="superscript"/>
        </w:rPr>
      </w:pPr>
      <w:r>
        <w:rPr>
          <w:rFonts w:ascii="Arial" w:cs="Arial" w:eastAsia="Arial" w:hAnsi="Arial"/>
          <w:sz w:val="22"/>
          <w:szCs w:val="22"/>
          <w:color w:val="auto"/>
          <w:vertAlign w:val="superscript"/>
        </w:rPr>
        <w:t>2</w:t>
      </w:r>
      <w:r>
        <w:rPr>
          <w:rFonts w:ascii="Arial" w:cs="Arial" w:eastAsia="Arial" w:hAnsi="Arial"/>
          <w:sz w:val="16"/>
          <w:szCs w:val="16"/>
          <w:color w:val="auto"/>
        </w:rPr>
        <w:t xml:space="preserve"> To be included only in the annual compliance certificate. </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To be included only in the annual compliance certificate. </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To be included only in the annual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14319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204" w:right="239" w:bottom="1440" w:gutter="0" w:footer="0" w:header="0"/>
          <w:type w:val="continuous"/>
        </w:sectPr>
      </w:pPr>
    </w:p>
    <w:bookmarkStart w:id="354" w:name="page355"/>
    <w:bookmarkEnd w:id="354"/>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3</w:t>
      </w:r>
    </w:p>
    <w:p>
      <w:pPr>
        <w:spacing w:after="0" w:line="316" w:lineRule="exact"/>
        <w:rPr>
          <w:sz w:val="20"/>
          <w:szCs w:val="20"/>
          <w:color w:val="auto"/>
        </w:rPr>
      </w:pPr>
    </w:p>
    <w:p>
      <w:pPr>
        <w:ind w:left="260" w:firstLine="648"/>
        <w:spacing w:after="0" w:line="260" w:lineRule="auto"/>
        <w:rPr>
          <w:sz w:val="20"/>
          <w:szCs w:val="20"/>
          <w:color w:val="auto"/>
        </w:rPr>
      </w:pPr>
      <w:r>
        <w:rPr>
          <w:rFonts w:ascii="Arial" w:cs="Arial" w:eastAsia="Arial" w:hAnsi="Arial"/>
          <w:sz w:val="20"/>
          <w:szCs w:val="20"/>
          <w:color w:val="auto"/>
        </w:rPr>
        <w:t>IN WITNESS WHEREOF, the undersigned, in his/her capacity as a Responsible Officer of the Company, has executed this certificate for and on behalf of the Company and has caused this certificate to be delivered this day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-39370</wp:posOffset>
            </wp:positionV>
            <wp:extent cx="31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-39370</wp:posOffset>
            </wp:positionV>
            <wp:extent cx="1568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360"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27305</wp:posOffset>
            </wp:positionV>
            <wp:extent cx="2684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4</w:t>
      </w:r>
    </w:p>
    <w:p>
      <w:pPr>
        <w:spacing w:after="0" w:line="316" w:lineRule="exact"/>
        <w:rPr>
          <w:sz w:val="20"/>
          <w:szCs w:val="20"/>
          <w:color w:val="auto"/>
        </w:rPr>
      </w:pPr>
    </w:p>
    <w:p>
      <w:pPr>
        <w:jc w:val="center"/>
        <w:ind w:left="1280"/>
        <w:spacing w:after="0"/>
        <w:rPr>
          <w:sz w:val="20"/>
          <w:szCs w:val="20"/>
          <w:color w:val="auto"/>
        </w:rPr>
      </w:pPr>
      <w:r>
        <w:rPr>
          <w:rFonts w:ascii="Arial" w:cs="Arial" w:eastAsia="Arial" w:hAnsi="Arial"/>
          <w:sz w:val="20"/>
          <w:szCs w:val="20"/>
          <w:u w:val="single" w:color="auto"/>
          <w:color w:val="auto"/>
        </w:rPr>
        <w:t>Exhibit A</w:t>
      </w:r>
    </w:p>
    <w:p>
      <w:pPr>
        <w:spacing w:after="0" w:line="202" w:lineRule="exact"/>
        <w:rPr>
          <w:sz w:val="20"/>
          <w:szCs w:val="20"/>
          <w:color w:val="auto"/>
        </w:rPr>
      </w:pPr>
    </w:p>
    <w:p>
      <w:pPr>
        <w:jc w:val="center"/>
        <w:ind w:left="1280"/>
        <w:spacing w:after="0"/>
        <w:rPr>
          <w:sz w:val="20"/>
          <w:szCs w:val="20"/>
          <w:color w:val="auto"/>
        </w:rPr>
      </w:pPr>
      <w:r>
        <w:rPr>
          <w:rFonts w:ascii="Arial" w:cs="Arial" w:eastAsia="Arial" w:hAnsi="Arial"/>
          <w:sz w:val="20"/>
          <w:szCs w:val="20"/>
          <w:u w:val="single" w:color="auto"/>
          <w:color w:val="auto"/>
        </w:rPr>
        <w:t>Audited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3"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5</w:t>
      </w:r>
    </w:p>
    <w:p>
      <w:pPr>
        <w:spacing w:after="0" w:line="316" w:lineRule="exact"/>
        <w:rPr>
          <w:sz w:val="20"/>
          <w:szCs w:val="20"/>
          <w:color w:val="auto"/>
        </w:rPr>
      </w:pPr>
    </w:p>
    <w:p>
      <w:pPr>
        <w:ind w:left="5960"/>
        <w:spacing w:after="0"/>
        <w:rPr>
          <w:sz w:val="20"/>
          <w:szCs w:val="20"/>
          <w:color w:val="auto"/>
        </w:rPr>
      </w:pPr>
      <w:r>
        <w:rPr>
          <w:rFonts w:ascii="Arial" w:cs="Arial" w:eastAsia="Arial" w:hAnsi="Arial"/>
          <w:sz w:val="20"/>
          <w:szCs w:val="20"/>
          <w:u w:val="single" w:color="auto"/>
          <w:color w:val="auto"/>
        </w:rPr>
        <w:t>Exhibit B</w:t>
      </w:r>
    </w:p>
    <w:p>
      <w:pPr>
        <w:spacing w:after="0" w:line="202"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List each Subsidiary: [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80"/>
        <w:spacing w:after="0"/>
        <w:rPr>
          <w:rFonts w:ascii="Arial" w:cs="Arial" w:eastAsia="Arial" w:hAnsi="Arial"/>
          <w:sz w:val="19"/>
          <w:szCs w:val="19"/>
          <w:color w:val="auto"/>
        </w:rPr>
      </w:pPr>
      <w:r>
        <w:rPr>
          <w:rFonts w:ascii="Arial" w:cs="Arial" w:eastAsia="Arial" w:hAnsi="Arial"/>
          <w:sz w:val="19"/>
          <w:szCs w:val="19"/>
          <w:color w:val="auto"/>
        </w:rPr>
        <w:t>[There has been no change in the identity of Subsidiaries since [the Closing Date] [the date of the last Compliance Certificate].]</w:t>
      </w:r>
      <w:hyperlink w:anchor="page360">
        <w:r>
          <w:rPr>
            <w:rFonts w:ascii="Arial" w:cs="Arial" w:eastAsia="Arial" w:hAnsi="Arial"/>
            <w:sz w:val="19"/>
            <w:szCs w:val="19"/>
            <w:u w:val="single" w:color="auto"/>
            <w:color w:val="0000EE"/>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5617845</wp:posOffset>
            </wp:positionV>
            <wp:extent cx="14319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hanging="92"/>
        <w:spacing w:after="0"/>
        <w:tabs>
          <w:tab w:leader="none" w:pos="100" w:val="left"/>
        </w:tabs>
        <w:numPr>
          <w:ilvl w:val="0"/>
          <w:numId w:val="322"/>
        </w:numPr>
        <w:rPr>
          <w:rFonts w:ascii="Arial" w:cs="Arial" w:eastAsia="Arial" w:hAnsi="Arial"/>
          <w:sz w:val="24"/>
          <w:szCs w:val="24"/>
          <w:color w:val="auto"/>
          <w:vertAlign w:val="superscript"/>
        </w:rPr>
      </w:pPr>
      <w:r>
        <w:rPr>
          <w:rFonts w:ascii="Arial" w:cs="Arial" w:eastAsia="Arial" w:hAnsi="Arial"/>
          <w:sz w:val="17"/>
          <w:szCs w:val="17"/>
          <w:color w:val="auto"/>
        </w:rPr>
        <w:t>Use this language if there has not been a change in Subsidiaries since the later of the Closing Date and the date of the last Compliance Certificate.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20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6</w:t>
      </w:r>
    </w:p>
    <w:p>
      <w:pPr>
        <w:spacing w:after="0" w:line="316" w:lineRule="exact"/>
        <w:rPr>
          <w:sz w:val="20"/>
          <w:szCs w:val="20"/>
          <w:color w:val="auto"/>
        </w:rPr>
      </w:pPr>
    </w:p>
    <w:p>
      <w:pPr>
        <w:jc w:val="center"/>
        <w:ind w:left="1280"/>
        <w:spacing w:after="0"/>
        <w:rPr>
          <w:sz w:val="20"/>
          <w:szCs w:val="20"/>
          <w:color w:val="auto"/>
        </w:rPr>
      </w:pPr>
      <w:r>
        <w:rPr>
          <w:rFonts w:ascii="Arial" w:cs="Arial" w:eastAsia="Arial" w:hAnsi="Arial"/>
          <w:sz w:val="20"/>
          <w:szCs w:val="20"/>
          <w:u w:val="single" w:color="auto"/>
          <w:color w:val="auto"/>
        </w:rPr>
        <w:t>Exhibit C</w:t>
      </w:r>
    </w:p>
    <w:p>
      <w:pPr>
        <w:spacing w:after="0" w:line="202" w:lineRule="exact"/>
        <w:rPr>
          <w:sz w:val="20"/>
          <w:szCs w:val="20"/>
          <w:color w:val="auto"/>
        </w:rPr>
      </w:pPr>
    </w:p>
    <w:p>
      <w:pPr>
        <w:jc w:val="center"/>
        <w:ind w:left="1280"/>
        <w:spacing w:after="0"/>
        <w:rPr>
          <w:sz w:val="20"/>
          <w:szCs w:val="20"/>
          <w:color w:val="auto"/>
        </w:rPr>
      </w:pPr>
      <w:r>
        <w:rPr>
          <w:rFonts w:ascii="Arial" w:cs="Arial" w:eastAsia="Arial" w:hAnsi="Arial"/>
          <w:sz w:val="20"/>
          <w:szCs w:val="20"/>
          <w:u w:val="single" w:color="auto"/>
          <w:color w:val="auto"/>
        </w:rPr>
        <w:t>Excess Cash Flow Calculation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20"/>
          <w:szCs w:val="20"/>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7</w:t>
      </w:r>
    </w:p>
    <w:p>
      <w:pPr>
        <w:spacing w:after="0" w:line="316" w:lineRule="exact"/>
        <w:rPr>
          <w:sz w:val="20"/>
          <w:szCs w:val="20"/>
          <w:color w:val="auto"/>
        </w:rPr>
      </w:pPr>
    </w:p>
    <w:p>
      <w:pPr>
        <w:ind w:left="5940"/>
        <w:spacing w:after="0"/>
        <w:rPr>
          <w:sz w:val="20"/>
          <w:szCs w:val="20"/>
          <w:color w:val="auto"/>
        </w:rPr>
      </w:pPr>
      <w:r>
        <w:rPr>
          <w:rFonts w:ascii="Arial" w:cs="Arial" w:eastAsia="Arial" w:hAnsi="Arial"/>
          <w:sz w:val="20"/>
          <w:szCs w:val="20"/>
          <w:u w:val="single" w:color="auto"/>
          <w:color w:val="auto"/>
        </w:rPr>
        <w:t>Exhibit D</w:t>
      </w:r>
    </w:p>
    <w:p>
      <w:pPr>
        <w:spacing w:after="0" w:line="202" w:lineRule="exact"/>
        <w:rPr>
          <w:sz w:val="20"/>
          <w:szCs w:val="20"/>
          <w:color w:val="auto"/>
        </w:rPr>
      </w:pPr>
    </w:p>
    <w:p>
      <w:pPr>
        <w:jc w:val="both"/>
        <w:ind w:left="260"/>
        <w:spacing w:after="0" w:line="250" w:lineRule="auto"/>
        <w:rPr>
          <w:sz w:val="20"/>
          <w:szCs w:val="20"/>
          <w:color w:val="auto"/>
        </w:rPr>
      </w:pPr>
      <w:r>
        <w:rPr>
          <w:rFonts w:ascii="Arial" w:cs="Arial" w:eastAsia="Arial" w:hAnsi="Arial"/>
          <w:sz w:val="20"/>
          <w:szCs w:val="20"/>
          <w:color w:val="auto"/>
        </w:rPr>
        <w:t xml:space="preserve">[Update of the information required pursuant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of the Security Agreement][There has been no change in respect of the information required pursuant to </w:t>
      </w:r>
      <w:r>
        <w:rPr>
          <w:rFonts w:ascii="Arial" w:cs="Arial" w:eastAsia="Arial" w:hAnsi="Arial"/>
          <w:sz w:val="20"/>
          <w:szCs w:val="20"/>
          <w:u w:val="single" w:color="auto"/>
          <w:color w:val="auto"/>
        </w:rPr>
        <w:t>Section 3.03(c)</w:t>
      </w:r>
      <w:r>
        <w:rPr>
          <w:rFonts w:ascii="Arial" w:cs="Arial" w:eastAsia="Arial" w:hAnsi="Arial"/>
          <w:sz w:val="20"/>
          <w:szCs w:val="20"/>
          <w:color w:val="auto"/>
        </w:rPr>
        <w:t xml:space="preserve"> of the Security Agreement since [the Closing Date][the date of the last annual Compliance Certificate].]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20"/>
          <w:szCs w:val="20"/>
          <w:color w:val="auto"/>
        </w:rPr>
        <w:t>EXHIBIT E</w:t>
      </w:r>
    </w:p>
    <w:p>
      <w:pPr>
        <w:spacing w:after="0" w:line="210"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20"/>
          <w:szCs w:val="20"/>
          <w:b w:val="1"/>
          <w:bCs w:val="1"/>
          <w:u w:val="single" w:color="auto"/>
          <w:color w:val="auto"/>
        </w:rPr>
        <w:t>ASSIGNMENT AND ASSUMPTION AGREEMENT</w:t>
      </w:r>
    </w:p>
    <w:p>
      <w:pPr>
        <w:spacing w:after="0" w:line="208" w:lineRule="exact"/>
        <w:rPr>
          <w:sz w:val="20"/>
          <w:szCs w:val="20"/>
          <w:color w:val="auto"/>
        </w:rPr>
      </w:pPr>
    </w:p>
    <w:p>
      <w:pPr>
        <w:jc w:val="both"/>
        <w:ind w:left="260" w:firstLine="648"/>
        <w:spacing w:after="0" w:line="272" w:lineRule="auto"/>
        <w:rPr>
          <w:sz w:val="20"/>
          <w:szCs w:val="20"/>
          <w:color w:val="auto"/>
        </w:rPr>
      </w:pPr>
      <w:r>
        <w:rPr>
          <w:rFonts w:ascii="Arial" w:cs="Arial" w:eastAsia="Arial" w:hAnsi="Arial"/>
          <w:sz w:val="18"/>
          <w:szCs w:val="18"/>
          <w:color w:val="auto"/>
        </w:rPr>
        <w:t>This Assignment and Assumption Agreement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 Assignor (as defined below) and the Assignee (as defined below). Capitalized terms used in this Assignment and Assumption and not otherwise defined herein have the meanings specified in the Amended and Restated Credit Agreement dated as of November 30, 2017 (as amended, supplemented, restated and/or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OSI Restaurant Partners, LLC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Swing Line Lender and an L/C Issuer, receipt of a copy of which is hereby acknowledged by the Assignee. The Standard Terms and Conditions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attached hereto are hereby agreed to and incorporated herein by reference and made a part of this Assignment and Assumption as if set forth herein in full.</w:t>
      </w:r>
    </w:p>
    <w:p>
      <w:pPr>
        <w:spacing w:after="0" w:line="185" w:lineRule="exact"/>
        <w:rPr>
          <w:sz w:val="20"/>
          <w:szCs w:val="20"/>
          <w:color w:val="auto"/>
        </w:rPr>
      </w:pPr>
    </w:p>
    <w:p>
      <w:pPr>
        <w:jc w:val="both"/>
        <w:ind w:left="260" w:firstLine="648"/>
        <w:spacing w:after="0" w:line="308"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facility identified below (including participations in any Letters of Credit or Swing Line Loans included in such facility)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w:t>
      </w:r>
    </w:p>
    <w:p>
      <w:pPr>
        <w:spacing w:after="0" w:line="180" w:lineRule="exact"/>
        <w:rPr>
          <w:sz w:val="20"/>
          <w:szCs w:val="20"/>
          <w:color w:val="auto"/>
        </w:rPr>
      </w:pPr>
    </w:p>
    <w:p>
      <w:pPr>
        <w:ind w:left="260" w:hanging="2"/>
        <w:spacing w:after="0" w:line="298" w:lineRule="auto"/>
        <w:tabs>
          <w:tab w:leader="none" w:pos="523"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45" w:lineRule="exact"/>
        <w:rPr>
          <w:rFonts w:ascii="Arial" w:cs="Arial" w:eastAsia="Arial" w:hAnsi="Arial"/>
          <w:sz w:val="18"/>
          <w:szCs w:val="18"/>
          <w:color w:val="auto"/>
        </w:rPr>
      </w:pPr>
    </w:p>
    <w:p>
      <w:pPr>
        <w:ind w:left="1520" w:hanging="614"/>
        <w:spacing w:after="0"/>
        <w:tabs>
          <w:tab w:leader="none" w:pos="152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Assignor (the “</w:t>
      </w:r>
      <w:r>
        <w:rPr>
          <w:rFonts w:ascii="Arial" w:cs="Arial" w:eastAsia="Arial" w:hAnsi="Arial"/>
          <w:sz w:val="20"/>
          <w:szCs w:val="20"/>
          <w:u w:val="single" w:color="auto"/>
          <w:color w:val="auto"/>
        </w:rPr>
        <w:t>Assignor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520" w:hanging="614"/>
        <w:spacing w:after="0"/>
        <w:tabs>
          <w:tab w:leader="none" w:pos="152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Assignee (the “</w:t>
      </w:r>
      <w:r>
        <w:rPr>
          <w:rFonts w:ascii="Arial" w:cs="Arial" w:eastAsia="Arial" w:hAnsi="Arial"/>
          <w:sz w:val="20"/>
          <w:szCs w:val="20"/>
          <w:u w:val="single" w:color="auto"/>
          <w:color w:val="auto"/>
        </w:rPr>
        <w:t>Assignee</w:t>
      </w:r>
      <w:r>
        <w:rPr>
          <w:rFonts w:ascii="Arial" w:cs="Arial" w:eastAsia="Arial" w:hAnsi="Arial"/>
          <w:sz w:val="20"/>
          <w:szCs w:val="20"/>
          <w:color w:val="auto"/>
        </w:rPr>
        <w:t>”):</w:t>
      </w:r>
    </w:p>
    <w:p>
      <w:pPr>
        <w:spacing w:after="0" w:line="202"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[Assignee is [not] a Defaulting Lender]</w:t>
      </w:r>
    </w:p>
    <w:p>
      <w:pPr>
        <w:spacing w:after="0" w:line="229" w:lineRule="exact"/>
        <w:rPr>
          <w:sz w:val="20"/>
          <w:szCs w:val="20"/>
          <w:color w:val="auto"/>
        </w:rPr>
      </w:pPr>
    </w:p>
    <w:p>
      <w:pPr>
        <w:ind w:left="2860" w:right="6400" w:hanging="1954"/>
        <w:spacing w:after="0" w:line="332" w:lineRule="auto"/>
        <w:tabs>
          <w:tab w:leader="none" w:pos="15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Borrowers: OSI Restaurant Partners, LLC Bloomin’ Brands, Inc.</w:t>
      </w:r>
    </w:p>
    <w:p>
      <w:pPr>
        <w:spacing w:after="0" w:line="116" w:lineRule="exact"/>
        <w:rPr>
          <w:rFonts w:ascii="Arial" w:cs="Arial" w:eastAsia="Arial" w:hAnsi="Arial"/>
          <w:sz w:val="18"/>
          <w:szCs w:val="18"/>
          <w:color w:val="auto"/>
        </w:rPr>
      </w:pPr>
    </w:p>
    <w:p>
      <w:pPr>
        <w:ind w:left="1520" w:hanging="614"/>
        <w:spacing w:after="0"/>
        <w:tabs>
          <w:tab w:leader="none" w:pos="15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Administrative Agent: Wells Fargo Bank, National Association</w:t>
      </w:r>
    </w:p>
    <w:p>
      <w:pPr>
        <w:spacing w:after="0" w:line="215" w:lineRule="exact"/>
        <w:rPr>
          <w:rFonts w:ascii="Arial" w:cs="Arial" w:eastAsia="Arial" w:hAnsi="Arial"/>
          <w:sz w:val="20"/>
          <w:szCs w:val="20"/>
          <w:color w:val="auto"/>
        </w:rPr>
      </w:pPr>
    </w:p>
    <w:p>
      <w:pPr>
        <w:ind w:left="1520" w:hanging="614"/>
        <w:spacing w:after="0"/>
        <w:tabs>
          <w:tab w:leader="none" w:pos="15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20"/>
          <w:szCs w:val="20"/>
          <w:color w:val="auto"/>
        </w:rPr>
        <w:t>Exhibit E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70" w:type="dxa"/>
        <w:tblCellMar>
          <w:top w:w="0" w:type="dxa"/>
          <w:left w:w="0" w:type="dxa"/>
          <w:bottom w:w="0" w:type="dxa"/>
          <w:right w:w="0" w:type="dxa"/>
        </w:tblCellMar>
      </w:tblPr>
      <w:tr>
        <w:trPr>
          <w:trHeight w:val="253"/>
        </w:trPr>
        <w:tc>
          <w:tcPr>
            <w:tcW w:w="2640" w:type="dxa"/>
            <w:vAlign w:val="bottom"/>
            <w:tcBorders>
              <w:top w:val="single" w:sz="8" w:color="auto"/>
              <w:left w:val="single" w:sz="8" w:color="auto"/>
              <w:right w:val="single" w:sz="8" w:color="auto"/>
            </w:tcBorders>
          </w:tcPr>
          <w:p>
            <w:pPr>
              <w:spacing w:after="0"/>
              <w:rPr>
                <w:sz w:val="22"/>
                <w:szCs w:val="22"/>
                <w:color w:val="auto"/>
              </w:rPr>
            </w:pP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Aggregate Amount of</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2600" w:type="dxa"/>
            <w:vAlign w:val="bottom"/>
            <w:tcBorders>
              <w:top w:val="single" w:sz="8" w:color="auto"/>
              <w:right w:val="single" w:sz="8" w:color="auto"/>
            </w:tcBorders>
            <w:vMerge w:val="restart"/>
          </w:tcPr>
          <w:p>
            <w:pPr>
              <w:jc w:val="right"/>
              <w:ind w:right="281"/>
              <w:spacing w:after="0"/>
              <w:rPr>
                <w:sz w:val="20"/>
                <w:szCs w:val="20"/>
                <w:color w:val="auto"/>
              </w:rPr>
            </w:pPr>
            <w:r>
              <w:rPr>
                <w:rFonts w:ascii="Arial" w:cs="Arial" w:eastAsia="Arial" w:hAnsi="Arial"/>
                <w:sz w:val="20"/>
                <w:szCs w:val="20"/>
                <w:color w:val="auto"/>
              </w:rPr>
              <w:t>Percentage Assigned of</w:t>
            </w:r>
          </w:p>
        </w:tc>
        <w:tc>
          <w:tcPr>
            <w:tcW w:w="0" w:type="dxa"/>
            <w:vAlign w:val="bottom"/>
          </w:tcPr>
          <w:p>
            <w:pPr>
              <w:spacing w:after="0"/>
              <w:rPr>
                <w:sz w:val="1"/>
                <w:szCs w:val="1"/>
                <w:color w:val="auto"/>
              </w:rPr>
            </w:pP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1"/>
              </w:rPr>
              <w:t>Commitment/Loans of</w:t>
            </w:r>
          </w:p>
        </w:tc>
        <w:tc>
          <w:tcPr>
            <w:tcW w:w="2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1"/>
              </w:rPr>
              <w:t>Commitment/Loans</w:t>
            </w:r>
          </w:p>
        </w:tc>
        <w:tc>
          <w:tcPr>
            <w:tcW w:w="2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264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20"/>
                <w:szCs w:val="20"/>
                <w:color w:val="auto"/>
              </w:rPr>
              <w:t>Facility</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all Lenders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Assigned</w:t>
            </w:r>
          </w:p>
        </w:tc>
        <w:tc>
          <w:tcPr>
            <w:tcW w:w="260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Commitment/ Loans</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77"/>
        </w:trPr>
        <w:tc>
          <w:tcPr>
            <w:tcW w:w="2640" w:type="dxa"/>
            <w:vAlign w:val="bottom"/>
            <w:tcBorders>
              <w:left w:val="single" w:sz="8" w:color="auto"/>
              <w:bottom w:val="single" w:sz="8" w:color="auto"/>
              <w:right w:val="single" w:sz="8" w:color="auto"/>
            </w:tcBorders>
          </w:tcPr>
          <w:p>
            <w:pPr>
              <w:ind w:left="40"/>
              <w:spacing w:after="0" w:line="277" w:lineRule="exact"/>
              <w:rPr>
                <w:sz w:val="20"/>
                <w:szCs w:val="20"/>
                <w:color w:val="auto"/>
              </w:rPr>
            </w:pPr>
            <w:r>
              <w:rPr>
                <w:rFonts w:ascii="Arial" w:cs="Arial" w:eastAsia="Arial" w:hAnsi="Arial"/>
                <w:sz w:val="20"/>
                <w:szCs w:val="20"/>
                <w:color w:val="auto"/>
              </w:rPr>
              <w:t>Term Loans</w:t>
            </w:r>
            <w:r>
              <w:rPr>
                <w:rFonts w:ascii="Arial" w:cs="Arial" w:eastAsia="Arial" w:hAnsi="Arial"/>
                <w:sz w:val="25"/>
                <w:szCs w:val="25"/>
                <w:color w:val="auto"/>
                <w:vertAlign w:val="superscript"/>
              </w:rPr>
              <w:t>2</w:t>
            </w:r>
          </w:p>
        </w:tc>
        <w:tc>
          <w:tcPr>
            <w:tcW w:w="2600" w:type="dxa"/>
            <w:vAlign w:val="bottom"/>
            <w:tcBorders>
              <w:bottom w:val="single" w:sz="8" w:color="auto"/>
              <w:right w:val="single" w:sz="8" w:color="auto"/>
            </w:tcBorders>
          </w:tcPr>
          <w:p>
            <w:pPr>
              <w:jc w:val="right"/>
              <w:ind w:right="2381"/>
              <w:spacing w:after="0"/>
              <w:rPr>
                <w:sz w:val="20"/>
                <w:szCs w:val="20"/>
                <w:color w:val="auto"/>
              </w:rPr>
            </w:pPr>
            <w:r>
              <w:rPr>
                <w:rFonts w:ascii="Arial" w:cs="Arial" w:eastAsia="Arial" w:hAnsi="Arial"/>
                <w:sz w:val="20"/>
                <w:szCs w:val="20"/>
                <w:color w:val="auto"/>
                <w:w w:val="89"/>
              </w:rPr>
              <w:t>$</w:t>
            </w:r>
          </w:p>
        </w:tc>
        <w:tc>
          <w:tcPr>
            <w:tcW w:w="2620" w:type="dxa"/>
            <w:vAlign w:val="bottom"/>
            <w:tcBorders>
              <w:bottom w:val="single" w:sz="8" w:color="auto"/>
              <w:right w:val="single" w:sz="8" w:color="auto"/>
            </w:tcBorders>
          </w:tcPr>
          <w:p>
            <w:pPr>
              <w:jc w:val="right"/>
              <w:ind w:right="2401"/>
              <w:spacing w:after="0"/>
              <w:rPr>
                <w:sz w:val="20"/>
                <w:szCs w:val="20"/>
                <w:color w:val="auto"/>
              </w:rPr>
            </w:pPr>
            <w:r>
              <w:rPr>
                <w:rFonts w:ascii="Arial" w:cs="Arial" w:eastAsia="Arial" w:hAnsi="Arial"/>
                <w:sz w:val="20"/>
                <w:szCs w:val="20"/>
                <w:color w:val="auto"/>
                <w:w w:val="89"/>
              </w:rPr>
              <w:t>$</w:t>
            </w:r>
          </w:p>
        </w:tc>
        <w:tc>
          <w:tcPr>
            <w:tcW w:w="2600" w:type="dxa"/>
            <w:vAlign w:val="bottom"/>
            <w:tcBorders>
              <w:bottom w:val="single" w:sz="8" w:color="auto"/>
              <w:right w:val="single" w:sz="8" w:color="auto"/>
            </w:tcBorders>
          </w:tcPr>
          <w:p>
            <w:pPr>
              <w:jc w:val="right"/>
              <w:ind w:right="232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3"/>
        </w:trPr>
        <w:tc>
          <w:tcPr>
            <w:tcW w:w="2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Revolving Credit</w:t>
            </w:r>
          </w:p>
        </w:tc>
        <w:tc>
          <w:tcPr>
            <w:tcW w:w="2600" w:type="dxa"/>
            <w:vAlign w:val="bottom"/>
            <w:tcBorders>
              <w:right w:val="single" w:sz="8" w:color="auto"/>
            </w:tcBorders>
          </w:tcPr>
          <w:p>
            <w:pPr>
              <w:jc w:val="right"/>
              <w:ind w:right="2381"/>
              <w:spacing w:after="0"/>
              <w:rPr>
                <w:sz w:val="20"/>
                <w:szCs w:val="20"/>
                <w:color w:val="auto"/>
              </w:rPr>
            </w:pPr>
            <w:r>
              <w:rPr>
                <w:rFonts w:ascii="Arial" w:cs="Arial" w:eastAsia="Arial" w:hAnsi="Arial"/>
                <w:sz w:val="20"/>
                <w:szCs w:val="20"/>
                <w:color w:val="auto"/>
                <w:w w:val="89"/>
              </w:rPr>
              <w:t>$</w:t>
            </w:r>
          </w:p>
        </w:tc>
        <w:tc>
          <w:tcPr>
            <w:tcW w:w="262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w w:val="89"/>
              </w:rPr>
              <w:t>$</w:t>
            </w:r>
          </w:p>
        </w:tc>
        <w:tc>
          <w:tcPr>
            <w:tcW w:w="2600" w:type="dxa"/>
            <w:vAlign w:val="bottom"/>
            <w:tcBorders>
              <w:right w:val="single" w:sz="8" w:color="auto"/>
            </w:tcBorders>
          </w:tcPr>
          <w:p>
            <w:pPr>
              <w:jc w:val="right"/>
              <w:ind w:right="232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73"/>
        </w:trPr>
        <w:tc>
          <w:tcPr>
            <w:tcW w:w="2640" w:type="dxa"/>
            <w:vAlign w:val="bottom"/>
            <w:tcBorders>
              <w:left w:val="single" w:sz="8" w:color="auto"/>
              <w:bottom w:val="single" w:sz="8" w:color="auto"/>
              <w:right w:val="single" w:sz="8" w:color="auto"/>
            </w:tcBorders>
          </w:tcPr>
          <w:p>
            <w:pPr>
              <w:ind w:left="40"/>
              <w:spacing w:after="0" w:line="274" w:lineRule="exact"/>
              <w:rPr>
                <w:sz w:val="20"/>
                <w:szCs w:val="20"/>
                <w:color w:val="auto"/>
              </w:rPr>
            </w:pPr>
            <w:r>
              <w:rPr>
                <w:rFonts w:ascii="Arial" w:cs="Arial" w:eastAsia="Arial" w:hAnsi="Arial"/>
                <w:sz w:val="20"/>
                <w:szCs w:val="20"/>
                <w:color w:val="auto"/>
              </w:rPr>
              <w:t>Facility</w:t>
            </w:r>
            <w:r>
              <w:rPr>
                <w:rFonts w:ascii="Arial" w:cs="Arial" w:eastAsia="Arial" w:hAnsi="Arial"/>
                <w:sz w:val="25"/>
                <w:szCs w:val="25"/>
                <w:color w:val="auto"/>
                <w:vertAlign w:val="superscript"/>
              </w:rPr>
              <w:t>3</w:t>
            </w:r>
          </w:p>
        </w:tc>
        <w:tc>
          <w:tcPr>
            <w:tcW w:w="2600" w:type="dxa"/>
            <w:vAlign w:val="bottom"/>
            <w:tcBorders>
              <w:bottom w:val="single" w:sz="8" w:color="auto"/>
              <w:right w:val="single" w:sz="8" w:color="auto"/>
            </w:tcBorders>
          </w:tcPr>
          <w:p>
            <w:pPr>
              <w:spacing w:after="0"/>
              <w:rPr>
                <w:sz w:val="23"/>
                <w:szCs w:val="23"/>
                <w:color w:val="auto"/>
              </w:rPr>
            </w:pPr>
          </w:p>
        </w:tc>
        <w:tc>
          <w:tcPr>
            <w:tcW w:w="262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64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right"/>
              <w:ind w:right="2381"/>
              <w:spacing w:after="0"/>
              <w:rPr>
                <w:sz w:val="20"/>
                <w:szCs w:val="20"/>
                <w:color w:val="auto"/>
              </w:rPr>
            </w:pPr>
            <w:r>
              <w:rPr>
                <w:rFonts w:ascii="Arial" w:cs="Arial" w:eastAsia="Arial" w:hAnsi="Arial"/>
                <w:sz w:val="20"/>
                <w:szCs w:val="20"/>
                <w:color w:val="auto"/>
                <w:w w:val="89"/>
              </w:rPr>
              <w:t>$</w:t>
            </w:r>
          </w:p>
        </w:tc>
        <w:tc>
          <w:tcPr>
            <w:tcW w:w="262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w w:val="89"/>
              </w:rPr>
              <w:t>$</w:t>
            </w:r>
          </w:p>
        </w:tc>
        <w:tc>
          <w:tcPr>
            <w:tcW w:w="2600" w:type="dxa"/>
            <w:vAlign w:val="bottom"/>
            <w:tcBorders>
              <w:right w:val="single" w:sz="8" w:color="auto"/>
            </w:tcBorders>
          </w:tcPr>
          <w:p>
            <w:pPr>
              <w:jc w:val="right"/>
              <w:ind w:right="2321"/>
              <w:spacing w:after="0"/>
              <w:rPr>
                <w:sz w:val="20"/>
                <w:szCs w:val="20"/>
                <w:color w:val="auto"/>
              </w:rPr>
            </w:pPr>
            <w:r>
              <w:rPr>
                <w:rFonts w:ascii="Arial" w:cs="Arial" w:eastAsia="Arial" w:hAnsi="Arial"/>
                <w:sz w:val="20"/>
                <w:szCs w:val="20"/>
                <w:color w:val="auto"/>
                <w:w w:val="89"/>
              </w:rPr>
              <w:t>%</w:t>
            </w:r>
          </w:p>
        </w:tc>
        <w:tc>
          <w:tcPr>
            <w:tcW w:w="0" w:type="dxa"/>
            <w:vAlign w:val="bottom"/>
          </w:tcPr>
          <w:p>
            <w:pPr>
              <w:spacing w:after="0"/>
              <w:rPr>
                <w:sz w:val="1"/>
                <w:szCs w:val="1"/>
                <w:color w:val="auto"/>
              </w:rPr>
            </w:pPr>
          </w:p>
        </w:tc>
      </w:tr>
      <w:tr>
        <w:trPr>
          <w:trHeight w:val="2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4427220</wp:posOffset>
            </wp:positionV>
            <wp:extent cx="14319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8"/>
          <w:szCs w:val="18"/>
          <w:color w:val="auto"/>
        </w:rPr>
        <w:t>Set forth, to at least 8 decimals, as a percentage of the Commitment/Loans of all Lenders thereunder.</w:t>
      </w:r>
    </w:p>
    <w:p>
      <w:pPr>
        <w:spacing w:after="0" w:line="23" w:lineRule="exact"/>
        <w:rPr>
          <w:sz w:val="20"/>
          <w:szCs w:val="20"/>
          <w:color w:val="auto"/>
        </w:rPr>
      </w:pPr>
    </w:p>
    <w:p>
      <w:pPr>
        <w:jc w:val="both"/>
        <w:ind w:left="260" w:right="100"/>
        <w:spacing w:after="0" w:line="279" w:lineRule="auto"/>
        <w:rPr>
          <w:sz w:val="20"/>
          <w:szCs w:val="20"/>
          <w:color w:val="auto"/>
        </w:rPr>
      </w:pPr>
      <w:r>
        <w:rPr>
          <w:rFonts w:ascii="Arial" w:cs="Arial" w:eastAsia="Arial" w:hAnsi="Arial"/>
          <w:sz w:val="12"/>
          <w:szCs w:val="12"/>
          <w:color w:val="auto"/>
        </w:rPr>
        <w:t xml:space="preserve">2 </w:t>
      </w:r>
      <w:r>
        <w:rPr>
          <w:rFonts w:ascii="Arial" w:cs="Arial" w:eastAsia="Arial" w:hAnsi="Arial"/>
          <w:sz w:val="18"/>
          <w:szCs w:val="18"/>
          <w:color w:val="auto"/>
        </w:rPr>
        <w:t>Specify the Class of Term Loans (i.e., Term Loans incurred on the Closing Date, Incremental Term Loans, Extended Term Loans or Other Term Loans).</w:t>
      </w:r>
      <w:r>
        <w:rPr>
          <w:rFonts w:ascii="Arial" w:cs="Arial" w:eastAsia="Arial" w:hAnsi="Arial"/>
          <w:sz w:val="12"/>
          <w:szCs w:val="12"/>
          <w:color w:val="auto"/>
        </w:rPr>
        <w:t xml:space="preserve"> 3 </w:t>
      </w:r>
      <w:r>
        <w:rPr>
          <w:rFonts w:ascii="Arial" w:cs="Arial" w:eastAsia="Arial" w:hAnsi="Arial"/>
          <w:sz w:val="18"/>
          <w:szCs w:val="18"/>
          <w:color w:val="auto"/>
        </w:rPr>
        <w:t>Specify the Class of Revolving Credit Commitments (i.e., Revolving Credit Commitment, Extended Revolving Credit Commitment or Other Revolving</w:t>
      </w:r>
      <w:r>
        <w:rPr>
          <w:rFonts w:ascii="Arial" w:cs="Arial" w:eastAsia="Arial" w:hAnsi="Arial"/>
          <w:sz w:val="12"/>
          <w:szCs w:val="12"/>
          <w:color w:val="auto"/>
        </w:rPr>
        <w:t xml:space="preserve"> </w:t>
      </w:r>
      <w:r>
        <w:rPr>
          <w:rFonts w:ascii="Arial" w:cs="Arial" w:eastAsia="Arial" w:hAnsi="Arial"/>
          <w:sz w:val="18"/>
          <w:szCs w:val="18"/>
          <w:color w:val="auto"/>
        </w:rPr>
        <w:t>Credit Commitment).</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190"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20"/>
          <w:szCs w:val="20"/>
          <w:color w:val="auto"/>
        </w:rPr>
        <w:t>Exhibit E Page 3</w:t>
      </w:r>
    </w:p>
    <w:p>
      <w:pPr>
        <w:spacing w:after="0" w:line="324"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378"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[NAME OF ASSIGNOR], as Assignor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3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27305</wp:posOffset>
            </wp:positionV>
            <wp:extent cx="21183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4" w:lineRule="exact"/>
        <w:rPr>
          <w:sz w:val="20"/>
          <w:szCs w:val="20"/>
          <w:color w:val="auto"/>
        </w:rPr>
      </w:pPr>
    </w:p>
    <w:p>
      <w:pPr>
        <w:jc w:val="right"/>
        <w:ind w:right="336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jc w:val="right"/>
        <w:ind w:right="3360"/>
        <w:spacing w:after="0"/>
        <w:rPr>
          <w:sz w:val="20"/>
          <w:szCs w:val="20"/>
          <w:color w:val="auto"/>
        </w:rPr>
      </w:pPr>
      <w:r>
        <w:rPr>
          <w:rFonts w:ascii="Arial" w:cs="Arial" w:eastAsia="Arial" w:hAnsi="Arial"/>
          <w:sz w:val="19"/>
          <w:szCs w:val="19"/>
          <w:color w:val="343636"/>
        </w:rPr>
        <w:t>Title:</w:t>
      </w:r>
    </w:p>
    <w:p>
      <w:pPr>
        <w:spacing w:after="0" w:line="381"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[NAME OF ASSIGNEE], as Assignee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33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27305</wp:posOffset>
            </wp:positionV>
            <wp:extent cx="21183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4" w:lineRule="exact"/>
        <w:rPr>
          <w:sz w:val="20"/>
          <w:szCs w:val="20"/>
          <w:color w:val="auto"/>
        </w:rPr>
      </w:pPr>
    </w:p>
    <w:p>
      <w:pPr>
        <w:jc w:val="right"/>
        <w:ind w:right="336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jc w:val="right"/>
        <w:ind w:right="3360"/>
        <w:spacing w:after="0"/>
        <w:rPr>
          <w:sz w:val="20"/>
          <w:szCs w:val="20"/>
          <w:color w:val="auto"/>
        </w:rPr>
      </w:pPr>
      <w:r>
        <w:rPr>
          <w:rFonts w:ascii="Arial" w:cs="Arial" w:eastAsia="Arial" w:hAnsi="Arial"/>
          <w:sz w:val="19"/>
          <w:szCs w:val="19"/>
          <w:color w:val="343636"/>
        </w:rPr>
        <w:t>Title:</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190"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20"/>
          <w:szCs w:val="20"/>
          <w:color w:val="auto"/>
        </w:rPr>
        <w:t>Exhibit E Page 4</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Accepted:</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 Administrative Agent</w:t>
      </w:r>
    </w:p>
    <w:p>
      <w:pPr>
        <w:spacing w:after="0" w:line="3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1266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9"/>
          <w:szCs w:val="19"/>
          <w:color w:val="343636"/>
        </w:rPr>
        <w:t>Title:</w:t>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[Consented to:</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[PRINCIPAL L/C ISSUER], as L/C Issuer</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1266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9"/>
          <w:szCs w:val="19"/>
          <w:color w:val="343636"/>
        </w:rPr>
        <w:t>Title:</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[WELLS FARGO BANK, NATIONAL ASSOCIATION, as Swing Line Lender]</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1266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9"/>
          <w:szCs w:val="19"/>
          <w:color w:val="343636"/>
        </w:rPr>
        <w:t>Title:]</w:t>
      </w:r>
      <w:r>
        <w:rPr>
          <w:rFonts w:ascii="Arial" w:cs="Arial" w:eastAsia="Arial" w:hAnsi="Arial"/>
          <w:sz w:val="15"/>
          <w:szCs w:val="15"/>
          <w:color w:val="343636"/>
        </w:rPr>
        <w:t>5</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[OSI RESTAURANT PARTNERS, LLC, as a Borrower</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1266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9"/>
          <w:szCs w:val="19"/>
          <w:color w:val="343636"/>
        </w:rPr>
        <w:t>Title:]</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[BLOOMIN’ BRANDS, INC., as a Borrower</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21266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Name:</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9"/>
          <w:szCs w:val="19"/>
          <w:color w:val="343636"/>
        </w:rPr>
        <w:t>Title:]</w:t>
      </w:r>
      <w:r>
        <w:rPr>
          <w:rFonts w:ascii="Arial" w:cs="Arial" w:eastAsia="Arial" w:hAnsi="Arial"/>
          <w:sz w:val="15"/>
          <w:szCs w:val="15"/>
          <w:color w:val="343636"/>
        </w:rPr>
        <w:t>6</w:t>
      </w:r>
    </w:p>
    <w:p>
      <w:pPr>
        <w:spacing w:after="0" w:line="316" w:lineRule="exact"/>
        <w:rPr>
          <w:sz w:val="20"/>
          <w:szCs w:val="20"/>
          <w:color w:val="auto"/>
        </w:rPr>
      </w:pPr>
    </w:p>
    <w:p>
      <w:pPr>
        <w:ind w:right="380" w:firstLine="8"/>
        <w:spacing w:after="0" w:line="267" w:lineRule="auto"/>
        <w:tabs>
          <w:tab w:leader="none" w:pos="92" w:val="left"/>
        </w:tabs>
        <w:numPr>
          <w:ilvl w:val="0"/>
          <w:numId w:val="325"/>
        </w:numPr>
        <w:rPr>
          <w:rFonts w:ascii="Arial" w:cs="Arial" w:eastAsia="Arial" w:hAnsi="Arial"/>
          <w:sz w:val="22"/>
          <w:szCs w:val="22"/>
          <w:color w:val="auto"/>
          <w:vertAlign w:val="superscript"/>
        </w:rPr>
      </w:pPr>
      <w:r>
        <w:rPr>
          <w:rFonts w:ascii="Arial" w:cs="Arial" w:eastAsia="Arial" w:hAnsi="Arial"/>
          <w:sz w:val="16"/>
          <w:szCs w:val="16"/>
          <w:color w:val="auto"/>
        </w:rPr>
        <w:t>No consent of the Administrative Agent shall be required for (i) an assignment of all or any portion of a Loan to a Lender, an Affiliate of a Lender or an Approved Fund or (ii) an assignment to an Agent or an Affiliate of an Agent.</w:t>
      </w:r>
    </w:p>
    <w:p>
      <w:pPr>
        <w:ind w:right="60"/>
        <w:spacing w:after="0" w:line="222"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No consent of any Principal L/C Issuer or the Swing Line Lender shall be required for (i) an assignment of a Term Loan or (ii) an assignment to an Agent or an Affiliate of an Agent.</w:t>
      </w:r>
    </w:p>
    <w:p>
      <w:pPr>
        <w:spacing w:after="0" w:line="1" w:lineRule="exact"/>
        <w:rPr>
          <w:rFonts w:ascii="Arial" w:cs="Arial" w:eastAsia="Arial" w:hAnsi="Arial"/>
          <w:sz w:val="22"/>
          <w:szCs w:val="22"/>
          <w:color w:val="auto"/>
          <w:vertAlign w:val="superscript"/>
        </w:rPr>
      </w:pPr>
    </w:p>
    <w:p>
      <w:pPr>
        <w:ind w:right="120"/>
        <w:spacing w:after="0" w:line="252"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No consent of the Borrowers shall be required for (i) an assignment of a Term Loan to a Lender, an Affiliate of a Lender, an Approved Fund, (ii) an assignment of a Revolving Credit Commitment to a Revolving Credit Lender or Affiliate of a Revolving Credit Lender or an Approved Fund of a Revolving Credit Lender or (iii) if an Event of Default under Section 8.01(a), (f) or (g) of the Credit Agreement has occurred and is continuing, an assignment to any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-1214120</wp:posOffset>
            </wp:positionV>
            <wp:extent cx="14319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ectPr>
          <w:pgSz w:w="11900" w:h="16838" w:orient="portrait"/>
          <w:cols w:equalWidth="0" w:num="1">
            <w:col w:w="11420"/>
          </w:cols>
          <w:pgMar w:left="240" w:top="190" w:right="2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96064450_3</w:t>
      </w:r>
    </w:p>
    <w:p>
      <w:pPr>
        <w:sectPr>
          <w:pgSz w:w="11900" w:h="16838" w:orient="portrait"/>
          <w:cols w:equalWidth="0" w:num="1">
            <w:col w:w="11420"/>
          </w:cols>
          <w:pgMar w:left="240" w:top="190" w:right="239" w:bottom="1440" w:gutter="0" w:footer="0" w:header="0"/>
          <w:type w:val="continuous"/>
        </w:sectPr>
      </w:pPr>
    </w:p>
    <w:bookmarkStart w:id="363" w:name="page364"/>
    <w:bookmarkEnd w:id="363"/>
    <w:p>
      <w:pPr>
        <w:jc w:val="right"/>
        <w:spacing w:after="0"/>
        <w:rPr>
          <w:sz w:val="20"/>
          <w:szCs w:val="20"/>
          <w:color w:val="auto"/>
        </w:rPr>
      </w:pPr>
      <w:r>
        <w:rPr>
          <w:rFonts w:ascii="Arial" w:cs="Arial" w:eastAsia="Arial" w:hAnsi="Arial"/>
          <w:sz w:val="20"/>
          <w:szCs w:val="20"/>
          <w:color w:val="auto"/>
        </w:rPr>
        <w:t>ANNEX 1</w:t>
      </w:r>
    </w:p>
    <w:p>
      <w:pPr>
        <w:spacing w:after="0" w:line="210"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CREDIT AGREEMENT</w:t>
      </w:r>
      <w:r>
        <w:rPr>
          <w:rFonts w:ascii="Arial" w:cs="Arial" w:eastAsia="Arial" w:hAnsi="Arial"/>
          <w:sz w:val="25"/>
          <w:szCs w:val="25"/>
          <w:b w:val="1"/>
          <w:bCs w:val="1"/>
          <w:color w:val="auto"/>
          <w:vertAlign w:val="superscript"/>
        </w:rPr>
        <w:t>1</w:t>
      </w:r>
    </w:p>
    <w:p>
      <w:pPr>
        <w:spacing w:after="0" w:line="158" w:lineRule="exact"/>
        <w:rPr>
          <w:sz w:val="20"/>
          <w:szCs w:val="20"/>
          <w:color w:val="auto"/>
        </w:rPr>
      </w:pPr>
    </w:p>
    <w:p>
      <w:pPr>
        <w:ind w:left="2420"/>
        <w:spacing w:after="0"/>
        <w:rPr>
          <w:sz w:val="20"/>
          <w:szCs w:val="20"/>
          <w:color w:val="auto"/>
        </w:rPr>
      </w:pPr>
      <w:r>
        <w:rPr>
          <w:rFonts w:ascii="Arial" w:cs="Arial" w:eastAsia="Arial" w:hAnsi="Arial"/>
          <w:sz w:val="20"/>
          <w:szCs w:val="20"/>
          <w:b w:val="1"/>
          <w:bCs w:val="1"/>
          <w:color w:val="auto"/>
        </w:rPr>
        <w:t xml:space="preserve">STANDARD TERMS AND CONDITIONS FOR </w:t>
      </w:r>
      <w:r>
        <w:rPr>
          <w:rFonts w:ascii="Arial" w:cs="Arial" w:eastAsia="Arial" w:hAnsi="Arial"/>
          <w:sz w:val="20"/>
          <w:szCs w:val="20"/>
          <w:b w:val="1"/>
          <w:bCs w:val="1"/>
          <w:u w:val="single" w:color="auto"/>
          <w:color w:val="auto"/>
        </w:rPr>
        <w:t>ASSIGNMENT AND ASSUMPTION</w:t>
      </w:r>
    </w:p>
    <w:p>
      <w:pPr>
        <w:spacing w:after="0" w:line="222" w:lineRule="exact"/>
        <w:rPr>
          <w:sz w:val="20"/>
          <w:szCs w:val="20"/>
          <w:color w:val="auto"/>
        </w:rPr>
      </w:pPr>
    </w:p>
    <w:p>
      <w:pPr>
        <w:ind w:left="1700" w:hanging="774"/>
        <w:spacing w:after="0"/>
        <w:tabs>
          <w:tab w:leader="none" w:pos="1700" w:val="left"/>
        </w:tabs>
        <w:numPr>
          <w:ilvl w:val="0"/>
          <w:numId w:val="32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580"/>
        <w:spacing w:after="0"/>
        <w:tabs>
          <w:tab w:leader="none" w:pos="19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w:t>
      </w:r>
    </w:p>
    <w:p>
      <w:pPr>
        <w:spacing w:after="0" w:line="16" w:lineRule="exact"/>
        <w:rPr>
          <w:sz w:val="20"/>
          <w:szCs w:val="20"/>
          <w:color w:val="auto"/>
        </w:rPr>
      </w:pPr>
    </w:p>
    <w:p>
      <w:pPr>
        <w:jc w:val="both"/>
        <w:ind w:left="280" w:hanging="2"/>
        <w:spacing w:after="0" w:line="255" w:lineRule="auto"/>
        <w:tabs>
          <w:tab w:leader="none" w:pos="579"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(ii) the execution, legality, validity, enforceability, genuineness, sufficiency or value of the Credit Agreement, (iii) the financial condition of, the Borrowers or any of their Subsidiaries or Affiliates or any other Person obligated in respect of the Credit Agreement or (iv) the performance or observance by the Borrowers or any of their Subsidiaries or Affiliates or any other Person of any of their obligations under the Credit Agreement.</w:t>
      </w:r>
    </w:p>
    <w:p>
      <w:pPr>
        <w:spacing w:after="0" w:line="182" w:lineRule="exact"/>
        <w:rPr>
          <w:sz w:val="20"/>
          <w:szCs w:val="20"/>
          <w:color w:val="auto"/>
        </w:rPr>
      </w:pPr>
    </w:p>
    <w:p>
      <w:pPr>
        <w:jc w:val="both"/>
        <w:ind w:left="280" w:firstLine="1296"/>
        <w:spacing w:after="0" w:line="245"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Assignee</w:t>
      </w:r>
      <w:r>
        <w:rPr>
          <w:rFonts w:ascii="Arial" w:cs="Arial" w:eastAsia="Arial" w:hAnsi="Arial"/>
          <w:sz w:val="20"/>
          <w:szCs w:val="20"/>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jc w:val="both"/>
        <w:ind w:left="280" w:hanging="2"/>
        <w:spacing w:after="0" w:line="269" w:lineRule="auto"/>
        <w:tabs>
          <w:tab w:leader="none" w:pos="76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any Agent or any other Lender, and (v) if it is a Foreign Lender, attached to this Assignment and Assumption is any documentation required to be delivered by it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of the Credit Agreement, duly completed and executed by the Assignee; and (b) agrees that (i) it will, independently and without reliance on the Assignor, any Agent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spacing w:after="0" w:line="198" w:lineRule="exact"/>
        <w:rPr>
          <w:rFonts w:ascii="Arial" w:cs="Arial" w:eastAsia="Arial" w:hAnsi="Arial"/>
          <w:sz w:val="18"/>
          <w:szCs w:val="18"/>
          <w:color w:val="auto"/>
        </w:rPr>
      </w:pPr>
    </w:p>
    <w:p>
      <w:pPr>
        <w:jc w:val="both"/>
        <w:ind w:left="280" w:firstLine="646"/>
        <w:spacing w:after="0" w:line="299" w:lineRule="auto"/>
        <w:tabs>
          <w:tab w:leader="none" w:pos="1725" w:val="left"/>
        </w:tabs>
        <w:numPr>
          <w:ilvl w:val="1"/>
          <w:numId w:val="328"/>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14319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both"/>
        <w:ind w:firstLine="8"/>
        <w:spacing w:after="0" w:line="255" w:lineRule="auto"/>
        <w:tabs>
          <w:tab w:leader="none" w:pos="106" w:val="left"/>
        </w:tabs>
        <w:numPr>
          <w:ilvl w:val="0"/>
          <w:numId w:val="329"/>
        </w:numPr>
        <w:rPr>
          <w:rFonts w:ascii="Arial" w:cs="Arial" w:eastAsia="Arial" w:hAnsi="Arial"/>
          <w:sz w:val="25"/>
          <w:szCs w:val="25"/>
          <w:color w:val="auto"/>
          <w:vertAlign w:val="superscript"/>
        </w:rPr>
      </w:pPr>
      <w:r>
        <w:rPr>
          <w:rFonts w:ascii="Arial" w:cs="Arial" w:eastAsia="Arial" w:hAnsi="Arial"/>
          <w:sz w:val="18"/>
          <w:szCs w:val="18"/>
          <w:color w:val="auto"/>
        </w:rPr>
        <w:t>Capitalized terms used in this Assignment and Assumption and not otherwise defined herein have the meanings specified in the Amended and Restated Credit Agreement dated of November 30, 2017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OSI Restaurant Partners, LLC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Bank, National Association,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Swing Line Lender and an L/C Issuer.</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20"/>
          <w:szCs w:val="20"/>
          <w:color w:val="auto"/>
        </w:rPr>
        <w:t>Annex 1</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Page 2</w:t>
      </w:r>
    </w:p>
    <w:p>
      <w:pPr>
        <w:spacing w:after="0" w:line="330" w:lineRule="exact"/>
        <w:rPr>
          <w:sz w:val="20"/>
          <w:szCs w:val="20"/>
          <w:color w:val="auto"/>
        </w:rPr>
      </w:pPr>
    </w:p>
    <w:p>
      <w:pPr>
        <w:jc w:val="both"/>
        <w:ind w:left="260" w:firstLine="646"/>
        <w:spacing w:after="0" w:line="310" w:lineRule="auto"/>
        <w:tabs>
          <w:tab w:leader="none" w:pos="1705"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other electronic transmission shall be as effective as delivery of a manually executed counterpart of this Assignment and Assumption. This Assignment and Assumption shall be construed in accordance with and governed by the law of the State of New York.</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204"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20"/>
          <w:szCs w:val="20"/>
          <w:color w:val="auto"/>
        </w:rPr>
        <w:t>EXHIBIT F</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GUARANTY</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20"/>
          <w:szCs w:val="20"/>
          <w:color w:val="auto"/>
        </w:rPr>
        <w:t>E</w:t>
      </w:r>
      <w:r>
        <w:rPr>
          <w:rFonts w:ascii="Arial" w:cs="Arial" w:eastAsia="Arial" w:hAnsi="Arial"/>
          <w:sz w:val="16"/>
          <w:szCs w:val="16"/>
          <w:color w:val="auto"/>
        </w:rPr>
        <w:t>XECUTION</w:t>
      </w:r>
      <w:r>
        <w:rPr>
          <w:rFonts w:ascii="Arial" w:cs="Arial" w:eastAsia="Arial" w:hAnsi="Arial"/>
          <w:sz w:val="20"/>
          <w:szCs w:val="20"/>
          <w:color w:val="auto"/>
        </w:rPr>
        <w:t xml:space="preserve"> V</w:t>
      </w:r>
      <w:r>
        <w:rPr>
          <w:rFonts w:ascii="Arial" w:cs="Arial" w:eastAsia="Arial" w:hAnsi="Arial"/>
          <w:sz w:val="16"/>
          <w:szCs w:val="16"/>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AMENDED AND RESTATED GUARANTY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30,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OSI RESTAURANT PARTNERS,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BLOOMIN’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SUBSIDIARIES OF BLOOMIN’ BRANDS,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IDENTIFIED HEREIN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Ref: CID# 000010817</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20"/>
          </w:cols>
          <w:pgMar w:left="240" w:top="433" w:right="23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40" w:type="dxa"/>
            <w:vAlign w:val="bottom"/>
            <w:gridSpan w:val="9"/>
          </w:tcPr>
          <w:p>
            <w:pPr>
              <w:ind w:left="80"/>
              <w:spacing w:after="0"/>
              <w:rPr>
                <w:sz w:val="20"/>
                <w:szCs w:val="20"/>
                <w:color w:val="auto"/>
              </w:rPr>
            </w:pPr>
            <w:r>
              <w:rPr>
                <w:rFonts w:ascii="Arial" w:cs="Arial" w:eastAsia="Arial" w:hAnsi="Arial"/>
                <w:sz w:val="20"/>
                <w:szCs w:val="20"/>
                <w:b w:val="1"/>
                <w:bCs w:val="1"/>
                <w:color w:val="auto"/>
              </w:rPr>
              <w:t>Table of Contents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588"/>
        </w:trPr>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jc w:val="right"/>
              <w:ind w:right="650"/>
              <w:spacing w:after="0"/>
              <w:rPr>
                <w:sz w:val="20"/>
                <w:szCs w:val="20"/>
                <w:color w:val="auto"/>
              </w:rPr>
            </w:pPr>
            <w:r>
              <w:rPr>
                <w:rFonts w:ascii="Arial" w:cs="Arial" w:eastAsia="Arial" w:hAnsi="Arial"/>
                <w:sz w:val="20"/>
                <w:szCs w:val="20"/>
                <w:b w:val="1"/>
                <w:bCs w:val="1"/>
                <w:color w:val="auto"/>
                <w:w w:val="79"/>
              </w:rPr>
              <w:t>Page</w:t>
            </w:r>
          </w:p>
        </w:tc>
      </w:tr>
      <w:tr>
        <w:trPr>
          <w:trHeight w:val="632"/>
        </w:trPr>
        <w:tc>
          <w:tcPr>
            <w:tcW w:w="2060" w:type="dxa"/>
            <w:vAlign w:val="bottom"/>
          </w:tcPr>
          <w:p>
            <w:pPr>
              <w:spacing w:after="0"/>
              <w:rPr>
                <w:sz w:val="20"/>
                <w:szCs w:val="20"/>
                <w:color w:val="auto"/>
              </w:rPr>
            </w:pPr>
            <w:r>
              <w:rPr>
                <w:rFonts w:ascii="Arial" w:cs="Arial" w:eastAsia="Arial" w:hAnsi="Arial"/>
                <w:sz w:val="20"/>
                <w:szCs w:val="20"/>
                <w:color w:val="auto"/>
              </w:rPr>
              <w:t>ARTICLE I</w:t>
            </w:r>
          </w:p>
        </w:tc>
        <w:tc>
          <w:tcPr>
            <w:tcW w:w="6600" w:type="dxa"/>
            <w:vAlign w:val="bottom"/>
            <w:gridSpan w:val="30"/>
          </w:tcPr>
          <w:p>
            <w:pPr>
              <w:ind w:left="640"/>
              <w:spacing w:after="0"/>
              <w:rPr>
                <w:sz w:val="20"/>
                <w:szCs w:val="20"/>
                <w:color w:val="auto"/>
              </w:rPr>
            </w:pPr>
            <w:r>
              <w:rPr>
                <w:rFonts w:ascii="Arial" w:cs="Arial" w:eastAsia="Arial" w:hAnsi="Arial"/>
                <w:sz w:val="20"/>
                <w:szCs w:val="20"/>
                <w:color w:val="auto"/>
              </w:rPr>
              <w:t>Definitions</w:t>
            </w:r>
          </w:p>
        </w:tc>
        <w:tc>
          <w:tcPr>
            <w:tcW w:w="9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Pr>
          <w:p>
            <w:pPr>
              <w:jc w:val="right"/>
              <w:spacing w:after="0"/>
              <w:rPr>
                <w:rFonts w:ascii="Arial" w:cs="Arial" w:eastAsia="Arial" w:hAnsi="Arial"/>
                <w:sz w:val="18"/>
                <w:szCs w:val="18"/>
                <w:color w:val="auto"/>
              </w:rPr>
            </w:pPr>
            <w:hyperlink w:anchor="page369">
              <w:r>
                <w:rPr>
                  <w:rFonts w:ascii="Arial" w:cs="Arial" w:eastAsia="Arial" w:hAnsi="Arial"/>
                  <w:sz w:val="18"/>
                  <w:szCs w:val="18"/>
                  <w:color w:val="auto"/>
                </w:rPr>
                <w:t>1</w:t>
              </w:r>
            </w:hyperlink>
          </w:p>
        </w:tc>
      </w:tr>
      <w:tr>
        <w:trPr>
          <w:trHeight w:val="469"/>
        </w:trPr>
        <w:tc>
          <w:tcPr>
            <w:tcW w:w="2060" w:type="dxa"/>
            <w:vAlign w:val="bottom"/>
          </w:tcPr>
          <w:p>
            <w:pPr>
              <w:ind w:left="360"/>
              <w:spacing w:after="0"/>
              <w:rPr>
                <w:sz w:val="20"/>
                <w:szCs w:val="20"/>
                <w:color w:val="auto"/>
              </w:rPr>
            </w:pPr>
            <w:r>
              <w:rPr>
                <w:rFonts w:ascii="Arial" w:cs="Arial" w:eastAsia="Arial" w:hAnsi="Arial"/>
                <w:sz w:val="20"/>
                <w:szCs w:val="20"/>
                <w:color w:val="auto"/>
              </w:rPr>
              <w:t>Section 1.01.</w:t>
            </w:r>
          </w:p>
        </w:tc>
        <w:tc>
          <w:tcPr>
            <w:tcW w:w="880" w:type="dxa"/>
            <w:vAlign w:val="bottom"/>
          </w:tcPr>
          <w:p>
            <w:pPr>
              <w:spacing w:after="0"/>
              <w:rPr>
                <w:sz w:val="24"/>
                <w:szCs w:val="24"/>
                <w:color w:val="auto"/>
              </w:rPr>
            </w:pPr>
          </w:p>
        </w:tc>
        <w:tc>
          <w:tcPr>
            <w:tcW w:w="1440" w:type="dxa"/>
            <w:vAlign w:val="bottom"/>
            <w:tcBorders>
              <w:bottom w:val="single" w:sz="8" w:color="auto"/>
            </w:tcBorders>
            <w:gridSpan w:val="9"/>
          </w:tcPr>
          <w:p>
            <w:pPr>
              <w:spacing w:after="0"/>
              <w:rPr>
                <w:rFonts w:ascii="Arial" w:cs="Arial" w:eastAsia="Arial" w:hAnsi="Arial"/>
                <w:sz w:val="20"/>
                <w:szCs w:val="20"/>
                <w:color w:val="auto"/>
                <w:w w:val="90"/>
              </w:rPr>
            </w:pPr>
            <w:hyperlink w:anchor="page369">
              <w:r>
                <w:rPr>
                  <w:rFonts w:ascii="Arial" w:cs="Arial" w:eastAsia="Arial" w:hAnsi="Arial"/>
                  <w:sz w:val="20"/>
                  <w:szCs w:val="20"/>
                  <w:color w:val="auto"/>
                  <w:w w:val="90"/>
                </w:rPr>
                <w:t>Credit Agreement</w:t>
              </w:r>
            </w:hyperlink>
          </w:p>
        </w:tc>
        <w:tc>
          <w:tcPr>
            <w:tcW w:w="4280" w:type="dxa"/>
            <w:vAlign w:val="bottom"/>
            <w:gridSpan w:val="20"/>
          </w:tcPr>
          <w:p>
            <w:pPr>
              <w:spacing w:after="0"/>
              <w:rPr>
                <w:sz w:val="24"/>
                <w:szCs w:val="24"/>
                <w:color w:val="auto"/>
              </w:rPr>
            </w:pPr>
          </w:p>
        </w:tc>
        <w:tc>
          <w:tcPr>
            <w:tcW w:w="2100" w:type="dxa"/>
            <w:vAlign w:val="bottom"/>
            <w:gridSpan w:val="3"/>
          </w:tcPr>
          <w:p>
            <w:pPr>
              <w:jc w:val="right"/>
              <w:spacing w:after="0"/>
              <w:rPr>
                <w:rFonts w:ascii="Arial" w:cs="Arial" w:eastAsia="Arial" w:hAnsi="Arial"/>
                <w:sz w:val="20"/>
                <w:szCs w:val="20"/>
                <w:color w:val="auto"/>
              </w:rPr>
            </w:pPr>
            <w:hyperlink w:anchor="page369">
              <w:r>
                <w:rPr>
                  <w:rFonts w:ascii="Arial" w:cs="Arial" w:eastAsia="Arial" w:hAnsi="Arial"/>
                  <w:sz w:val="20"/>
                  <w:szCs w:val="20"/>
                  <w:color w:val="auto"/>
                </w:rPr>
                <w:t>1</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1.02.</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69">
              <w:r>
                <w:rPr>
                  <w:rFonts w:ascii="Arial" w:cs="Arial" w:eastAsia="Arial" w:hAnsi="Arial"/>
                  <w:sz w:val="20"/>
                  <w:szCs w:val="20"/>
                  <w:color w:val="auto"/>
                </w:rPr>
                <w:t>Other Defined Terms</w:t>
              </w:r>
            </w:hyperlink>
          </w:p>
        </w:tc>
        <w:tc>
          <w:tcPr>
            <w:tcW w:w="2100" w:type="dxa"/>
            <w:vAlign w:val="bottom"/>
            <w:gridSpan w:val="3"/>
          </w:tcPr>
          <w:p>
            <w:pPr>
              <w:jc w:val="right"/>
              <w:spacing w:after="0"/>
              <w:rPr>
                <w:rFonts w:ascii="Arial" w:cs="Arial" w:eastAsia="Arial" w:hAnsi="Arial"/>
                <w:sz w:val="20"/>
                <w:szCs w:val="20"/>
                <w:color w:val="auto"/>
              </w:rPr>
            </w:pPr>
            <w:hyperlink w:anchor="page369">
              <w:r>
                <w:rPr>
                  <w:rFonts w:ascii="Arial" w:cs="Arial" w:eastAsia="Arial" w:hAnsi="Arial"/>
                  <w:sz w:val="20"/>
                  <w:szCs w:val="20"/>
                  <w:color w:val="auto"/>
                </w:rPr>
                <w:t>1</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430"/>
        </w:trPr>
        <w:tc>
          <w:tcPr>
            <w:tcW w:w="2060" w:type="dxa"/>
            <w:vAlign w:val="bottom"/>
          </w:tcPr>
          <w:p>
            <w:pPr>
              <w:spacing w:after="0"/>
              <w:rPr>
                <w:sz w:val="20"/>
                <w:szCs w:val="20"/>
                <w:color w:val="auto"/>
              </w:rPr>
            </w:pPr>
            <w:r>
              <w:rPr>
                <w:rFonts w:ascii="Arial" w:cs="Arial" w:eastAsia="Arial" w:hAnsi="Arial"/>
                <w:sz w:val="20"/>
                <w:szCs w:val="20"/>
                <w:color w:val="auto"/>
              </w:rPr>
              <w:t>ARTICLE II</w:t>
            </w:r>
          </w:p>
        </w:tc>
        <w:tc>
          <w:tcPr>
            <w:tcW w:w="6600" w:type="dxa"/>
            <w:vAlign w:val="bottom"/>
            <w:gridSpan w:val="30"/>
          </w:tcPr>
          <w:p>
            <w:pPr>
              <w:ind w:left="640"/>
              <w:spacing w:after="0"/>
              <w:rPr>
                <w:sz w:val="20"/>
                <w:szCs w:val="20"/>
                <w:color w:val="auto"/>
              </w:rPr>
            </w:pPr>
            <w:r>
              <w:rPr>
                <w:rFonts w:ascii="Arial" w:cs="Arial" w:eastAsia="Arial" w:hAnsi="Arial"/>
                <w:sz w:val="20"/>
                <w:szCs w:val="20"/>
                <w:color w:val="auto"/>
              </w:rPr>
              <w:t>Guaranty</w:t>
            </w:r>
          </w:p>
        </w:tc>
        <w:tc>
          <w:tcPr>
            <w:tcW w:w="2100" w:type="dxa"/>
            <w:vAlign w:val="bottom"/>
            <w:gridSpan w:val="3"/>
          </w:tcPr>
          <w:p>
            <w:pPr>
              <w:jc w:val="right"/>
              <w:spacing w:after="0"/>
              <w:rPr>
                <w:rFonts w:ascii="Arial" w:cs="Arial" w:eastAsia="Arial" w:hAnsi="Arial"/>
                <w:sz w:val="20"/>
                <w:szCs w:val="20"/>
                <w:color w:val="auto"/>
              </w:rPr>
            </w:pPr>
            <w:hyperlink w:anchor="page370">
              <w:r>
                <w:rPr>
                  <w:rFonts w:ascii="Arial" w:cs="Arial" w:eastAsia="Arial" w:hAnsi="Arial"/>
                  <w:sz w:val="20"/>
                  <w:szCs w:val="20"/>
                  <w:color w:val="auto"/>
                </w:rPr>
                <w:t>2</w:t>
              </w:r>
            </w:hyperlink>
          </w:p>
        </w:tc>
      </w:tr>
      <w:tr>
        <w:trPr>
          <w:trHeight w:val="361"/>
        </w:trPr>
        <w:tc>
          <w:tcPr>
            <w:tcW w:w="2060" w:type="dxa"/>
            <w:vAlign w:val="bottom"/>
          </w:tcPr>
          <w:p>
            <w:pPr>
              <w:ind w:left="360"/>
              <w:spacing w:after="0"/>
              <w:rPr>
                <w:sz w:val="20"/>
                <w:szCs w:val="20"/>
                <w:color w:val="auto"/>
              </w:rPr>
            </w:pPr>
            <w:r>
              <w:rPr>
                <w:rFonts w:ascii="Arial" w:cs="Arial" w:eastAsia="Arial" w:hAnsi="Arial"/>
                <w:sz w:val="20"/>
                <w:szCs w:val="20"/>
                <w:color w:val="auto"/>
              </w:rPr>
              <w:t>Section 2.01.</w:t>
            </w:r>
          </w:p>
        </w:tc>
        <w:tc>
          <w:tcPr>
            <w:tcW w:w="880" w:type="dxa"/>
            <w:vAlign w:val="bottom"/>
          </w:tcPr>
          <w:p>
            <w:pPr>
              <w:spacing w:after="0"/>
              <w:rPr>
                <w:sz w:val="24"/>
                <w:szCs w:val="24"/>
                <w:color w:val="auto"/>
              </w:rPr>
            </w:pPr>
          </w:p>
        </w:tc>
        <w:tc>
          <w:tcPr>
            <w:tcW w:w="5720" w:type="dxa"/>
            <w:vAlign w:val="bottom"/>
            <w:gridSpan w:val="29"/>
          </w:tcPr>
          <w:p>
            <w:pPr>
              <w:spacing w:after="0"/>
              <w:rPr>
                <w:rFonts w:ascii="Arial" w:cs="Arial" w:eastAsia="Arial" w:hAnsi="Arial"/>
                <w:sz w:val="20"/>
                <w:szCs w:val="20"/>
                <w:color w:val="auto"/>
              </w:rPr>
            </w:pPr>
            <w:hyperlink w:anchor="page370">
              <w:r>
                <w:rPr>
                  <w:rFonts w:ascii="Arial" w:cs="Arial" w:eastAsia="Arial" w:hAnsi="Arial"/>
                  <w:sz w:val="20"/>
                  <w:szCs w:val="20"/>
                  <w:color w:val="auto"/>
                </w:rPr>
                <w:t>Guaranty</w:t>
              </w:r>
            </w:hyperlink>
          </w:p>
        </w:tc>
        <w:tc>
          <w:tcPr>
            <w:tcW w:w="2100" w:type="dxa"/>
            <w:vAlign w:val="bottom"/>
            <w:gridSpan w:val="3"/>
          </w:tcPr>
          <w:p>
            <w:pPr>
              <w:jc w:val="right"/>
              <w:spacing w:after="0"/>
              <w:rPr>
                <w:rFonts w:ascii="Arial" w:cs="Arial" w:eastAsia="Arial" w:hAnsi="Arial"/>
                <w:sz w:val="20"/>
                <w:szCs w:val="20"/>
                <w:color w:val="auto"/>
              </w:rPr>
            </w:pPr>
            <w:hyperlink w:anchor="page370">
              <w:r>
                <w:rPr>
                  <w:rFonts w:ascii="Arial" w:cs="Arial" w:eastAsia="Arial" w:hAnsi="Arial"/>
                  <w:sz w:val="20"/>
                  <w:szCs w:val="20"/>
                  <w:color w:val="auto"/>
                </w:rPr>
                <w:t>2</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2.02.</w:t>
            </w:r>
          </w:p>
        </w:tc>
        <w:tc>
          <w:tcPr>
            <w:tcW w:w="880" w:type="dxa"/>
            <w:vAlign w:val="bottom"/>
          </w:tcPr>
          <w:p>
            <w:pPr>
              <w:spacing w:after="0"/>
              <w:rPr>
                <w:sz w:val="22"/>
                <w:szCs w:val="22"/>
                <w:color w:val="auto"/>
              </w:rPr>
            </w:pPr>
          </w:p>
        </w:tc>
        <w:tc>
          <w:tcPr>
            <w:tcW w:w="1780" w:type="dxa"/>
            <w:vAlign w:val="bottom"/>
            <w:tcBorders>
              <w:bottom w:val="single" w:sz="8" w:color="auto"/>
            </w:tcBorders>
            <w:gridSpan w:val="13"/>
          </w:tcPr>
          <w:p>
            <w:pPr>
              <w:spacing w:after="0"/>
              <w:rPr>
                <w:rFonts w:ascii="Arial" w:cs="Arial" w:eastAsia="Arial" w:hAnsi="Arial"/>
                <w:sz w:val="20"/>
                <w:szCs w:val="20"/>
                <w:color w:val="auto"/>
                <w:w w:val="87"/>
              </w:rPr>
            </w:pPr>
            <w:hyperlink w:anchor="page371">
              <w:r>
                <w:rPr>
                  <w:rFonts w:ascii="Arial" w:cs="Arial" w:eastAsia="Arial" w:hAnsi="Arial"/>
                  <w:sz w:val="20"/>
                  <w:szCs w:val="20"/>
                  <w:color w:val="auto"/>
                  <w:w w:val="87"/>
                </w:rPr>
                <w:t>Guarantee of Payment</w:t>
              </w:r>
            </w:hyperlink>
          </w:p>
        </w:tc>
        <w:tc>
          <w:tcPr>
            <w:tcW w:w="3940" w:type="dxa"/>
            <w:vAlign w:val="bottom"/>
            <w:gridSpan w:val="16"/>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1">
              <w:r>
                <w:rPr>
                  <w:rFonts w:ascii="Arial" w:cs="Arial" w:eastAsia="Arial" w:hAnsi="Arial"/>
                  <w:sz w:val="20"/>
                  <w:szCs w:val="20"/>
                  <w:color w:val="auto"/>
                </w:rPr>
                <w:t>3</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2.03.</w:t>
            </w:r>
          </w:p>
        </w:tc>
        <w:tc>
          <w:tcPr>
            <w:tcW w:w="880" w:type="dxa"/>
            <w:vAlign w:val="bottom"/>
          </w:tcPr>
          <w:p>
            <w:pPr>
              <w:spacing w:after="0"/>
              <w:rPr>
                <w:sz w:val="22"/>
                <w:szCs w:val="22"/>
                <w:color w:val="auto"/>
              </w:rPr>
            </w:pPr>
          </w:p>
        </w:tc>
        <w:tc>
          <w:tcPr>
            <w:tcW w:w="1220" w:type="dxa"/>
            <w:vAlign w:val="bottom"/>
            <w:tcBorders>
              <w:bottom w:val="single" w:sz="8" w:color="auto"/>
            </w:tcBorders>
            <w:gridSpan w:val="7"/>
          </w:tcPr>
          <w:p>
            <w:pPr>
              <w:spacing w:after="0"/>
              <w:rPr>
                <w:rFonts w:ascii="Arial" w:cs="Arial" w:eastAsia="Arial" w:hAnsi="Arial"/>
                <w:sz w:val="20"/>
                <w:szCs w:val="20"/>
                <w:color w:val="auto"/>
                <w:w w:val="94"/>
              </w:rPr>
            </w:pPr>
            <w:hyperlink w:anchor="page371">
              <w:r>
                <w:rPr>
                  <w:rFonts w:ascii="Arial" w:cs="Arial" w:eastAsia="Arial" w:hAnsi="Arial"/>
                  <w:sz w:val="20"/>
                  <w:szCs w:val="20"/>
                  <w:color w:val="auto"/>
                  <w:w w:val="94"/>
                </w:rPr>
                <w:t>No Limitations</w:t>
              </w:r>
            </w:hyperlink>
          </w:p>
        </w:tc>
        <w:tc>
          <w:tcPr>
            <w:tcW w:w="4500" w:type="dxa"/>
            <w:vAlign w:val="bottom"/>
            <w:gridSpan w:val="22"/>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1">
              <w:r>
                <w:rPr>
                  <w:rFonts w:ascii="Arial" w:cs="Arial" w:eastAsia="Arial" w:hAnsi="Arial"/>
                  <w:sz w:val="20"/>
                  <w:szCs w:val="20"/>
                  <w:color w:val="auto"/>
                </w:rPr>
                <w:t>3</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2.04.</w:t>
            </w:r>
          </w:p>
        </w:tc>
        <w:tc>
          <w:tcPr>
            <w:tcW w:w="880" w:type="dxa"/>
            <w:vAlign w:val="bottom"/>
          </w:tcPr>
          <w:p>
            <w:pPr>
              <w:spacing w:after="0"/>
              <w:rPr>
                <w:sz w:val="22"/>
                <w:szCs w:val="22"/>
                <w:color w:val="auto"/>
              </w:rPr>
            </w:pPr>
          </w:p>
        </w:tc>
        <w:tc>
          <w:tcPr>
            <w:tcW w:w="1160" w:type="dxa"/>
            <w:vAlign w:val="bottom"/>
            <w:tcBorders>
              <w:bottom w:val="single" w:sz="8" w:color="auto"/>
            </w:tcBorders>
            <w:gridSpan w:val="6"/>
          </w:tcPr>
          <w:p>
            <w:pPr>
              <w:spacing w:after="0"/>
              <w:rPr>
                <w:rFonts w:ascii="Arial" w:cs="Arial" w:eastAsia="Arial" w:hAnsi="Arial"/>
                <w:sz w:val="20"/>
                <w:szCs w:val="20"/>
                <w:color w:val="auto"/>
                <w:w w:val="88"/>
              </w:rPr>
            </w:pPr>
            <w:hyperlink w:anchor="page372">
              <w:r>
                <w:rPr>
                  <w:rFonts w:ascii="Arial" w:cs="Arial" w:eastAsia="Arial" w:hAnsi="Arial"/>
                  <w:sz w:val="20"/>
                  <w:szCs w:val="20"/>
                  <w:color w:val="auto"/>
                  <w:w w:val="88"/>
                </w:rPr>
                <w:t>Reinstatement</w:t>
              </w:r>
            </w:hyperlink>
          </w:p>
        </w:tc>
        <w:tc>
          <w:tcPr>
            <w:tcW w:w="4560" w:type="dxa"/>
            <w:vAlign w:val="bottom"/>
            <w:gridSpan w:val="23"/>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2">
              <w:r>
                <w:rPr>
                  <w:rFonts w:ascii="Arial" w:cs="Arial" w:eastAsia="Arial" w:hAnsi="Arial"/>
                  <w:sz w:val="20"/>
                  <w:szCs w:val="20"/>
                  <w:color w:val="auto"/>
                </w:rPr>
                <w:t>4</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2.05.</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2">
              <w:r>
                <w:rPr>
                  <w:rFonts w:ascii="Arial" w:cs="Arial" w:eastAsia="Arial" w:hAnsi="Arial"/>
                  <w:sz w:val="20"/>
                  <w:szCs w:val="20"/>
                  <w:color w:val="auto"/>
                </w:rPr>
                <w:t>Agreement To Pay; Subrogation</w:t>
              </w:r>
            </w:hyperlink>
          </w:p>
        </w:tc>
        <w:tc>
          <w:tcPr>
            <w:tcW w:w="2100" w:type="dxa"/>
            <w:vAlign w:val="bottom"/>
            <w:gridSpan w:val="3"/>
          </w:tcPr>
          <w:p>
            <w:pPr>
              <w:jc w:val="right"/>
              <w:spacing w:after="0"/>
              <w:rPr>
                <w:rFonts w:ascii="Arial" w:cs="Arial" w:eastAsia="Arial" w:hAnsi="Arial"/>
                <w:sz w:val="20"/>
                <w:szCs w:val="20"/>
                <w:color w:val="auto"/>
              </w:rPr>
            </w:pPr>
            <w:hyperlink w:anchor="page372">
              <w:r>
                <w:rPr>
                  <w:rFonts w:ascii="Arial" w:cs="Arial" w:eastAsia="Arial" w:hAnsi="Arial"/>
                  <w:sz w:val="20"/>
                  <w:szCs w:val="20"/>
                  <w:color w:val="auto"/>
                </w:rPr>
                <w:t>4</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2.06.</w:t>
            </w:r>
          </w:p>
        </w:tc>
        <w:tc>
          <w:tcPr>
            <w:tcW w:w="880" w:type="dxa"/>
            <w:vAlign w:val="bottom"/>
          </w:tcPr>
          <w:p>
            <w:pPr>
              <w:spacing w:after="0"/>
              <w:rPr>
                <w:sz w:val="22"/>
                <w:szCs w:val="22"/>
                <w:color w:val="auto"/>
              </w:rPr>
            </w:pPr>
          </w:p>
        </w:tc>
        <w:tc>
          <w:tcPr>
            <w:tcW w:w="960" w:type="dxa"/>
            <w:vAlign w:val="bottom"/>
            <w:tcBorders>
              <w:top w:val="single" w:sz="8" w:color="auto"/>
              <w:bottom w:val="single" w:sz="8" w:color="auto"/>
            </w:tcBorders>
            <w:gridSpan w:val="4"/>
          </w:tcPr>
          <w:p>
            <w:pPr>
              <w:spacing w:after="0"/>
              <w:rPr>
                <w:rFonts w:ascii="Arial" w:cs="Arial" w:eastAsia="Arial" w:hAnsi="Arial"/>
                <w:sz w:val="20"/>
                <w:szCs w:val="20"/>
                <w:color w:val="auto"/>
                <w:w w:val="93"/>
              </w:rPr>
            </w:pPr>
            <w:hyperlink w:anchor="page372">
              <w:r>
                <w:rPr>
                  <w:rFonts w:ascii="Arial" w:cs="Arial" w:eastAsia="Arial" w:hAnsi="Arial"/>
                  <w:sz w:val="20"/>
                  <w:szCs w:val="20"/>
                  <w:color w:val="auto"/>
                  <w:w w:val="93"/>
                </w:rPr>
                <w:t>Information</w:t>
              </w:r>
            </w:hyperlink>
          </w:p>
        </w:tc>
        <w:tc>
          <w:tcPr>
            <w:tcW w:w="1600" w:type="dxa"/>
            <w:vAlign w:val="bottom"/>
            <w:tcBorders>
              <w:top w:val="single" w:sz="8" w:color="auto"/>
            </w:tcBorders>
            <w:gridSpan w:val="18"/>
          </w:tcPr>
          <w:p>
            <w:pPr>
              <w:spacing w:after="0"/>
              <w:rPr>
                <w:sz w:val="22"/>
                <w:szCs w:val="22"/>
                <w:color w:val="auto"/>
              </w:rPr>
            </w:pPr>
          </w:p>
        </w:tc>
        <w:tc>
          <w:tcPr>
            <w:tcW w:w="3160" w:type="dxa"/>
            <w:vAlign w:val="bottom"/>
            <w:gridSpan w:val="7"/>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2">
              <w:r>
                <w:rPr>
                  <w:rFonts w:ascii="Arial" w:cs="Arial" w:eastAsia="Arial" w:hAnsi="Arial"/>
                  <w:sz w:val="20"/>
                  <w:szCs w:val="20"/>
                  <w:color w:val="auto"/>
                </w:rPr>
                <w:t>4</w:t>
              </w:r>
            </w:hyperlink>
          </w:p>
        </w:tc>
      </w:tr>
      <w:tr>
        <w:trPr>
          <w:trHeight w:val="430"/>
        </w:trPr>
        <w:tc>
          <w:tcPr>
            <w:tcW w:w="2060" w:type="dxa"/>
            <w:vAlign w:val="bottom"/>
          </w:tcPr>
          <w:p>
            <w:pPr>
              <w:spacing w:after="0"/>
              <w:rPr>
                <w:sz w:val="20"/>
                <w:szCs w:val="20"/>
                <w:color w:val="auto"/>
              </w:rPr>
            </w:pPr>
            <w:r>
              <w:rPr>
                <w:rFonts w:ascii="Arial" w:cs="Arial" w:eastAsia="Arial" w:hAnsi="Arial"/>
                <w:sz w:val="20"/>
                <w:szCs w:val="20"/>
                <w:color w:val="auto"/>
              </w:rPr>
              <w:t>ARTICLE III</w:t>
            </w:r>
          </w:p>
        </w:tc>
        <w:tc>
          <w:tcPr>
            <w:tcW w:w="6600" w:type="dxa"/>
            <w:vAlign w:val="bottom"/>
            <w:gridSpan w:val="30"/>
          </w:tcPr>
          <w:p>
            <w:pPr>
              <w:ind w:left="640"/>
              <w:spacing w:after="0"/>
              <w:rPr>
                <w:sz w:val="20"/>
                <w:szCs w:val="20"/>
                <w:color w:val="auto"/>
              </w:rPr>
            </w:pPr>
            <w:r>
              <w:rPr>
                <w:rFonts w:ascii="Arial" w:cs="Arial" w:eastAsia="Arial" w:hAnsi="Arial"/>
                <w:sz w:val="20"/>
                <w:szCs w:val="20"/>
                <w:color w:val="auto"/>
              </w:rPr>
              <w:t>Indemnity, Subrogation and Subordination</w:t>
            </w:r>
          </w:p>
        </w:tc>
        <w:tc>
          <w:tcPr>
            <w:tcW w:w="2100" w:type="dxa"/>
            <w:vAlign w:val="bottom"/>
            <w:gridSpan w:val="3"/>
          </w:tcPr>
          <w:p>
            <w:pPr>
              <w:jc w:val="right"/>
              <w:spacing w:after="0"/>
              <w:rPr>
                <w:rFonts w:ascii="Arial" w:cs="Arial" w:eastAsia="Arial" w:hAnsi="Arial"/>
                <w:sz w:val="20"/>
                <w:szCs w:val="20"/>
                <w:color w:val="auto"/>
              </w:rPr>
            </w:pPr>
            <w:hyperlink w:anchor="page372">
              <w:r>
                <w:rPr>
                  <w:rFonts w:ascii="Arial" w:cs="Arial" w:eastAsia="Arial" w:hAnsi="Arial"/>
                  <w:sz w:val="20"/>
                  <w:szCs w:val="20"/>
                  <w:color w:val="auto"/>
                </w:rPr>
                <w:t>4</w:t>
              </w:r>
            </w:hyperlink>
          </w:p>
        </w:tc>
      </w:tr>
      <w:tr>
        <w:trPr>
          <w:trHeight w:val="361"/>
        </w:trPr>
        <w:tc>
          <w:tcPr>
            <w:tcW w:w="2060" w:type="dxa"/>
            <w:vAlign w:val="bottom"/>
          </w:tcPr>
          <w:p>
            <w:pPr>
              <w:ind w:left="360"/>
              <w:spacing w:after="0"/>
              <w:rPr>
                <w:sz w:val="20"/>
                <w:szCs w:val="20"/>
                <w:color w:val="auto"/>
              </w:rPr>
            </w:pPr>
            <w:r>
              <w:rPr>
                <w:rFonts w:ascii="Arial" w:cs="Arial" w:eastAsia="Arial" w:hAnsi="Arial"/>
                <w:sz w:val="20"/>
                <w:szCs w:val="20"/>
                <w:color w:val="auto"/>
              </w:rPr>
              <w:t>Section 3.01.</w:t>
            </w:r>
          </w:p>
        </w:tc>
        <w:tc>
          <w:tcPr>
            <w:tcW w:w="880" w:type="dxa"/>
            <w:vAlign w:val="bottom"/>
          </w:tcPr>
          <w:p>
            <w:pPr>
              <w:spacing w:after="0"/>
              <w:rPr>
                <w:sz w:val="24"/>
                <w:szCs w:val="24"/>
                <w:color w:val="auto"/>
              </w:rPr>
            </w:pPr>
          </w:p>
        </w:tc>
        <w:tc>
          <w:tcPr>
            <w:tcW w:w="2180" w:type="dxa"/>
            <w:vAlign w:val="bottom"/>
            <w:tcBorders>
              <w:bottom w:val="single" w:sz="8" w:color="auto"/>
            </w:tcBorders>
            <w:gridSpan w:val="18"/>
          </w:tcPr>
          <w:p>
            <w:pPr>
              <w:spacing w:after="0"/>
              <w:rPr>
                <w:rFonts w:ascii="Arial" w:cs="Arial" w:eastAsia="Arial" w:hAnsi="Arial"/>
                <w:sz w:val="20"/>
                <w:szCs w:val="20"/>
                <w:color w:val="auto"/>
                <w:w w:val="90"/>
              </w:rPr>
            </w:pPr>
            <w:hyperlink w:anchor="page372">
              <w:r>
                <w:rPr>
                  <w:rFonts w:ascii="Arial" w:cs="Arial" w:eastAsia="Arial" w:hAnsi="Arial"/>
                  <w:sz w:val="20"/>
                  <w:szCs w:val="20"/>
                  <w:color w:val="auto"/>
                  <w:w w:val="90"/>
                </w:rPr>
                <w:t>Indemnity and Subrogation</w:t>
              </w:r>
            </w:hyperlink>
          </w:p>
        </w:tc>
        <w:tc>
          <w:tcPr>
            <w:tcW w:w="3540" w:type="dxa"/>
            <w:vAlign w:val="bottom"/>
            <w:gridSpan w:val="11"/>
          </w:tcPr>
          <w:p>
            <w:pPr>
              <w:spacing w:after="0"/>
              <w:rPr>
                <w:sz w:val="24"/>
                <w:szCs w:val="24"/>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2">
              <w:r>
                <w:rPr>
                  <w:rFonts w:ascii="Arial" w:cs="Arial" w:eastAsia="Arial" w:hAnsi="Arial"/>
                  <w:sz w:val="20"/>
                  <w:szCs w:val="20"/>
                  <w:color w:val="auto"/>
                </w:rPr>
                <w:t>4</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3.02.</w:t>
            </w:r>
          </w:p>
        </w:tc>
        <w:tc>
          <w:tcPr>
            <w:tcW w:w="880" w:type="dxa"/>
            <w:vAlign w:val="bottom"/>
          </w:tcPr>
          <w:p>
            <w:pPr>
              <w:spacing w:after="0"/>
              <w:rPr>
                <w:sz w:val="22"/>
                <w:szCs w:val="22"/>
                <w:color w:val="auto"/>
              </w:rPr>
            </w:pPr>
          </w:p>
        </w:tc>
        <w:tc>
          <w:tcPr>
            <w:tcW w:w="2380" w:type="dxa"/>
            <w:vAlign w:val="bottom"/>
            <w:tcBorders>
              <w:bottom w:val="single" w:sz="8" w:color="auto"/>
            </w:tcBorders>
            <w:gridSpan w:val="20"/>
          </w:tcPr>
          <w:p>
            <w:pPr>
              <w:spacing w:after="0"/>
              <w:rPr>
                <w:rFonts w:ascii="Arial" w:cs="Arial" w:eastAsia="Arial" w:hAnsi="Arial"/>
                <w:sz w:val="20"/>
                <w:szCs w:val="20"/>
                <w:color w:val="auto"/>
                <w:w w:val="90"/>
              </w:rPr>
            </w:pPr>
            <w:hyperlink w:anchor="page373">
              <w:r>
                <w:rPr>
                  <w:rFonts w:ascii="Arial" w:cs="Arial" w:eastAsia="Arial" w:hAnsi="Arial"/>
                  <w:sz w:val="20"/>
                  <w:szCs w:val="20"/>
                  <w:color w:val="auto"/>
                  <w:w w:val="90"/>
                </w:rPr>
                <w:t>Contribution and Subrogation</w:t>
              </w:r>
            </w:hyperlink>
          </w:p>
        </w:tc>
        <w:tc>
          <w:tcPr>
            <w:tcW w:w="3340" w:type="dxa"/>
            <w:vAlign w:val="bottom"/>
            <w:gridSpan w:val="9"/>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3">
              <w:r>
                <w:rPr>
                  <w:rFonts w:ascii="Arial" w:cs="Arial" w:eastAsia="Arial" w:hAnsi="Arial"/>
                  <w:sz w:val="20"/>
                  <w:szCs w:val="20"/>
                  <w:color w:val="auto"/>
                </w:rPr>
                <w:t>5</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3.03.</w:t>
            </w:r>
          </w:p>
        </w:tc>
        <w:tc>
          <w:tcPr>
            <w:tcW w:w="880" w:type="dxa"/>
            <w:vAlign w:val="bottom"/>
          </w:tcPr>
          <w:p>
            <w:pPr>
              <w:spacing w:after="0"/>
              <w:rPr>
                <w:sz w:val="22"/>
                <w:szCs w:val="22"/>
                <w:color w:val="auto"/>
              </w:rPr>
            </w:pPr>
          </w:p>
        </w:tc>
        <w:tc>
          <w:tcPr>
            <w:tcW w:w="1140" w:type="dxa"/>
            <w:vAlign w:val="bottom"/>
            <w:tcBorders>
              <w:bottom w:val="single" w:sz="8" w:color="auto"/>
            </w:tcBorders>
            <w:gridSpan w:val="5"/>
          </w:tcPr>
          <w:p>
            <w:pPr>
              <w:spacing w:after="0"/>
              <w:rPr>
                <w:rFonts w:ascii="Arial" w:cs="Arial" w:eastAsia="Arial" w:hAnsi="Arial"/>
                <w:sz w:val="20"/>
                <w:szCs w:val="20"/>
                <w:color w:val="auto"/>
                <w:w w:val="90"/>
              </w:rPr>
            </w:pPr>
            <w:hyperlink w:anchor="page373">
              <w:r>
                <w:rPr>
                  <w:rFonts w:ascii="Arial" w:cs="Arial" w:eastAsia="Arial" w:hAnsi="Arial"/>
                  <w:sz w:val="20"/>
                  <w:szCs w:val="20"/>
                  <w:color w:val="auto"/>
                  <w:w w:val="90"/>
                </w:rPr>
                <w:t>Subordination</w:t>
              </w:r>
            </w:hyperlink>
          </w:p>
        </w:tc>
        <w:tc>
          <w:tcPr>
            <w:tcW w:w="4580" w:type="dxa"/>
            <w:vAlign w:val="bottom"/>
            <w:gridSpan w:val="24"/>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3">
              <w:r>
                <w:rPr>
                  <w:rFonts w:ascii="Arial" w:cs="Arial" w:eastAsia="Arial" w:hAnsi="Arial"/>
                  <w:sz w:val="20"/>
                  <w:szCs w:val="20"/>
                  <w:color w:val="auto"/>
                </w:rPr>
                <w:t>5</w:t>
              </w:r>
            </w:hyperlink>
          </w:p>
        </w:tc>
      </w:tr>
      <w:tr>
        <w:trPr>
          <w:trHeight w:val="538"/>
        </w:trPr>
        <w:tc>
          <w:tcPr>
            <w:tcW w:w="2060" w:type="dxa"/>
            <w:vAlign w:val="bottom"/>
          </w:tcPr>
          <w:p>
            <w:pPr>
              <w:spacing w:after="0"/>
              <w:rPr>
                <w:sz w:val="20"/>
                <w:szCs w:val="20"/>
                <w:color w:val="auto"/>
              </w:rPr>
            </w:pPr>
            <w:r>
              <w:rPr>
                <w:rFonts w:ascii="Arial" w:cs="Arial" w:eastAsia="Arial" w:hAnsi="Arial"/>
                <w:sz w:val="20"/>
                <w:szCs w:val="20"/>
                <w:color w:val="auto"/>
              </w:rPr>
              <w:t>ARTICLE IV</w:t>
            </w:r>
          </w:p>
        </w:tc>
        <w:tc>
          <w:tcPr>
            <w:tcW w:w="6600" w:type="dxa"/>
            <w:vAlign w:val="bottom"/>
            <w:gridSpan w:val="30"/>
          </w:tcPr>
          <w:p>
            <w:pPr>
              <w:ind w:left="640"/>
              <w:spacing w:after="0"/>
              <w:rPr>
                <w:sz w:val="20"/>
                <w:szCs w:val="20"/>
                <w:color w:val="auto"/>
              </w:rPr>
            </w:pPr>
            <w:r>
              <w:rPr>
                <w:rFonts w:ascii="Arial" w:cs="Arial" w:eastAsia="Arial" w:hAnsi="Arial"/>
                <w:sz w:val="20"/>
                <w:szCs w:val="20"/>
                <w:color w:val="auto"/>
              </w:rPr>
              <w:t>Miscellaneous</w:t>
            </w:r>
          </w:p>
        </w:tc>
        <w:tc>
          <w:tcPr>
            <w:tcW w:w="2100" w:type="dxa"/>
            <w:vAlign w:val="bottom"/>
            <w:gridSpan w:val="3"/>
          </w:tcPr>
          <w:p>
            <w:pPr>
              <w:jc w:val="right"/>
              <w:spacing w:after="0"/>
              <w:rPr>
                <w:rFonts w:ascii="Arial" w:cs="Arial" w:eastAsia="Arial" w:hAnsi="Arial"/>
                <w:sz w:val="20"/>
                <w:szCs w:val="20"/>
                <w:color w:val="auto"/>
              </w:rPr>
            </w:pPr>
            <w:hyperlink w:anchor="page374">
              <w:r>
                <w:rPr>
                  <w:rFonts w:ascii="Arial" w:cs="Arial" w:eastAsia="Arial" w:hAnsi="Arial"/>
                  <w:sz w:val="20"/>
                  <w:szCs w:val="20"/>
                  <w:color w:val="auto"/>
                </w:rPr>
                <w:t>6</w:t>
              </w:r>
            </w:hyperlink>
          </w:p>
        </w:tc>
      </w:tr>
      <w:tr>
        <w:trPr>
          <w:trHeight w:val="361"/>
        </w:trPr>
        <w:tc>
          <w:tcPr>
            <w:tcW w:w="2060" w:type="dxa"/>
            <w:vAlign w:val="bottom"/>
          </w:tcPr>
          <w:p>
            <w:pPr>
              <w:ind w:left="360"/>
              <w:spacing w:after="0"/>
              <w:rPr>
                <w:sz w:val="20"/>
                <w:szCs w:val="20"/>
                <w:color w:val="auto"/>
              </w:rPr>
            </w:pPr>
            <w:r>
              <w:rPr>
                <w:rFonts w:ascii="Arial" w:cs="Arial" w:eastAsia="Arial" w:hAnsi="Arial"/>
                <w:sz w:val="20"/>
                <w:szCs w:val="20"/>
                <w:color w:val="auto"/>
              </w:rPr>
              <w:t>Section 4.01.</w:t>
            </w:r>
          </w:p>
        </w:tc>
        <w:tc>
          <w:tcPr>
            <w:tcW w:w="880" w:type="dxa"/>
            <w:vAlign w:val="bottom"/>
          </w:tcPr>
          <w:p>
            <w:pPr>
              <w:spacing w:after="0"/>
              <w:rPr>
                <w:sz w:val="24"/>
                <w:szCs w:val="24"/>
                <w:color w:val="auto"/>
              </w:rPr>
            </w:pPr>
          </w:p>
        </w:tc>
        <w:tc>
          <w:tcPr>
            <w:tcW w:w="620" w:type="dxa"/>
            <w:vAlign w:val="bottom"/>
            <w:tcBorders>
              <w:bottom w:val="single" w:sz="8" w:color="auto"/>
            </w:tcBorders>
          </w:tcPr>
          <w:p>
            <w:pPr>
              <w:spacing w:after="0"/>
              <w:rPr>
                <w:rFonts w:ascii="Arial" w:cs="Arial" w:eastAsia="Arial" w:hAnsi="Arial"/>
                <w:sz w:val="20"/>
                <w:szCs w:val="20"/>
                <w:color w:val="auto"/>
                <w:w w:val="89"/>
              </w:rPr>
            </w:pPr>
            <w:hyperlink w:anchor="page374">
              <w:r>
                <w:rPr>
                  <w:rFonts w:ascii="Arial" w:cs="Arial" w:eastAsia="Arial" w:hAnsi="Arial"/>
                  <w:sz w:val="20"/>
                  <w:szCs w:val="20"/>
                  <w:color w:val="auto"/>
                  <w:w w:val="89"/>
                </w:rPr>
                <w:t>Notices</w:t>
              </w:r>
            </w:hyperlink>
          </w:p>
        </w:tc>
        <w:tc>
          <w:tcPr>
            <w:tcW w:w="5100" w:type="dxa"/>
            <w:vAlign w:val="bottom"/>
            <w:gridSpan w:val="28"/>
          </w:tcPr>
          <w:p>
            <w:pPr>
              <w:spacing w:after="0"/>
              <w:rPr>
                <w:sz w:val="24"/>
                <w:szCs w:val="24"/>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4">
              <w:r>
                <w:rPr>
                  <w:rFonts w:ascii="Arial" w:cs="Arial" w:eastAsia="Arial" w:hAnsi="Arial"/>
                  <w:sz w:val="20"/>
                  <w:szCs w:val="20"/>
                  <w:color w:val="auto"/>
                </w:rPr>
                <w:t>6</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4.02.</w:t>
            </w:r>
          </w:p>
        </w:tc>
        <w:tc>
          <w:tcPr>
            <w:tcW w:w="880" w:type="dxa"/>
            <w:vAlign w:val="bottom"/>
          </w:tcPr>
          <w:p>
            <w:pPr>
              <w:spacing w:after="0"/>
              <w:rPr>
                <w:sz w:val="22"/>
                <w:szCs w:val="22"/>
                <w:color w:val="auto"/>
              </w:rPr>
            </w:pPr>
          </w:p>
        </w:tc>
        <w:tc>
          <w:tcPr>
            <w:tcW w:w="1740" w:type="dxa"/>
            <w:vAlign w:val="bottom"/>
            <w:tcBorders>
              <w:bottom w:val="single" w:sz="8" w:color="auto"/>
            </w:tcBorders>
            <w:gridSpan w:val="12"/>
          </w:tcPr>
          <w:p>
            <w:pPr>
              <w:spacing w:after="0"/>
              <w:rPr>
                <w:rFonts w:ascii="Arial" w:cs="Arial" w:eastAsia="Arial" w:hAnsi="Arial"/>
                <w:sz w:val="20"/>
                <w:szCs w:val="20"/>
                <w:color w:val="auto"/>
                <w:w w:val="89"/>
              </w:rPr>
            </w:pPr>
            <w:hyperlink w:anchor="page374">
              <w:r>
                <w:rPr>
                  <w:rFonts w:ascii="Arial" w:cs="Arial" w:eastAsia="Arial" w:hAnsi="Arial"/>
                  <w:sz w:val="20"/>
                  <w:szCs w:val="20"/>
                  <w:color w:val="auto"/>
                  <w:w w:val="89"/>
                </w:rPr>
                <w:t>Waivers; Amendment</w:t>
              </w:r>
            </w:hyperlink>
          </w:p>
        </w:tc>
        <w:tc>
          <w:tcPr>
            <w:tcW w:w="3980" w:type="dxa"/>
            <w:vAlign w:val="bottom"/>
            <w:gridSpan w:val="17"/>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4">
              <w:r>
                <w:rPr>
                  <w:rFonts w:ascii="Arial" w:cs="Arial" w:eastAsia="Arial" w:hAnsi="Arial"/>
                  <w:sz w:val="20"/>
                  <w:szCs w:val="20"/>
                  <w:color w:val="auto"/>
                </w:rPr>
                <w:t>6</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4.03.</w:t>
            </w:r>
          </w:p>
        </w:tc>
        <w:tc>
          <w:tcPr>
            <w:tcW w:w="880" w:type="dxa"/>
            <w:vAlign w:val="bottom"/>
          </w:tcPr>
          <w:p>
            <w:pPr>
              <w:spacing w:after="0"/>
              <w:rPr>
                <w:sz w:val="22"/>
                <w:szCs w:val="22"/>
                <w:color w:val="auto"/>
              </w:rPr>
            </w:pPr>
          </w:p>
        </w:tc>
        <w:tc>
          <w:tcPr>
            <w:tcW w:w="4780" w:type="dxa"/>
            <w:vAlign w:val="bottom"/>
            <w:tcBorders>
              <w:bottom w:val="single" w:sz="8" w:color="auto"/>
            </w:tcBorders>
            <w:gridSpan w:val="28"/>
          </w:tcPr>
          <w:p>
            <w:pPr>
              <w:spacing w:after="0"/>
              <w:rPr>
                <w:rFonts w:ascii="Arial" w:cs="Arial" w:eastAsia="Arial" w:hAnsi="Arial"/>
                <w:sz w:val="20"/>
                <w:szCs w:val="20"/>
                <w:color w:val="auto"/>
                <w:w w:val="90"/>
              </w:rPr>
            </w:pPr>
            <w:hyperlink w:anchor="page375">
              <w:r>
                <w:rPr>
                  <w:rFonts w:ascii="Arial" w:cs="Arial" w:eastAsia="Arial" w:hAnsi="Arial"/>
                  <w:sz w:val="20"/>
                  <w:szCs w:val="20"/>
                  <w:color w:val="auto"/>
                  <w:w w:val="90"/>
                </w:rPr>
                <w:t>Administration Agent's Fees and Expenses; Indemnification</w:t>
              </w:r>
            </w:hyperlink>
          </w:p>
        </w:tc>
        <w:tc>
          <w:tcPr>
            <w:tcW w:w="940" w:type="dxa"/>
            <w:vAlign w:val="bottom"/>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5">
              <w:r>
                <w:rPr>
                  <w:rFonts w:ascii="Arial" w:cs="Arial" w:eastAsia="Arial" w:hAnsi="Arial"/>
                  <w:sz w:val="20"/>
                  <w:szCs w:val="20"/>
                  <w:color w:val="auto"/>
                </w:rPr>
                <w:t>7</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4.04.</w:t>
            </w:r>
          </w:p>
        </w:tc>
        <w:tc>
          <w:tcPr>
            <w:tcW w:w="880" w:type="dxa"/>
            <w:vAlign w:val="bottom"/>
          </w:tcPr>
          <w:p>
            <w:pPr>
              <w:spacing w:after="0"/>
              <w:rPr>
                <w:sz w:val="22"/>
                <w:szCs w:val="22"/>
                <w:color w:val="auto"/>
              </w:rPr>
            </w:pPr>
          </w:p>
        </w:tc>
        <w:tc>
          <w:tcPr>
            <w:tcW w:w="1900" w:type="dxa"/>
            <w:vAlign w:val="bottom"/>
            <w:tcBorders>
              <w:bottom w:val="single" w:sz="8" w:color="auto"/>
            </w:tcBorders>
            <w:gridSpan w:val="17"/>
          </w:tcPr>
          <w:p>
            <w:pPr>
              <w:spacing w:after="0"/>
              <w:rPr>
                <w:rFonts w:ascii="Arial" w:cs="Arial" w:eastAsia="Arial" w:hAnsi="Arial"/>
                <w:sz w:val="20"/>
                <w:szCs w:val="20"/>
                <w:color w:val="auto"/>
                <w:w w:val="86"/>
              </w:rPr>
            </w:pPr>
            <w:hyperlink w:anchor="page375">
              <w:r>
                <w:rPr>
                  <w:rFonts w:ascii="Arial" w:cs="Arial" w:eastAsia="Arial" w:hAnsi="Arial"/>
                  <w:sz w:val="20"/>
                  <w:szCs w:val="20"/>
                  <w:color w:val="auto"/>
                  <w:w w:val="86"/>
                </w:rPr>
                <w:t>Successors and Assigns</w:t>
              </w:r>
            </w:hyperlink>
          </w:p>
        </w:tc>
        <w:tc>
          <w:tcPr>
            <w:tcW w:w="3820" w:type="dxa"/>
            <w:vAlign w:val="bottom"/>
            <w:gridSpan w:val="12"/>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5">
              <w:r>
                <w:rPr>
                  <w:rFonts w:ascii="Arial" w:cs="Arial" w:eastAsia="Arial" w:hAnsi="Arial"/>
                  <w:sz w:val="20"/>
                  <w:szCs w:val="20"/>
                  <w:color w:val="auto"/>
                </w:rPr>
                <w:t>7</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4.05.</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6">
              <w:r>
                <w:rPr>
                  <w:rFonts w:ascii="Arial" w:cs="Arial" w:eastAsia="Arial" w:hAnsi="Arial"/>
                  <w:sz w:val="20"/>
                  <w:szCs w:val="20"/>
                  <w:color w:val="auto"/>
                </w:rPr>
                <w:t>Survival of Agreement</w:t>
              </w:r>
            </w:hyperlink>
          </w:p>
        </w:tc>
        <w:tc>
          <w:tcPr>
            <w:tcW w:w="2100" w:type="dxa"/>
            <w:vAlign w:val="bottom"/>
            <w:gridSpan w:val="3"/>
          </w:tcPr>
          <w:p>
            <w:pPr>
              <w:jc w:val="right"/>
              <w:spacing w:after="0"/>
              <w:rPr>
                <w:rFonts w:ascii="Arial" w:cs="Arial" w:eastAsia="Arial" w:hAnsi="Arial"/>
                <w:sz w:val="20"/>
                <w:szCs w:val="20"/>
                <w:color w:val="auto"/>
              </w:rPr>
            </w:pPr>
            <w:hyperlink w:anchor="page376">
              <w:r>
                <w:rPr>
                  <w:rFonts w:ascii="Arial" w:cs="Arial" w:eastAsia="Arial" w:hAnsi="Arial"/>
                  <w:sz w:val="20"/>
                  <w:szCs w:val="20"/>
                  <w:color w:val="auto"/>
                </w:rPr>
                <w:t>8</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4.06.</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6">
              <w:r>
                <w:rPr>
                  <w:rFonts w:ascii="Arial" w:cs="Arial" w:eastAsia="Arial" w:hAnsi="Arial"/>
                  <w:sz w:val="20"/>
                  <w:szCs w:val="20"/>
                  <w:color w:val="auto"/>
                </w:rPr>
                <w:t>Counterparts; Effectiveness; Several Agreement</w:t>
              </w:r>
            </w:hyperlink>
          </w:p>
        </w:tc>
        <w:tc>
          <w:tcPr>
            <w:tcW w:w="2100" w:type="dxa"/>
            <w:vAlign w:val="bottom"/>
            <w:gridSpan w:val="3"/>
          </w:tcPr>
          <w:p>
            <w:pPr>
              <w:jc w:val="right"/>
              <w:spacing w:after="0"/>
              <w:rPr>
                <w:rFonts w:ascii="Arial" w:cs="Arial" w:eastAsia="Arial" w:hAnsi="Arial"/>
                <w:sz w:val="20"/>
                <w:szCs w:val="20"/>
                <w:color w:val="auto"/>
              </w:rPr>
            </w:pPr>
            <w:hyperlink w:anchor="page376">
              <w:r>
                <w:rPr>
                  <w:rFonts w:ascii="Arial" w:cs="Arial" w:eastAsia="Arial" w:hAnsi="Arial"/>
                  <w:sz w:val="20"/>
                  <w:szCs w:val="20"/>
                  <w:color w:val="auto"/>
                </w:rPr>
                <w:t>8</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4.07.</w:t>
            </w:r>
          </w:p>
        </w:tc>
        <w:tc>
          <w:tcPr>
            <w:tcW w:w="880" w:type="dxa"/>
            <w:vAlign w:val="bottom"/>
          </w:tcPr>
          <w:p>
            <w:pPr>
              <w:spacing w:after="0"/>
              <w:rPr>
                <w:sz w:val="22"/>
                <w:szCs w:val="22"/>
                <w:color w:val="auto"/>
              </w:rPr>
            </w:pPr>
          </w:p>
        </w:tc>
        <w:tc>
          <w:tcPr>
            <w:tcW w:w="3820" w:type="dxa"/>
            <w:vAlign w:val="bottom"/>
            <w:tcBorders>
              <w:top w:val="single" w:sz="8" w:color="auto"/>
            </w:tcBorders>
            <w:gridSpan w:val="25"/>
          </w:tcPr>
          <w:p>
            <w:pPr>
              <w:spacing w:after="0"/>
              <w:rPr>
                <w:rFonts w:ascii="Arial" w:cs="Arial" w:eastAsia="Arial" w:hAnsi="Arial"/>
                <w:sz w:val="20"/>
                <w:szCs w:val="20"/>
                <w:color w:val="auto"/>
              </w:rPr>
            </w:pPr>
            <w:hyperlink w:anchor="page376">
              <w:r>
                <w:rPr>
                  <w:rFonts w:ascii="Arial" w:cs="Arial" w:eastAsia="Arial" w:hAnsi="Arial"/>
                  <w:sz w:val="20"/>
                  <w:szCs w:val="20"/>
                  <w:color w:val="auto"/>
                </w:rPr>
                <w:t>Severability</w:t>
              </w:r>
            </w:hyperlink>
          </w:p>
        </w:tc>
        <w:tc>
          <w:tcPr>
            <w:tcW w:w="1900" w:type="dxa"/>
            <w:vAlign w:val="bottom"/>
            <w:gridSpan w:val="4"/>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6">
              <w:r>
                <w:rPr>
                  <w:rFonts w:ascii="Arial" w:cs="Arial" w:eastAsia="Arial" w:hAnsi="Arial"/>
                  <w:sz w:val="20"/>
                  <w:szCs w:val="20"/>
                  <w:color w:val="auto"/>
                </w:rPr>
                <w:t>8</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4.08.</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6">
              <w:r>
                <w:rPr>
                  <w:rFonts w:ascii="Arial" w:cs="Arial" w:eastAsia="Arial" w:hAnsi="Arial"/>
                  <w:sz w:val="20"/>
                  <w:szCs w:val="20"/>
                  <w:color w:val="auto"/>
                </w:rPr>
                <w:t>Right of Set-Off</w:t>
              </w:r>
            </w:hyperlink>
          </w:p>
        </w:tc>
        <w:tc>
          <w:tcPr>
            <w:tcW w:w="2100" w:type="dxa"/>
            <w:vAlign w:val="bottom"/>
            <w:gridSpan w:val="3"/>
          </w:tcPr>
          <w:p>
            <w:pPr>
              <w:jc w:val="right"/>
              <w:spacing w:after="0"/>
              <w:rPr>
                <w:rFonts w:ascii="Arial" w:cs="Arial" w:eastAsia="Arial" w:hAnsi="Arial"/>
                <w:sz w:val="20"/>
                <w:szCs w:val="20"/>
                <w:color w:val="auto"/>
              </w:rPr>
            </w:pPr>
            <w:hyperlink w:anchor="page376">
              <w:r>
                <w:rPr>
                  <w:rFonts w:ascii="Arial" w:cs="Arial" w:eastAsia="Arial" w:hAnsi="Arial"/>
                  <w:sz w:val="20"/>
                  <w:szCs w:val="20"/>
                  <w:color w:val="auto"/>
                </w:rPr>
                <w:t>8</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4.09.</w:t>
            </w:r>
          </w:p>
        </w:tc>
        <w:tc>
          <w:tcPr>
            <w:tcW w:w="880" w:type="dxa"/>
            <w:vAlign w:val="bottom"/>
          </w:tcPr>
          <w:p>
            <w:pPr>
              <w:spacing w:after="0"/>
              <w:rPr>
                <w:sz w:val="22"/>
                <w:szCs w:val="22"/>
                <w:color w:val="auto"/>
              </w:rPr>
            </w:pPr>
          </w:p>
        </w:tc>
        <w:tc>
          <w:tcPr>
            <w:tcW w:w="4760" w:type="dxa"/>
            <w:vAlign w:val="bottom"/>
            <w:tcBorders>
              <w:bottom w:val="single" w:sz="8" w:color="auto"/>
            </w:tcBorders>
            <w:gridSpan w:val="27"/>
          </w:tcPr>
          <w:p>
            <w:pPr>
              <w:spacing w:after="0"/>
              <w:rPr>
                <w:rFonts w:ascii="Arial" w:cs="Arial" w:eastAsia="Arial" w:hAnsi="Arial"/>
                <w:sz w:val="20"/>
                <w:szCs w:val="20"/>
                <w:color w:val="auto"/>
                <w:w w:val="90"/>
              </w:rPr>
            </w:pPr>
            <w:hyperlink w:anchor="page377">
              <w:r>
                <w:rPr>
                  <w:rFonts w:ascii="Arial" w:cs="Arial" w:eastAsia="Arial" w:hAnsi="Arial"/>
                  <w:sz w:val="20"/>
                  <w:szCs w:val="20"/>
                  <w:color w:val="auto"/>
                  <w:w w:val="90"/>
                </w:rPr>
                <w:t>Governing Law; Jurisdiction; Consent to Service of Process</w:t>
              </w:r>
            </w:hyperlink>
          </w:p>
        </w:tc>
        <w:tc>
          <w:tcPr>
            <w:tcW w:w="960" w:type="dxa"/>
            <w:vAlign w:val="bottom"/>
            <w:gridSpan w:val="2"/>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7">
              <w:r>
                <w:rPr>
                  <w:rFonts w:ascii="Arial" w:cs="Arial" w:eastAsia="Arial" w:hAnsi="Arial"/>
                  <w:sz w:val="20"/>
                  <w:szCs w:val="20"/>
                  <w:color w:val="auto"/>
                </w:rPr>
                <w:t>9</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4.10.</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7">
              <w:r>
                <w:rPr>
                  <w:rFonts w:ascii="Arial" w:cs="Arial" w:eastAsia="Arial" w:hAnsi="Arial"/>
                  <w:sz w:val="20"/>
                  <w:szCs w:val="20"/>
                  <w:color w:val="auto"/>
                </w:rPr>
                <w:t>WAIVER OF JURY TRIAL</w:t>
              </w:r>
            </w:hyperlink>
          </w:p>
        </w:tc>
        <w:tc>
          <w:tcPr>
            <w:tcW w:w="2100" w:type="dxa"/>
            <w:vAlign w:val="bottom"/>
            <w:gridSpan w:val="3"/>
          </w:tcPr>
          <w:p>
            <w:pPr>
              <w:jc w:val="right"/>
              <w:spacing w:after="0"/>
              <w:rPr>
                <w:rFonts w:ascii="Arial" w:cs="Arial" w:eastAsia="Arial" w:hAnsi="Arial"/>
                <w:sz w:val="20"/>
                <w:szCs w:val="20"/>
                <w:color w:val="auto"/>
              </w:rPr>
            </w:pPr>
            <w:hyperlink w:anchor="page377">
              <w:r>
                <w:rPr>
                  <w:rFonts w:ascii="Arial" w:cs="Arial" w:eastAsia="Arial" w:hAnsi="Arial"/>
                  <w:sz w:val="20"/>
                  <w:szCs w:val="20"/>
                  <w:color w:val="auto"/>
                </w:rPr>
                <w:t>9</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4.11.</w:t>
            </w:r>
          </w:p>
        </w:tc>
        <w:tc>
          <w:tcPr>
            <w:tcW w:w="880" w:type="dxa"/>
            <w:vAlign w:val="bottom"/>
          </w:tcPr>
          <w:p>
            <w:pPr>
              <w:spacing w:after="0"/>
              <w:rPr>
                <w:sz w:val="22"/>
                <w:szCs w:val="22"/>
                <w:color w:val="auto"/>
              </w:rPr>
            </w:pPr>
          </w:p>
        </w:tc>
        <w:tc>
          <w:tcPr>
            <w:tcW w:w="760" w:type="dxa"/>
            <w:vAlign w:val="bottom"/>
            <w:tcBorders>
              <w:top w:val="single" w:sz="8" w:color="auto"/>
              <w:bottom w:val="single" w:sz="8" w:color="auto"/>
            </w:tcBorders>
            <w:gridSpan w:val="3"/>
          </w:tcPr>
          <w:p>
            <w:pPr>
              <w:spacing w:after="0"/>
              <w:rPr>
                <w:rFonts w:ascii="Arial" w:cs="Arial" w:eastAsia="Arial" w:hAnsi="Arial"/>
                <w:sz w:val="20"/>
                <w:szCs w:val="20"/>
                <w:color w:val="auto"/>
                <w:w w:val="87"/>
              </w:rPr>
            </w:pPr>
            <w:hyperlink w:anchor="page377">
              <w:r>
                <w:rPr>
                  <w:rFonts w:ascii="Arial" w:cs="Arial" w:eastAsia="Arial" w:hAnsi="Arial"/>
                  <w:sz w:val="20"/>
                  <w:szCs w:val="20"/>
                  <w:color w:val="auto"/>
                  <w:w w:val="87"/>
                </w:rPr>
                <w:t>Headings</w:t>
              </w:r>
            </w:hyperlink>
          </w:p>
        </w:tc>
        <w:tc>
          <w:tcPr>
            <w:tcW w:w="1480" w:type="dxa"/>
            <w:vAlign w:val="bottom"/>
            <w:tcBorders>
              <w:top w:val="single" w:sz="8" w:color="auto"/>
            </w:tcBorders>
            <w:gridSpan w:val="16"/>
          </w:tcPr>
          <w:p>
            <w:pPr>
              <w:spacing w:after="0"/>
              <w:rPr>
                <w:sz w:val="22"/>
                <w:szCs w:val="22"/>
                <w:color w:val="auto"/>
              </w:rPr>
            </w:pPr>
          </w:p>
        </w:tc>
        <w:tc>
          <w:tcPr>
            <w:tcW w:w="3480" w:type="dxa"/>
            <w:vAlign w:val="bottom"/>
            <w:gridSpan w:val="10"/>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7">
              <w:r>
                <w:rPr>
                  <w:rFonts w:ascii="Arial" w:cs="Arial" w:eastAsia="Arial" w:hAnsi="Arial"/>
                  <w:sz w:val="20"/>
                  <w:szCs w:val="20"/>
                  <w:color w:val="auto"/>
                </w:rPr>
                <w:t>9</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4.12.</w:t>
            </w:r>
          </w:p>
        </w:tc>
        <w:tc>
          <w:tcPr>
            <w:tcW w:w="880" w:type="dxa"/>
            <w:vAlign w:val="bottom"/>
          </w:tcPr>
          <w:p>
            <w:pPr>
              <w:spacing w:after="0"/>
              <w:rPr>
                <w:sz w:val="22"/>
                <w:szCs w:val="22"/>
                <w:color w:val="auto"/>
              </w:rPr>
            </w:pPr>
          </w:p>
        </w:tc>
        <w:tc>
          <w:tcPr>
            <w:tcW w:w="1700" w:type="dxa"/>
            <w:vAlign w:val="bottom"/>
            <w:tcBorders>
              <w:bottom w:val="single" w:sz="8" w:color="auto"/>
            </w:tcBorders>
            <w:gridSpan w:val="11"/>
          </w:tcPr>
          <w:p>
            <w:pPr>
              <w:spacing w:after="0"/>
              <w:rPr>
                <w:rFonts w:ascii="Arial" w:cs="Arial" w:eastAsia="Arial" w:hAnsi="Arial"/>
                <w:sz w:val="20"/>
                <w:szCs w:val="20"/>
                <w:color w:val="auto"/>
                <w:w w:val="91"/>
              </w:rPr>
            </w:pPr>
            <w:hyperlink w:anchor="page377">
              <w:r>
                <w:rPr>
                  <w:rFonts w:ascii="Arial" w:cs="Arial" w:eastAsia="Arial" w:hAnsi="Arial"/>
                  <w:sz w:val="20"/>
                  <w:szCs w:val="20"/>
                  <w:color w:val="auto"/>
                  <w:w w:val="91"/>
                </w:rPr>
                <w:t>Obligations Absolute</w:t>
              </w:r>
            </w:hyperlink>
          </w:p>
        </w:tc>
        <w:tc>
          <w:tcPr>
            <w:tcW w:w="4020" w:type="dxa"/>
            <w:vAlign w:val="bottom"/>
            <w:gridSpan w:val="18"/>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7">
              <w:r>
                <w:rPr>
                  <w:rFonts w:ascii="Arial" w:cs="Arial" w:eastAsia="Arial" w:hAnsi="Arial"/>
                  <w:sz w:val="20"/>
                  <w:szCs w:val="20"/>
                  <w:color w:val="auto"/>
                </w:rPr>
                <w:t>9</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4.13.</w:t>
            </w:r>
          </w:p>
        </w:tc>
        <w:tc>
          <w:tcPr>
            <w:tcW w:w="880" w:type="dxa"/>
            <w:vAlign w:val="bottom"/>
          </w:tcPr>
          <w:p>
            <w:pPr>
              <w:spacing w:after="0"/>
              <w:rPr>
                <w:sz w:val="22"/>
                <w:szCs w:val="22"/>
                <w:color w:val="auto"/>
              </w:rPr>
            </w:pPr>
          </w:p>
        </w:tc>
        <w:tc>
          <w:tcPr>
            <w:tcW w:w="1860" w:type="dxa"/>
            <w:vAlign w:val="bottom"/>
            <w:tcBorders>
              <w:bottom w:val="single" w:sz="8" w:color="auto"/>
            </w:tcBorders>
            <w:gridSpan w:val="15"/>
          </w:tcPr>
          <w:p>
            <w:pPr>
              <w:spacing w:after="0"/>
              <w:rPr>
                <w:rFonts w:ascii="Arial" w:cs="Arial" w:eastAsia="Arial" w:hAnsi="Arial"/>
                <w:sz w:val="20"/>
                <w:szCs w:val="20"/>
                <w:color w:val="auto"/>
                <w:w w:val="88"/>
              </w:rPr>
            </w:pPr>
            <w:hyperlink w:anchor="page378">
              <w:r>
                <w:rPr>
                  <w:rFonts w:ascii="Arial" w:cs="Arial" w:eastAsia="Arial" w:hAnsi="Arial"/>
                  <w:sz w:val="20"/>
                  <w:szCs w:val="20"/>
                  <w:color w:val="auto"/>
                  <w:w w:val="88"/>
                </w:rPr>
                <w:t>Termination of Release</w:t>
              </w:r>
            </w:hyperlink>
          </w:p>
        </w:tc>
        <w:tc>
          <w:tcPr>
            <w:tcW w:w="3860" w:type="dxa"/>
            <w:vAlign w:val="bottom"/>
            <w:gridSpan w:val="14"/>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8">
              <w:r>
                <w:rPr>
                  <w:rFonts w:ascii="Arial" w:cs="Arial" w:eastAsia="Arial" w:hAnsi="Arial"/>
                  <w:sz w:val="20"/>
                  <w:szCs w:val="20"/>
                  <w:color w:val="auto"/>
                </w:rPr>
                <w:t>10</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4.14.</w:t>
            </w:r>
          </w:p>
        </w:tc>
        <w:tc>
          <w:tcPr>
            <w:tcW w:w="880" w:type="dxa"/>
            <w:vAlign w:val="bottom"/>
          </w:tcPr>
          <w:p>
            <w:pPr>
              <w:spacing w:after="0"/>
              <w:rPr>
                <w:sz w:val="22"/>
                <w:szCs w:val="22"/>
                <w:color w:val="auto"/>
              </w:rPr>
            </w:pPr>
          </w:p>
        </w:tc>
        <w:tc>
          <w:tcPr>
            <w:tcW w:w="1880" w:type="dxa"/>
            <w:vAlign w:val="bottom"/>
            <w:tcBorders>
              <w:bottom w:val="single" w:sz="8" w:color="auto"/>
            </w:tcBorders>
            <w:gridSpan w:val="16"/>
          </w:tcPr>
          <w:p>
            <w:pPr>
              <w:spacing w:after="0"/>
              <w:rPr>
                <w:rFonts w:ascii="Arial" w:cs="Arial" w:eastAsia="Arial" w:hAnsi="Arial"/>
                <w:sz w:val="20"/>
                <w:szCs w:val="20"/>
                <w:color w:val="auto"/>
                <w:w w:val="91"/>
              </w:rPr>
            </w:pPr>
            <w:hyperlink w:anchor="page378">
              <w:r>
                <w:rPr>
                  <w:rFonts w:ascii="Arial" w:cs="Arial" w:eastAsia="Arial" w:hAnsi="Arial"/>
                  <w:sz w:val="20"/>
                  <w:szCs w:val="20"/>
                  <w:color w:val="auto"/>
                  <w:w w:val="91"/>
                </w:rPr>
                <w:t>Additional Subsidiaries</w:t>
              </w:r>
            </w:hyperlink>
          </w:p>
        </w:tc>
        <w:tc>
          <w:tcPr>
            <w:tcW w:w="3840" w:type="dxa"/>
            <w:vAlign w:val="bottom"/>
            <w:gridSpan w:val="13"/>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8">
              <w:r>
                <w:rPr>
                  <w:rFonts w:ascii="Arial" w:cs="Arial" w:eastAsia="Arial" w:hAnsi="Arial"/>
                  <w:sz w:val="20"/>
                  <w:szCs w:val="20"/>
                  <w:color w:val="auto"/>
                </w:rPr>
                <w:t>10</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4.15.</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9">
              <w:r>
                <w:rPr>
                  <w:rFonts w:ascii="Arial" w:cs="Arial" w:eastAsia="Arial" w:hAnsi="Arial"/>
                  <w:sz w:val="20"/>
                  <w:szCs w:val="20"/>
                  <w:color w:val="auto"/>
                </w:rPr>
                <w:t>Recourse</w:t>
              </w:r>
            </w:hyperlink>
          </w:p>
        </w:tc>
        <w:tc>
          <w:tcPr>
            <w:tcW w:w="2100" w:type="dxa"/>
            <w:vAlign w:val="bottom"/>
            <w:gridSpan w:val="3"/>
          </w:tcPr>
          <w:p>
            <w:pPr>
              <w:jc w:val="right"/>
              <w:spacing w:after="0"/>
              <w:rPr>
                <w:rFonts w:ascii="Arial" w:cs="Arial" w:eastAsia="Arial" w:hAnsi="Arial"/>
                <w:sz w:val="20"/>
                <w:szCs w:val="20"/>
                <w:color w:val="auto"/>
              </w:rPr>
            </w:pPr>
            <w:hyperlink w:anchor="page379">
              <w:r>
                <w:rPr>
                  <w:rFonts w:ascii="Arial" w:cs="Arial" w:eastAsia="Arial" w:hAnsi="Arial"/>
                  <w:sz w:val="20"/>
                  <w:szCs w:val="20"/>
                  <w:color w:val="auto"/>
                </w:rPr>
                <w:t>11</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4.16.</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79">
              <w:r>
                <w:rPr>
                  <w:rFonts w:ascii="Arial" w:cs="Arial" w:eastAsia="Arial" w:hAnsi="Arial"/>
                  <w:sz w:val="20"/>
                  <w:szCs w:val="20"/>
                  <w:color w:val="auto"/>
                </w:rPr>
                <w:t>Limitation on Guaranteed Obligations</w:t>
              </w:r>
            </w:hyperlink>
          </w:p>
        </w:tc>
        <w:tc>
          <w:tcPr>
            <w:tcW w:w="2100" w:type="dxa"/>
            <w:vAlign w:val="bottom"/>
            <w:gridSpan w:val="3"/>
          </w:tcPr>
          <w:p>
            <w:pPr>
              <w:jc w:val="right"/>
              <w:spacing w:after="0"/>
              <w:rPr>
                <w:rFonts w:ascii="Arial" w:cs="Arial" w:eastAsia="Arial" w:hAnsi="Arial"/>
                <w:sz w:val="20"/>
                <w:szCs w:val="20"/>
                <w:color w:val="auto"/>
              </w:rPr>
            </w:pPr>
            <w:hyperlink w:anchor="page379">
              <w:r>
                <w:rPr>
                  <w:rFonts w:ascii="Arial" w:cs="Arial" w:eastAsia="Arial" w:hAnsi="Arial"/>
                  <w:sz w:val="20"/>
                  <w:szCs w:val="20"/>
                  <w:color w:val="auto"/>
                </w:rPr>
                <w:t>11</w:t>
              </w:r>
            </w:hyperlink>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4.17.</w:t>
            </w:r>
          </w:p>
        </w:tc>
        <w:tc>
          <w:tcPr>
            <w:tcW w:w="880" w:type="dxa"/>
            <w:vAlign w:val="bottom"/>
          </w:tcPr>
          <w:p>
            <w:pPr>
              <w:spacing w:after="0"/>
              <w:rPr>
                <w:sz w:val="22"/>
                <w:szCs w:val="22"/>
                <w:color w:val="auto"/>
              </w:rPr>
            </w:pPr>
          </w:p>
        </w:tc>
        <w:tc>
          <w:tcPr>
            <w:tcW w:w="3020" w:type="dxa"/>
            <w:vAlign w:val="bottom"/>
            <w:tcBorders>
              <w:top w:val="single" w:sz="8" w:color="auto"/>
            </w:tcBorders>
            <w:gridSpan w:val="23"/>
          </w:tcPr>
          <w:p>
            <w:pPr>
              <w:spacing w:after="0"/>
              <w:rPr>
                <w:rFonts w:ascii="Arial" w:cs="Arial" w:eastAsia="Arial" w:hAnsi="Arial"/>
                <w:sz w:val="20"/>
                <w:szCs w:val="20"/>
                <w:color w:val="auto"/>
              </w:rPr>
            </w:pPr>
            <w:hyperlink w:anchor="page379">
              <w:r>
                <w:rPr>
                  <w:rFonts w:ascii="Arial" w:cs="Arial" w:eastAsia="Arial" w:hAnsi="Arial"/>
                  <w:sz w:val="20"/>
                  <w:szCs w:val="20"/>
                  <w:color w:val="auto"/>
                </w:rPr>
                <w:t>Keepwell</w:t>
              </w:r>
            </w:hyperlink>
          </w:p>
        </w:tc>
        <w:tc>
          <w:tcPr>
            <w:tcW w:w="2700" w:type="dxa"/>
            <w:vAlign w:val="bottom"/>
            <w:gridSpan w:val="6"/>
          </w:tcPr>
          <w:p>
            <w:pPr>
              <w:spacing w:after="0"/>
              <w:rPr>
                <w:sz w:val="22"/>
                <w:szCs w:val="22"/>
                <w:color w:val="auto"/>
              </w:rPr>
            </w:pPr>
          </w:p>
        </w:tc>
        <w:tc>
          <w:tcPr>
            <w:tcW w:w="2100" w:type="dxa"/>
            <w:vAlign w:val="bottom"/>
            <w:gridSpan w:val="3"/>
          </w:tcPr>
          <w:p>
            <w:pPr>
              <w:jc w:val="right"/>
              <w:spacing w:after="0"/>
              <w:rPr>
                <w:rFonts w:ascii="Arial" w:cs="Arial" w:eastAsia="Arial" w:hAnsi="Arial"/>
                <w:sz w:val="20"/>
                <w:szCs w:val="20"/>
                <w:color w:val="auto"/>
              </w:rPr>
            </w:pPr>
            <w:hyperlink w:anchor="page379">
              <w:r>
                <w:rPr>
                  <w:rFonts w:ascii="Arial" w:cs="Arial" w:eastAsia="Arial" w:hAnsi="Arial"/>
                  <w:sz w:val="20"/>
                  <w:szCs w:val="20"/>
                  <w:color w:val="auto"/>
                </w:rPr>
                <w:t>11</w:t>
              </w:r>
            </w:hyperlink>
          </w:p>
        </w:tc>
      </w:tr>
      <w:tr>
        <w:trPr>
          <w:trHeight w:val="20"/>
        </w:trPr>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64"/>
        </w:trPr>
        <w:tc>
          <w:tcPr>
            <w:tcW w:w="2060" w:type="dxa"/>
            <w:vAlign w:val="bottom"/>
          </w:tcPr>
          <w:p>
            <w:pPr>
              <w:ind w:left="360"/>
              <w:spacing w:after="0"/>
              <w:rPr>
                <w:sz w:val="20"/>
                <w:szCs w:val="20"/>
                <w:color w:val="auto"/>
              </w:rPr>
            </w:pPr>
            <w:r>
              <w:rPr>
                <w:rFonts w:ascii="Arial" w:cs="Arial" w:eastAsia="Arial" w:hAnsi="Arial"/>
                <w:sz w:val="20"/>
                <w:szCs w:val="20"/>
                <w:color w:val="auto"/>
              </w:rPr>
              <w:t>Section 4.18</w:t>
            </w:r>
          </w:p>
        </w:tc>
        <w:tc>
          <w:tcPr>
            <w:tcW w:w="880" w:type="dxa"/>
            <w:vAlign w:val="bottom"/>
          </w:tcPr>
          <w:p>
            <w:pPr>
              <w:spacing w:after="0"/>
              <w:rPr>
                <w:sz w:val="22"/>
                <w:szCs w:val="22"/>
                <w:color w:val="auto"/>
              </w:rPr>
            </w:pPr>
          </w:p>
        </w:tc>
        <w:tc>
          <w:tcPr>
            <w:tcW w:w="5720" w:type="dxa"/>
            <w:vAlign w:val="bottom"/>
            <w:gridSpan w:val="29"/>
          </w:tcPr>
          <w:p>
            <w:pPr>
              <w:spacing w:after="0"/>
              <w:rPr>
                <w:rFonts w:ascii="Arial" w:cs="Arial" w:eastAsia="Arial" w:hAnsi="Arial"/>
                <w:sz w:val="20"/>
                <w:szCs w:val="20"/>
                <w:color w:val="auto"/>
              </w:rPr>
            </w:pPr>
            <w:hyperlink w:anchor="page380">
              <w:r>
                <w:rPr>
                  <w:rFonts w:ascii="Arial" w:cs="Arial" w:eastAsia="Arial" w:hAnsi="Arial"/>
                  <w:sz w:val="20"/>
                  <w:szCs w:val="20"/>
                  <w:color w:val="auto"/>
                </w:rPr>
                <w:t>Amendment and Restatement; No Novation</w:t>
              </w:r>
            </w:hyperlink>
          </w:p>
        </w:tc>
        <w:tc>
          <w:tcPr>
            <w:tcW w:w="2100" w:type="dxa"/>
            <w:vAlign w:val="bottom"/>
            <w:gridSpan w:val="3"/>
          </w:tcPr>
          <w:p>
            <w:pPr>
              <w:jc w:val="right"/>
              <w:spacing w:after="0"/>
              <w:rPr>
                <w:rFonts w:ascii="Arial" w:cs="Arial" w:eastAsia="Arial" w:hAnsi="Arial"/>
                <w:sz w:val="20"/>
                <w:szCs w:val="20"/>
                <w:color w:val="auto"/>
              </w:rPr>
            </w:pPr>
            <w:hyperlink w:anchor="page380">
              <w:r>
                <w:rPr>
                  <w:rFonts w:ascii="Arial" w:cs="Arial" w:eastAsia="Arial" w:hAnsi="Arial"/>
                  <w:sz w:val="20"/>
                  <w:szCs w:val="20"/>
                  <w:color w:val="auto"/>
                </w:rPr>
                <w:t>12</w:t>
              </w:r>
            </w:hyperlink>
          </w:p>
        </w:tc>
      </w:tr>
      <w:tr>
        <w:trPr>
          <w:trHeight w:val="430"/>
        </w:trPr>
        <w:tc>
          <w:tcPr>
            <w:tcW w:w="2060" w:type="dxa"/>
            <w:vAlign w:val="bottom"/>
          </w:tcPr>
          <w:p>
            <w:pPr>
              <w:spacing w:after="0"/>
              <w:rPr>
                <w:sz w:val="20"/>
                <w:szCs w:val="20"/>
                <w:color w:val="auto"/>
              </w:rPr>
            </w:pPr>
            <w:r>
              <w:rPr>
                <w:rFonts w:ascii="Arial" w:cs="Arial" w:eastAsia="Arial" w:hAnsi="Arial"/>
                <w:sz w:val="20"/>
                <w:szCs w:val="20"/>
                <w:color w:val="auto"/>
              </w:rPr>
              <w:t>SCHEDULES</w:t>
            </w:r>
          </w:p>
        </w:tc>
        <w:tc>
          <w:tcPr>
            <w:tcW w:w="8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2060" w:type="dxa"/>
            <w:vAlign w:val="bottom"/>
          </w:tcPr>
          <w:p>
            <w:pPr>
              <w:ind w:left="360"/>
              <w:spacing w:after="0"/>
              <w:rPr>
                <w:sz w:val="20"/>
                <w:szCs w:val="20"/>
                <w:color w:val="auto"/>
              </w:rPr>
            </w:pPr>
            <w:r>
              <w:rPr>
                <w:rFonts w:ascii="Arial" w:cs="Arial" w:eastAsia="Arial" w:hAnsi="Arial"/>
                <w:sz w:val="20"/>
                <w:szCs w:val="20"/>
                <w:color w:val="auto"/>
              </w:rPr>
              <w:t>Schedule 1</w:t>
            </w:r>
          </w:p>
        </w:tc>
        <w:tc>
          <w:tcPr>
            <w:tcW w:w="6600" w:type="dxa"/>
            <w:vAlign w:val="bottom"/>
            <w:gridSpan w:val="30"/>
          </w:tcPr>
          <w:p>
            <w:pPr>
              <w:ind w:left="640"/>
              <w:spacing w:after="0"/>
              <w:rPr>
                <w:rFonts w:ascii="Arial" w:cs="Arial" w:eastAsia="Arial" w:hAnsi="Arial"/>
                <w:sz w:val="20"/>
                <w:szCs w:val="20"/>
                <w:color w:val="auto"/>
              </w:rPr>
            </w:pPr>
            <w:hyperlink w:anchor="page394">
              <w:r>
                <w:rPr>
                  <w:rFonts w:ascii="Arial" w:cs="Arial" w:eastAsia="Arial" w:hAnsi="Arial"/>
                  <w:sz w:val="20"/>
                  <w:szCs w:val="20"/>
                  <w:color w:val="auto"/>
                </w:rPr>
                <w:t>Subsidiary Parties</w:t>
              </w:r>
            </w:hyperlink>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Arial" w:cs="Arial" w:eastAsia="Arial" w:hAnsi="Arial"/>
                <w:sz w:val="20"/>
                <w:szCs w:val="20"/>
                <w:color w:val="auto"/>
              </w:rPr>
              <w:t>EXHIBITS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2060" w:type="dxa"/>
            <w:vAlign w:val="bottom"/>
          </w:tcPr>
          <w:p>
            <w:pPr>
              <w:ind w:left="360"/>
              <w:spacing w:after="0"/>
              <w:rPr>
                <w:sz w:val="20"/>
                <w:szCs w:val="20"/>
                <w:color w:val="auto"/>
              </w:rPr>
            </w:pPr>
            <w:r>
              <w:rPr>
                <w:rFonts w:ascii="Arial" w:cs="Arial" w:eastAsia="Arial" w:hAnsi="Arial"/>
                <w:sz w:val="20"/>
                <w:szCs w:val="20"/>
                <w:color w:val="auto"/>
              </w:rPr>
              <w:t>Exhibit 1</w:t>
            </w:r>
          </w:p>
        </w:tc>
        <w:tc>
          <w:tcPr>
            <w:tcW w:w="6600" w:type="dxa"/>
            <w:vAlign w:val="bottom"/>
            <w:gridSpan w:val="30"/>
          </w:tcPr>
          <w:p>
            <w:pPr>
              <w:ind w:left="640"/>
              <w:spacing w:after="0"/>
              <w:rPr>
                <w:rFonts w:ascii="Arial" w:cs="Arial" w:eastAsia="Arial" w:hAnsi="Arial"/>
                <w:sz w:val="20"/>
                <w:szCs w:val="20"/>
                <w:color w:val="auto"/>
              </w:rPr>
            </w:pPr>
            <w:hyperlink w:anchor="page397">
              <w:r>
                <w:rPr>
                  <w:rFonts w:ascii="Arial" w:cs="Arial" w:eastAsia="Arial" w:hAnsi="Arial"/>
                  <w:sz w:val="20"/>
                  <w:szCs w:val="20"/>
                  <w:color w:val="auto"/>
                </w:rPr>
                <w:t>Form of Guaranty Supplement</w:t>
              </w:r>
            </w:hyperlink>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760"/>
          </w:cols>
          <w:pgMar w:left="540" w:top="693" w:right="599" w:bottom="1440" w:gutter="0" w:footer="0" w:header="0"/>
        </w:sectPr>
      </w:pPr>
    </w:p>
    <w:bookmarkStart w:id="368" w:name="page369"/>
    <w:bookmarkEnd w:id="368"/>
    <w:p>
      <w:pPr>
        <w:ind w:left="260" w:right="740" w:firstLine="648"/>
        <w:spacing w:after="0" w:line="247" w:lineRule="auto"/>
        <w:rPr>
          <w:sz w:val="20"/>
          <w:szCs w:val="20"/>
          <w:color w:val="auto"/>
        </w:rPr>
      </w:pPr>
      <w:r>
        <w:rPr>
          <w:rFonts w:ascii="Arial" w:cs="Arial" w:eastAsia="Arial" w:hAnsi="Arial"/>
          <w:sz w:val="20"/>
          <w:szCs w:val="20"/>
          <w:color w:val="auto"/>
        </w:rPr>
        <w:t>AMENDED AND RESTATED GUARANTY AGREEMENT dated as of November 30, 2017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 w:lineRule="exact"/>
        <w:rPr>
          <w:sz w:val="20"/>
          <w:szCs w:val="20"/>
          <w:color w:val="auto"/>
        </w:rPr>
      </w:pPr>
    </w:p>
    <w:p>
      <w:pPr>
        <w:jc w:val="both"/>
        <w:ind w:left="260"/>
        <w:spacing w:after="0" w:line="241" w:lineRule="auto"/>
        <w:rPr>
          <w:sz w:val="20"/>
          <w:szCs w:val="20"/>
          <w:color w:val="auto"/>
        </w:rPr>
      </w:pPr>
      <w:r>
        <w:rPr>
          <w:rFonts w:ascii="Arial" w:cs="Arial" w:eastAsia="Arial" w:hAnsi="Arial"/>
          <w:sz w:val="20"/>
          <w:szCs w:val="20"/>
          <w:color w:val="auto"/>
        </w:rPr>
        <w:t>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other Subsidiaries of the Company identified herein, WELLS FARGO BANK, NATIONAL ASSOCIATION, as Administrative Agent, Swing Line Lender and an L/C Issuer and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196"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Reference is made to the Amended and Restated Credit Agreement dated as of November 30, 2017 (as amended, restated, supplemented and/or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Borrowers, each Lender from time to time party thereto and Wells Fargo Bank, National Association, as Administrative Agent.</w:t>
      </w:r>
    </w:p>
    <w:p>
      <w:pPr>
        <w:spacing w:after="0" w:line="186" w:lineRule="exact"/>
        <w:rPr>
          <w:sz w:val="20"/>
          <w:szCs w:val="20"/>
          <w:color w:val="auto"/>
        </w:rPr>
      </w:pPr>
    </w:p>
    <w:p>
      <w:pPr>
        <w:jc w:val="both"/>
        <w:ind w:left="260" w:firstLine="648"/>
        <w:spacing w:after="0" w:line="270" w:lineRule="auto"/>
        <w:rPr>
          <w:sz w:val="20"/>
          <w:szCs w:val="20"/>
          <w:color w:val="auto"/>
        </w:rPr>
      </w:pPr>
      <w:r>
        <w:rPr>
          <w:rFonts w:ascii="Arial" w:cs="Arial" w:eastAsia="Arial" w:hAnsi="Arial"/>
          <w:sz w:val="18"/>
          <w:szCs w:val="18"/>
          <w:color w:val="auto"/>
        </w:rPr>
        <w:t>The Lenders have agreed to extend credit to the Borrowers subject to the terms and conditions set forth in the Credit Agreement, the Hedge Banks have agreed to enter into and/or maintain one or more Secured Hedge Agreements on the terms and conditions set forth therein and the Cash Management Banks have agreed to provide and/or maintain Cash Management Services on the terms and conditions agreed upon by the Borrowers or the respective Subsidiary and such Cash Management Bank. The obligations of the Lenders to extend such credit, the obligation of the Hedge Banks to enter into and/or maintain such Secured Hedge Agreements and the obligation of the Cash Management Banks to provide and/or maintain Cash Management Services are, in each case, conditioned upon, among other things, the execution and delivery of this Agreement by each Guarantor. The Borrowers and the Subsidiary Parties are affiliates of one another, are an integral part of a consolidated enterprise and will derive substantial direct and indirect benefits from (i) the extensions of credit to the Borrowers pursuant to the Credit Agreement, (ii) the entering into and/or maintaining by the Hedge Banks of Secured Hedge Agreements with a Borrower and/or one or more of its respective Subsidiaries and (iii) the providing and/or maintaining of Cash Management Services by the Cash Management Banks to a Borrower and/or one or more of its respective Subsidiaries, and are willing to execute and deliver this Agreement in order to induce the Lenders to extend such credit, the Hedge Banks to enter into and/or maintain such Secured Hedge Agreements and the Cash Management Banks to provide and/or maintain such Cash Management Services.</w:t>
      </w:r>
    </w:p>
    <w:p>
      <w:pPr>
        <w:spacing w:after="0" w:line="187"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Accordingly, in consideration of the foregoing and other benefits accruing to each Guarantor, the receipt and sufficiency of which are hereby acknowledged, each Guarantor hereby makes the following representations and warranties to the Administrative Agent for the benefit of the Secured Parties and hereby covenants and agrees with each other Guarantor and the Administrative Agent for the benefit of the Secured Parties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22"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Credit Agreement</w:t>
      </w:r>
      <w:r>
        <w:rPr>
          <w:rFonts w:ascii="Arial" w:cs="Arial" w:eastAsia="Arial" w:hAnsi="Arial"/>
          <w:sz w:val="20"/>
          <w:szCs w:val="20"/>
          <w:color w:val="auto"/>
        </w:rPr>
        <w:t>. (a) Capitalized terms used in this Agreement and not otherwise defined herein have the meanings specified in the Credit Agreement.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(b) The rules of construction specified in Article I of the Credit Agreement also apply to this Agreement.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Other Defined Terms</w:t>
      </w:r>
      <w:r>
        <w:rPr>
          <w:rFonts w:ascii="Arial" w:cs="Arial" w:eastAsia="Arial" w:hAnsi="Arial"/>
          <w:sz w:val="19"/>
          <w:szCs w:val="19"/>
          <w:color w:val="auto"/>
        </w:rPr>
        <w:t>. As used in this Agreement, the following terms have the meanings specified below:</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Amended and Restated Guaranty Agreement.</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47" w:right="239" w:bottom="1440" w:gutter="0" w:footer="0" w:header="0"/>
        </w:sectPr>
      </w:pPr>
    </w:p>
    <w:bookmarkStart w:id="369" w:name="page370"/>
    <w:bookmarkEnd w:id="369"/>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has the meaning assigned to such term in the preliminary statement of this Agreement.</w:t>
      </w:r>
    </w:p>
    <w:p>
      <w:pPr>
        <w:spacing w:after="0" w:line="229" w:lineRule="exact"/>
        <w:rPr>
          <w:sz w:val="20"/>
          <w:szCs w:val="20"/>
          <w:color w:val="auto"/>
        </w:rPr>
      </w:pPr>
    </w:p>
    <w:p>
      <w:pPr>
        <w:ind w:left="260" w:right="5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Discharge of Guaranteed Obligations</w:t>
      </w:r>
      <w:r>
        <w:rPr>
          <w:rFonts w:ascii="Arial" w:cs="Arial" w:eastAsia="Arial" w:hAnsi="Arial"/>
          <w:sz w:val="20"/>
          <w:szCs w:val="20"/>
          <w:color w:val="auto"/>
        </w:rPr>
        <w:t xml:space="preserve">” means the termination of this Agreement and the Guarantees made herein pursuant to </w:t>
      </w:r>
      <w:r>
        <w:rPr>
          <w:rFonts w:ascii="Arial" w:cs="Arial" w:eastAsia="Arial" w:hAnsi="Arial"/>
          <w:sz w:val="20"/>
          <w:szCs w:val="20"/>
          <w:u w:val="single" w:color="auto"/>
          <w:color w:val="auto"/>
        </w:rPr>
        <w:t>Section 4.13(a)</w:t>
      </w:r>
      <w:r>
        <w:rPr>
          <w:rFonts w:ascii="Arial" w:cs="Arial" w:eastAsia="Arial" w:hAnsi="Arial"/>
          <w:sz w:val="20"/>
          <w:szCs w:val="20"/>
          <w:color w:val="auto"/>
        </w:rPr>
        <w:t xml:space="preserve"> hereof.</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 Supplement</w:t>
      </w:r>
      <w:r>
        <w:rPr>
          <w:rFonts w:ascii="Arial" w:cs="Arial" w:eastAsia="Arial" w:hAnsi="Arial"/>
          <w:sz w:val="20"/>
          <w:szCs w:val="20"/>
          <w:color w:val="auto"/>
        </w:rPr>
        <w:t>” means an instrument substantially in the form of Exhibit I</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hereto.</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mean the “</w:t>
      </w:r>
      <w:r>
        <w:rPr>
          <w:rFonts w:ascii="Arial" w:cs="Arial" w:eastAsia="Arial" w:hAnsi="Arial"/>
          <w:sz w:val="20"/>
          <w:szCs w:val="20"/>
          <w:u w:val="single" w:color="auto"/>
          <w:color w:val="auto"/>
        </w:rPr>
        <w:t>Obligations</w:t>
      </w:r>
      <w:r>
        <w:rPr>
          <w:rFonts w:ascii="Arial" w:cs="Arial" w:eastAsia="Arial" w:hAnsi="Arial"/>
          <w:sz w:val="20"/>
          <w:szCs w:val="20"/>
          <w:color w:val="auto"/>
        </w:rPr>
        <w:t>” as defined in the Credit Agreement.</w:t>
      </w:r>
    </w:p>
    <w:p>
      <w:pPr>
        <w:spacing w:after="0" w:line="216" w:lineRule="exact"/>
        <w:rPr>
          <w:sz w:val="20"/>
          <w:szCs w:val="20"/>
          <w:color w:val="auto"/>
        </w:rPr>
      </w:pPr>
    </w:p>
    <w:p>
      <w:pPr>
        <w:ind w:left="260" w:right="4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Party</w:t>
      </w:r>
      <w:r>
        <w:rPr>
          <w:rFonts w:ascii="Arial" w:cs="Arial" w:eastAsia="Arial" w:hAnsi="Arial"/>
          <w:sz w:val="20"/>
          <w:szCs w:val="20"/>
          <w:color w:val="auto"/>
        </w:rPr>
        <w:t>” means each Borrower, each Subsidiary Guarantor and each Subsidiary of a Borrower party to any Secured Hedge Agreement.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means each Borrower and each Subsidiary Party.</w:t>
      </w:r>
    </w:p>
    <w:p>
      <w:pPr>
        <w:spacing w:after="0" w:line="202"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Swap Obligation, each Guarantor that has total assets exceeding $10,000,000 at the time the relevant Guaranty or grant of the relevant security interest becomes effective with respect to such Swap Obligation or such other Person as constitutes an “eligible contract participant” under (and as defined in)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5" w:lineRule="exact"/>
        <w:rPr>
          <w:sz w:val="20"/>
          <w:szCs w:val="20"/>
          <w:color w:val="auto"/>
        </w:rPr>
      </w:pPr>
    </w:p>
    <w:p>
      <w:pPr>
        <w:jc w:val="both"/>
        <w:ind w:left="2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Credit Document</w:t>
      </w:r>
      <w:r>
        <w:rPr>
          <w:rFonts w:ascii="Arial" w:cs="Arial" w:eastAsia="Arial" w:hAnsi="Arial"/>
          <w:sz w:val="20"/>
          <w:szCs w:val="20"/>
          <w:color w:val="auto"/>
        </w:rPr>
        <w:t>” means each Loan Document, each Secured Hedge Agreement and any agreement evidencing any Cash Management Obligation.</w:t>
      </w:r>
    </w:p>
    <w:p>
      <w:pPr>
        <w:spacing w:after="0" w:line="190"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Administrative Agent, the Collateral Agent, the Lenders, the Hedge Banks, the Cash Management Banks, the Supplemental Administrative Agent and each co-agent or sub-agent appointed by the Administrative Agent from time to time pursuant to Section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9.02 of the Credit Agreement.</w:t>
      </w:r>
    </w:p>
    <w:p>
      <w:pPr>
        <w:spacing w:after="0" w:line="208"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Parties</w:t>
      </w:r>
      <w:r>
        <w:rPr>
          <w:rFonts w:ascii="Arial" w:cs="Arial" w:eastAsia="Arial" w:hAnsi="Arial"/>
          <w:sz w:val="20"/>
          <w:szCs w:val="20"/>
          <w:color w:val="auto"/>
        </w:rPr>
        <w:t xml:space="preserve"> ” means (a) the Subsidiaries identified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and (b) each other Subsidiary that becomes a party to this Agreement as a Subsidiary Party after the Closing Date.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Guaranty</w:t>
      </w:r>
    </w:p>
    <w:p>
      <w:pPr>
        <w:spacing w:after="0" w:line="222" w:lineRule="exact"/>
        <w:rPr>
          <w:sz w:val="20"/>
          <w:szCs w:val="20"/>
          <w:color w:val="auto"/>
        </w:rPr>
      </w:pPr>
    </w:p>
    <w:p>
      <w:pPr>
        <w:jc w:val="both"/>
        <w:ind w:left="260" w:firstLine="648"/>
        <w:spacing w:after="0" w:line="27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Guaranty</w:t>
      </w:r>
      <w:r>
        <w:rPr>
          <w:rFonts w:ascii="Arial" w:cs="Arial" w:eastAsia="Arial" w:hAnsi="Arial"/>
          <w:sz w:val="18"/>
          <w:szCs w:val="18"/>
          <w:color w:val="auto"/>
        </w:rPr>
        <w:t>. Each Guarantor irrevocably, absolutely and unconditionally guarantees, jointly with the other Guarantors and severally, as a primary obligor and not merely as a surety, the due and punctual payment and performance of the Guaranteed Obligations, in each case, whether such Guaranteed Obligations are now existing or hereafter incurred under, arising out of or in connection with any Secured Credit Document, and whether at maturity, by acceleration or otherwise. Each of the Guarantors further agrees that the Guaranteed Obligations may be extended, increased or renewed, in whole or in part, without notice to, or further assent from such Guarantor, and that such Guarantor will remain bound upon its guaranty notwithstanding any extension, increase or renewal of any Guaranteed Obligation. Each of the Guarantors waives, to the fullest extent permitted under applicable Law, presentment to, demand of payment from, and protest to, the applicable Guaranteed Party or any other Loan Party of any of the Guaranteed Obligations, and also waives, to the fullest extent permitted under applicable Law, notice of acceptance of its guaranty and notice of protest for nonpayment.</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47" w:right="239" w:bottom="1440" w:gutter="0" w:footer="0" w:header="0"/>
        </w:sectPr>
      </w:pPr>
    </w:p>
    <w:bookmarkStart w:id="370" w:name="page371"/>
    <w:bookmarkEnd w:id="370"/>
    <w:p>
      <w:pPr>
        <w:jc w:val="both"/>
        <w:ind w:left="260" w:firstLine="648"/>
        <w:spacing w:after="0" w:line="256"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Guarantee of Payment</w:t>
      </w:r>
      <w:r>
        <w:rPr>
          <w:rFonts w:ascii="Arial" w:cs="Arial" w:eastAsia="Arial" w:hAnsi="Arial"/>
          <w:sz w:val="19"/>
          <w:szCs w:val="19"/>
          <w:color w:val="auto"/>
        </w:rPr>
        <w:t>. Each of the Guarantors further agrees that its guaranty hereunder constitutes a guarantee of payment when due and not of collection, and, to the fullest extent permitted under applicable Law, waives any right to require that any resort be had by the Administrative Agent or any other Secured Party to any security held for the payment of the Guaranteed Obligations, or to any balance of any deposit account or credit on the books of the Administrative Agent or any other Secured Party in favor of any Guaranteed Party or any other Person. The obligations of each Guarantor hereunder are independent of the obligations of any other Guarantor, any other guarantor, any Borrower or any other Guaranteed Party, and a separate action or actions may be brought and prosecuted against each Guarantor whether or not action is brought against any other Guarantor, any other guarantor, any Borrower or any other Guaranteed Party and whether or not any other Guarantor, any other guarantor, any Borrower or any other Guaranteed party be joined in any such action or actions. Any payment required to be made by a Guarantor hereunder may be required by the Administrative Agent or any other Secured Party on any number of occasions.</w:t>
      </w:r>
    </w:p>
    <w:p>
      <w:pPr>
        <w:spacing w:after="0" w:line="181" w:lineRule="exact"/>
        <w:rPr>
          <w:sz w:val="20"/>
          <w:szCs w:val="20"/>
          <w:color w:val="auto"/>
        </w:rPr>
      </w:pPr>
    </w:p>
    <w:p>
      <w:pPr>
        <w:jc w:val="both"/>
        <w:ind w:left="260" w:firstLine="648"/>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 Limitations</w:t>
      </w:r>
      <w:r>
        <w:rPr>
          <w:rFonts w:ascii="Arial" w:cs="Arial" w:eastAsia="Arial" w:hAnsi="Arial"/>
          <w:sz w:val="18"/>
          <w:szCs w:val="18"/>
          <w:color w:val="auto"/>
        </w:rPr>
        <w:t xml:space="preserve">. (a) Except for termination of a Guarantor’s obligations hereunder as expressly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but without prejudice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Guaranteed Obligations, or otherwise. Without limiting the generality of the foregoing, except for termination of a Guarantor’s obligations hereunder as expressly provided in </w:t>
      </w:r>
      <w:r>
        <w:rPr>
          <w:rFonts w:ascii="Arial" w:cs="Arial" w:eastAsia="Arial" w:hAnsi="Arial"/>
          <w:sz w:val="18"/>
          <w:szCs w:val="18"/>
          <w:u w:val="single" w:color="auto"/>
          <w:color w:val="auto"/>
        </w:rPr>
        <w:t>Section 4.13</w:t>
      </w:r>
      <w:r>
        <w:rPr>
          <w:rFonts w:ascii="Arial" w:cs="Arial" w:eastAsia="Arial" w:hAnsi="Arial"/>
          <w:sz w:val="18"/>
          <w:szCs w:val="18"/>
          <w:color w:val="auto"/>
        </w:rPr>
        <w:t>, the obligations of each Guarantor hereunder shall not be discharged or impaired or otherwise affected by (i) the failure of the Administrative Agent or any other Secured Party to assert any claim or demand or to enforce any right or remedy under the provisions of any Secured Credit Document or otherwise; (ii) any rescission, waiver, amendment or modification of, or any release from any of the terms or provisions of, any Secured Credit Document or any other agreement, including with respect to any other Guarantor under this Agreement; (iii) the release of any security held by the Collateral Agent or any other Secured Party for the Guaranteed Obligations; (iv) any default, failure or delay, willful or otherwise, in the performance of the Guaranteed Obligations; (v) the failure to perfect any security interest in, or the release of, any of the Collateral held by or on behalf of the Collateral Agent or any other Secured party; (vi) the lack of legal existence of any Borrower or any Guarantor or legal obligation to discharge any of the Guaranteed Obligations by any Borrower or any Guarantor for any reason whatsoever, including, without limitation, in any insolvency, bankruptcy or reorganization of any Loan Party; or (vii) any other act or omission that may or might in any manner or to any extent vary the risk of any Guarantor or otherwise operate as a discharge of any Guarantor as a matter of law or equity (other than the indefeasible payment in full in cash of all the Guaranteed Obligations). Each Guarantor expressly authorizes the applicable Secured Parties to take and hold security for the payment and performance of the Guaranteed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Guaranteed Obligations all without affecting the obligations of any Guarantor hereunder.</w:t>
      </w:r>
    </w:p>
    <w:p>
      <w:pPr>
        <w:spacing w:after="0" w:line="184" w:lineRule="exact"/>
        <w:rPr>
          <w:sz w:val="20"/>
          <w:szCs w:val="20"/>
          <w:color w:val="auto"/>
        </w:rPr>
      </w:pPr>
    </w:p>
    <w:p>
      <w:pPr>
        <w:jc w:val="both"/>
        <w:ind w:left="260" w:firstLine="646"/>
        <w:spacing w:after="0" w:line="273" w:lineRule="auto"/>
        <w:tabs>
          <w:tab w:leader="none" w:pos="120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Except for termination of a Guarantor’s obligations hereunder as expressly permitted in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but without prejudice to </w:t>
      </w:r>
      <w:r>
        <w:rPr>
          <w:rFonts w:ascii="Arial" w:cs="Arial" w:eastAsia="Arial" w:hAnsi="Arial"/>
          <w:sz w:val="18"/>
          <w:szCs w:val="18"/>
          <w:u w:val="single" w:color="auto"/>
          <w:color w:val="auto"/>
        </w:rPr>
        <w:t>Section 2.04</w:t>
      </w:r>
      <w:r>
        <w:rPr>
          <w:rFonts w:ascii="Arial" w:cs="Arial" w:eastAsia="Arial" w:hAnsi="Arial"/>
          <w:sz w:val="18"/>
          <w:szCs w:val="18"/>
          <w:color w:val="auto"/>
        </w:rPr>
        <w:t>, to the fullest extent permitted by applicable Law, each Guarantor waives any defense based on or arising out of any defense of any Borrower or any other Guaranteed Party or the unenforceability of the Guaranteed Obligations or any part thereof from any cause, or the cessation from any cause of the liability of any Borrower or any other Guaranteed Party, other than the indefeasible payment in full in cash of all the Guaranteed Obligations. The Administrative Agent and the other Secured Parties may in accordance with the terms of the Collateral Documents, at their election, foreclose on any security held by one or more of them by one or more judicial or nonjudicial sales, accept an assignment of any such security in lieu of foreclosure, compromise or adjust any part of the Guaranteed Obligations, make any other accommodation with any Borrower or any other Guaranteed Party or exercise any other right or</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5" w:right="239" w:bottom="1440" w:gutter="0" w:footer="0" w:header="0"/>
        </w:sectPr>
      </w:pPr>
    </w:p>
    <w:bookmarkStart w:id="371" w:name="page372"/>
    <w:bookmarkEnd w:id="371"/>
    <w:p>
      <w:pPr>
        <w:jc w:val="both"/>
        <w:ind w:left="260"/>
        <w:spacing w:after="0" w:line="260" w:lineRule="auto"/>
        <w:rPr>
          <w:sz w:val="20"/>
          <w:szCs w:val="20"/>
          <w:color w:val="auto"/>
        </w:rPr>
      </w:pPr>
      <w:r>
        <w:rPr>
          <w:rFonts w:ascii="Arial" w:cs="Arial" w:eastAsia="Arial" w:hAnsi="Arial"/>
          <w:sz w:val="19"/>
          <w:szCs w:val="19"/>
          <w:color w:val="auto"/>
        </w:rPr>
        <w:t>remedy available to them against any Borrower or any other Guaranteed Party, without affecting or impairing in any way the liability of any Guarantor hereunder except to the extent the Guaranteed Obligations have been indefeasibly paid in full in cash.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any Borrower or any other Guaranteed Party, as the case may be, or any security.</w:t>
      </w:r>
    </w:p>
    <w:p>
      <w:pPr>
        <w:spacing w:after="0" w:line="194"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Reinstatement</w:t>
      </w:r>
      <w:r>
        <w:rPr>
          <w:rFonts w:ascii="Arial" w:cs="Arial" w:eastAsia="Arial" w:hAnsi="Arial"/>
          <w:sz w:val="20"/>
          <w:szCs w:val="20"/>
          <w:color w:val="auto"/>
        </w:rPr>
        <w:t xml:space="preserve">. Notwithstanding anything to the contrary contained in this Agreement, each of the Guarantors agrees that (i) its guaranty hereunder shall continue to be effective or be reinstated, as the case may be, if at any time payment, or any part thereof, of any Guaranteed Obligation is rescinded or must otherwise be restored by the Administrative Agent or any other Secured Party upon the bankruptcy or reorganization of any Borrower or any other Guaranteed Party or otherwise and (ii) the provisions of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shall survive termination of this Agreement.</w:t>
      </w:r>
    </w:p>
    <w:p>
      <w:pPr>
        <w:spacing w:after="0" w:line="181" w:lineRule="exact"/>
        <w:rPr>
          <w:sz w:val="20"/>
          <w:szCs w:val="20"/>
          <w:color w:val="auto"/>
        </w:rPr>
      </w:pPr>
    </w:p>
    <w:p>
      <w:pPr>
        <w:jc w:val="both"/>
        <w:ind w:left="260" w:firstLine="648"/>
        <w:spacing w:after="0" w:line="257"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Agreement To Pay; Subrogation</w:t>
      </w:r>
      <w:r>
        <w:rPr>
          <w:rFonts w:ascii="Arial" w:cs="Arial" w:eastAsia="Arial" w:hAnsi="Arial"/>
          <w:sz w:val="19"/>
          <w:szCs w:val="19"/>
          <w:color w:val="auto"/>
        </w:rPr>
        <w:t xml:space="preserve">. In furtherance of the foregoing and not in limitation of any other right that the Administrative Agent or any other Secured Party has at law or in equity against any Guarantor by virtue hereof, upon the failure of any Borrower or any other Guaranteed Party to pay any Guaranteed Obligation when and as the same shall become due, whether at maturity, by acceleration, after notice of prepayment or otherwise, each Guarantor hereby promises to and will forthwith pay, or cause to be paid, to the Administrative Agent for distribution to the applicable Secured Parties in cash the amount of such unpaid Guaranteed Obligation. Upon payment by any Guarantor of any sums to the Administrative Agent as provided above, all rights of such Guarantor against any Borrower or any other Guaranteed Party arising as a result thereof by way of right of subrogation, contribution, reimbursement, indemnity or otherwise shall in all respects be subject to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181" w:lineRule="exact"/>
        <w:rPr>
          <w:sz w:val="20"/>
          <w:szCs w:val="20"/>
          <w:color w:val="auto"/>
        </w:rPr>
      </w:pPr>
    </w:p>
    <w:p>
      <w:pPr>
        <w:jc w:val="both"/>
        <w:ind w:left="260" w:firstLine="648"/>
        <w:spacing w:after="0" w:line="242"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Information</w:t>
      </w:r>
      <w:r>
        <w:rPr>
          <w:rFonts w:ascii="Arial" w:cs="Arial" w:eastAsia="Arial" w:hAnsi="Arial"/>
          <w:sz w:val="20"/>
          <w:szCs w:val="20"/>
          <w:color w:val="auto"/>
        </w:rPr>
        <w:t>. Each Guarantor assumes all responsibility for being and keeping itself informed of each Borrower’s and each other Guaranteed Party’s financial condition and assets, and of all other circumstances bearing upon the risk of nonpayment of the Guaranteed Obligations and the nature, scope and extent of the risks that such Guarantor assumes and incurs hereunder, and agrees that none of the Administrative Agent or the other Secured Parties will have any duty to advise such Guarantor of information known to it or any of them regarding such circumstances or risks.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III</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Indemnity, Subrogation and Subordination</w:t>
      </w:r>
    </w:p>
    <w:p>
      <w:pPr>
        <w:spacing w:after="0" w:line="222" w:lineRule="exact"/>
        <w:rPr>
          <w:sz w:val="20"/>
          <w:szCs w:val="20"/>
          <w:color w:val="auto"/>
        </w:rPr>
      </w:pPr>
    </w:p>
    <w:p>
      <w:pPr>
        <w:jc w:val="both"/>
        <w:ind w:left="260" w:firstLine="648"/>
        <w:spacing w:after="0" w:line="32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Indemnity and Subrogation</w:t>
      </w:r>
      <w:r>
        <w:rPr>
          <w:rFonts w:ascii="Arial" w:cs="Arial" w:eastAsia="Arial" w:hAnsi="Arial"/>
          <w:sz w:val="16"/>
          <w:szCs w:val="16"/>
          <w:color w:val="auto"/>
        </w:rPr>
        <w:t xml:space="preserve">. In addition to all such rights of indemnity and subrogation as the Guarantors may have under applicable Law (but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each Guaranteed Party agrees that in the event a payment shall be made by any Guarantor under this Agreement on account of any Guaranteed Obligation owed directly by such Guaranteed Party (i.e., other than any obligation arising under this Agreement), such Guaranteed Party shall indemnify such Guarantor for the full amount of such payment and such Guarantor shall be subrogated to the rights of the Person to whom such payment shall have been made to the extent of such payment.</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5" w:right="239" w:bottom="1440" w:gutter="0" w:footer="0" w:header="0"/>
        </w:sectPr>
      </w:pPr>
    </w:p>
    <w:bookmarkStart w:id="372" w:name="page373"/>
    <w:bookmarkEnd w:id="372"/>
    <w:p>
      <w:pPr>
        <w:jc w:val="both"/>
        <w:ind w:left="260" w:firstLine="648"/>
        <w:spacing w:after="0" w:line="304"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Contribution and Subrogation</w:t>
      </w:r>
      <w:r>
        <w:rPr>
          <w:rFonts w:ascii="Arial" w:cs="Arial" w:eastAsia="Arial" w:hAnsi="Arial"/>
          <w:sz w:val="16"/>
          <w:szCs w:val="16"/>
          <w:color w:val="auto"/>
        </w:rPr>
        <w:t xml:space="preserve">. At any time a payment by any Subsidiary Party in respect of the Guaranteed Obligations is made under this Agreement that shall not have been fully indemnified as provided in </w:t>
      </w:r>
      <w:r>
        <w:rPr>
          <w:rFonts w:ascii="Arial" w:cs="Arial" w:eastAsia="Arial" w:hAnsi="Arial"/>
          <w:sz w:val="16"/>
          <w:szCs w:val="16"/>
          <w:u w:val="single" w:color="auto"/>
          <w:color w:val="auto"/>
        </w:rPr>
        <w:t>Section 3.01</w:t>
      </w:r>
      <w:r>
        <w:rPr>
          <w:rFonts w:ascii="Arial" w:cs="Arial" w:eastAsia="Arial" w:hAnsi="Arial"/>
          <w:sz w:val="16"/>
          <w:szCs w:val="16"/>
          <w:color w:val="auto"/>
        </w:rPr>
        <w:t>, the right of contribution of each Subsidiary Party against each other Subsidiary Party shall be determined as provided in the immediately succeeding sentence, with the right of contribution of each Subsidiary Party to be revised and restated as of each date on which an unreimbursed payment (a “</w:t>
      </w:r>
      <w:r>
        <w:rPr>
          <w:rFonts w:ascii="Arial" w:cs="Arial" w:eastAsia="Arial" w:hAnsi="Arial"/>
          <w:sz w:val="16"/>
          <w:szCs w:val="16"/>
          <w:u w:val="single" w:color="auto"/>
          <w:color w:val="auto"/>
        </w:rPr>
        <w:t>Relevant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w:t>
      </w:r>
      <w:r>
        <w:rPr>
          <w:rFonts w:ascii="Arial" w:cs="Arial" w:eastAsia="Arial" w:hAnsi="Arial"/>
          <w:sz w:val="16"/>
          <w:szCs w:val="16"/>
          <w:color w:val="auto"/>
        </w:rPr>
        <w:t>”) is made on the Guaranteed Obligations under this Agreement. At any time that a Relevant Payment is made by a Subsidiary Party that results in the aggregate payments made by such Subsidiary Party in respect of the Guaranteed Obligations to and including the date of the Relevant Payment exceeding such Subsidiary Party’s Contribution Percentage (as defined below) of the aggregate payments made by all Subsidiary Parties in respect of the Guaranteed Obligations to and including the date of the Relevant Payment (such excess, the “</w:t>
      </w:r>
      <w:r>
        <w:rPr>
          <w:rFonts w:ascii="Arial" w:cs="Arial" w:eastAsia="Arial" w:hAnsi="Arial"/>
          <w:sz w:val="16"/>
          <w:szCs w:val="16"/>
          <w:u w:val="single" w:color="auto"/>
          <w:color w:val="auto"/>
        </w:rPr>
        <w:t>Aggregate Excess Amount</w:t>
      </w:r>
      <w:r>
        <w:rPr>
          <w:rFonts w:ascii="Arial" w:cs="Arial" w:eastAsia="Arial" w:hAnsi="Arial"/>
          <w:sz w:val="16"/>
          <w:szCs w:val="16"/>
          <w:color w:val="auto"/>
        </w:rPr>
        <w:t>”), each such Subsidiary Party shall have a right of contribution against each other Subsidiary Party who has made payments in respect of the Guaranteed Obligations to and including the date of the Relevant Payment in an aggregate amount less than such other Subsidiary Party’s Contribution Percentage of the aggregate payments made to and including the date of the Relevant Payment by all Subsidiary Parties in respect of the Guaranteed Obligations (the aggregate amount of such deficit, the “</w:t>
      </w:r>
      <w:r>
        <w:rPr>
          <w:rFonts w:ascii="Arial" w:cs="Arial" w:eastAsia="Arial" w:hAnsi="Arial"/>
          <w:sz w:val="16"/>
          <w:szCs w:val="16"/>
          <w:u w:val="single" w:color="auto"/>
          <w:color w:val="auto"/>
        </w:rPr>
        <w:t>Aggregate Deficit Amount</w:t>
      </w:r>
      <w:r>
        <w:rPr>
          <w:rFonts w:ascii="Arial" w:cs="Arial" w:eastAsia="Arial" w:hAnsi="Arial"/>
          <w:sz w:val="16"/>
          <w:szCs w:val="16"/>
          <w:color w:val="auto"/>
        </w:rPr>
        <w:t xml:space="preserve">”) in an amount equal to (x) a fraction the numerator of which is the Aggregate Excess Amount of such Subsidiary Party and the denominator of which is the Aggregate Excess Amount of all Subsidiary Parties multiplied by (y) the Aggregate Deficit Amount of such other Subsidiary Party. A Subsidiary Party’s right of contribution pursuant to the preceding sentences shall arise at the time of each computation, subject to adjustment to the time of each computation;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contribution rights of such Subsidiary Party shall be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(i) each Subsidiary Party’s “</w:t>
      </w:r>
      <w:r>
        <w:rPr>
          <w:rFonts w:ascii="Arial" w:cs="Arial" w:eastAsia="Arial" w:hAnsi="Arial"/>
          <w:sz w:val="16"/>
          <w:szCs w:val="16"/>
          <w:u w:val="single" w:color="auto"/>
          <w:color w:val="auto"/>
        </w:rPr>
        <w:t>Contribution Percentage</w:t>
      </w:r>
      <w:r>
        <w:rPr>
          <w:rFonts w:ascii="Arial" w:cs="Arial" w:eastAsia="Arial" w:hAnsi="Arial"/>
          <w:sz w:val="16"/>
          <w:szCs w:val="16"/>
          <w:color w:val="auto"/>
        </w:rPr>
        <w:t>” shall mean the percentage obtained by dividing (x) the Adjusted Net Worth (as defined below) of such Subsidiary Party by (y) the aggregate Adjusted Net Worth of all Subsidiary Parties; (ii) the “</w:t>
      </w:r>
      <w:r>
        <w:rPr>
          <w:rFonts w:ascii="Arial" w:cs="Arial" w:eastAsia="Arial" w:hAnsi="Arial"/>
          <w:sz w:val="16"/>
          <w:szCs w:val="16"/>
          <w:u w:val="single" w:color="auto"/>
          <w:color w:val="auto"/>
        </w:rPr>
        <w:t>Adjusted Net Worth</w:t>
      </w:r>
      <w:r>
        <w:rPr>
          <w:rFonts w:ascii="Arial" w:cs="Arial" w:eastAsia="Arial" w:hAnsi="Arial"/>
          <w:sz w:val="16"/>
          <w:szCs w:val="16"/>
          <w:color w:val="auto"/>
        </w:rPr>
        <w:t>” of each Subsidiary Party shall mean the greater of (x) the Net Worth (as defined below) of such Subsidiary Party and</w:t>
      </w:r>
    </w:p>
    <w:p>
      <w:pPr>
        <w:spacing w:after="0" w:line="183" w:lineRule="exact"/>
        <w:rPr>
          <w:sz w:val="20"/>
          <w:szCs w:val="20"/>
          <w:color w:val="auto"/>
        </w:rPr>
      </w:pPr>
    </w:p>
    <w:p>
      <w:pPr>
        <w:jc w:val="both"/>
        <w:ind w:left="260" w:hanging="2"/>
        <w:spacing w:after="0" w:line="253" w:lineRule="auto"/>
        <w:tabs>
          <w:tab w:leader="none" w:pos="562" w:val="left"/>
        </w:tabs>
        <w:numPr>
          <w:ilvl w:val="0"/>
          <w:numId w:val="332"/>
        </w:numPr>
        <w:rPr>
          <w:rFonts w:ascii="Arial" w:cs="Arial" w:eastAsia="Arial" w:hAnsi="Arial"/>
          <w:sz w:val="19"/>
          <w:szCs w:val="19"/>
          <w:color w:val="auto"/>
        </w:rPr>
      </w:pPr>
      <w:r>
        <w:rPr>
          <w:rFonts w:ascii="Arial" w:cs="Arial" w:eastAsia="Arial" w:hAnsi="Arial"/>
          <w:sz w:val="19"/>
          <w:szCs w:val="19"/>
          <w:color w:val="auto"/>
        </w:rPr>
        <w:t>zero; and (iii) the “</w:t>
      </w:r>
      <w:r>
        <w:rPr>
          <w:rFonts w:ascii="Arial" w:cs="Arial" w:eastAsia="Arial" w:hAnsi="Arial"/>
          <w:sz w:val="19"/>
          <w:szCs w:val="19"/>
          <w:u w:val="single" w:color="auto"/>
          <w:color w:val="auto"/>
        </w:rPr>
        <w:t>Net Worth</w:t>
      </w:r>
      <w:r>
        <w:rPr>
          <w:rFonts w:ascii="Arial" w:cs="Arial" w:eastAsia="Arial" w:hAnsi="Arial"/>
          <w:sz w:val="19"/>
          <w:szCs w:val="19"/>
          <w:color w:val="auto"/>
        </w:rPr>
        <w:t xml:space="preserve">” of each Subsidiary Party shall mean the amount by which the fair saleable value of such Subsidiary Party’s assets on the date of any Relevant Payment exceeds its existing debts and other liabilities (including contingent liabilities, but without giving effect to any Guaranteed Obligations arising under this Agreement or any guaranteed obligations arising under any guaranty of any Junior Financing) on such date. Notwithstanding anything to the contrary contained above, any Subsidiary Party that is released from this Agreement pursuant to </w:t>
      </w:r>
      <w:r>
        <w:rPr>
          <w:rFonts w:ascii="Arial" w:cs="Arial" w:eastAsia="Arial" w:hAnsi="Arial"/>
          <w:sz w:val="19"/>
          <w:szCs w:val="19"/>
          <w:u w:val="single" w:color="auto"/>
          <w:color w:val="auto"/>
        </w:rPr>
        <w:t>Section 4.13</w:t>
      </w:r>
      <w:r>
        <w:rPr>
          <w:rFonts w:ascii="Arial" w:cs="Arial" w:eastAsia="Arial" w:hAnsi="Arial"/>
          <w:sz w:val="19"/>
          <w:szCs w:val="19"/>
          <w:color w:val="auto"/>
        </w:rPr>
        <w:t xml:space="preserve"> hereof shall thereafter have no contribution obligations, or rights, pursuant to this </w:t>
      </w:r>
      <w:r>
        <w:rPr>
          <w:rFonts w:ascii="Arial" w:cs="Arial" w:eastAsia="Arial" w:hAnsi="Arial"/>
          <w:sz w:val="19"/>
          <w:szCs w:val="19"/>
          <w:u w:val="single" w:color="auto"/>
          <w:color w:val="auto"/>
        </w:rPr>
        <w:t>Section 3.02</w:t>
      </w:r>
      <w:r>
        <w:rPr>
          <w:rFonts w:ascii="Arial" w:cs="Arial" w:eastAsia="Arial" w:hAnsi="Arial"/>
          <w:sz w:val="19"/>
          <w:szCs w:val="19"/>
          <w:color w:val="auto"/>
        </w:rPr>
        <w:t>, and at the time of any such release, if the released Subsidiary Party had an Aggregate Excess Amount or an Aggregate Deficit Amount, same shall be deemed reduced to $0, and the contribution rights and obligations of the remaining Subsidiary Parties shall be recalculated on the respective date of release (as otherwise provided above) based on the payments made hereunder by the remaining Subsidiary Parties. Each of the Subsidiary Parties recognizes and acknowledges that the rights to contribution arising hereunder shall constitute an asset in favor of the party entitled to such contribution. In this context, each Subsidiary Party has the right to waive its contribution right against any other Subsidiary Party to the extent that after giving effect to such waiver such Subsidiary Party would remain solvent, in the determination of the Required Lenders.</w:t>
      </w:r>
    </w:p>
    <w:p>
      <w:pPr>
        <w:spacing w:after="0" w:line="205" w:lineRule="exact"/>
        <w:rPr>
          <w:sz w:val="20"/>
          <w:szCs w:val="20"/>
          <w:color w:val="auto"/>
        </w:rPr>
      </w:pPr>
    </w:p>
    <w:p>
      <w:pPr>
        <w:jc w:val="both"/>
        <w:ind w:left="260" w:firstLine="648"/>
        <w:spacing w:after="0" w:line="31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Notwithstanding any provision of this Agreement to the contrary, all rights of the Guarantors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and all other rights of indemnity, contribution or subrogation under applicable Law or otherwise shall be fully subordinated to the indefeasible payment in full in cash of the Guaranteed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amount shall be paid to such Guarantor on account of such subrogation rights at any time prior to the irrevocable payment in full in cash of all the Guaranteed Obligations, such amount shall be held in trust for the benefit of the Secured Parties and shall forthwith be paid to the Administrative Agent to be credited and applied against the Guaranteed Obligations, whether matured or unmatured, in accordance with Section 8.04 of the Credit Agreement. No failure on the part of any Borrower or any Guarantor to make the payments required by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(or any</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373" w:name="page374"/>
    <w:bookmarkEnd w:id="373"/>
    <w:p>
      <w:pPr>
        <w:jc w:val="both"/>
        <w:ind w:left="260"/>
        <w:spacing w:after="0" w:line="250" w:lineRule="auto"/>
        <w:rPr>
          <w:sz w:val="20"/>
          <w:szCs w:val="20"/>
          <w:color w:val="auto"/>
        </w:rPr>
      </w:pPr>
      <w:r>
        <w:rPr>
          <w:rFonts w:ascii="Arial" w:cs="Arial" w:eastAsia="Arial" w:hAnsi="Arial"/>
          <w:sz w:val="20"/>
          <w:szCs w:val="20"/>
          <w:color w:val="auto"/>
        </w:rPr>
        <w:t xml:space="preserve">other payments required under applicable Law or otherwise) shall in any respect limit the obligations and liabilities of any Guarantor with respect to its obligations hereunder, and subject to </w:t>
      </w:r>
      <w:r>
        <w:rPr>
          <w:rFonts w:ascii="Arial" w:cs="Arial" w:eastAsia="Arial" w:hAnsi="Arial"/>
          <w:sz w:val="20"/>
          <w:szCs w:val="20"/>
          <w:u w:val="single" w:color="auto"/>
          <w:color w:val="auto"/>
        </w:rPr>
        <w:t>Section 4.16</w:t>
      </w:r>
      <w:r>
        <w:rPr>
          <w:rFonts w:ascii="Arial" w:cs="Arial" w:eastAsia="Arial" w:hAnsi="Arial"/>
          <w:sz w:val="20"/>
          <w:szCs w:val="20"/>
          <w:color w:val="auto"/>
        </w:rPr>
        <w:t>, each Guarantor shall remain liable for the full amount of the obligations of such Guarantor hereunder.</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303" w:lineRule="exact"/>
        <w:rPr>
          <w:sz w:val="20"/>
          <w:szCs w:val="20"/>
          <w:color w:val="auto"/>
        </w:rPr>
      </w:pPr>
    </w:p>
    <w:p>
      <w:pPr>
        <w:jc w:val="both"/>
        <w:ind w:left="260" w:firstLine="648"/>
        <w:spacing w:after="0" w:line="269"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and notices hereunder shall (except as otherwise expressly permitted herein) be in writing and given as provided in Section 10.02 of the Credit Agreement. All communications and notices hereunder to any Subsidiary Party shall be given to it in care of the Company as provided in Section 10.02 of the Credit Agreement.</w:t>
      </w:r>
    </w:p>
    <w:p>
      <w:pPr>
        <w:spacing w:after="0" w:line="170" w:lineRule="exact"/>
        <w:rPr>
          <w:sz w:val="20"/>
          <w:szCs w:val="20"/>
          <w:color w:val="auto"/>
        </w:rPr>
      </w:pPr>
    </w:p>
    <w:p>
      <w:pPr>
        <w:jc w:val="both"/>
        <w:ind w:left="260" w:firstLine="648"/>
        <w:spacing w:after="0" w:line="270"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Waivers; Amendment</w:t>
      </w:r>
      <w:r>
        <w:rPr>
          <w:rFonts w:ascii="Arial" w:cs="Arial" w:eastAsia="Arial" w:hAnsi="Arial"/>
          <w:sz w:val="18"/>
          <w:szCs w:val="18"/>
          <w:color w:val="auto"/>
        </w:rPr>
        <w:t xml:space="preserve">. (a) No failure or delay by the Administrative Agent, any L/C Issuer, any Lender or any other Secured Party in exercising any right, remedy, power or privilege hereunder or under any other Secured Credit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Secured Parties hereunder and under the other Secured Credit Documents are cumulative and are not exclusive of any rights, remedies, powers or privileges that they would otherwise have. No waiver of any provision of this Agreement or consent to any departure by any Loan Party therefrom shall in any event be effective unless the same shall be permitted by paragraph (b)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L/C Issuer may have had notice or knowledge of such Default at the time. No notice or demand on any Loan Party in any case shall entitle any Loan Party to any other or further notice or demand in similar or other circumstances.</w:t>
      </w:r>
    </w:p>
    <w:p>
      <w:pPr>
        <w:spacing w:after="0" w:line="190" w:lineRule="exact"/>
        <w:rPr>
          <w:sz w:val="20"/>
          <w:szCs w:val="20"/>
          <w:color w:val="auto"/>
        </w:rPr>
      </w:pPr>
    </w:p>
    <w:p>
      <w:pPr>
        <w:jc w:val="both"/>
        <w:ind w:left="260" w:firstLine="646"/>
        <w:spacing w:after="0" w:line="322" w:lineRule="auto"/>
        <w:tabs>
          <w:tab w:leader="none" w:pos="1787"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Neither this Agreement nor any provision hereof may be waived, amended or modified except pursuant to an agreement or agreements in writing entered into by the Administrative Agent and the Loan Party or Loan Parties with respect to which such waiver, amendment or modification is to apply, subject to any consent required in accordance with Section 10.01 of the Credit Agreement.</w:t>
      </w:r>
    </w:p>
    <w:p>
      <w:pPr>
        <w:spacing w:after="0" w:line="166" w:lineRule="exact"/>
        <w:rPr>
          <w:rFonts w:ascii="Arial" w:cs="Arial" w:eastAsia="Arial" w:hAnsi="Arial"/>
          <w:sz w:val="18"/>
          <w:szCs w:val="18"/>
          <w:color w:val="auto"/>
        </w:rPr>
      </w:pPr>
    </w:p>
    <w:p>
      <w:pPr>
        <w:jc w:val="both"/>
        <w:ind w:left="260" w:firstLine="646"/>
        <w:spacing w:after="0" w:line="293" w:lineRule="auto"/>
        <w:tabs>
          <w:tab w:leader="none" w:pos="1776" w:val="left"/>
        </w:tabs>
        <w:numPr>
          <w:ilvl w:val="0"/>
          <w:numId w:val="333"/>
        </w:numPr>
        <w:rPr>
          <w:rFonts w:ascii="Arial" w:cs="Arial" w:eastAsia="Arial" w:hAnsi="Arial"/>
          <w:sz w:val="19"/>
          <w:szCs w:val="19"/>
          <w:color w:val="auto"/>
        </w:rPr>
      </w:pPr>
      <w:r>
        <w:rPr>
          <w:rFonts w:ascii="Arial" w:cs="Arial" w:eastAsia="Arial" w:hAnsi="Arial"/>
          <w:sz w:val="19"/>
          <w:szCs w:val="19"/>
          <w:color w:val="auto"/>
        </w:rPr>
        <w:t>Each Guarantor hereby acknowledges and affirms that it understands that to the extent the Guaranteed Obligations are secured by real property located in the State of California, such Guarantor shall be liable for the full amount of the liability hereunder notwithstanding foreclosure on such real property by trustee sale or any other reason impairing such Guarantor’s or any Secured Party’s right to proceed against any Borrower or any other guarantor of the Guaranteed Obligations.</w:t>
      </w:r>
    </w:p>
    <w:p>
      <w:pPr>
        <w:spacing w:after="0" w:line="175" w:lineRule="exact"/>
        <w:rPr>
          <w:rFonts w:ascii="Arial" w:cs="Arial" w:eastAsia="Arial" w:hAnsi="Arial"/>
          <w:sz w:val="19"/>
          <w:szCs w:val="19"/>
          <w:color w:val="auto"/>
        </w:rPr>
      </w:pPr>
    </w:p>
    <w:p>
      <w:pPr>
        <w:jc w:val="both"/>
        <w:ind w:left="260" w:firstLine="646"/>
        <w:spacing w:after="0" w:line="273" w:lineRule="auto"/>
        <w:tabs>
          <w:tab w:leader="none" w:pos="1787" w:val="left"/>
        </w:tabs>
        <w:numPr>
          <w:ilvl w:val="0"/>
          <w:numId w:val="333"/>
        </w:numPr>
        <w:rPr>
          <w:rFonts w:ascii="Arial" w:cs="Arial" w:eastAsia="Arial" w:hAnsi="Arial"/>
          <w:sz w:val="20"/>
          <w:szCs w:val="20"/>
          <w:color w:val="auto"/>
        </w:rPr>
      </w:pPr>
      <w:r>
        <w:rPr>
          <w:rFonts w:ascii="Arial" w:cs="Arial" w:eastAsia="Arial" w:hAnsi="Arial"/>
          <w:sz w:val="20"/>
          <w:szCs w:val="20"/>
          <w:color w:val="auto"/>
        </w:rPr>
        <w:t>Each Guarantor hereby waives, to the fullest extent permitted by applicable Law, all rights and benefits under Sections 580a, 580b, 580d and 726 of the California Code of Civil Procedure. Each Guarantor hereby further waives, to the fullest extent permitted by applicable Law, without limiting the generality of the foregoing or any other provision hereof, all rights and benefits which might otherwise be available to such Guarantor under Sections 2809, 2810, 2815, 2819, 2821, 2839, 2845, 2846, 2847, 2848, 2849, 2850, 2899 and 3433 of the California Civil Code.</w:t>
      </w:r>
    </w:p>
    <w:p>
      <w:pPr>
        <w:spacing w:after="0" w:line="191" w:lineRule="exact"/>
        <w:rPr>
          <w:rFonts w:ascii="Arial" w:cs="Arial" w:eastAsia="Arial" w:hAnsi="Arial"/>
          <w:sz w:val="20"/>
          <w:szCs w:val="20"/>
          <w:color w:val="auto"/>
        </w:rPr>
      </w:pPr>
    </w:p>
    <w:p>
      <w:pPr>
        <w:ind w:left="260" w:firstLine="646"/>
        <w:spacing w:after="0" w:line="289" w:lineRule="auto"/>
        <w:tabs>
          <w:tab w:leader="none" w:pos="1776" w:val="left"/>
        </w:tabs>
        <w:numPr>
          <w:ilvl w:val="0"/>
          <w:numId w:val="333"/>
        </w:numPr>
        <w:rPr>
          <w:rFonts w:ascii="Arial" w:cs="Arial" w:eastAsia="Arial" w:hAnsi="Arial"/>
          <w:sz w:val="20"/>
          <w:szCs w:val="20"/>
          <w:color w:val="auto"/>
        </w:rPr>
      </w:pPr>
      <w:r>
        <w:rPr>
          <w:rFonts w:ascii="Arial" w:cs="Arial" w:eastAsia="Arial" w:hAnsi="Arial"/>
          <w:sz w:val="20"/>
          <w:szCs w:val="20"/>
          <w:color w:val="auto"/>
        </w:rPr>
        <w:t>Each Guarantor waives its rights of subrogation and reimbursement and any other rights and defenses available to such Guarantor by reason of Sections 2787 to 2855, inclusive, of the California</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6" w:right="239" w:bottom="1440" w:gutter="0" w:footer="0" w:header="0"/>
        </w:sectPr>
      </w:pPr>
    </w:p>
    <w:bookmarkStart w:id="374" w:name="page375"/>
    <w:bookmarkEnd w:id="374"/>
    <w:p>
      <w:pPr>
        <w:jc w:val="both"/>
        <w:ind w:left="260"/>
        <w:spacing w:after="0" w:line="258" w:lineRule="auto"/>
        <w:rPr>
          <w:sz w:val="20"/>
          <w:szCs w:val="20"/>
          <w:color w:val="auto"/>
        </w:rPr>
      </w:pPr>
      <w:r>
        <w:rPr>
          <w:rFonts w:ascii="Arial" w:cs="Arial" w:eastAsia="Arial" w:hAnsi="Arial"/>
          <w:sz w:val="19"/>
          <w:szCs w:val="19"/>
          <w:color w:val="auto"/>
        </w:rPr>
        <w:t>Civil Code, including, without limitation, (1) any defenses such Guarantor may have to this Agreement by reason of an election of remedies by the Secured Parties and (2) any rights or defenses such Guarantor may have by reason of protection afforded to the Borrowers pursuant to the antideficiency or other laws of California limiting or discharging the Borrowers’ indebtedness, including, without limitation, Section 580a, 580b, 580d and 726 of the California Code of Civil Procedure. In furtherance of such provisions, each Guarantor hereby waives all rights and defenses arising out of an election of remedies of the Secured Parties, even though that election of remedies, such as a nonjudicial foreclosure destroys such Guarantor’s rights of subrogation and reimbursement against a Borrower by the operation of Section 580d of the California Code of Civil Procedure or otherwise.</w:t>
      </w:r>
    </w:p>
    <w:p>
      <w:pPr>
        <w:spacing w:after="0" w:line="206" w:lineRule="exact"/>
        <w:rPr>
          <w:sz w:val="20"/>
          <w:szCs w:val="20"/>
          <w:color w:val="auto"/>
        </w:rPr>
      </w:pPr>
    </w:p>
    <w:p>
      <w:pPr>
        <w:jc w:val="both"/>
        <w:ind w:left="260" w:firstLine="646"/>
        <w:spacing w:after="0" w:line="278" w:lineRule="auto"/>
        <w:tabs>
          <w:tab w:leader="none" w:pos="1754" w:val="left"/>
        </w:tabs>
        <w:numPr>
          <w:ilvl w:val="0"/>
          <w:numId w:val="334"/>
        </w:numPr>
        <w:rPr>
          <w:rFonts w:ascii="Arial" w:cs="Arial" w:eastAsia="Arial" w:hAnsi="Arial"/>
          <w:sz w:val="20"/>
          <w:szCs w:val="20"/>
          <w:color w:val="auto"/>
        </w:rPr>
      </w:pPr>
      <w:r>
        <w:rPr>
          <w:rFonts w:ascii="Arial" w:cs="Arial" w:eastAsia="Arial" w:hAnsi="Arial"/>
          <w:sz w:val="20"/>
          <w:szCs w:val="20"/>
          <w:color w:val="auto"/>
        </w:rPr>
        <w:t>Each Guarantor warrants and agrees that each of the waivers set forth above is made with full knowledge of its significance and consequences and that if any of such waivers are determined to be contrary to any applicable Law or public policy, such waivers shall be effective only to the maximum extent permitted by law.</w:t>
      </w:r>
    </w:p>
    <w:p>
      <w:pPr>
        <w:spacing w:after="0" w:line="173" w:lineRule="exact"/>
        <w:rPr>
          <w:sz w:val="20"/>
          <w:szCs w:val="20"/>
          <w:color w:val="auto"/>
        </w:rPr>
      </w:pPr>
    </w:p>
    <w:p>
      <w:pPr>
        <w:ind w:left="260" w:firstLine="648"/>
        <w:spacing w:after="0" w:line="31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Administrative Agent’s Fees and Expenses; Indemnification</w:t>
      </w:r>
      <w:r>
        <w:rPr>
          <w:rFonts w:ascii="Arial" w:cs="Arial" w:eastAsia="Arial" w:hAnsi="Arial"/>
          <w:sz w:val="18"/>
          <w:szCs w:val="18"/>
          <w:color w:val="auto"/>
        </w:rPr>
        <w:t>. (a) The parties hereto agree that the Administrative Agent shall be entitled to reimbursement of its expenses incurred hereunder as provided in Section 10.04 of the Credit Agreement.</w:t>
      </w:r>
    </w:p>
    <w:p>
      <w:pPr>
        <w:spacing w:after="0" w:line="144" w:lineRule="exact"/>
        <w:rPr>
          <w:sz w:val="20"/>
          <w:szCs w:val="20"/>
          <w:color w:val="auto"/>
        </w:rPr>
      </w:pPr>
    </w:p>
    <w:p>
      <w:pPr>
        <w:jc w:val="both"/>
        <w:ind w:left="260" w:firstLine="646"/>
        <w:spacing w:after="0" w:line="301" w:lineRule="auto"/>
        <w:tabs>
          <w:tab w:leader="none" w:pos="178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Without limitation of its indemnification obligations under the other Secured Credit Documents, each Guarantor jointly and severally agrees to indemnify the Administrative Agent and the other Indemnitees (as defined in Section 10.05 of the Credit Agreement) against, and hold each Indemnitee harmless from, any and all losses, claims, damages, liabilities and related expenses, including the reasonable fees, charges and disbursements of any counsel for any Indemnitee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incurred by or asserted against any Indemnitee arising out of, in connection with, or as a result of, the execution, delivery, performance or enforcement of this Agreement or any claim, litigation, investigation or proceeding relating to any of the foregoing, whether or not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a final and non-appealable decision to have resulted from the gross negligence, bad faith or willful misconduct of, or material breach of this Agreement by, such Indemnitee or of any Affiliate, director, officer, employee, counsel, agent or attorney-in-fact of such Indemnitee.</w:t>
      </w:r>
    </w:p>
    <w:p>
      <w:pPr>
        <w:spacing w:after="0" w:line="177" w:lineRule="exact"/>
        <w:rPr>
          <w:rFonts w:ascii="Arial" w:cs="Arial" w:eastAsia="Arial" w:hAnsi="Arial"/>
          <w:sz w:val="18"/>
          <w:szCs w:val="18"/>
          <w:color w:val="auto"/>
        </w:rPr>
      </w:pPr>
    </w:p>
    <w:p>
      <w:pPr>
        <w:jc w:val="both"/>
        <w:ind w:left="260" w:firstLine="646"/>
        <w:spacing w:after="0" w:line="288" w:lineRule="auto"/>
        <w:tabs>
          <w:tab w:leader="none" w:pos="1776"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Any such amounts payable as provided hereunder shall be additional Guaranteed Obligations secured hereby and by the other Collateral Documents. The provisions of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shall remain operative and in full force and effect regardless of the termination of this Agreement or any other Secured Credit Document, the consummation of the transactions contemplated hereby, the repayment of any of the Guaranteed Obligations, the invalidity or unenforceability of any term or provision of this Agreement or any other Secured Credit Document, or any investigation made by or on behalf of the Administrative Agent or any other Secured Party. All amounts due under this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shall be payable within ten Business Days of written demand therefor.</w:t>
      </w:r>
    </w:p>
    <w:p>
      <w:pPr>
        <w:spacing w:after="0" w:line="169"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Whenever in this Agreement any of the parties hereto is referred to, such reference shall be deemed to include the permitted successors and assigns of such party; and all covenants, promises and agreements by or on behalf of any Guarantor or the Administrative Agent that are contained in this Agreement shall bind and inure to the benefit of their respective successors and assigns.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375" w:name="page376"/>
    <w:bookmarkEnd w:id="375"/>
    <w:p>
      <w:pPr>
        <w:jc w:val="both"/>
        <w:ind w:left="260" w:firstLine="648"/>
        <w:spacing w:after="0" w:line="272"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Survival of Agreement</w:t>
      </w:r>
      <w:r>
        <w:rPr>
          <w:rFonts w:ascii="Arial" w:cs="Arial" w:eastAsia="Arial" w:hAnsi="Arial"/>
          <w:sz w:val="18"/>
          <w:szCs w:val="18"/>
          <w:color w:val="auto"/>
        </w:rPr>
        <w:t xml:space="preserve">. All covenants, agreements, representations and warranties made by the Guaranteed Parties in the Secured Credit Documents and in the certificates or other instruments prepared or delivered in connection with or pursuant to this Agreement or any other Secured Credit Document shall be considered to have been relied upon by the relevant Secured Parties and shall survive the execution and delivery of the relevant Secured Credit Documents and the making of any Loans and issuance of any Letters of Credit, regardless of any investigation made by any Secured Party or on its behalf and notwithstanding that the Administrative Agent, any L/C Issuer, any Lender or any other Secured Party may have had notice or knowledge of any Default or default under any other Secured Credit Document or any incorrect representation or warranty at the time any credit is extended under any Secured Credit Document, and shall continue in full force and effect with respect to each Guarantor until this Agreement is terminated with respect to such Guarantor or such Guarantor is otherwise released from its obligations under this Agreement in each case pursuant to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71" w:lineRule="exact"/>
        <w:rPr>
          <w:sz w:val="20"/>
          <w:szCs w:val="20"/>
          <w:color w:val="auto"/>
        </w:rPr>
      </w:pPr>
    </w:p>
    <w:p>
      <w:pPr>
        <w:jc w:val="both"/>
        <w:ind w:left="260" w:firstLine="648"/>
        <w:spacing w:after="0" w:line="270"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Counterparts; Effectiveness; Several Agreement</w:t>
      </w:r>
      <w:r>
        <w:rPr>
          <w:rFonts w:ascii="Arial" w:cs="Arial" w:eastAsia="Arial" w:hAnsi="Arial"/>
          <w:sz w:val="18"/>
          <w:szCs w:val="18"/>
          <w:color w:val="auto"/>
        </w:rPr>
        <w:t>. This Agreement may be executed in counterparts, each of which shall constitute an original but all of which when taken together shall constitute a single contract. Delivery of an executed signature page to this Agreement by facsimile or electronic (i.e., “tif” or “pdf”) transmission shall be as effective as delivery of a manually signed counterpart of this Agreement. This Agreement shall become effective as to any Loan Party when a counterpart hereof executed on behalf of such Loan Party shall have been delivered to the Administrative Agent and a counterpart hereof shall have been executed on behalf of the Administrative Agent, and thereafter shall be binding upon such Loan Party and the Administrative Agent and their respective permitted successors and assigns, and shall inure to the benefit of such Loan Party, the Administrative Agent and the other Secured Parties and their respective successors and assigns, except that no Loan Party shall have the right to assign or transfer its rights or obligations hereunder or any interest herein (and any such assignment or transfer shall be void) except as expressly contemplated by this Agreement or the Credit Agreement. This Agreement shall be construed as a separate agreement with respect to each Loan Party and may be amended, modified, restated, supplemented, waived or released with respect to any Loan Party without the approval of any other Loan Party and without affecting the obligations of any other Loan Party hereunder.</w:t>
      </w:r>
    </w:p>
    <w:p>
      <w:pPr>
        <w:spacing w:after="0" w:line="177" w:lineRule="exact"/>
        <w:rPr>
          <w:sz w:val="20"/>
          <w:szCs w:val="20"/>
          <w:color w:val="auto"/>
        </w:rPr>
      </w:pPr>
    </w:p>
    <w:p>
      <w:pPr>
        <w:jc w:val="both"/>
        <w:ind w:left="260" w:firstLine="648"/>
        <w:spacing w:after="0" w:line="243"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210" w:lineRule="exact"/>
        <w:rPr>
          <w:sz w:val="20"/>
          <w:szCs w:val="20"/>
          <w:color w:val="auto"/>
        </w:rPr>
      </w:pPr>
    </w:p>
    <w:p>
      <w:pPr>
        <w:jc w:val="both"/>
        <w:ind w:left="260" w:firstLine="648"/>
        <w:spacing w:after="0" w:line="255"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In addition to any rights and remedies of the Lenders provided by Law, upon the occurrence and during the continuance of any Event of Default, each Lender and its Affiliates is authorized at any time and from time to time, without prior notice to the Borrowers or any other Guaranteed Party, any such notice being waived by the Borrowers and each other Guaranteed Party to the fullest extent permitted by applicable Law, to set off and apply any and all deposits (general or special, time or demand, provisional or final) at any time held by, and other Indebtedness at any time owing by, such Lender and its Affiliates to or for the credit or the account of the respective Loan Parties against any and all Guaranteed Obligations owing to such Lender and its Affiliates hereunder, now or hereafter existing, irrespective of whether or not such Lender or Affiliate shall have made demand under this Agreement and although such Guaranteed Obligations may be contingent or unmatured or denominated in a currency different from that of the applicable deposit or Indebtedness. Each Lender agrees promptly to notify the Company and the Administrative Agent after any such set 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failure to give such notice shall not affect the validity of such setoff and application. The rights of each Lender</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376" w:name="page377"/>
    <w:bookmarkEnd w:id="376"/>
    <w:p>
      <w:pPr>
        <w:ind w:left="260"/>
        <w:spacing w:after="0"/>
        <w:rPr>
          <w:sz w:val="20"/>
          <w:szCs w:val="20"/>
          <w:color w:val="auto"/>
        </w:rPr>
      </w:pPr>
      <w:r>
        <w:rPr>
          <w:rFonts w:ascii="Arial" w:cs="Arial" w:eastAsia="Arial" w:hAnsi="Arial"/>
          <w:sz w:val="19"/>
          <w:szCs w:val="19"/>
          <w:color w:val="auto"/>
        </w:rPr>
        <w:t xml:space="preserve">under this </w:t>
      </w:r>
      <w:r>
        <w:rPr>
          <w:rFonts w:ascii="Arial" w:cs="Arial" w:eastAsia="Arial" w:hAnsi="Arial"/>
          <w:sz w:val="19"/>
          <w:szCs w:val="19"/>
          <w:u w:val="single" w:color="auto"/>
          <w:color w:val="auto"/>
        </w:rPr>
        <w:t>Section 4.08</w:t>
      </w:r>
      <w:r>
        <w:rPr>
          <w:rFonts w:ascii="Arial" w:cs="Arial" w:eastAsia="Arial" w:hAnsi="Arial"/>
          <w:sz w:val="19"/>
          <w:szCs w:val="19"/>
          <w:color w:val="auto"/>
        </w:rPr>
        <w:t xml:space="preserve"> are in addition to other rights and remedies (including other rights of setoff) that such Lender may have.</w:t>
      </w:r>
    </w:p>
    <w:p>
      <w:pPr>
        <w:spacing w:after="0" w:line="241" w:lineRule="exact"/>
        <w:rPr>
          <w:sz w:val="20"/>
          <w:szCs w:val="20"/>
          <w:color w:val="auto"/>
        </w:rPr>
      </w:pPr>
    </w:p>
    <w:p>
      <w:pPr>
        <w:ind w:left="260" w:right="20" w:firstLine="648"/>
        <w:spacing w:after="0" w:line="260"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 (a) This Agreement shall be construed in accordance with and governed by the law of the State of New York.</w:t>
      </w:r>
    </w:p>
    <w:p>
      <w:pPr>
        <w:spacing w:after="0" w:line="204" w:lineRule="exact"/>
        <w:rPr>
          <w:sz w:val="20"/>
          <w:szCs w:val="20"/>
          <w:color w:val="auto"/>
        </w:rPr>
      </w:pPr>
    </w:p>
    <w:p>
      <w:pPr>
        <w:jc w:val="both"/>
        <w:ind w:left="260" w:firstLine="646"/>
        <w:spacing w:after="0" w:line="303" w:lineRule="auto"/>
        <w:tabs>
          <w:tab w:leader="none" w:pos="178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Each of the Loan Parties hereby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and to bring proceedings against any Grantor in the courts of any other jurisdiction in connection with the exercise of any rights under this Agreement or the enforcement of any judgment.</w:t>
      </w:r>
    </w:p>
    <w:p>
      <w:pPr>
        <w:spacing w:after="0" w:line="182" w:lineRule="exact"/>
        <w:rPr>
          <w:rFonts w:ascii="Arial" w:cs="Arial" w:eastAsia="Arial" w:hAnsi="Arial"/>
          <w:sz w:val="18"/>
          <w:szCs w:val="18"/>
          <w:color w:val="auto"/>
        </w:rPr>
      </w:pPr>
    </w:p>
    <w:p>
      <w:pPr>
        <w:jc w:val="both"/>
        <w:ind w:left="260" w:firstLine="646"/>
        <w:spacing w:after="0" w:line="273" w:lineRule="auto"/>
        <w:tabs>
          <w:tab w:leader="none" w:pos="1776"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Each of the Loan Parties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Arial" w:cs="Arial" w:eastAsia="Arial" w:hAnsi="Arial"/>
          <w:sz w:val="20"/>
          <w:szCs w:val="20"/>
          <w:u w:val="single" w:color="auto"/>
          <w:color w:val="auto"/>
        </w:rPr>
        <w:t>Section 4.09</w:t>
      </w:r>
      <w:r>
        <w:rPr>
          <w:rFonts w:ascii="Arial" w:cs="Arial" w:eastAsia="Arial" w:hAnsi="Arial"/>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191" w:lineRule="exact"/>
        <w:rPr>
          <w:rFonts w:ascii="Arial" w:cs="Arial" w:eastAsia="Arial" w:hAnsi="Arial"/>
          <w:sz w:val="20"/>
          <w:szCs w:val="20"/>
          <w:color w:val="auto"/>
        </w:rPr>
      </w:pPr>
    </w:p>
    <w:p>
      <w:pPr>
        <w:jc w:val="both"/>
        <w:ind w:left="260" w:firstLine="646"/>
        <w:spacing w:after="0" w:line="278" w:lineRule="auto"/>
        <w:tabs>
          <w:tab w:leader="none" w:pos="1787"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4.01</w:t>
      </w:r>
      <w:r>
        <w:rPr>
          <w:rFonts w:ascii="Arial" w:cs="Arial" w:eastAsia="Arial" w:hAnsi="Arial"/>
          <w:sz w:val="20"/>
          <w:szCs w:val="20"/>
          <w:color w:val="auto"/>
        </w:rPr>
        <w:t>. Nothing in this Agreement or any other Loan Document will affect the right of any party to this Agreement to serve process in any other manner permitted by law.</w:t>
      </w:r>
    </w:p>
    <w:p>
      <w:pPr>
        <w:spacing w:after="0" w:line="173" w:lineRule="exact"/>
        <w:rPr>
          <w:sz w:val="20"/>
          <w:szCs w:val="20"/>
          <w:color w:val="auto"/>
        </w:rPr>
      </w:pPr>
    </w:p>
    <w:p>
      <w:pPr>
        <w:jc w:val="both"/>
        <w:ind w:left="260" w:firstLine="648"/>
        <w:spacing w:after="0" w:line="257"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HERETO HEREBY EXPRESSLY WAIVES ANY RIGHT TO TRIAL BY JURY OF ANY CLAIM, DEMAND, ACTION OR CAUSE OF ACTION ARISING UNDER THIS AGREEMENT OR IN ANY WAY CONNECTED WITH OR RELATED OR INCIDENTAL TO THE DEALINGS OF THE PARTIES HERETO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WITH ANY COURT AS WRITTEN EVIDENCE OF THE CONSENT OF THE SIGNATORIES HERETO TO THE WAIVER OF THEIR RIGHT TO TRIAL BY JURY.</w:t>
      </w:r>
    </w:p>
    <w:p>
      <w:pPr>
        <w:spacing w:after="0" w:line="181" w:lineRule="exact"/>
        <w:rPr>
          <w:sz w:val="20"/>
          <w:szCs w:val="20"/>
          <w:color w:val="auto"/>
        </w:rPr>
      </w:pPr>
    </w:p>
    <w:p>
      <w:pPr>
        <w:jc w:val="both"/>
        <w:ind w:left="260" w:right="20" w:firstLine="648"/>
        <w:spacing w:after="0" w:line="316"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30" w:lineRule="exact"/>
        <w:rPr>
          <w:sz w:val="20"/>
          <w:szCs w:val="20"/>
          <w:color w:val="auto"/>
        </w:rPr>
      </w:pPr>
    </w:p>
    <w:p>
      <w:pPr>
        <w:jc w:val="both"/>
        <w:ind w:left="260" w:firstLine="648"/>
        <w:spacing w:after="0" w:line="282"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All rights of the Administrative Agent hereunder and all obligations of each Guarantor hereunder shall be absolute and unconditional irrespective of (a) any lack of validity or enforceability of the Credit Agreement, any other Loan Document, any other Secured Hedge Agreement, any other agreement with respect to any of the Guaranteed Obligations or any other agreement or instrument relating to any of the foregoing, (b) any change in the time, manner or place of payment of,</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6" w:right="239" w:bottom="1440" w:gutter="0" w:footer="0" w:header="0"/>
        </w:sectPr>
      </w:pPr>
    </w:p>
    <w:bookmarkStart w:id="377" w:name="page378"/>
    <w:bookmarkEnd w:id="377"/>
    <w:p>
      <w:pPr>
        <w:jc w:val="both"/>
        <w:ind w:left="260"/>
        <w:spacing w:after="0" w:line="260" w:lineRule="auto"/>
        <w:rPr>
          <w:sz w:val="20"/>
          <w:szCs w:val="20"/>
          <w:color w:val="auto"/>
        </w:rPr>
      </w:pPr>
      <w:r>
        <w:rPr>
          <w:rFonts w:ascii="Arial" w:cs="Arial" w:eastAsia="Arial" w:hAnsi="Arial"/>
          <w:sz w:val="19"/>
          <w:szCs w:val="19"/>
          <w:color w:val="auto"/>
        </w:rPr>
        <w:t xml:space="preserve">or in any other term of, all or any of the Guaranteed Obligations, or any other amendment or waiver of or any consent to any departure from the Credit Agreement, any other Loan Document, any other Secured Hedge Agreement or any other agreement or instrument, (c) any release or amendment or waiver of or consent under or departure from any guaranty guaranteeing all or any portion of the Guaranteed Obligations or (d) subject to the terms of </w:t>
      </w:r>
      <w:r>
        <w:rPr>
          <w:rFonts w:ascii="Arial" w:cs="Arial" w:eastAsia="Arial" w:hAnsi="Arial"/>
          <w:sz w:val="19"/>
          <w:szCs w:val="19"/>
          <w:u w:val="single" w:color="auto"/>
          <w:color w:val="auto"/>
        </w:rPr>
        <w:t>Section 4.13</w:t>
      </w:r>
      <w:r>
        <w:rPr>
          <w:rFonts w:ascii="Arial" w:cs="Arial" w:eastAsia="Arial" w:hAnsi="Arial"/>
          <w:sz w:val="19"/>
          <w:szCs w:val="19"/>
          <w:color w:val="auto"/>
        </w:rPr>
        <w:t>, any other circumstance that might otherwise constitute a defense available to, or a discharge of, any Guarantor in respect of the Guaranteed Obligations or this Agreement.</w:t>
      </w:r>
    </w:p>
    <w:p>
      <w:pPr>
        <w:spacing w:after="0" w:line="181" w:lineRule="exact"/>
        <w:rPr>
          <w:sz w:val="20"/>
          <w:szCs w:val="20"/>
          <w:color w:val="auto"/>
        </w:rPr>
      </w:pPr>
    </w:p>
    <w:p>
      <w:pPr>
        <w:jc w:val="both"/>
        <w:ind w:left="260" w:firstLine="648"/>
        <w:spacing w:after="0" w:line="242"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u w:val="single" w:color="auto"/>
          <w:color w:val="auto"/>
        </w:rPr>
        <w:t>Termination or Release</w:t>
      </w:r>
      <w:r>
        <w:rPr>
          <w:rFonts w:ascii="Arial" w:cs="Arial" w:eastAsia="Arial" w:hAnsi="Arial"/>
          <w:sz w:val="20"/>
          <w:szCs w:val="20"/>
          <w:color w:val="auto"/>
        </w:rPr>
        <w:t xml:space="preserve">. (a) Subject to </w:t>
      </w:r>
      <w:r>
        <w:rPr>
          <w:rFonts w:ascii="Arial" w:cs="Arial" w:eastAsia="Arial" w:hAnsi="Arial"/>
          <w:sz w:val="20"/>
          <w:szCs w:val="20"/>
          <w:u w:val="single" w:color="auto"/>
          <w:color w:val="auto"/>
        </w:rPr>
        <w:t>Section 2.04</w:t>
      </w:r>
      <w:r>
        <w:rPr>
          <w:rFonts w:ascii="Arial" w:cs="Arial" w:eastAsia="Arial" w:hAnsi="Arial"/>
          <w:sz w:val="20"/>
          <w:szCs w:val="20"/>
          <w:color w:val="auto"/>
        </w:rPr>
        <w:t>, this Agreement and the Guarantees made herein shall terminate with respect to all Guaranteed Obligations when all the outstanding Guaranteed Obligations (other than Guaranteed Obligations in respect of Secured Hedge Agreements and Cash Management Obligations not yet due and payable (to the extent permitted by the terms thereof) and contingent indemnification obligations not yet accrued and payable) have been indefeasibly paid in full and the Lenders have no further commitment to lend under the Credit Agreement, the L/C Obligations have been reduced to zero (other than L/C Obligations that have been fully cash collateralized or supported by a backstop letter of credit in each case in an amount and on terms reasonably satisfactory to the Administrative Agent and the L/C Issuer) and the L/C Issuers have no further obligations to issue Letters of Credit under the Credit Agreement.</w:t>
      </w:r>
    </w:p>
    <w:p>
      <w:pPr>
        <w:spacing w:after="0" w:line="225" w:lineRule="exact"/>
        <w:rPr>
          <w:sz w:val="20"/>
          <w:szCs w:val="20"/>
          <w:color w:val="auto"/>
        </w:rPr>
      </w:pPr>
    </w:p>
    <w:p>
      <w:pPr>
        <w:jc w:val="both"/>
        <w:ind w:left="260" w:firstLine="646"/>
        <w:spacing w:after="0" w:line="278" w:lineRule="auto"/>
        <w:tabs>
          <w:tab w:leader="none" w:pos="1787" w:val="left"/>
        </w:tabs>
        <w:numPr>
          <w:ilvl w:val="0"/>
          <w:numId w:val="337"/>
        </w:numPr>
        <w:rPr>
          <w:rFonts w:ascii="Arial" w:cs="Arial" w:eastAsia="Arial" w:hAnsi="Arial"/>
          <w:sz w:val="20"/>
          <w:szCs w:val="20"/>
          <w:color w:val="auto"/>
        </w:rPr>
      </w:pPr>
      <w:r>
        <w:rPr>
          <w:rFonts w:ascii="Arial" w:cs="Arial" w:eastAsia="Arial" w:hAnsi="Arial"/>
          <w:sz w:val="20"/>
          <w:szCs w:val="20"/>
          <w:color w:val="auto"/>
        </w:rPr>
        <w:t>A Subsidiary Party shall automatically be released from its obligations hereunder upon the consummation of any transaction permitted by the Credit Agreement as a result of which such Subsidiary Party ceases to be a Subsidiary of the Company or becomes an Excluded Subsidiary.</w:t>
      </w:r>
    </w:p>
    <w:p>
      <w:pPr>
        <w:spacing w:after="0" w:line="186" w:lineRule="exact"/>
        <w:rPr>
          <w:rFonts w:ascii="Arial" w:cs="Arial" w:eastAsia="Arial" w:hAnsi="Arial"/>
          <w:sz w:val="20"/>
          <w:szCs w:val="20"/>
          <w:color w:val="auto"/>
        </w:rPr>
      </w:pPr>
    </w:p>
    <w:p>
      <w:pPr>
        <w:jc w:val="both"/>
        <w:ind w:left="260" w:firstLine="646"/>
        <w:spacing w:after="0" w:line="274" w:lineRule="auto"/>
        <w:tabs>
          <w:tab w:leader="none" w:pos="1776" w:val="left"/>
        </w:tabs>
        <w:numPr>
          <w:ilvl w:val="0"/>
          <w:numId w:val="337"/>
        </w:numPr>
        <w:rPr>
          <w:rFonts w:ascii="Arial" w:cs="Arial" w:eastAsia="Arial" w:hAnsi="Arial"/>
          <w:sz w:val="20"/>
          <w:szCs w:val="20"/>
          <w:color w:val="auto"/>
        </w:rPr>
      </w:pPr>
      <w:r>
        <w:rPr>
          <w:rFonts w:ascii="Arial" w:cs="Arial" w:eastAsia="Arial" w:hAnsi="Arial"/>
          <w:sz w:val="20"/>
          <w:szCs w:val="20"/>
          <w:color w:val="auto"/>
        </w:rPr>
        <w:t xml:space="preserve">In connection with any termination or release pursuant to paragraph (a) or (b), the Administrative Agent shall promptly execute and deliver to any Guarantor, at such Guarantor’s expense, all documents that such Guarantor shall reasonably request to evidence such termination or release. Any execution and delivery of documents pursuant to this </w:t>
      </w: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shall be without recourse to or warranty by the Administrative Agent.</w:t>
      </w:r>
    </w:p>
    <w:p>
      <w:pPr>
        <w:spacing w:after="0" w:line="205" w:lineRule="exact"/>
        <w:rPr>
          <w:rFonts w:ascii="Arial" w:cs="Arial" w:eastAsia="Arial" w:hAnsi="Arial"/>
          <w:sz w:val="20"/>
          <w:szCs w:val="20"/>
          <w:color w:val="auto"/>
        </w:rPr>
      </w:pPr>
    </w:p>
    <w:p>
      <w:pPr>
        <w:jc w:val="both"/>
        <w:ind w:left="260" w:firstLine="646"/>
        <w:spacing w:after="0" w:line="290" w:lineRule="auto"/>
        <w:tabs>
          <w:tab w:leader="none" w:pos="1787" w:val="left"/>
        </w:tabs>
        <w:numPr>
          <w:ilvl w:val="0"/>
          <w:numId w:val="337"/>
        </w:numPr>
        <w:rPr>
          <w:rFonts w:ascii="Arial" w:cs="Arial" w:eastAsia="Arial" w:hAnsi="Arial"/>
          <w:sz w:val="19"/>
          <w:szCs w:val="19"/>
          <w:color w:val="auto"/>
        </w:rPr>
      </w:pPr>
      <w:r>
        <w:rPr>
          <w:rFonts w:ascii="Arial" w:cs="Arial" w:eastAsia="Arial" w:hAnsi="Arial"/>
          <w:sz w:val="19"/>
          <w:szCs w:val="19"/>
          <w:color w:val="auto"/>
        </w:rPr>
        <w:t xml:space="preserve">At any time that each Borrower desires that the Administrative Agent take any of the actions described in the immediately preceding clause (c), it shall, upon request of the Administrative Agent, deliver to the Administrative Agent an officer’s certificate certifying that the release of the respective Subsidiary Party is permitted pursuant to paragraph (a) or (b). The Administrative Agent shall have no liability whatsoever to any Secured Party as the result of any release of any Subsidiary Party by it as permitted (or which the Administrative Agent in good faith believes to be permitted) by this </w:t>
      </w:r>
      <w:r>
        <w:rPr>
          <w:rFonts w:ascii="Arial" w:cs="Arial" w:eastAsia="Arial" w:hAnsi="Arial"/>
          <w:sz w:val="19"/>
          <w:szCs w:val="19"/>
          <w:u w:val="single" w:color="auto"/>
          <w:color w:val="auto"/>
        </w:rPr>
        <w:t>Section 4.13</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left="260" w:firstLine="646"/>
        <w:spacing w:after="0" w:line="310" w:lineRule="auto"/>
        <w:tabs>
          <w:tab w:leader="none" w:pos="177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each Cash Management Bank and each Hedge Bank by the acceptance of the benefits under this Agreement hereby acknowledge and agree that (i) the obligations of the Borrowers or any Subsidiary under any Secured Hedge Agreement and the Cash Management Obligations shall be guaranteed pursuant to this Agreement only to the extent that, and for so long as, the other Guaranteed Obligations are so guaranteed and (ii) any release of a Guarantor effected in the manner permitted by this Agreement shall not require the consent of any Hedge Bank or Cash Management Bank.</w:t>
      </w:r>
    </w:p>
    <w:p>
      <w:pPr>
        <w:spacing w:after="0" w:line="162" w:lineRule="exact"/>
        <w:rPr>
          <w:sz w:val="20"/>
          <w:szCs w:val="20"/>
          <w:color w:val="auto"/>
        </w:rPr>
      </w:pPr>
    </w:p>
    <w:p>
      <w:pPr>
        <w:jc w:val="both"/>
        <w:ind w:left="260" w:firstLine="648"/>
        <w:spacing w:after="0" w:line="258" w:lineRule="auto"/>
        <w:rPr>
          <w:sz w:val="20"/>
          <w:szCs w:val="20"/>
          <w:color w:val="auto"/>
        </w:rPr>
      </w:pPr>
      <w:r>
        <w:rPr>
          <w:rFonts w:ascii="Arial" w:cs="Arial" w:eastAsia="Arial" w:hAnsi="Arial"/>
          <w:sz w:val="19"/>
          <w:szCs w:val="19"/>
          <w:color w:val="auto"/>
        </w:rPr>
        <w:t xml:space="preserve">Section 4.14. </w:t>
      </w:r>
      <w:r>
        <w:rPr>
          <w:rFonts w:ascii="Arial" w:cs="Arial" w:eastAsia="Arial" w:hAnsi="Arial"/>
          <w:sz w:val="19"/>
          <w:szCs w:val="19"/>
          <w:u w:val="single" w:color="auto"/>
          <w:color w:val="auto"/>
        </w:rPr>
        <w:t>Additional Subsidiaries</w:t>
      </w:r>
      <w:r>
        <w:rPr>
          <w:rFonts w:ascii="Arial" w:cs="Arial" w:eastAsia="Arial" w:hAnsi="Arial"/>
          <w:sz w:val="19"/>
          <w:szCs w:val="19"/>
          <w:color w:val="auto"/>
        </w:rPr>
        <w:t>. Pursuant to Section 6.11 of the Credit Agreement, certain Subsidiaries of the Loan Parties that were not in existence on the date of the Credit Agreement are required to enter in this Agreement as Subsidiary Parties upon becoming a Subsidiary. In addition, certain Subsidiaries of the Loan Parties that are not required under the Credit Agreement to enter in this Agreement as Subsidiary Parties may elect to do so at their option. Upon execution and delivery by the Administrative Agent and a Subsidiary of a Guaranty Agreement Supplement, such Subsidiary shall become a Subsidiary Party hereunder with the same force and effect as if originally named as a Subsidiary Party herein. The execution and delivery of any such instrument shall not require the consent of any other Loan Party hereunder. The rights and</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6" w:right="239" w:bottom="1440" w:gutter="0" w:footer="0" w:header="0"/>
        </w:sectPr>
      </w:pPr>
    </w:p>
    <w:bookmarkStart w:id="378" w:name="page379"/>
    <w:bookmarkEnd w:id="378"/>
    <w:p>
      <w:pPr>
        <w:jc w:val="both"/>
        <w:ind w:left="260"/>
        <w:spacing w:after="0" w:line="260" w:lineRule="auto"/>
        <w:rPr>
          <w:sz w:val="20"/>
          <w:szCs w:val="20"/>
          <w:color w:val="auto"/>
        </w:rPr>
      </w:pPr>
      <w:r>
        <w:rPr>
          <w:rFonts w:ascii="Arial" w:cs="Arial" w:eastAsia="Arial" w:hAnsi="Arial"/>
          <w:sz w:val="20"/>
          <w:szCs w:val="20"/>
          <w:color w:val="auto"/>
        </w:rPr>
        <w:t>obligations of each Loan Party hereunder shall remain in full force and effect notwithstanding the addition of any new Loan Party as a party to this Agreement.</w:t>
      </w:r>
    </w:p>
    <w:p>
      <w:pPr>
        <w:spacing w:after="0" w:line="177"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 xml:space="preserve">Section 4.15. </w:t>
      </w:r>
      <w:r>
        <w:rPr>
          <w:rFonts w:ascii="Arial" w:cs="Arial" w:eastAsia="Arial" w:hAnsi="Arial"/>
          <w:sz w:val="20"/>
          <w:szCs w:val="20"/>
          <w:u w:val="single" w:color="auto"/>
          <w:color w:val="auto"/>
        </w:rPr>
        <w:t>Recourse</w:t>
      </w:r>
      <w:r>
        <w:rPr>
          <w:rFonts w:ascii="Arial" w:cs="Arial" w:eastAsia="Arial" w:hAnsi="Arial"/>
          <w:sz w:val="20"/>
          <w:szCs w:val="20"/>
          <w:color w:val="auto"/>
        </w:rPr>
        <w:t>. This Agreement is made with full recourse to each Guarantor and pursuant to and upon all the warranties, representations, covenants and agreements on the part of such Guarantor contained herein, in the Loan Documents and the other Secured Credit Documents and otherwise in writing in connection herewith or therewith.</w:t>
      </w:r>
    </w:p>
    <w:p>
      <w:pPr>
        <w:spacing w:after="0" w:line="186" w:lineRule="exact"/>
        <w:rPr>
          <w:sz w:val="20"/>
          <w:szCs w:val="20"/>
          <w:color w:val="auto"/>
        </w:rPr>
      </w:pPr>
    </w:p>
    <w:p>
      <w:pPr>
        <w:jc w:val="both"/>
        <w:ind w:left="260" w:firstLine="648"/>
        <w:spacing w:after="0" w:line="268"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Limitation on Guaranteed Obligations</w:t>
      </w:r>
      <w:r>
        <w:rPr>
          <w:rFonts w:ascii="Arial" w:cs="Arial" w:eastAsia="Arial" w:hAnsi="Arial"/>
          <w:sz w:val="18"/>
          <w:szCs w:val="18"/>
          <w:color w:val="auto"/>
        </w:rPr>
        <w:t>. Each Guarantor that is a Subsidiary Party and each Secured Party (by its acceptance of the benefits of this Agreement) hereby confirms that it is its intention that this Agreement not constitute a fraudulent transfer or conveyance for purposes of any Debtor Relief Laws (including the Bankruptcy Code of the United States, the Uniform Fraudulent Conveyance Act or any similar Federal or state law). To effectuate the foregoing intention, each Guarantor that is a Subsidiary Party and each Secured Party (by its acceptance of the benefits of this Agreement) hereby irrevocably agrees that the Guaranteed Obligations owing by such Guarantor under this Agreement shall be limited to such amount as will, after giving effect to such amount and all other (contingent or otherwise) liabilities of such Guarantor that are relevant under such Debtor Relief Laws (it being understood that it is the intention of the parties to this Agreement and the parties to any guarantee of any Junior Financing that is subordinated to any of the Guaranteed Obligations, to the maximum extent permitted under applicable Laws, that the liabilities in respect of the guarantees of such Junior Financing shall not be included for the foregoing purposes and that, if any reduction is required to the amount guaranteed by any Guarantor hereunder and with respect to such Junior Financing that its guarantee of amounts owing in respect of such Junior Financing shall first be reduced) and after giving effect to any rights to contribution and/or subrogation pursuant to any agreement providing for an equitable contribution and/or subrogation among such Guarantor and the other Guarantors, result in the Guaranteed Obligations of such Guarantor in respect of such amount not constituting a fraudulent transfer or conveyance and the maximum liability of each Guarantor hereunder and under the Secured Credit Documents shall in no event exceed such amount. Notwithstanding the provisions of the two preceding sentences, as between the Secured Parties and the holders of such Junior Financing, it is agreed (and the provisions of Junior Financing Documentation shall so provide) that any diminution (whether pursuant to court decree or otherwise) of any Guarantor’s obligation to make any distribution or payment pursuant to this Agreement shall have no force or effect for purposes of the subordination provisions contained in such Junior Financing Documentation, and that any payments received in respect of a Guarantor’s obligations with respect to such Junior Financing shall be turned over to the holders of the “</w:t>
      </w:r>
      <w:r>
        <w:rPr>
          <w:rFonts w:ascii="Arial" w:cs="Arial" w:eastAsia="Arial" w:hAnsi="Arial"/>
          <w:sz w:val="18"/>
          <w:szCs w:val="18"/>
          <w:u w:val="single" w:color="auto"/>
          <w:color w:val="auto"/>
        </w:rPr>
        <w:t>Senior Indebtedness</w:t>
      </w:r>
      <w:r>
        <w:rPr>
          <w:rFonts w:ascii="Arial" w:cs="Arial" w:eastAsia="Arial" w:hAnsi="Arial"/>
          <w:sz w:val="18"/>
          <w:szCs w:val="18"/>
          <w:color w:val="auto"/>
        </w:rPr>
        <w:t xml:space="preserve">” (as defined in such Junior Financing Documentation) (or obligations which would have constituted Senior Indebtedness if same had not been reduced or disallowed) of such Guarantor (which Senior Indebtedness shall be calculated as if there were no diminution thereto pursuant to this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or for any other reason other than the indefeasible payment in full in cash of the respective obligations which would otherwise have constituted Senior Indebtedness) until all such Senior Indebtedness (or obligations which would have constituted Senior Indebtedness if same had not been reduced or disallowed) has been indefeasibly paid in full in cash.</w:t>
      </w:r>
    </w:p>
    <w:p>
      <w:pPr>
        <w:spacing w:after="0" w:line="177" w:lineRule="exact"/>
        <w:rPr>
          <w:sz w:val="20"/>
          <w:szCs w:val="20"/>
          <w:color w:val="auto"/>
        </w:rPr>
      </w:pPr>
    </w:p>
    <w:p>
      <w:pPr>
        <w:jc w:val="both"/>
        <w:ind w:left="260" w:firstLine="648"/>
        <w:spacing w:after="0" w:line="273"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Guarantor to honor all of its obligations under this Agreement in respect of Swap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each Qualified ECP Guarantor shall only be liable under this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or otherwise under this Agreement, as it relates to such other Guarantor,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4.17</w:t>
      </w:r>
      <w:r>
        <w:rPr>
          <w:rFonts w:ascii="Arial" w:cs="Arial" w:eastAsia="Arial" w:hAnsi="Arial"/>
          <w:sz w:val="18"/>
          <w:szCs w:val="18"/>
          <w:color w:val="auto"/>
        </w:rPr>
        <w:t xml:space="preserve"> shall be deemed to constitute, a “keepwell, support, or other agreement”</w:t>
      </w:r>
    </w:p>
    <w:p>
      <w:pPr>
        <w:spacing w:after="0" w:line="1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6" w:right="239" w:bottom="1440" w:gutter="0" w:footer="0" w:header="0"/>
        </w:sectPr>
      </w:pPr>
    </w:p>
    <w:bookmarkStart w:id="379" w:name="page380"/>
    <w:bookmarkEnd w:id="379"/>
    <w:p>
      <w:pPr>
        <w:ind w:left="260"/>
        <w:spacing w:after="0"/>
        <w:rPr>
          <w:sz w:val="20"/>
          <w:szCs w:val="20"/>
          <w:color w:val="auto"/>
        </w:rPr>
      </w:pPr>
      <w:r>
        <w:rPr>
          <w:rFonts w:ascii="Arial" w:cs="Arial" w:eastAsia="Arial" w:hAnsi="Arial"/>
          <w:sz w:val="20"/>
          <w:szCs w:val="20"/>
          <w:color w:val="auto"/>
        </w:rPr>
        <w:t>for the benefit of each other Loan Party for all purposes of Section 1a(18)(A)(v)(II) of the Commodity Exchange Act.</w:t>
      </w:r>
    </w:p>
    <w:p>
      <w:pPr>
        <w:spacing w:after="0" w:line="216"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Amendment and Restatement; No Novation</w:t>
      </w:r>
      <w:r>
        <w:rPr>
          <w:rFonts w:ascii="Arial" w:cs="Arial" w:eastAsia="Arial" w:hAnsi="Arial"/>
          <w:sz w:val="18"/>
          <w:szCs w:val="18"/>
          <w:color w:val="auto"/>
        </w:rPr>
        <w:t>. This Agreement constitutes an amendment and restatement of that certain Guaranty Agreement dated of October 26, 2012 (as amended, restated, supplemented, reaffirmed or otherwise modified, the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Guaranty Agreement</w:t>
      </w:r>
      <w:r>
        <w:rPr>
          <w:rFonts w:ascii="Arial" w:cs="Arial" w:eastAsia="Arial" w:hAnsi="Arial"/>
          <w:sz w:val="18"/>
          <w:szCs w:val="18"/>
          <w:color w:val="auto"/>
        </w:rPr>
        <w:t>”), effective from and after the Closing Date. The execution and delivery of this Agreement shall not constitute a novation of any indebtedness or other obligations owing to the Lenders or the Collateral Agent under the Existing Credit Agreement or guaranteed by the Existing Guaranty Agreement or release of any Liens securing any such indebtedness or obligations.</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[THE REMAINDER OF THIS PAGE IS INTENTIONALLY LEFT BLANK]</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366" w:right="239" w:bottom="1440" w:gutter="0" w:footer="0" w:header="0"/>
        </w:sectPr>
      </w:pPr>
    </w:p>
    <w:bookmarkStart w:id="380" w:name="page381"/>
    <w:bookmarkEnd w:id="38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Agreement as of the date first above written.</w:t>
      </w:r>
    </w:p>
    <w:p>
      <w:pPr>
        <w:spacing w:after="0" w:line="200" w:lineRule="exact"/>
        <w:rPr>
          <w:sz w:val="20"/>
          <w:szCs w:val="20"/>
          <w:color w:val="auto"/>
        </w:rPr>
      </w:pPr>
    </w:p>
    <w:p>
      <w:pPr>
        <w:spacing w:after="0" w:line="38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OSI RESTAURANT PARTNERS, LLC, as a Borrower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6400"/>
        <w:spacing w:after="0"/>
        <w:rPr>
          <w:sz w:val="20"/>
          <w:szCs w:val="20"/>
          <w:color w:val="auto"/>
        </w:rPr>
      </w:pPr>
      <w:r>
        <w:rPr>
          <w:rFonts w:ascii="Arial" w:cs="Arial" w:eastAsia="Arial" w:hAnsi="Arial"/>
          <w:sz w:val="19"/>
          <w:szCs w:val="19"/>
          <w:color w:val="343636"/>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BLOOMIN’ BRANDS, INC., as Borrower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6400"/>
        <w:spacing w:after="0"/>
        <w:rPr>
          <w:sz w:val="20"/>
          <w:szCs w:val="20"/>
          <w:color w:val="auto"/>
        </w:rPr>
      </w:pPr>
      <w:r>
        <w:rPr>
          <w:rFonts w:ascii="Arial" w:cs="Arial" w:eastAsia="Arial" w:hAnsi="Arial"/>
          <w:sz w:val="19"/>
          <w:szCs w:val="19"/>
          <w:color w:val="343636"/>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BLOOMIN’ BRANDS GIFT CARD SERVICES,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OS RESTAURANT SERVICES,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OUTBACK DESIGNATED PARTNER,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OUTBACK KANSAS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668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668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33655</wp:posOffset>
            </wp:positionV>
            <wp:extent cx="946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94615" cy="17145"/>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Officer &amp; Assistant Secretary</w:t>
      </w:r>
    </w:p>
    <w:p>
      <w:pPr>
        <w:sectPr>
          <w:pgSz w:w="11900" w:h="16838" w:orient="portrait"/>
          <w:cols w:equalWidth="0" w:num="1">
            <w:col w:w="11420"/>
          </w:cols>
          <w:pgMar w:left="240" w:top="3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20"/>
          </w:cols>
          <w:pgMar w:left="240" w:top="365" w:right="239" w:bottom="1440" w:gutter="0" w:footer="0" w:header="0"/>
          <w:type w:val="continuous"/>
        </w:sectPr>
      </w:pPr>
    </w:p>
    <w:bookmarkStart w:id="381" w:name="page382"/>
    <w:bookmarkEnd w:id="381"/>
    <w:p>
      <w:pPr>
        <w:ind w:left="4720"/>
        <w:spacing w:after="0"/>
        <w:rPr>
          <w:sz w:val="20"/>
          <w:szCs w:val="20"/>
          <w:color w:val="auto"/>
        </w:rPr>
      </w:pPr>
      <w:r>
        <w:rPr>
          <w:rFonts w:ascii="Arial" w:cs="Arial" w:eastAsia="Arial" w:hAnsi="Arial"/>
          <w:sz w:val="20"/>
          <w:szCs w:val="20"/>
          <w:color w:val="auto"/>
        </w:rPr>
        <w:t>BONEFISH OF BEL AIR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managing member</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BONEFISH/ASHEVILLE,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BONEFISH/CAROLINAS,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BONEFISH/COLUMBUS-I, LIMITED</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BONEFISH/CRESCENT SPRINGS, LIMITED</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BONEFISH/GREENSBORO,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BONEFISH/HYDE PARK,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general partner</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382" w:name="page383"/>
    <w:bookmarkEnd w:id="382"/>
    <w:p>
      <w:pPr>
        <w:ind w:left="5120"/>
        <w:spacing w:after="0"/>
        <w:rPr>
          <w:sz w:val="20"/>
          <w:szCs w:val="20"/>
          <w:color w:val="auto"/>
        </w:rPr>
      </w:pPr>
      <w:r>
        <w:rPr>
          <w:rFonts w:ascii="Arial" w:cs="Arial" w:eastAsia="Arial" w:hAnsi="Arial"/>
          <w:sz w:val="20"/>
          <w:szCs w:val="20"/>
          <w:color w:val="auto"/>
        </w:rPr>
        <w:t>BONEFISH BEVERAGES, LLC</w:t>
      </w:r>
    </w:p>
    <w:p>
      <w:pPr>
        <w:spacing w:after="0" w:line="121"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BONEFISH HOLDINGS, LLC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CIGI BEVERAGES OF TEXAS, LLC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CIGI HOLDINGS, LLC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OUTBACK BEVERAGES OF TEXAS, LLC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OBTEX HOLDINGS,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Executive Vice President, Chief Legal</w:t>
      </w:r>
    </w:p>
    <w:p>
      <w:pPr>
        <w:spacing w:after="0" w:line="200" w:lineRule="exact"/>
        <w:rPr>
          <w:sz w:val="20"/>
          <w:szCs w:val="20"/>
          <w:color w:val="auto"/>
        </w:rPr>
      </w:pPr>
    </w:p>
    <w:p>
      <w:pPr>
        <w:spacing w:after="0" w:line="3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BONEFISH BRANDYWINE, LLC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BONEFISH DESIGNATED PARTNER, LLC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BONEFISH KANSAS,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member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383" w:name="page384"/>
    <w:bookmarkEnd w:id="383"/>
    <w:p>
      <w:pPr>
        <w:ind w:left="5120"/>
        <w:spacing w:after="0"/>
        <w:rPr>
          <w:sz w:val="20"/>
          <w:szCs w:val="20"/>
          <w:color w:val="auto"/>
        </w:rPr>
      </w:pPr>
      <w:r>
        <w:rPr>
          <w:rFonts w:ascii="Arial" w:cs="Arial" w:eastAsia="Arial" w:hAnsi="Arial"/>
          <w:sz w:val="20"/>
          <w:szCs w:val="20"/>
          <w:color w:val="auto"/>
        </w:rPr>
        <w:t>BFG NEBRASKA,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BFG OKLAHOMA,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CIGI NEBRASKA,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CIGI OKLAHOMA,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OS MANAGEMENT,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OS MORTGAGE HOLDINGS,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OSF NEBRASKA,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OSF OKLAHOMA,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OUTBACK ALABAMA, INC.</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OUTBACK &amp; CARRABBA’S OF NEW MEXICO,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David J. Deno</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Chief Financial and Administrative Officer,</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80"/>
          </w:cols>
          <w:pgMar w:left="1440" w:top="528" w:right="779" w:bottom="1440" w:gutter="0" w:footer="0" w:header="0"/>
        </w:sectPr>
      </w:pPr>
    </w:p>
    <w:bookmarkStart w:id="384" w:name="page385"/>
    <w:bookmarkEnd w:id="384"/>
    <w:p>
      <w:pPr>
        <w:ind w:left="4720"/>
        <w:spacing w:after="0"/>
        <w:rPr>
          <w:sz w:val="20"/>
          <w:szCs w:val="20"/>
          <w:color w:val="auto"/>
        </w:rPr>
      </w:pPr>
      <w:r>
        <w:rPr>
          <w:rFonts w:ascii="Arial" w:cs="Arial" w:eastAsia="Arial" w:hAnsi="Arial"/>
          <w:sz w:val="20"/>
          <w:szCs w:val="20"/>
          <w:color w:val="auto"/>
        </w:rPr>
        <w:t>CARRABBA’S DESIGNATED PARTNER,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CARRABBA’S KANSAS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CARRABBA’S ITALIAN GRILL OF HOWARD COUNTY,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Malcom Mordue</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Secretary, Treasurer &amp; President</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GRILL,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CARRABBA’S ITALIAN GRILL,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 REALTY,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STEAKHOUSE OF FLORIDA,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PRIVATE RESTAURANT MASTER LESSEE,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DOORSIDE,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member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Name: Joseph J. Kadow</w:t>
      </w:r>
    </w:p>
    <w:p>
      <w:pPr>
        <w:spacing w:after="0" w:line="6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Legal Office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385" w:name="page386"/>
    <w:bookmarkEnd w:id="385"/>
    <w:p>
      <w:pPr>
        <w:ind w:left="4720"/>
        <w:spacing w:after="0"/>
        <w:rPr>
          <w:sz w:val="20"/>
          <w:szCs w:val="20"/>
          <w:color w:val="auto"/>
        </w:rPr>
      </w:pPr>
      <w:r>
        <w:rPr>
          <w:rFonts w:ascii="Arial" w:cs="Arial" w:eastAsia="Arial" w:hAnsi="Arial"/>
          <w:sz w:val="20"/>
          <w:szCs w:val="20"/>
          <w:color w:val="auto"/>
        </w:rPr>
        <w:t>CARRABBA’S OF BOWIE,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managing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CARRABS OF GERMANTOWN,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CARRABA'S OF WALDORF, INC.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sole shareholder</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OSI RESTAURANT PARTNERS, LLC, its member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32588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30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7" w:right="379" w:bottom="1440" w:gutter="0" w:footer="0" w:header="0"/>
        </w:sectPr>
      </w:pPr>
    </w:p>
    <w:bookmarkStart w:id="386" w:name="page387"/>
    <w:bookmarkEnd w:id="386"/>
    <w:p>
      <w:pPr>
        <w:ind w:left="4720"/>
        <w:spacing w:after="0"/>
        <w:rPr>
          <w:sz w:val="20"/>
          <w:szCs w:val="20"/>
          <w:color w:val="auto"/>
        </w:rPr>
      </w:pPr>
      <w:r>
        <w:rPr>
          <w:rFonts w:ascii="Arial" w:cs="Arial" w:eastAsia="Arial" w:hAnsi="Arial"/>
          <w:sz w:val="20"/>
          <w:szCs w:val="20"/>
          <w:color w:val="auto"/>
        </w:rPr>
        <w:t>CARRABBA’S/BIRMINGHAM 280, LIMITED</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DESIGNATED PARTNER,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By: OSI RESTAURANT PARTNERS,</w:t>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LLC, its member</w:t>
      </w:r>
    </w:p>
    <w:p>
      <w:pPr>
        <w:spacing w:after="0" w:line="36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By:____________________________________</w:t>
      </w:r>
    </w:p>
    <w:p>
      <w:pPr>
        <w:spacing w:after="0" w:line="100"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Title: Executive Vice President</w:t>
      </w:r>
    </w:p>
    <w:p>
      <w:pPr>
        <w:spacing w:after="0" w:line="54"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Chief Legal Officer &amp;</w:t>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Assistant Secretary</w:t>
      </w:r>
    </w:p>
    <w:p>
      <w:pPr>
        <w:spacing w:after="0" w:line="256"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00"/>
          </w:cols>
          <w:pgMar w:left="1440" w:top="528" w:right="359" w:bottom="1440" w:gutter="0" w:footer="0" w:header="0"/>
        </w:sectPr>
      </w:pPr>
    </w:p>
    <w:bookmarkStart w:id="387" w:name="page388"/>
    <w:bookmarkEnd w:id="387"/>
    <w:p>
      <w:pPr>
        <w:ind w:left="4720"/>
        <w:spacing w:after="0"/>
        <w:rPr>
          <w:sz w:val="20"/>
          <w:szCs w:val="20"/>
          <w:color w:val="auto"/>
        </w:rPr>
      </w:pPr>
      <w:r>
        <w:rPr>
          <w:rFonts w:ascii="Arial" w:cs="Arial" w:eastAsia="Arial" w:hAnsi="Arial"/>
          <w:sz w:val="20"/>
          <w:szCs w:val="20"/>
          <w:color w:val="auto"/>
        </w:rPr>
        <w:t>CARRABBA’S/DC-I,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CIGI/BFG OF EAST BRUNSWICK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757" w:right="379" w:bottom="1440" w:gutter="0" w:footer="0" w:header="0"/>
        </w:sectPr>
      </w:pPr>
    </w:p>
    <w:bookmarkStart w:id="388" w:name="page389"/>
    <w:bookmarkEnd w:id="388"/>
    <w:p>
      <w:pPr>
        <w:ind w:left="4720"/>
        <w:spacing w:after="0"/>
        <w:rPr>
          <w:sz w:val="20"/>
          <w:szCs w:val="20"/>
          <w:color w:val="auto"/>
        </w:rPr>
      </w:pPr>
      <w:r>
        <w:rPr>
          <w:rFonts w:ascii="Arial" w:cs="Arial" w:eastAsia="Arial" w:hAnsi="Arial"/>
          <w:sz w:val="20"/>
          <w:szCs w:val="20"/>
          <w:color w:val="auto"/>
        </w:rPr>
        <w:t>OUTBACK OF ASPEN HILL,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OF GERMANTOWN,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FREDERICK OUTBACK, INC.</w:t>
      </w:r>
    </w:p>
    <w:p>
      <w:pPr>
        <w:spacing w:after="0" w:line="37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Stephen S. Newton</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Title: Treasurer, President &amp; Secretary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OSF/BFG OF DEPTFORD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OSF/BFG OF LAWRENCEVILLE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 its</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389" w:name="page390"/>
    <w:bookmarkEnd w:id="389"/>
    <w:p>
      <w:pPr>
        <w:ind w:left="4720"/>
        <w:spacing w:after="0"/>
        <w:rPr>
          <w:sz w:val="20"/>
          <w:szCs w:val="20"/>
          <w:color w:val="auto"/>
        </w:rPr>
      </w:pPr>
      <w:r>
        <w:rPr>
          <w:rFonts w:ascii="Arial" w:cs="Arial" w:eastAsia="Arial" w:hAnsi="Arial"/>
          <w:sz w:val="20"/>
          <w:szCs w:val="20"/>
          <w:color w:val="auto"/>
        </w:rPr>
        <w:t>OSF/CIGI OF EVESHAM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OSF/CIGI OF EVESHAM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OUTBACK/CARRABBA'S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By: OUTBACK STEAKHOUSE OF FLORIDA, LLC its partner</w:t>
      </w:r>
    </w:p>
    <w:p>
      <w:pPr>
        <w:spacing w:after="0" w:line="38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757" w:right="379" w:bottom="1440" w:gutter="0" w:footer="0" w:header="0"/>
        </w:sectPr>
      </w:pPr>
    </w:p>
    <w:bookmarkStart w:id="390" w:name="page391"/>
    <w:bookmarkEnd w:id="390"/>
    <w:p>
      <w:pPr>
        <w:ind w:left="4720"/>
        <w:spacing w:after="0"/>
        <w:rPr>
          <w:sz w:val="20"/>
          <w:szCs w:val="20"/>
          <w:color w:val="auto"/>
        </w:rPr>
      </w:pPr>
      <w:r>
        <w:rPr>
          <w:rFonts w:ascii="Arial" w:cs="Arial" w:eastAsia="Arial" w:hAnsi="Arial"/>
          <w:sz w:val="20"/>
          <w:szCs w:val="20"/>
          <w:color w:val="auto"/>
        </w:rPr>
        <w:t>OUTBACK STEAKHOUSE WEST VIRGINIA,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Name: Joseph J. Kadow</w:t>
      </w:r>
    </w:p>
    <w:p>
      <w:pPr>
        <w:spacing w:after="0" w:line="52" w:lineRule="exact"/>
        <w:rPr>
          <w:sz w:val="20"/>
          <w:szCs w:val="20"/>
          <w:color w:val="auto"/>
        </w:rPr>
      </w:pPr>
    </w:p>
    <w:p>
      <w:pPr>
        <w:ind w:left="5200"/>
        <w:spacing w:after="0"/>
        <w:rPr>
          <w:sz w:val="20"/>
          <w:szCs w:val="20"/>
          <w:color w:val="auto"/>
        </w:rPr>
      </w:pPr>
      <w:r>
        <w:rPr>
          <w:rFonts w:ascii="Arial" w:cs="Arial" w:eastAsia="Arial" w:hAnsi="Arial"/>
          <w:sz w:val="19"/>
          <w:szCs w:val="19"/>
          <w:color w:val="343636"/>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OUTBACK/STONE-II,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OF LAUREL,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Sole Manager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391" w:name="page392"/>
    <w:bookmarkEnd w:id="391"/>
    <w:p>
      <w:pPr>
        <w:ind w:left="4720"/>
        <w:spacing w:after="0"/>
        <w:rPr>
          <w:sz w:val="20"/>
          <w:szCs w:val="20"/>
          <w:color w:val="auto"/>
        </w:rPr>
      </w:pPr>
      <w:r>
        <w:rPr>
          <w:rFonts w:ascii="Arial" w:cs="Arial" w:eastAsia="Arial" w:hAnsi="Arial"/>
          <w:sz w:val="20"/>
          <w:szCs w:val="20"/>
          <w:color w:val="auto"/>
        </w:rPr>
        <w:t>OSI HOLDCO,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OSI HOLDCO I,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OSI HOLDCO II,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343636"/>
        </w:rPr>
        <w:t>Name: Joseph J. Kadow</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 xml:space="preserve">Title: </w:t>
      </w:r>
      <w:r>
        <w:rPr>
          <w:rFonts w:ascii="Arial" w:cs="Arial" w:eastAsia="Arial" w:hAnsi="Arial"/>
          <w:sz w:val="19"/>
          <w:szCs w:val="19"/>
          <w:color w:val="000000"/>
        </w:rPr>
        <w:t>Executive Vice President &amp; Secretary</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PRIVATE RESTAURANT PROPERTIES,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343636"/>
        </w:rPr>
        <w:t>Name: Joseph J. Kadow</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 xml:space="preserve">Title: </w:t>
      </w:r>
      <w:r>
        <w:rPr>
          <w:rFonts w:ascii="Arial" w:cs="Arial" w:eastAsia="Arial" w:hAnsi="Arial"/>
          <w:sz w:val="19"/>
          <w:szCs w:val="19"/>
          <w:color w:val="000000"/>
        </w:rPr>
        <w:t>Secretary, Chief Legal Officer &amp;</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Executive Vice President</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40"/>
          </w:cols>
          <w:pgMar w:left="1440" w:top="528" w:right="1419" w:bottom="1440" w:gutter="0" w:footer="0" w:header="0"/>
        </w:sectPr>
      </w:pPr>
    </w:p>
    <w:bookmarkStart w:id="392" w:name="page393"/>
    <w:bookmarkEnd w:id="392"/>
    <w:p>
      <w:pPr>
        <w:ind w:left="4720"/>
        <w:spacing w:after="0"/>
        <w:rPr>
          <w:sz w:val="20"/>
          <w:szCs w:val="20"/>
          <w:color w:val="auto"/>
        </w:rPr>
      </w:pPr>
      <w:r>
        <w:rPr>
          <w:rFonts w:ascii="Arial" w:cs="Arial" w:eastAsia="Arial" w:hAnsi="Arial"/>
          <w:sz w:val="20"/>
          <w:szCs w:val="20"/>
          <w:color w:val="auto"/>
        </w:rPr>
        <w:t>WELLS FARGO BANK, NATIONAL</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472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Guaranty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757" w:right="1440" w:bottom="1440" w:gutter="0" w:footer="0" w:header="0"/>
        </w:sectPr>
      </w:pPr>
    </w:p>
    <w:bookmarkStart w:id="393" w:name="page394"/>
    <w:bookmarkEnd w:id="393"/>
    <w:p>
      <w:pPr>
        <w:jc w:val="right"/>
        <w:spacing w:after="0"/>
        <w:rPr>
          <w:sz w:val="20"/>
          <w:szCs w:val="20"/>
          <w:color w:val="auto"/>
        </w:rPr>
      </w:pPr>
      <w:r>
        <w:rPr>
          <w:rFonts w:ascii="Arial" w:cs="Arial" w:eastAsia="Arial" w:hAnsi="Arial"/>
          <w:sz w:val="20"/>
          <w:szCs w:val="20"/>
          <w:color w:val="auto"/>
        </w:rPr>
        <w:t>SCHEDULE I to the Amended and Restated Guaranty</w:t>
      </w:r>
    </w:p>
    <w:p>
      <w:pPr>
        <w:spacing w:after="0" w:line="1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Agreement</w:t>
      </w:r>
    </w:p>
    <w:p>
      <w:pPr>
        <w:spacing w:after="0" w:line="213" w:lineRule="exact"/>
        <w:rPr>
          <w:sz w:val="20"/>
          <w:szCs w:val="20"/>
          <w:color w:val="auto"/>
        </w:rPr>
      </w:pPr>
    </w:p>
    <w:p>
      <w:pPr>
        <w:ind w:left="5320"/>
        <w:spacing w:after="0"/>
        <w:rPr>
          <w:sz w:val="20"/>
          <w:szCs w:val="20"/>
          <w:color w:val="auto"/>
        </w:rPr>
      </w:pPr>
      <w:r>
        <w:rPr>
          <w:rFonts w:ascii="Arial" w:cs="Arial" w:eastAsia="Arial" w:hAnsi="Arial"/>
          <w:sz w:val="20"/>
          <w:szCs w:val="20"/>
          <w:u w:val="single" w:color="auto"/>
          <w:color w:val="auto"/>
        </w:rPr>
        <w:t>SUBSIDIARY PARTIES</w:t>
      </w:r>
    </w:p>
    <w:p>
      <w:pPr>
        <w:spacing w:after="0" w:line="202" w:lineRule="exact"/>
        <w:rPr>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BFG Nebraska,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BFG Oklahoma,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Bloomin’ Brands Gift Card Services,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Beverages,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Brandywine,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Designated Partner, LLC</w:t>
      </w:r>
    </w:p>
    <w:p>
      <w:pPr>
        <w:spacing w:after="0" w:line="229"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Grill,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Holdings,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Kansas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 of Bel Air,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Bonefish/Asheville, Limited Partnership</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Bonefish/Carolinas, Limited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Bonefish/Columbus-I, Limited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Bonefish/Crescent Springs, Limited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Bonefish/Greensboro, Limited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Bonefish/Hyde Park, Limited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Designated Partner,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Italian Grill of Howard County, Inc.</w:t>
      </w:r>
    </w:p>
    <w:p>
      <w:pPr>
        <w:spacing w:after="0" w:line="229"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Italian Grill,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Kansas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of Bowie,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of Germantown,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 of Waldorf,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Carrabba’s/Birmingham 280, Limited Partnership</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360"/>
          </w:cols>
          <w:pgMar w:left="260" w:top="433" w:right="279" w:bottom="1440" w:gutter="0" w:footer="0" w:header="0"/>
        </w:sectPr>
      </w:pPr>
    </w:p>
    <w:bookmarkStart w:id="394" w:name="page395"/>
    <w:bookmarkEnd w:id="394"/>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Carrabba’s/DC-I, Limited Partnership</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CIGI Beverages of Texas,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CIGI Holdings,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CIGI Nebraska,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CIGI Oklahoma,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CIGI/BFG of East Brunswick Partnership</w:t>
      </w:r>
    </w:p>
    <w:p>
      <w:pPr>
        <w:spacing w:after="0" w:line="227" w:lineRule="exact"/>
        <w:rPr>
          <w:rFonts w:ascii="Arial" w:cs="Arial" w:eastAsia="Arial" w:hAnsi="Arial"/>
          <w:sz w:val="19"/>
          <w:szCs w:val="19"/>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DoorSide,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Frederick Outback,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New Private Restaurant Properties, LLC</w:t>
      </w:r>
    </w:p>
    <w:p>
      <w:pPr>
        <w:spacing w:after="0" w:line="227" w:lineRule="exact"/>
        <w:rPr>
          <w:rFonts w:ascii="Arial" w:cs="Arial" w:eastAsia="Arial" w:hAnsi="Arial"/>
          <w:sz w:val="19"/>
          <w:szCs w:val="19"/>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OBTex Holdings,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 Management,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 Mortgage Holdings,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 Realty,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 Restaurant Services,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OSF Nebraska,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OSF Oklahoma,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OSF/BFG of Deptford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OSF/BFG of Lawrenceville Partnership</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OSF/CIGI of Evesham Partnership</w:t>
      </w:r>
    </w:p>
    <w:p>
      <w:pPr>
        <w:spacing w:after="0" w:line="229"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OSI HoldCo, Inc.</w:t>
      </w:r>
    </w:p>
    <w:p>
      <w:pPr>
        <w:spacing w:after="0" w:line="229"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OSI HoldCo I,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OSI, HoldCo II,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Outback &amp; Carrabba’s of New Mexico, Inc.</w:t>
      </w:r>
    </w:p>
    <w:p>
      <w:pPr>
        <w:spacing w:after="0" w:line="238" w:lineRule="exact"/>
        <w:rPr>
          <w:rFonts w:ascii="Arial" w:cs="Arial" w:eastAsia="Arial" w:hAnsi="Arial"/>
          <w:sz w:val="18"/>
          <w:szCs w:val="18"/>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Outback Alabama, Inc.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Outback Beverages of Texas, LLC</w:t>
      </w:r>
    </w:p>
    <w:p>
      <w:pPr>
        <w:spacing w:after="0" w:line="215" w:lineRule="exact"/>
        <w:rPr>
          <w:rFonts w:ascii="Arial" w:cs="Arial" w:eastAsia="Arial" w:hAnsi="Arial"/>
          <w:sz w:val="20"/>
          <w:szCs w:val="20"/>
          <w:color w:val="auto"/>
        </w:rPr>
      </w:pPr>
    </w:p>
    <w:p>
      <w:pPr>
        <w:ind w:left="880" w:hanging="298"/>
        <w:spacing w:after="0"/>
        <w:tabs>
          <w:tab w:leader="none" w:pos="88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Outback Designated Partner, LLC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0199"/>
          </w:cols>
          <w:pgMar w:left="260" w:top="433" w:right="1440" w:bottom="1440" w:gutter="0" w:footer="0" w:header="0"/>
        </w:sectPr>
      </w:pPr>
    </w:p>
    <w:bookmarkStart w:id="395" w:name="page396"/>
    <w:bookmarkEnd w:id="395"/>
    <w:p>
      <w:pPr>
        <w:ind w:left="900" w:hanging="318"/>
        <w:spacing w:after="0"/>
        <w:tabs>
          <w:tab w:leader="none" w:pos="90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Outback Kansas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Outback of Aspen Hill,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Outback of Germantown, Inc.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Outback of Laurel, LLC</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40"/>
        </w:numPr>
        <w:rPr>
          <w:rFonts w:ascii="Arial" w:cs="Arial" w:eastAsia="Arial" w:hAnsi="Arial"/>
          <w:sz w:val="19"/>
          <w:szCs w:val="19"/>
          <w:color w:val="auto"/>
        </w:rPr>
      </w:pPr>
      <w:r>
        <w:rPr>
          <w:rFonts w:ascii="Arial" w:cs="Arial" w:eastAsia="Arial" w:hAnsi="Arial"/>
          <w:sz w:val="19"/>
          <w:szCs w:val="19"/>
          <w:color w:val="auto"/>
        </w:rPr>
        <w:t>Outback Steakhouse of Florida, LLC</w:t>
      </w:r>
    </w:p>
    <w:p>
      <w:pPr>
        <w:spacing w:after="0" w:line="227" w:lineRule="exact"/>
        <w:rPr>
          <w:rFonts w:ascii="Arial" w:cs="Arial" w:eastAsia="Arial" w:hAnsi="Arial"/>
          <w:sz w:val="19"/>
          <w:szCs w:val="19"/>
          <w:color w:val="auto"/>
        </w:rPr>
      </w:pPr>
    </w:p>
    <w:p>
      <w:pPr>
        <w:ind w:left="900" w:hanging="318"/>
        <w:spacing w:after="0"/>
        <w:tabs>
          <w:tab w:leader="none" w:pos="9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Outback Steakhouse West Virginia, Inc.</w:t>
      </w:r>
    </w:p>
    <w:p>
      <w:pPr>
        <w:spacing w:after="0" w:line="261" w:lineRule="exact"/>
        <w:rPr>
          <w:rFonts w:ascii="Arial" w:cs="Arial" w:eastAsia="Arial" w:hAnsi="Arial"/>
          <w:sz w:val="16"/>
          <w:szCs w:val="16"/>
          <w:color w:val="auto"/>
        </w:rPr>
      </w:pPr>
    </w:p>
    <w:p>
      <w:pPr>
        <w:ind w:left="900" w:hanging="318"/>
        <w:spacing w:after="0"/>
        <w:tabs>
          <w:tab w:leader="none" w:pos="90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Outback/Carrabba’s Partnership</w:t>
      </w:r>
    </w:p>
    <w:p>
      <w:pPr>
        <w:spacing w:after="0" w:line="215" w:lineRule="exact"/>
        <w:rPr>
          <w:rFonts w:ascii="Arial" w:cs="Arial" w:eastAsia="Arial" w:hAnsi="Arial"/>
          <w:sz w:val="20"/>
          <w:szCs w:val="20"/>
          <w:color w:val="auto"/>
        </w:rPr>
      </w:pPr>
    </w:p>
    <w:p>
      <w:pPr>
        <w:ind w:left="900" w:hanging="318"/>
        <w:spacing w:after="0"/>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Outback/Stone-II, Limited Partnership</w:t>
      </w:r>
    </w:p>
    <w:p>
      <w:pPr>
        <w:spacing w:after="0" w:line="238" w:lineRule="exact"/>
        <w:rPr>
          <w:rFonts w:ascii="Arial" w:cs="Arial" w:eastAsia="Arial" w:hAnsi="Arial"/>
          <w:sz w:val="18"/>
          <w:szCs w:val="18"/>
          <w:color w:val="auto"/>
        </w:rPr>
      </w:pPr>
    </w:p>
    <w:p>
      <w:pPr>
        <w:ind w:left="900" w:hanging="318"/>
        <w:spacing w:after="0"/>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Private Restaurant Master Lessee, LLC</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0199"/>
          </w:cols>
          <w:pgMar w:left="260" w:top="366" w:right="1440" w:bottom="1440" w:gutter="0" w:footer="0" w:header="0"/>
        </w:sectPr>
      </w:pPr>
    </w:p>
    <w:bookmarkStart w:id="396" w:name="page397"/>
    <w:bookmarkEnd w:id="396"/>
    <w:p>
      <w:pPr>
        <w:ind w:left="7260"/>
        <w:spacing w:after="0"/>
        <w:rPr>
          <w:sz w:val="20"/>
          <w:szCs w:val="20"/>
          <w:color w:val="auto"/>
        </w:rPr>
      </w:pPr>
      <w:r>
        <w:rPr>
          <w:rFonts w:ascii="Arial" w:cs="Arial" w:eastAsia="Arial" w:hAnsi="Arial"/>
          <w:sz w:val="18"/>
          <w:szCs w:val="18"/>
          <w:color w:val="auto"/>
        </w:rPr>
        <w:t>EXHIBIT I to the Amended and Restated Guaranty</w:t>
      </w:r>
    </w:p>
    <w:p>
      <w:pPr>
        <w:spacing w:after="0" w:line="3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left="240" w:firstLine="648"/>
        <w:spacing w:after="0" w:line="246" w:lineRule="auto"/>
        <w:rPr>
          <w:sz w:val="20"/>
          <w:szCs w:val="20"/>
          <w:color w:val="auto"/>
        </w:rPr>
      </w:pPr>
      <w:r>
        <w:rPr>
          <w:rFonts w:ascii="Arial" w:cs="Arial" w:eastAsia="Arial" w:hAnsi="Arial"/>
          <w:sz w:val="20"/>
          <w:szCs w:val="20"/>
          <w:color w:val="auto"/>
        </w:rPr>
        <w:t>SUPPLEMENT NO. (this “Supplement”) dated as of [●], to the Amended and Restated Guaranty Agreement dated as of November 30, 2017 (the “</w:t>
      </w:r>
      <w:r>
        <w:rPr>
          <w:rFonts w:ascii="Arial" w:cs="Arial" w:eastAsia="Arial" w:hAnsi="Arial"/>
          <w:sz w:val="20"/>
          <w:szCs w:val="20"/>
          <w:u w:val="single" w:color="auto"/>
          <w:color w:val="auto"/>
        </w:rPr>
        <w:t>Guaranty Agreement</w:t>
      </w:r>
      <w:r>
        <w:rPr>
          <w:rFonts w:ascii="Arial" w:cs="Arial" w:eastAsia="Arial" w:hAnsi="Arial"/>
          <w:sz w:val="20"/>
          <w:szCs w:val="20"/>
          <w:color w:val="auto"/>
        </w:rPr>
        <w:t>”),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Subsidiaries of the Company identified therein and WELLS FARGO BANK, NATIONAL ASSOCIATION, as Administrative Agent.</w:t>
      </w:r>
    </w:p>
    <w:p>
      <w:pPr>
        <w:spacing w:after="0" w:line="205" w:lineRule="exact"/>
        <w:rPr>
          <w:sz w:val="20"/>
          <w:szCs w:val="20"/>
          <w:color w:val="auto"/>
        </w:rPr>
      </w:pPr>
    </w:p>
    <w:p>
      <w:pPr>
        <w:jc w:val="both"/>
        <w:ind w:left="260" w:firstLine="646"/>
        <w:spacing w:after="0" w:line="263" w:lineRule="auto"/>
        <w:tabs>
          <w:tab w:leader="none" w:pos="1307" w:val="left"/>
        </w:tabs>
        <w:numPr>
          <w:ilvl w:val="0"/>
          <w:numId w:val="341"/>
        </w:numPr>
        <w:rPr>
          <w:rFonts w:ascii="Arial" w:cs="Arial" w:eastAsia="Arial" w:hAnsi="Arial"/>
          <w:sz w:val="19"/>
          <w:szCs w:val="19"/>
          <w:color w:val="auto"/>
        </w:rPr>
      </w:pPr>
      <w:r>
        <w:rPr>
          <w:rFonts w:ascii="Arial" w:cs="Arial" w:eastAsia="Arial" w:hAnsi="Arial"/>
          <w:sz w:val="19"/>
          <w:szCs w:val="19"/>
          <w:color w:val="auto"/>
        </w:rPr>
        <w:t>Reference is made to (i) the Amended and Restated Credit Agreement dated as of November 30, 2017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Borrowers, each Lender from time to time party thereto and Wells Fargo Bank, National Association, as Administrative Agent, (ii) each Secured Hedge Agreement (as defined in the Credit Agreement) and (iii) the Cash Management Obligations (as defined in the Credit Agreement).</w:t>
      </w:r>
    </w:p>
    <w:p>
      <w:pPr>
        <w:spacing w:after="0" w:line="190" w:lineRule="exact"/>
        <w:rPr>
          <w:rFonts w:ascii="Arial" w:cs="Arial" w:eastAsia="Arial" w:hAnsi="Arial"/>
          <w:sz w:val="19"/>
          <w:szCs w:val="19"/>
          <w:color w:val="auto"/>
        </w:rPr>
      </w:pPr>
    </w:p>
    <w:p>
      <w:pPr>
        <w:ind w:left="260" w:firstLine="646"/>
        <w:spacing w:after="0" w:line="260" w:lineRule="auto"/>
        <w:tabs>
          <w:tab w:leader="none" w:pos="1324" w:val="left"/>
        </w:tabs>
        <w:numPr>
          <w:ilvl w:val="0"/>
          <w:numId w:val="341"/>
        </w:numPr>
        <w:rPr>
          <w:rFonts w:ascii="Arial" w:cs="Arial" w:eastAsia="Arial" w:hAnsi="Arial"/>
          <w:sz w:val="20"/>
          <w:szCs w:val="20"/>
          <w:color w:val="auto"/>
        </w:rPr>
      </w:pPr>
      <w:r>
        <w:rPr>
          <w:rFonts w:ascii="Arial" w:cs="Arial" w:eastAsia="Arial" w:hAnsi="Arial"/>
          <w:sz w:val="20"/>
          <w:szCs w:val="20"/>
          <w:color w:val="auto"/>
        </w:rPr>
        <w:t>Capitalized terms used herein and not otherwise defined herein shall have the meanings assigned to such terms in the Credit Agreement and the Guaranty Agreement as applicable.</w:t>
      </w:r>
    </w:p>
    <w:p>
      <w:pPr>
        <w:spacing w:after="0" w:line="190" w:lineRule="exact"/>
        <w:rPr>
          <w:rFonts w:ascii="Arial" w:cs="Arial" w:eastAsia="Arial" w:hAnsi="Arial"/>
          <w:sz w:val="20"/>
          <w:szCs w:val="20"/>
          <w:color w:val="auto"/>
        </w:rPr>
      </w:pPr>
    </w:p>
    <w:p>
      <w:pPr>
        <w:jc w:val="both"/>
        <w:ind w:left="260" w:firstLine="646"/>
        <w:spacing w:after="0" w:line="313" w:lineRule="auto"/>
        <w:tabs>
          <w:tab w:leader="none" w:pos="1364"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Guarantors have entered into the Guaranty Agreement in order to induce (x) the Lenders to make Loans and the L/C Issuers to issue Letters of Credit, (y) the Hedge Banks to enter into and/or maintain Secured Hedge Agreements and (z) the Cash Management Banks to provide Cash Management Services. Section 4.14 of the Guaranty Agreement provides that additional Subsidiaries of the Company may become Subsidiary Parties under the Guaranty Agreement by execution and delivery of an instrument in the form of this Supplement. The undersigned Subsidiary (the “</w:t>
      </w:r>
      <w:r>
        <w:rPr>
          <w:rFonts w:ascii="Arial" w:cs="Arial" w:eastAsia="Arial" w:hAnsi="Arial"/>
          <w:sz w:val="16"/>
          <w:szCs w:val="16"/>
          <w:u w:val="single" w:color="auto"/>
          <w:color w:val="auto"/>
        </w:rPr>
        <w:t>New Subsidiary</w:t>
      </w:r>
      <w:r>
        <w:rPr>
          <w:rFonts w:ascii="Arial" w:cs="Arial" w:eastAsia="Arial" w:hAnsi="Arial"/>
          <w:sz w:val="16"/>
          <w:szCs w:val="16"/>
          <w:color w:val="auto"/>
        </w:rPr>
        <w:t>”) is executing this Supplement in accordance with the requirements of the Credit Agreement to become a Subsidiary Party under the Guaranty Agreement in order to induce the Lenders to make additional Loans and the L/C Issuers to issue additional Letters of Credit and as consideration for Loans previously made and Letters of Credit previously issued.</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Accordingly, the Administrative Agent and the New Subsidiary agree as follows:</w:t>
      </w:r>
    </w:p>
    <w:p>
      <w:pPr>
        <w:spacing w:after="0" w:line="216" w:lineRule="exact"/>
        <w:rPr>
          <w:sz w:val="20"/>
          <w:szCs w:val="20"/>
          <w:color w:val="auto"/>
        </w:rPr>
      </w:pPr>
    </w:p>
    <w:p>
      <w:pPr>
        <w:jc w:val="both"/>
        <w:ind w:left="260" w:firstLine="648"/>
        <w:spacing w:after="0" w:line="259" w:lineRule="auto"/>
        <w:rPr>
          <w:sz w:val="20"/>
          <w:szCs w:val="20"/>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In accordance with Section 4.14 of the Guaranty Agreement, the New Subsidiary by its signature below becomes a Subsidiary Party and Guarantor under the Guaranty Agreement with the same force and effect as if originally named therein as a Subsidiary Party and the New Subsidiary hereby (a) agrees to all the terms and provisions of the Guaranty Agreement applicable to it as a Subsidiary Party and Guarantor thereunder and (b) represents and warrants that the representations and warranties made by it as a Guarantor thereunder are true and correct on and as of the date hereof. Each reference to a “</w:t>
      </w:r>
      <w:r>
        <w:rPr>
          <w:rFonts w:ascii="Arial" w:cs="Arial" w:eastAsia="Arial" w:hAnsi="Arial"/>
          <w:sz w:val="19"/>
          <w:szCs w:val="19"/>
          <w:u w:val="single" w:color="auto"/>
          <w:color w:val="auto"/>
        </w:rPr>
        <w:t>Guarantor</w:t>
      </w:r>
      <w:r>
        <w:rPr>
          <w:rFonts w:ascii="Arial" w:cs="Arial" w:eastAsia="Arial" w:hAnsi="Arial"/>
          <w:sz w:val="19"/>
          <w:szCs w:val="19"/>
          <w:color w:val="auto"/>
        </w:rPr>
        <w:t>” in the Guaranty Agreement shall be deemed to include the New Subsidiary. The Guaranty Agreement is hereby incorporated herein by reference.</w:t>
      </w:r>
    </w:p>
    <w:p>
      <w:pPr>
        <w:spacing w:after="0" w:line="179" w:lineRule="exact"/>
        <w:rPr>
          <w:sz w:val="20"/>
          <w:szCs w:val="20"/>
          <w:color w:val="auto"/>
        </w:rPr>
      </w:pPr>
    </w:p>
    <w:p>
      <w:pPr>
        <w:jc w:val="both"/>
        <w:ind w:left="260" w:firstLine="648"/>
        <w:spacing w:after="0" w:line="269" w:lineRule="auto"/>
        <w:rPr>
          <w:sz w:val="20"/>
          <w:szCs w:val="20"/>
          <w:color w:val="auto"/>
        </w:rPr>
      </w:pPr>
      <w:r>
        <w:rPr>
          <w:rFonts w:ascii="Arial" w:cs="Arial" w:eastAsia="Arial" w:hAnsi="Arial"/>
          <w:sz w:val="19"/>
          <w:szCs w:val="19"/>
          <w:u w:val="single" w:color="auto"/>
          <w:color w:val="auto"/>
        </w:rPr>
        <w:t>Section 2</w:t>
      </w:r>
      <w:r>
        <w:rPr>
          <w:rFonts w:ascii="Arial" w:cs="Arial" w:eastAsia="Arial" w:hAnsi="Arial"/>
          <w:sz w:val="19"/>
          <w:szCs w:val="19"/>
          <w:color w:val="auto"/>
        </w:rPr>
        <w:t>. The New Subsidiary represents and warrants to the Administrative Agent and the other Secured Parties that (i) it has the power and authority to enter into this Supplement and (ii) this Supplement has been duly authorized, executed and delivered by it and constitutes its legal, valid and binding obligation, enforceable against it in accordance with its terms.</w:t>
      </w:r>
    </w:p>
    <w:p>
      <w:pPr>
        <w:spacing w:after="0" w:line="184" w:lineRule="exact"/>
        <w:rPr>
          <w:sz w:val="20"/>
          <w:szCs w:val="20"/>
          <w:color w:val="auto"/>
        </w:rPr>
      </w:pPr>
    </w:p>
    <w:p>
      <w:pPr>
        <w:jc w:val="both"/>
        <w:ind w:left="260" w:firstLine="648"/>
        <w:spacing w:after="0" w:line="263" w:lineRule="auto"/>
        <w:rPr>
          <w:sz w:val="20"/>
          <w:szCs w:val="20"/>
          <w:color w:val="auto"/>
        </w:rPr>
      </w:pPr>
      <w:r>
        <w:rPr>
          <w:rFonts w:ascii="Arial" w:cs="Arial" w:eastAsia="Arial" w:hAnsi="Arial"/>
          <w:sz w:val="19"/>
          <w:szCs w:val="19"/>
          <w:u w:val="single" w:color="auto"/>
          <w:color w:val="auto"/>
        </w:rPr>
        <w:t>Section 3</w:t>
      </w:r>
      <w:r>
        <w:rPr>
          <w:rFonts w:ascii="Arial" w:cs="Arial" w:eastAsia="Arial" w:hAnsi="Arial"/>
          <w:sz w:val="19"/>
          <w:szCs w:val="19"/>
          <w:color w:val="auto"/>
        </w:rPr>
        <w:t>. This Supplement may be executed in counterparts (and by different parties hereto on different counterparts), each of which shall constitute an original, but all of which when taken together shall constitute a single contract. This Supplement shall become effective when the Administrative Agent shall have received a counterpart of this Supplement that bears the signature of the New Subsidiary and the Administrative Agent has executed a counterpart hereof. Delivery of an executed signature page to</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97" w:name="page398"/>
    <w:bookmarkEnd w:id="397"/>
    <w:p>
      <w:pPr>
        <w:ind w:left="260" w:right="940"/>
        <w:spacing w:after="0" w:line="260" w:lineRule="auto"/>
        <w:rPr>
          <w:sz w:val="20"/>
          <w:szCs w:val="20"/>
          <w:color w:val="auto"/>
        </w:rPr>
      </w:pPr>
      <w:r>
        <w:rPr>
          <w:rFonts w:ascii="Arial" w:cs="Arial" w:eastAsia="Arial" w:hAnsi="Arial"/>
          <w:sz w:val="20"/>
          <w:szCs w:val="20"/>
          <w:color w:val="auto"/>
        </w:rPr>
        <w:t>this Supplement by facsimile or electronic (i.e., “tif” or “pdf”) transmission shall be as effective as delivery of a manually signed counterpart of this Supplement.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Section 4</w:t>
      </w:r>
      <w:r>
        <w:rPr>
          <w:rFonts w:ascii="Arial" w:cs="Arial" w:eastAsia="Arial" w:hAnsi="Arial"/>
          <w:sz w:val="20"/>
          <w:szCs w:val="20"/>
          <w:color w:val="auto"/>
        </w:rPr>
        <w:t>. Except as expressly supplemented hereby, the Guaranty Agreement shall remain in full force and effect.</w:t>
      </w:r>
    </w:p>
    <w:p>
      <w:pPr>
        <w:spacing w:after="0" w:line="229"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u w:val="single" w:color="auto"/>
          <w:color w:val="auto"/>
        </w:rPr>
        <w:t>Section 5</w:t>
      </w:r>
      <w:r>
        <w:rPr>
          <w:rFonts w:ascii="Arial" w:cs="Arial" w:eastAsia="Arial" w:hAnsi="Arial"/>
          <w:sz w:val="20"/>
          <w:szCs w:val="20"/>
          <w:color w:val="auto"/>
        </w:rPr>
        <w:t>. THIS SUPPLEMENT SHALL BE GOVERNED BY, AND CONSTRUED IN ACCORDANCE WITH, THE LAWS OF THE STATE OF NEW YORK.</w:t>
      </w:r>
    </w:p>
    <w:p>
      <w:pPr>
        <w:spacing w:after="0" w:line="177" w:lineRule="exact"/>
        <w:rPr>
          <w:sz w:val="20"/>
          <w:szCs w:val="20"/>
          <w:color w:val="auto"/>
        </w:rPr>
      </w:pPr>
    </w:p>
    <w:p>
      <w:pPr>
        <w:jc w:val="both"/>
        <w:ind w:left="260" w:firstLine="648"/>
        <w:spacing w:after="0" w:line="243" w:lineRule="auto"/>
        <w:rPr>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In case any one or more of the provisions contained in this Supplement should be held invalid, illegal or unenforceable in any respect, the validity, legality and enforceability of the remaining provisions contained herein and in the Guaranty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jc w:val="both"/>
        <w:ind w:left="260" w:right="20" w:firstLine="648"/>
        <w:spacing w:after="0" w:line="260" w:lineRule="auto"/>
        <w:rPr>
          <w:sz w:val="20"/>
          <w:szCs w:val="20"/>
          <w:color w:val="auto"/>
        </w:rPr>
      </w:pPr>
      <w:r>
        <w:rPr>
          <w:rFonts w:ascii="Arial" w:cs="Arial" w:eastAsia="Arial" w:hAnsi="Arial"/>
          <w:sz w:val="20"/>
          <w:szCs w:val="20"/>
          <w:u w:val="single" w:color="auto"/>
          <w:color w:val="auto"/>
        </w:rPr>
        <w:t>Section 7</w:t>
      </w:r>
      <w:r>
        <w:rPr>
          <w:rFonts w:ascii="Arial" w:cs="Arial" w:eastAsia="Arial" w:hAnsi="Arial"/>
          <w:sz w:val="20"/>
          <w:szCs w:val="20"/>
          <w:color w:val="auto"/>
        </w:rPr>
        <w:t>. All communications and notices hereunder shall be in writing and given as provided in Section 4.01 of the Guaranty Agreement.</w:t>
      </w:r>
    </w:p>
    <w:p>
      <w:pPr>
        <w:spacing w:after="0" w:line="190" w:lineRule="exact"/>
        <w:rPr>
          <w:sz w:val="20"/>
          <w:szCs w:val="20"/>
          <w:color w:val="auto"/>
        </w:rPr>
      </w:pPr>
    </w:p>
    <w:p>
      <w:pPr>
        <w:jc w:val="both"/>
        <w:ind w:left="260" w:firstLine="648"/>
        <w:spacing w:after="0" w:line="269" w:lineRule="auto"/>
        <w:rPr>
          <w:sz w:val="20"/>
          <w:szCs w:val="20"/>
          <w:color w:val="auto"/>
        </w:rPr>
      </w:pPr>
      <w:r>
        <w:rPr>
          <w:rFonts w:ascii="Arial" w:cs="Arial" w:eastAsia="Arial" w:hAnsi="Arial"/>
          <w:sz w:val="19"/>
          <w:szCs w:val="19"/>
          <w:u w:val="single" w:color="auto"/>
          <w:color w:val="auto"/>
        </w:rPr>
        <w:t>Section 8</w:t>
      </w:r>
      <w:r>
        <w:rPr>
          <w:rFonts w:ascii="Arial" w:cs="Arial" w:eastAsia="Arial" w:hAnsi="Arial"/>
          <w:sz w:val="19"/>
          <w:szCs w:val="19"/>
          <w:color w:val="auto"/>
        </w:rPr>
        <w:t>. The New Subsidiary agrees to reimburse the Administrative Agent, on the same terms and to the same extent as provided for in Section 4.03 of the Guaranty Agreement, for its reasonable out- of-pocket expenses in connection with this Supplement, including the reasonable fees, other charges and disbursements of counsel for the Administrative Agent.</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398" w:name="page399"/>
    <w:bookmarkEnd w:id="398"/>
    <w:p>
      <w:pPr>
        <w:ind w:left="260" w:firstLine="648"/>
        <w:spacing w:after="0" w:line="260" w:lineRule="auto"/>
        <w:rPr>
          <w:sz w:val="20"/>
          <w:szCs w:val="20"/>
          <w:color w:val="auto"/>
        </w:rPr>
      </w:pPr>
      <w:r>
        <w:rPr>
          <w:rFonts w:ascii="Arial" w:cs="Arial" w:eastAsia="Arial" w:hAnsi="Arial"/>
          <w:sz w:val="20"/>
          <w:szCs w:val="20"/>
          <w:color w:val="auto"/>
        </w:rPr>
        <w:t>IN WITNESS WHEREOF, the New Subsidiary and the Administrative Agent have duly executed this Supplement to the Guaranty Agreement as of the day and year first above written.</w:t>
      </w:r>
    </w:p>
    <w:p>
      <w:pPr>
        <w:spacing w:after="0" w:line="35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OF NEW SUBSIDIARY]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27305</wp:posOffset>
            </wp:positionV>
            <wp:extent cx="25812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Guaranty Agreement Supplement Signature Page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260"/>
          </w:cols>
          <w:pgMar w:left="260" w:top="433" w:right="379" w:bottom="1440" w:gutter="0" w:footer="0" w:header="0"/>
        </w:sectPr>
      </w:pPr>
    </w:p>
    <w:bookmarkStart w:id="399" w:name="page400"/>
    <w:bookmarkEnd w:id="399"/>
    <w:p>
      <w:pPr>
        <w:jc w:val="right"/>
        <w:spacing w:after="0"/>
        <w:rPr>
          <w:sz w:val="20"/>
          <w:szCs w:val="20"/>
          <w:color w:val="auto"/>
        </w:rPr>
      </w:pPr>
      <w:r>
        <w:rPr>
          <w:rFonts w:ascii="Arial" w:cs="Arial" w:eastAsia="Arial" w:hAnsi="Arial"/>
          <w:sz w:val="20"/>
          <w:szCs w:val="20"/>
          <w:u w:val="single" w:color="auto"/>
          <w:color w:val="auto"/>
        </w:rPr>
        <w:t>EXHIBIT G</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[FORM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SECURITY AGREEMENT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20"/>
          <w:szCs w:val="20"/>
          <w:color w:val="auto"/>
        </w:rPr>
        <w:t>E</w:t>
      </w:r>
      <w:r>
        <w:rPr>
          <w:rFonts w:ascii="Arial" w:cs="Arial" w:eastAsia="Arial" w:hAnsi="Arial"/>
          <w:sz w:val="16"/>
          <w:szCs w:val="16"/>
          <w:color w:val="auto"/>
        </w:rPr>
        <w:t>XECUTION</w:t>
      </w:r>
      <w:r>
        <w:rPr>
          <w:rFonts w:ascii="Arial" w:cs="Arial" w:eastAsia="Arial" w:hAnsi="Arial"/>
          <w:sz w:val="20"/>
          <w:szCs w:val="20"/>
          <w:color w:val="auto"/>
        </w:rPr>
        <w:t xml:space="preserve"> V</w:t>
      </w:r>
      <w:r>
        <w:rPr>
          <w:rFonts w:ascii="Arial" w:cs="Arial" w:eastAsia="Arial" w:hAnsi="Arial"/>
          <w:sz w:val="16"/>
          <w:szCs w:val="16"/>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2159000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AMENDED AND RESTATED SECURITY AGREEMENT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dated as of</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November 30, 2017</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OSI RESTAURANT PARTNERS,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BLOOMIN’ BRANDS, INC.,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SUBSIDIARIES OF BLOOMIN’ BRANDS,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IDENTIFIED HEREIN</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313690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 CID# 000010817</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401" w:name="page402"/>
    <w:bookmarkEnd w:id="401"/>
    <w:tbl>
      <w:tblPr>
        <w:tblLayout w:type="fixed"/>
        <w:tblInd w:w="2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7420" w:type="dxa"/>
            <w:vAlign w:val="bottom"/>
            <w:gridSpan w:val="3"/>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50"/>
        </w:trPr>
        <w:tc>
          <w:tcPr>
            <w:tcW w:w="19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2160" w:type="dxa"/>
            <w:vAlign w:val="bottom"/>
          </w:tcPr>
          <w:p>
            <w:pPr>
              <w:spacing w:after="0"/>
              <w:rPr>
                <w:sz w:val="21"/>
                <w:szCs w:val="21"/>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Page</w:t>
            </w:r>
          </w:p>
        </w:tc>
      </w:tr>
      <w:tr>
        <w:trPr>
          <w:trHeight w:val="574"/>
        </w:trPr>
        <w:tc>
          <w:tcPr>
            <w:tcW w:w="1980" w:type="dxa"/>
            <w:vAlign w:val="bottom"/>
          </w:tcPr>
          <w:p>
            <w:pPr>
              <w:spacing w:after="0"/>
              <w:rPr>
                <w:sz w:val="20"/>
                <w:szCs w:val="20"/>
                <w:color w:val="auto"/>
              </w:rPr>
            </w:pPr>
            <w:r>
              <w:rPr>
                <w:rFonts w:ascii="Arial" w:cs="Arial" w:eastAsia="Arial" w:hAnsi="Arial"/>
                <w:sz w:val="18"/>
                <w:szCs w:val="18"/>
                <w:color w:val="auto"/>
              </w:rPr>
              <w:t>ARTICLE I</w:t>
            </w:r>
          </w:p>
        </w:tc>
        <w:tc>
          <w:tcPr>
            <w:tcW w:w="7420" w:type="dxa"/>
            <w:vAlign w:val="bottom"/>
            <w:gridSpan w:val="3"/>
          </w:tcPr>
          <w:p>
            <w:pPr>
              <w:ind w:left="780"/>
              <w:spacing w:after="0"/>
              <w:rPr>
                <w:rFonts w:ascii="Arial" w:cs="Arial" w:eastAsia="Arial" w:hAnsi="Arial"/>
                <w:sz w:val="18"/>
                <w:szCs w:val="18"/>
                <w:color w:val="auto"/>
              </w:rPr>
            </w:pPr>
            <w:hyperlink w:anchor="page405">
              <w:r>
                <w:rPr>
                  <w:rFonts w:ascii="Arial" w:cs="Arial" w:eastAsia="Arial" w:hAnsi="Arial"/>
                  <w:sz w:val="18"/>
                  <w:szCs w:val="18"/>
                  <w:color w:val="auto"/>
                </w:rPr>
                <w:t>Definitions</w:t>
              </w:r>
            </w:hyperlink>
          </w:p>
        </w:tc>
        <w:tc>
          <w:tcPr>
            <w:tcW w:w="8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405">
              <w:r>
                <w:rPr>
                  <w:rFonts w:ascii="Arial" w:cs="Arial" w:eastAsia="Arial" w:hAnsi="Arial"/>
                  <w:sz w:val="18"/>
                  <w:szCs w:val="18"/>
                  <w:color w:val="auto"/>
                </w:rPr>
                <w:t>1</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1.01.</w:t>
            </w:r>
          </w:p>
        </w:tc>
        <w:tc>
          <w:tcPr>
            <w:tcW w:w="7420" w:type="dxa"/>
            <w:vAlign w:val="bottom"/>
            <w:gridSpan w:val="3"/>
          </w:tcPr>
          <w:p>
            <w:pPr>
              <w:ind w:left="1020"/>
              <w:spacing w:after="0"/>
              <w:rPr>
                <w:rFonts w:ascii="Arial" w:cs="Arial" w:eastAsia="Arial" w:hAnsi="Arial"/>
                <w:sz w:val="18"/>
                <w:szCs w:val="18"/>
                <w:color w:val="auto"/>
              </w:rPr>
            </w:pPr>
            <w:hyperlink w:anchor="page405">
              <w:r>
                <w:rPr>
                  <w:rFonts w:ascii="Arial" w:cs="Arial" w:eastAsia="Arial" w:hAnsi="Arial"/>
                  <w:sz w:val="18"/>
                  <w:szCs w:val="18"/>
                  <w:color w:val="auto"/>
                </w:rPr>
                <w:t>Credit Agreement</w:t>
              </w:r>
            </w:hyperlink>
          </w:p>
        </w:tc>
        <w:tc>
          <w:tcPr>
            <w:tcW w:w="1600" w:type="dxa"/>
            <w:vAlign w:val="bottom"/>
            <w:gridSpan w:val="3"/>
          </w:tcPr>
          <w:p>
            <w:pPr>
              <w:jc w:val="right"/>
              <w:spacing w:after="0"/>
              <w:rPr>
                <w:rFonts w:ascii="Arial" w:cs="Arial" w:eastAsia="Arial" w:hAnsi="Arial"/>
                <w:sz w:val="18"/>
                <w:szCs w:val="18"/>
                <w:color w:val="auto"/>
              </w:rPr>
            </w:pPr>
            <w:hyperlink w:anchor="page405">
              <w:r>
                <w:rPr>
                  <w:rFonts w:ascii="Arial" w:cs="Arial" w:eastAsia="Arial" w:hAnsi="Arial"/>
                  <w:sz w:val="18"/>
                  <w:szCs w:val="18"/>
                  <w:color w:val="auto"/>
                </w:rPr>
                <w:t>1</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1.02.</w:t>
            </w:r>
          </w:p>
        </w:tc>
        <w:tc>
          <w:tcPr>
            <w:tcW w:w="7420" w:type="dxa"/>
            <w:vAlign w:val="bottom"/>
            <w:gridSpan w:val="3"/>
          </w:tcPr>
          <w:p>
            <w:pPr>
              <w:ind w:left="1020"/>
              <w:spacing w:after="0"/>
              <w:rPr>
                <w:rFonts w:ascii="Arial" w:cs="Arial" w:eastAsia="Arial" w:hAnsi="Arial"/>
                <w:sz w:val="18"/>
                <w:szCs w:val="18"/>
                <w:color w:val="auto"/>
              </w:rPr>
            </w:pPr>
            <w:hyperlink w:anchor="page405">
              <w:r>
                <w:rPr>
                  <w:rFonts w:ascii="Arial" w:cs="Arial" w:eastAsia="Arial" w:hAnsi="Arial"/>
                  <w:sz w:val="18"/>
                  <w:szCs w:val="18"/>
                  <w:color w:val="auto"/>
                </w:rPr>
                <w:t>Other Defined Terms</w:t>
              </w:r>
            </w:hyperlink>
          </w:p>
        </w:tc>
        <w:tc>
          <w:tcPr>
            <w:tcW w:w="1600" w:type="dxa"/>
            <w:vAlign w:val="bottom"/>
            <w:gridSpan w:val="3"/>
          </w:tcPr>
          <w:p>
            <w:pPr>
              <w:jc w:val="right"/>
              <w:spacing w:after="0"/>
              <w:rPr>
                <w:rFonts w:ascii="Arial" w:cs="Arial" w:eastAsia="Arial" w:hAnsi="Arial"/>
                <w:sz w:val="18"/>
                <w:szCs w:val="18"/>
                <w:color w:val="auto"/>
              </w:rPr>
            </w:pPr>
            <w:hyperlink w:anchor="page405">
              <w:r>
                <w:rPr>
                  <w:rFonts w:ascii="Arial" w:cs="Arial" w:eastAsia="Arial" w:hAnsi="Arial"/>
                  <w:sz w:val="18"/>
                  <w:szCs w:val="18"/>
                  <w:color w:val="auto"/>
                </w:rPr>
                <w:t>1</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II</w:t>
            </w:r>
          </w:p>
        </w:tc>
        <w:tc>
          <w:tcPr>
            <w:tcW w:w="7420" w:type="dxa"/>
            <w:vAlign w:val="bottom"/>
            <w:gridSpan w:val="3"/>
          </w:tcPr>
          <w:p>
            <w:pPr>
              <w:ind w:left="780"/>
              <w:spacing w:after="0"/>
              <w:rPr>
                <w:rFonts w:ascii="Arial" w:cs="Arial" w:eastAsia="Arial" w:hAnsi="Arial"/>
                <w:sz w:val="18"/>
                <w:szCs w:val="18"/>
                <w:color w:val="auto"/>
              </w:rPr>
            </w:pPr>
            <w:hyperlink w:anchor="page409">
              <w:r>
                <w:rPr>
                  <w:rFonts w:ascii="Arial" w:cs="Arial" w:eastAsia="Arial" w:hAnsi="Arial"/>
                  <w:sz w:val="18"/>
                  <w:szCs w:val="18"/>
                  <w:color w:val="auto"/>
                </w:rPr>
                <w:t>Pledge of Securities</w:t>
              </w:r>
            </w:hyperlink>
          </w:p>
        </w:tc>
        <w:tc>
          <w:tcPr>
            <w:tcW w:w="1600" w:type="dxa"/>
            <w:vAlign w:val="bottom"/>
            <w:gridSpan w:val="3"/>
          </w:tcPr>
          <w:p>
            <w:pPr>
              <w:jc w:val="right"/>
              <w:spacing w:after="0"/>
              <w:rPr>
                <w:rFonts w:ascii="Arial" w:cs="Arial" w:eastAsia="Arial" w:hAnsi="Arial"/>
                <w:sz w:val="18"/>
                <w:szCs w:val="18"/>
                <w:color w:val="auto"/>
              </w:rPr>
            </w:pPr>
            <w:hyperlink w:anchor="page409">
              <w:r>
                <w:rPr>
                  <w:rFonts w:ascii="Arial" w:cs="Arial" w:eastAsia="Arial" w:hAnsi="Arial"/>
                  <w:sz w:val="18"/>
                  <w:szCs w:val="18"/>
                  <w:color w:val="auto"/>
                </w:rPr>
                <w:t>5</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2.01.</w:t>
            </w:r>
          </w:p>
        </w:tc>
        <w:tc>
          <w:tcPr>
            <w:tcW w:w="7420" w:type="dxa"/>
            <w:vAlign w:val="bottom"/>
            <w:gridSpan w:val="3"/>
          </w:tcPr>
          <w:p>
            <w:pPr>
              <w:ind w:left="1020"/>
              <w:spacing w:after="0"/>
              <w:rPr>
                <w:rFonts w:ascii="Arial" w:cs="Arial" w:eastAsia="Arial" w:hAnsi="Arial"/>
                <w:sz w:val="18"/>
                <w:szCs w:val="18"/>
                <w:color w:val="auto"/>
              </w:rPr>
            </w:pPr>
            <w:hyperlink w:anchor="page409">
              <w:r>
                <w:rPr>
                  <w:rFonts w:ascii="Arial" w:cs="Arial" w:eastAsia="Arial" w:hAnsi="Arial"/>
                  <w:sz w:val="18"/>
                  <w:szCs w:val="18"/>
                  <w:color w:val="auto"/>
                </w:rPr>
                <w:t>Pledge</w:t>
              </w:r>
            </w:hyperlink>
          </w:p>
        </w:tc>
        <w:tc>
          <w:tcPr>
            <w:tcW w:w="1600" w:type="dxa"/>
            <w:vAlign w:val="bottom"/>
            <w:gridSpan w:val="3"/>
          </w:tcPr>
          <w:p>
            <w:pPr>
              <w:jc w:val="right"/>
              <w:spacing w:after="0"/>
              <w:rPr>
                <w:rFonts w:ascii="Arial" w:cs="Arial" w:eastAsia="Arial" w:hAnsi="Arial"/>
                <w:sz w:val="18"/>
                <w:szCs w:val="18"/>
                <w:color w:val="auto"/>
              </w:rPr>
            </w:pPr>
            <w:hyperlink w:anchor="page409">
              <w:r>
                <w:rPr>
                  <w:rFonts w:ascii="Arial" w:cs="Arial" w:eastAsia="Arial" w:hAnsi="Arial"/>
                  <w:sz w:val="18"/>
                  <w:szCs w:val="18"/>
                  <w:color w:val="auto"/>
                </w:rPr>
                <w:t>5</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2.02.</w:t>
            </w:r>
          </w:p>
        </w:tc>
        <w:tc>
          <w:tcPr>
            <w:tcW w:w="7420" w:type="dxa"/>
            <w:vAlign w:val="bottom"/>
            <w:gridSpan w:val="3"/>
          </w:tcPr>
          <w:p>
            <w:pPr>
              <w:ind w:left="1020"/>
              <w:spacing w:after="0"/>
              <w:rPr>
                <w:rFonts w:ascii="Arial" w:cs="Arial" w:eastAsia="Arial" w:hAnsi="Arial"/>
                <w:sz w:val="18"/>
                <w:szCs w:val="18"/>
                <w:color w:val="auto"/>
              </w:rPr>
            </w:pPr>
            <w:hyperlink w:anchor="page410">
              <w:r>
                <w:rPr>
                  <w:rFonts w:ascii="Arial" w:cs="Arial" w:eastAsia="Arial" w:hAnsi="Arial"/>
                  <w:sz w:val="18"/>
                  <w:szCs w:val="18"/>
                  <w:color w:val="auto"/>
                </w:rPr>
                <w:t>Delivery of the Pledged Collateral</w:t>
              </w:r>
            </w:hyperlink>
          </w:p>
        </w:tc>
        <w:tc>
          <w:tcPr>
            <w:tcW w:w="1600" w:type="dxa"/>
            <w:vAlign w:val="bottom"/>
            <w:gridSpan w:val="3"/>
          </w:tcPr>
          <w:p>
            <w:pPr>
              <w:jc w:val="right"/>
              <w:spacing w:after="0"/>
              <w:rPr>
                <w:rFonts w:ascii="Arial" w:cs="Arial" w:eastAsia="Arial" w:hAnsi="Arial"/>
                <w:sz w:val="18"/>
                <w:szCs w:val="18"/>
                <w:color w:val="auto"/>
              </w:rPr>
            </w:pPr>
            <w:hyperlink w:anchor="page410">
              <w:r>
                <w:rPr>
                  <w:rFonts w:ascii="Arial" w:cs="Arial" w:eastAsia="Arial" w:hAnsi="Arial"/>
                  <w:sz w:val="18"/>
                  <w:szCs w:val="18"/>
                  <w:color w:val="auto"/>
                </w:rPr>
                <w:t>6</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2.03.</w:t>
            </w:r>
          </w:p>
        </w:tc>
        <w:tc>
          <w:tcPr>
            <w:tcW w:w="7420" w:type="dxa"/>
            <w:vAlign w:val="bottom"/>
            <w:gridSpan w:val="3"/>
          </w:tcPr>
          <w:p>
            <w:pPr>
              <w:ind w:left="1020"/>
              <w:spacing w:after="0"/>
              <w:rPr>
                <w:rFonts w:ascii="Arial" w:cs="Arial" w:eastAsia="Arial" w:hAnsi="Arial"/>
                <w:sz w:val="18"/>
                <w:szCs w:val="18"/>
                <w:color w:val="auto"/>
              </w:rPr>
            </w:pPr>
            <w:hyperlink w:anchor="page411">
              <w:r>
                <w:rPr>
                  <w:rFonts w:ascii="Arial" w:cs="Arial" w:eastAsia="Arial" w:hAnsi="Arial"/>
                  <w:sz w:val="18"/>
                  <w:szCs w:val="18"/>
                  <w:color w:val="auto"/>
                </w:rPr>
                <w:t>Representations, Warranties and Covenants</w:t>
              </w:r>
            </w:hyperlink>
          </w:p>
        </w:tc>
        <w:tc>
          <w:tcPr>
            <w:tcW w:w="1600" w:type="dxa"/>
            <w:vAlign w:val="bottom"/>
            <w:gridSpan w:val="3"/>
          </w:tcPr>
          <w:p>
            <w:pPr>
              <w:jc w:val="right"/>
              <w:spacing w:after="0"/>
              <w:rPr>
                <w:rFonts w:ascii="Arial" w:cs="Arial" w:eastAsia="Arial" w:hAnsi="Arial"/>
                <w:sz w:val="18"/>
                <w:szCs w:val="18"/>
                <w:color w:val="auto"/>
              </w:rPr>
            </w:pPr>
            <w:hyperlink w:anchor="page411">
              <w:r>
                <w:rPr>
                  <w:rFonts w:ascii="Arial" w:cs="Arial" w:eastAsia="Arial" w:hAnsi="Arial"/>
                  <w:sz w:val="18"/>
                  <w:szCs w:val="18"/>
                  <w:color w:val="auto"/>
                </w:rPr>
                <w:t>7</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2.04.</w:t>
            </w:r>
          </w:p>
        </w:tc>
        <w:tc>
          <w:tcPr>
            <w:tcW w:w="7420" w:type="dxa"/>
            <w:vAlign w:val="bottom"/>
            <w:gridSpan w:val="3"/>
          </w:tcPr>
          <w:p>
            <w:pPr>
              <w:ind w:left="1020"/>
              <w:spacing w:after="0"/>
              <w:rPr>
                <w:rFonts w:ascii="Arial" w:cs="Arial" w:eastAsia="Arial" w:hAnsi="Arial"/>
                <w:sz w:val="18"/>
                <w:szCs w:val="18"/>
                <w:color w:val="auto"/>
              </w:rPr>
            </w:pPr>
            <w:hyperlink w:anchor="page412">
              <w:r>
                <w:rPr>
                  <w:rFonts w:ascii="Arial" w:cs="Arial" w:eastAsia="Arial" w:hAnsi="Arial"/>
                  <w:sz w:val="18"/>
                  <w:szCs w:val="18"/>
                  <w:color w:val="auto"/>
                </w:rPr>
                <w:t>Certification of Limited Liability Company and Limited Partnership Interests</w:t>
              </w:r>
            </w:hyperlink>
          </w:p>
        </w:tc>
        <w:tc>
          <w:tcPr>
            <w:tcW w:w="1600" w:type="dxa"/>
            <w:vAlign w:val="bottom"/>
            <w:gridSpan w:val="3"/>
          </w:tcPr>
          <w:p>
            <w:pPr>
              <w:jc w:val="right"/>
              <w:spacing w:after="0"/>
              <w:rPr>
                <w:rFonts w:ascii="Arial" w:cs="Arial" w:eastAsia="Arial" w:hAnsi="Arial"/>
                <w:sz w:val="18"/>
                <w:szCs w:val="18"/>
                <w:color w:val="auto"/>
              </w:rPr>
            </w:pPr>
            <w:hyperlink w:anchor="page412">
              <w:r>
                <w:rPr>
                  <w:rFonts w:ascii="Arial" w:cs="Arial" w:eastAsia="Arial" w:hAnsi="Arial"/>
                  <w:sz w:val="18"/>
                  <w:szCs w:val="18"/>
                  <w:color w:val="auto"/>
                </w:rPr>
                <w:t>8</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2.05.</w:t>
            </w:r>
          </w:p>
        </w:tc>
        <w:tc>
          <w:tcPr>
            <w:tcW w:w="7420" w:type="dxa"/>
            <w:vAlign w:val="bottom"/>
            <w:gridSpan w:val="3"/>
          </w:tcPr>
          <w:p>
            <w:pPr>
              <w:ind w:left="1020"/>
              <w:spacing w:after="0"/>
              <w:rPr>
                <w:rFonts w:ascii="Arial" w:cs="Arial" w:eastAsia="Arial" w:hAnsi="Arial"/>
                <w:sz w:val="18"/>
                <w:szCs w:val="18"/>
                <w:color w:val="auto"/>
              </w:rPr>
            </w:pPr>
            <w:hyperlink w:anchor="page412">
              <w:r>
                <w:rPr>
                  <w:rFonts w:ascii="Arial" w:cs="Arial" w:eastAsia="Arial" w:hAnsi="Arial"/>
                  <w:sz w:val="18"/>
                  <w:szCs w:val="18"/>
                  <w:color w:val="auto"/>
                </w:rPr>
                <w:t>Registration in Nominee Name; Denominations</w:t>
              </w:r>
            </w:hyperlink>
          </w:p>
        </w:tc>
        <w:tc>
          <w:tcPr>
            <w:tcW w:w="1600" w:type="dxa"/>
            <w:vAlign w:val="bottom"/>
            <w:gridSpan w:val="3"/>
          </w:tcPr>
          <w:p>
            <w:pPr>
              <w:jc w:val="right"/>
              <w:spacing w:after="0"/>
              <w:rPr>
                <w:rFonts w:ascii="Arial" w:cs="Arial" w:eastAsia="Arial" w:hAnsi="Arial"/>
                <w:sz w:val="18"/>
                <w:szCs w:val="18"/>
                <w:color w:val="auto"/>
              </w:rPr>
            </w:pPr>
            <w:hyperlink w:anchor="page412">
              <w:r>
                <w:rPr>
                  <w:rFonts w:ascii="Arial" w:cs="Arial" w:eastAsia="Arial" w:hAnsi="Arial"/>
                  <w:sz w:val="18"/>
                  <w:szCs w:val="18"/>
                  <w:color w:val="auto"/>
                </w:rPr>
                <w:t>8</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2.06.</w:t>
            </w:r>
          </w:p>
        </w:tc>
        <w:tc>
          <w:tcPr>
            <w:tcW w:w="7420" w:type="dxa"/>
            <w:vAlign w:val="bottom"/>
            <w:gridSpan w:val="3"/>
          </w:tcPr>
          <w:p>
            <w:pPr>
              <w:ind w:left="1020"/>
              <w:spacing w:after="0"/>
              <w:rPr>
                <w:rFonts w:ascii="Arial" w:cs="Arial" w:eastAsia="Arial" w:hAnsi="Arial"/>
                <w:sz w:val="18"/>
                <w:szCs w:val="18"/>
                <w:color w:val="auto"/>
              </w:rPr>
            </w:pPr>
            <w:hyperlink w:anchor="page412">
              <w:r>
                <w:rPr>
                  <w:rFonts w:ascii="Arial" w:cs="Arial" w:eastAsia="Arial" w:hAnsi="Arial"/>
                  <w:sz w:val="18"/>
                  <w:szCs w:val="18"/>
                  <w:color w:val="auto"/>
                </w:rPr>
                <w:t>Voting Rights; Dividends and Interest</w:t>
              </w:r>
            </w:hyperlink>
          </w:p>
        </w:tc>
        <w:tc>
          <w:tcPr>
            <w:tcW w:w="1600" w:type="dxa"/>
            <w:vAlign w:val="bottom"/>
            <w:gridSpan w:val="3"/>
          </w:tcPr>
          <w:p>
            <w:pPr>
              <w:jc w:val="right"/>
              <w:spacing w:after="0"/>
              <w:rPr>
                <w:rFonts w:ascii="Arial" w:cs="Arial" w:eastAsia="Arial" w:hAnsi="Arial"/>
                <w:sz w:val="18"/>
                <w:szCs w:val="18"/>
                <w:color w:val="auto"/>
              </w:rPr>
            </w:pPr>
            <w:hyperlink w:anchor="page412">
              <w:r>
                <w:rPr>
                  <w:rFonts w:ascii="Arial" w:cs="Arial" w:eastAsia="Arial" w:hAnsi="Arial"/>
                  <w:sz w:val="18"/>
                  <w:szCs w:val="18"/>
                  <w:color w:val="auto"/>
                </w:rPr>
                <w:t>8</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2.07.</w:t>
            </w:r>
          </w:p>
        </w:tc>
        <w:tc>
          <w:tcPr>
            <w:tcW w:w="7420" w:type="dxa"/>
            <w:vAlign w:val="bottom"/>
            <w:gridSpan w:val="3"/>
          </w:tcPr>
          <w:p>
            <w:pPr>
              <w:ind w:left="1020"/>
              <w:spacing w:after="0"/>
              <w:rPr>
                <w:rFonts w:ascii="Arial" w:cs="Arial" w:eastAsia="Arial" w:hAnsi="Arial"/>
                <w:sz w:val="18"/>
                <w:szCs w:val="18"/>
                <w:color w:val="auto"/>
              </w:rPr>
            </w:pPr>
            <w:hyperlink w:anchor="page414">
              <w:r>
                <w:rPr>
                  <w:rFonts w:ascii="Arial" w:cs="Arial" w:eastAsia="Arial" w:hAnsi="Arial"/>
                  <w:sz w:val="18"/>
                  <w:szCs w:val="18"/>
                  <w:color w:val="auto"/>
                </w:rPr>
                <w:t>Collateral Agent Not a Partner or Limited Liability Company Member</w:t>
              </w:r>
            </w:hyperlink>
          </w:p>
        </w:tc>
        <w:tc>
          <w:tcPr>
            <w:tcW w:w="1600" w:type="dxa"/>
            <w:vAlign w:val="bottom"/>
            <w:gridSpan w:val="3"/>
          </w:tcPr>
          <w:p>
            <w:pPr>
              <w:jc w:val="right"/>
              <w:spacing w:after="0"/>
              <w:rPr>
                <w:rFonts w:ascii="Arial" w:cs="Arial" w:eastAsia="Arial" w:hAnsi="Arial"/>
                <w:sz w:val="18"/>
                <w:szCs w:val="18"/>
                <w:color w:val="auto"/>
              </w:rPr>
            </w:pPr>
            <w:hyperlink w:anchor="page414">
              <w:r>
                <w:rPr>
                  <w:rFonts w:ascii="Arial" w:cs="Arial" w:eastAsia="Arial" w:hAnsi="Arial"/>
                  <w:sz w:val="18"/>
                  <w:szCs w:val="18"/>
                  <w:color w:val="auto"/>
                </w:rPr>
                <w:t>10</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III</w:t>
            </w:r>
          </w:p>
        </w:tc>
        <w:tc>
          <w:tcPr>
            <w:tcW w:w="7420" w:type="dxa"/>
            <w:vAlign w:val="bottom"/>
            <w:gridSpan w:val="3"/>
          </w:tcPr>
          <w:p>
            <w:pPr>
              <w:ind w:left="780"/>
              <w:spacing w:after="0"/>
              <w:rPr>
                <w:rFonts w:ascii="Arial" w:cs="Arial" w:eastAsia="Arial" w:hAnsi="Arial"/>
                <w:sz w:val="18"/>
                <w:szCs w:val="18"/>
                <w:color w:val="auto"/>
              </w:rPr>
            </w:pPr>
            <w:hyperlink w:anchor="page414">
              <w:r>
                <w:rPr>
                  <w:rFonts w:ascii="Arial" w:cs="Arial" w:eastAsia="Arial" w:hAnsi="Arial"/>
                  <w:sz w:val="18"/>
                  <w:szCs w:val="18"/>
                  <w:color w:val="auto"/>
                </w:rPr>
                <w:t>Security Interests in Personal Property</w:t>
              </w:r>
            </w:hyperlink>
          </w:p>
        </w:tc>
        <w:tc>
          <w:tcPr>
            <w:tcW w:w="1600" w:type="dxa"/>
            <w:vAlign w:val="bottom"/>
            <w:gridSpan w:val="3"/>
          </w:tcPr>
          <w:p>
            <w:pPr>
              <w:jc w:val="right"/>
              <w:spacing w:after="0"/>
              <w:rPr>
                <w:rFonts w:ascii="Arial" w:cs="Arial" w:eastAsia="Arial" w:hAnsi="Arial"/>
                <w:sz w:val="18"/>
                <w:szCs w:val="18"/>
                <w:color w:val="auto"/>
              </w:rPr>
            </w:pPr>
            <w:hyperlink w:anchor="page414">
              <w:r>
                <w:rPr>
                  <w:rFonts w:ascii="Arial" w:cs="Arial" w:eastAsia="Arial" w:hAnsi="Arial"/>
                  <w:sz w:val="18"/>
                  <w:szCs w:val="18"/>
                  <w:color w:val="auto"/>
                </w:rPr>
                <w:t>10</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3.01.</w:t>
            </w:r>
          </w:p>
        </w:tc>
        <w:tc>
          <w:tcPr>
            <w:tcW w:w="7420" w:type="dxa"/>
            <w:vAlign w:val="bottom"/>
            <w:gridSpan w:val="3"/>
          </w:tcPr>
          <w:p>
            <w:pPr>
              <w:ind w:left="1020"/>
              <w:spacing w:after="0"/>
              <w:rPr>
                <w:rFonts w:ascii="Arial" w:cs="Arial" w:eastAsia="Arial" w:hAnsi="Arial"/>
                <w:sz w:val="18"/>
                <w:szCs w:val="18"/>
                <w:color w:val="auto"/>
              </w:rPr>
            </w:pPr>
            <w:hyperlink w:anchor="page414">
              <w:r>
                <w:rPr>
                  <w:rFonts w:ascii="Arial" w:cs="Arial" w:eastAsia="Arial" w:hAnsi="Arial"/>
                  <w:sz w:val="18"/>
                  <w:szCs w:val="18"/>
                  <w:color w:val="auto"/>
                </w:rPr>
                <w:t>Security Interest</w:t>
              </w:r>
            </w:hyperlink>
          </w:p>
        </w:tc>
        <w:tc>
          <w:tcPr>
            <w:tcW w:w="1600" w:type="dxa"/>
            <w:vAlign w:val="bottom"/>
            <w:gridSpan w:val="3"/>
          </w:tcPr>
          <w:p>
            <w:pPr>
              <w:jc w:val="right"/>
              <w:spacing w:after="0"/>
              <w:rPr>
                <w:rFonts w:ascii="Arial" w:cs="Arial" w:eastAsia="Arial" w:hAnsi="Arial"/>
                <w:sz w:val="18"/>
                <w:szCs w:val="18"/>
                <w:color w:val="auto"/>
              </w:rPr>
            </w:pPr>
            <w:hyperlink w:anchor="page414">
              <w:r>
                <w:rPr>
                  <w:rFonts w:ascii="Arial" w:cs="Arial" w:eastAsia="Arial" w:hAnsi="Arial"/>
                  <w:sz w:val="18"/>
                  <w:szCs w:val="18"/>
                  <w:color w:val="auto"/>
                </w:rPr>
                <w:t>10</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3.02.</w:t>
            </w:r>
          </w:p>
        </w:tc>
        <w:tc>
          <w:tcPr>
            <w:tcW w:w="7420" w:type="dxa"/>
            <w:vAlign w:val="bottom"/>
            <w:gridSpan w:val="3"/>
          </w:tcPr>
          <w:p>
            <w:pPr>
              <w:ind w:left="1020"/>
              <w:spacing w:after="0"/>
              <w:rPr>
                <w:rFonts w:ascii="Arial" w:cs="Arial" w:eastAsia="Arial" w:hAnsi="Arial"/>
                <w:sz w:val="18"/>
                <w:szCs w:val="18"/>
                <w:color w:val="auto"/>
              </w:rPr>
            </w:pPr>
            <w:hyperlink w:anchor="page416">
              <w:r>
                <w:rPr>
                  <w:rFonts w:ascii="Arial" w:cs="Arial" w:eastAsia="Arial" w:hAnsi="Arial"/>
                  <w:sz w:val="18"/>
                  <w:szCs w:val="18"/>
                  <w:color w:val="auto"/>
                </w:rPr>
                <w:t>Representations and Warranties</w:t>
              </w:r>
            </w:hyperlink>
          </w:p>
        </w:tc>
        <w:tc>
          <w:tcPr>
            <w:tcW w:w="1600" w:type="dxa"/>
            <w:vAlign w:val="bottom"/>
            <w:gridSpan w:val="3"/>
          </w:tcPr>
          <w:p>
            <w:pPr>
              <w:jc w:val="right"/>
              <w:spacing w:after="0"/>
              <w:rPr>
                <w:rFonts w:ascii="Arial" w:cs="Arial" w:eastAsia="Arial" w:hAnsi="Arial"/>
                <w:sz w:val="18"/>
                <w:szCs w:val="18"/>
                <w:color w:val="auto"/>
              </w:rPr>
            </w:pPr>
            <w:hyperlink w:anchor="page416">
              <w:r>
                <w:rPr>
                  <w:rFonts w:ascii="Arial" w:cs="Arial" w:eastAsia="Arial" w:hAnsi="Arial"/>
                  <w:sz w:val="18"/>
                  <w:szCs w:val="18"/>
                  <w:color w:val="auto"/>
                </w:rPr>
                <w:t>12</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3.03.</w:t>
            </w:r>
          </w:p>
        </w:tc>
        <w:tc>
          <w:tcPr>
            <w:tcW w:w="7420" w:type="dxa"/>
            <w:vAlign w:val="bottom"/>
            <w:gridSpan w:val="3"/>
          </w:tcPr>
          <w:p>
            <w:pPr>
              <w:ind w:left="1020"/>
              <w:spacing w:after="0"/>
              <w:rPr>
                <w:rFonts w:ascii="Arial" w:cs="Arial" w:eastAsia="Arial" w:hAnsi="Arial"/>
                <w:sz w:val="18"/>
                <w:szCs w:val="18"/>
                <w:color w:val="auto"/>
              </w:rPr>
            </w:pPr>
            <w:hyperlink w:anchor="page417">
              <w:r>
                <w:rPr>
                  <w:rFonts w:ascii="Arial" w:cs="Arial" w:eastAsia="Arial" w:hAnsi="Arial"/>
                  <w:sz w:val="18"/>
                  <w:szCs w:val="18"/>
                  <w:color w:val="auto"/>
                </w:rPr>
                <w:t>Covenants</w:t>
              </w:r>
            </w:hyperlink>
          </w:p>
        </w:tc>
        <w:tc>
          <w:tcPr>
            <w:tcW w:w="1600" w:type="dxa"/>
            <w:vAlign w:val="bottom"/>
            <w:gridSpan w:val="3"/>
          </w:tcPr>
          <w:p>
            <w:pPr>
              <w:jc w:val="right"/>
              <w:spacing w:after="0"/>
              <w:rPr>
                <w:rFonts w:ascii="Arial" w:cs="Arial" w:eastAsia="Arial" w:hAnsi="Arial"/>
                <w:sz w:val="18"/>
                <w:szCs w:val="18"/>
                <w:color w:val="auto"/>
              </w:rPr>
            </w:pPr>
            <w:hyperlink w:anchor="page417">
              <w:r>
                <w:rPr>
                  <w:rFonts w:ascii="Arial" w:cs="Arial" w:eastAsia="Arial" w:hAnsi="Arial"/>
                  <w:sz w:val="18"/>
                  <w:szCs w:val="18"/>
                  <w:color w:val="auto"/>
                </w:rPr>
                <w:t>13</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3.04.</w:t>
            </w:r>
          </w:p>
        </w:tc>
        <w:tc>
          <w:tcPr>
            <w:tcW w:w="7420" w:type="dxa"/>
            <w:vAlign w:val="bottom"/>
            <w:gridSpan w:val="3"/>
          </w:tcPr>
          <w:p>
            <w:pPr>
              <w:ind w:left="1020"/>
              <w:spacing w:after="0"/>
              <w:rPr>
                <w:rFonts w:ascii="Arial" w:cs="Arial" w:eastAsia="Arial" w:hAnsi="Arial"/>
                <w:sz w:val="18"/>
                <w:szCs w:val="18"/>
                <w:color w:val="auto"/>
              </w:rPr>
            </w:pPr>
            <w:hyperlink w:anchor="page419">
              <w:r>
                <w:rPr>
                  <w:rFonts w:ascii="Arial" w:cs="Arial" w:eastAsia="Arial" w:hAnsi="Arial"/>
                  <w:sz w:val="18"/>
                  <w:szCs w:val="18"/>
                  <w:color w:val="auto"/>
                </w:rPr>
                <w:t>Other Actions</w:t>
              </w:r>
            </w:hyperlink>
          </w:p>
        </w:tc>
        <w:tc>
          <w:tcPr>
            <w:tcW w:w="1600" w:type="dxa"/>
            <w:vAlign w:val="bottom"/>
            <w:gridSpan w:val="3"/>
          </w:tcPr>
          <w:p>
            <w:pPr>
              <w:jc w:val="right"/>
              <w:spacing w:after="0"/>
              <w:rPr>
                <w:rFonts w:ascii="Arial" w:cs="Arial" w:eastAsia="Arial" w:hAnsi="Arial"/>
                <w:sz w:val="18"/>
                <w:szCs w:val="18"/>
                <w:color w:val="auto"/>
              </w:rPr>
            </w:pPr>
            <w:hyperlink w:anchor="page419">
              <w:r>
                <w:rPr>
                  <w:rFonts w:ascii="Arial" w:cs="Arial" w:eastAsia="Arial" w:hAnsi="Arial"/>
                  <w:sz w:val="18"/>
                  <w:szCs w:val="18"/>
                  <w:color w:val="auto"/>
                </w:rPr>
                <w:t>15</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IV</w:t>
            </w:r>
          </w:p>
        </w:tc>
        <w:tc>
          <w:tcPr>
            <w:tcW w:w="7420" w:type="dxa"/>
            <w:vAlign w:val="bottom"/>
            <w:gridSpan w:val="3"/>
          </w:tcPr>
          <w:p>
            <w:pPr>
              <w:ind w:left="780"/>
              <w:spacing w:after="0"/>
              <w:rPr>
                <w:rFonts w:ascii="Arial" w:cs="Arial" w:eastAsia="Arial" w:hAnsi="Arial"/>
                <w:sz w:val="18"/>
                <w:szCs w:val="18"/>
                <w:color w:val="auto"/>
              </w:rPr>
            </w:pPr>
            <w:hyperlink w:anchor="page420">
              <w:r>
                <w:rPr>
                  <w:rFonts w:ascii="Arial" w:cs="Arial" w:eastAsia="Arial" w:hAnsi="Arial"/>
                  <w:sz w:val="18"/>
                  <w:szCs w:val="18"/>
                  <w:color w:val="auto"/>
                </w:rPr>
                <w:t>Certain Provisions Concerning Intellectual Property Collateral</w:t>
              </w:r>
            </w:hyperlink>
          </w:p>
        </w:tc>
        <w:tc>
          <w:tcPr>
            <w:tcW w:w="1600" w:type="dxa"/>
            <w:vAlign w:val="bottom"/>
            <w:gridSpan w:val="3"/>
          </w:tcPr>
          <w:p>
            <w:pPr>
              <w:jc w:val="right"/>
              <w:spacing w:after="0"/>
              <w:rPr>
                <w:rFonts w:ascii="Arial" w:cs="Arial" w:eastAsia="Arial" w:hAnsi="Arial"/>
                <w:sz w:val="18"/>
                <w:szCs w:val="18"/>
                <w:color w:val="auto"/>
              </w:rPr>
            </w:pPr>
            <w:hyperlink w:anchor="page420">
              <w:r>
                <w:rPr>
                  <w:rFonts w:ascii="Arial" w:cs="Arial" w:eastAsia="Arial" w:hAnsi="Arial"/>
                  <w:sz w:val="18"/>
                  <w:szCs w:val="18"/>
                  <w:color w:val="auto"/>
                </w:rPr>
                <w:t>16</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4.01.</w:t>
            </w:r>
          </w:p>
        </w:tc>
        <w:tc>
          <w:tcPr>
            <w:tcW w:w="7420" w:type="dxa"/>
            <w:vAlign w:val="bottom"/>
            <w:gridSpan w:val="3"/>
          </w:tcPr>
          <w:p>
            <w:pPr>
              <w:ind w:left="1020"/>
              <w:spacing w:after="0"/>
              <w:rPr>
                <w:rFonts w:ascii="Arial" w:cs="Arial" w:eastAsia="Arial" w:hAnsi="Arial"/>
                <w:sz w:val="18"/>
                <w:szCs w:val="18"/>
                <w:color w:val="auto"/>
              </w:rPr>
            </w:pPr>
            <w:hyperlink w:anchor="page420">
              <w:r>
                <w:rPr>
                  <w:rFonts w:ascii="Arial" w:cs="Arial" w:eastAsia="Arial" w:hAnsi="Arial"/>
                  <w:sz w:val="18"/>
                  <w:szCs w:val="18"/>
                  <w:color w:val="auto"/>
                </w:rPr>
                <w:t>Grant of License to Use Intellectual Property</w:t>
              </w:r>
            </w:hyperlink>
          </w:p>
        </w:tc>
        <w:tc>
          <w:tcPr>
            <w:tcW w:w="1600" w:type="dxa"/>
            <w:vAlign w:val="bottom"/>
            <w:gridSpan w:val="3"/>
          </w:tcPr>
          <w:p>
            <w:pPr>
              <w:jc w:val="right"/>
              <w:spacing w:after="0"/>
              <w:rPr>
                <w:rFonts w:ascii="Arial" w:cs="Arial" w:eastAsia="Arial" w:hAnsi="Arial"/>
                <w:sz w:val="18"/>
                <w:szCs w:val="18"/>
                <w:color w:val="auto"/>
              </w:rPr>
            </w:pPr>
            <w:hyperlink w:anchor="page420">
              <w:r>
                <w:rPr>
                  <w:rFonts w:ascii="Arial" w:cs="Arial" w:eastAsia="Arial" w:hAnsi="Arial"/>
                  <w:sz w:val="18"/>
                  <w:szCs w:val="18"/>
                  <w:color w:val="auto"/>
                </w:rPr>
                <w:t>16</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4.02.</w:t>
            </w:r>
          </w:p>
        </w:tc>
        <w:tc>
          <w:tcPr>
            <w:tcW w:w="7420" w:type="dxa"/>
            <w:vAlign w:val="bottom"/>
            <w:gridSpan w:val="3"/>
          </w:tcPr>
          <w:p>
            <w:pPr>
              <w:ind w:left="1020"/>
              <w:spacing w:after="0"/>
              <w:rPr>
                <w:rFonts w:ascii="Arial" w:cs="Arial" w:eastAsia="Arial" w:hAnsi="Arial"/>
                <w:sz w:val="18"/>
                <w:szCs w:val="18"/>
                <w:color w:val="auto"/>
              </w:rPr>
            </w:pPr>
            <w:hyperlink w:anchor="page420">
              <w:r>
                <w:rPr>
                  <w:rFonts w:ascii="Arial" w:cs="Arial" w:eastAsia="Arial" w:hAnsi="Arial"/>
                  <w:sz w:val="18"/>
                  <w:szCs w:val="18"/>
                  <w:color w:val="auto"/>
                </w:rPr>
                <w:t>Protection of Collateral Agent’s Security</w:t>
              </w:r>
            </w:hyperlink>
          </w:p>
        </w:tc>
        <w:tc>
          <w:tcPr>
            <w:tcW w:w="1600" w:type="dxa"/>
            <w:vAlign w:val="bottom"/>
            <w:gridSpan w:val="3"/>
          </w:tcPr>
          <w:p>
            <w:pPr>
              <w:jc w:val="right"/>
              <w:spacing w:after="0"/>
              <w:rPr>
                <w:rFonts w:ascii="Arial" w:cs="Arial" w:eastAsia="Arial" w:hAnsi="Arial"/>
                <w:sz w:val="18"/>
                <w:szCs w:val="18"/>
                <w:color w:val="auto"/>
              </w:rPr>
            </w:pPr>
            <w:hyperlink w:anchor="page420">
              <w:r>
                <w:rPr>
                  <w:rFonts w:ascii="Arial" w:cs="Arial" w:eastAsia="Arial" w:hAnsi="Arial"/>
                  <w:sz w:val="18"/>
                  <w:szCs w:val="18"/>
                  <w:color w:val="auto"/>
                </w:rPr>
                <w:t>16</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4.03.</w:t>
            </w:r>
          </w:p>
        </w:tc>
        <w:tc>
          <w:tcPr>
            <w:tcW w:w="7420" w:type="dxa"/>
            <w:vAlign w:val="bottom"/>
            <w:gridSpan w:val="3"/>
          </w:tcPr>
          <w:p>
            <w:pPr>
              <w:ind w:left="1020"/>
              <w:spacing w:after="0"/>
              <w:rPr>
                <w:rFonts w:ascii="Arial" w:cs="Arial" w:eastAsia="Arial" w:hAnsi="Arial"/>
                <w:sz w:val="18"/>
                <w:szCs w:val="18"/>
                <w:color w:val="auto"/>
              </w:rPr>
            </w:pPr>
            <w:hyperlink w:anchor="page421">
              <w:r>
                <w:rPr>
                  <w:rFonts w:ascii="Arial" w:cs="Arial" w:eastAsia="Arial" w:hAnsi="Arial"/>
                  <w:sz w:val="18"/>
                  <w:szCs w:val="18"/>
                  <w:color w:val="auto"/>
                </w:rPr>
                <w:t>After-Acquired Property</w:t>
              </w:r>
            </w:hyperlink>
          </w:p>
        </w:tc>
        <w:tc>
          <w:tcPr>
            <w:tcW w:w="1600" w:type="dxa"/>
            <w:vAlign w:val="bottom"/>
            <w:gridSpan w:val="3"/>
          </w:tcPr>
          <w:p>
            <w:pPr>
              <w:jc w:val="right"/>
              <w:spacing w:after="0"/>
              <w:rPr>
                <w:rFonts w:ascii="Arial" w:cs="Arial" w:eastAsia="Arial" w:hAnsi="Arial"/>
                <w:sz w:val="18"/>
                <w:szCs w:val="18"/>
                <w:color w:val="auto"/>
              </w:rPr>
            </w:pPr>
            <w:hyperlink w:anchor="page421">
              <w:r>
                <w:rPr>
                  <w:rFonts w:ascii="Arial" w:cs="Arial" w:eastAsia="Arial" w:hAnsi="Arial"/>
                  <w:sz w:val="18"/>
                  <w:szCs w:val="18"/>
                  <w:color w:val="auto"/>
                </w:rPr>
                <w:t>17</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V</w:t>
            </w:r>
          </w:p>
        </w:tc>
        <w:tc>
          <w:tcPr>
            <w:tcW w:w="7420" w:type="dxa"/>
            <w:vAlign w:val="bottom"/>
            <w:gridSpan w:val="3"/>
          </w:tcPr>
          <w:p>
            <w:pPr>
              <w:ind w:left="780"/>
              <w:spacing w:after="0"/>
              <w:rPr>
                <w:rFonts w:ascii="Arial" w:cs="Arial" w:eastAsia="Arial" w:hAnsi="Arial"/>
                <w:sz w:val="18"/>
                <w:szCs w:val="18"/>
                <w:color w:val="auto"/>
              </w:rPr>
            </w:pPr>
            <w:hyperlink w:anchor="page422">
              <w:r>
                <w:rPr>
                  <w:rFonts w:ascii="Arial" w:cs="Arial" w:eastAsia="Arial" w:hAnsi="Arial"/>
                  <w:sz w:val="18"/>
                  <w:szCs w:val="18"/>
                  <w:color w:val="auto"/>
                </w:rPr>
                <w:t>Remedies</w:t>
              </w:r>
            </w:hyperlink>
          </w:p>
        </w:tc>
        <w:tc>
          <w:tcPr>
            <w:tcW w:w="1600" w:type="dxa"/>
            <w:vAlign w:val="bottom"/>
            <w:gridSpan w:val="3"/>
          </w:tcPr>
          <w:p>
            <w:pPr>
              <w:jc w:val="right"/>
              <w:spacing w:after="0"/>
              <w:rPr>
                <w:rFonts w:ascii="Arial" w:cs="Arial" w:eastAsia="Arial" w:hAnsi="Arial"/>
                <w:sz w:val="18"/>
                <w:szCs w:val="18"/>
                <w:color w:val="auto"/>
              </w:rPr>
            </w:pPr>
            <w:hyperlink w:anchor="page422">
              <w:r>
                <w:rPr>
                  <w:rFonts w:ascii="Arial" w:cs="Arial" w:eastAsia="Arial" w:hAnsi="Arial"/>
                  <w:sz w:val="18"/>
                  <w:szCs w:val="18"/>
                  <w:color w:val="auto"/>
                </w:rPr>
                <w:t>18</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5.01.</w:t>
            </w:r>
          </w:p>
        </w:tc>
        <w:tc>
          <w:tcPr>
            <w:tcW w:w="7420" w:type="dxa"/>
            <w:vAlign w:val="bottom"/>
            <w:gridSpan w:val="3"/>
          </w:tcPr>
          <w:p>
            <w:pPr>
              <w:ind w:left="1020"/>
              <w:spacing w:after="0"/>
              <w:rPr>
                <w:rFonts w:ascii="Arial" w:cs="Arial" w:eastAsia="Arial" w:hAnsi="Arial"/>
                <w:sz w:val="18"/>
                <w:szCs w:val="18"/>
                <w:color w:val="auto"/>
              </w:rPr>
            </w:pPr>
            <w:hyperlink w:anchor="page422">
              <w:r>
                <w:rPr>
                  <w:rFonts w:ascii="Arial" w:cs="Arial" w:eastAsia="Arial" w:hAnsi="Arial"/>
                  <w:sz w:val="18"/>
                  <w:szCs w:val="18"/>
                  <w:color w:val="auto"/>
                </w:rPr>
                <w:t>Remedies Upon Default</w:t>
              </w:r>
            </w:hyperlink>
          </w:p>
        </w:tc>
        <w:tc>
          <w:tcPr>
            <w:tcW w:w="1600" w:type="dxa"/>
            <w:vAlign w:val="bottom"/>
            <w:gridSpan w:val="3"/>
          </w:tcPr>
          <w:p>
            <w:pPr>
              <w:jc w:val="right"/>
              <w:spacing w:after="0"/>
              <w:rPr>
                <w:rFonts w:ascii="Arial" w:cs="Arial" w:eastAsia="Arial" w:hAnsi="Arial"/>
                <w:sz w:val="18"/>
                <w:szCs w:val="18"/>
                <w:color w:val="auto"/>
              </w:rPr>
            </w:pPr>
            <w:hyperlink w:anchor="page422">
              <w:r>
                <w:rPr>
                  <w:rFonts w:ascii="Arial" w:cs="Arial" w:eastAsia="Arial" w:hAnsi="Arial"/>
                  <w:sz w:val="18"/>
                  <w:szCs w:val="18"/>
                  <w:color w:val="auto"/>
                </w:rPr>
                <w:t>18</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5.02.</w:t>
            </w:r>
          </w:p>
        </w:tc>
        <w:tc>
          <w:tcPr>
            <w:tcW w:w="7420" w:type="dxa"/>
            <w:vAlign w:val="bottom"/>
            <w:gridSpan w:val="3"/>
          </w:tcPr>
          <w:p>
            <w:pPr>
              <w:ind w:left="1020"/>
              <w:spacing w:after="0"/>
              <w:rPr>
                <w:rFonts w:ascii="Arial" w:cs="Arial" w:eastAsia="Arial" w:hAnsi="Arial"/>
                <w:sz w:val="18"/>
                <w:szCs w:val="18"/>
                <w:color w:val="auto"/>
              </w:rPr>
            </w:pPr>
            <w:hyperlink w:anchor="page423">
              <w:r>
                <w:rPr>
                  <w:rFonts w:ascii="Arial" w:cs="Arial" w:eastAsia="Arial" w:hAnsi="Arial"/>
                  <w:sz w:val="18"/>
                  <w:szCs w:val="18"/>
                  <w:color w:val="auto"/>
                </w:rPr>
                <w:t>Application of Proceeds</w:t>
              </w:r>
            </w:hyperlink>
          </w:p>
        </w:tc>
        <w:tc>
          <w:tcPr>
            <w:tcW w:w="1600" w:type="dxa"/>
            <w:vAlign w:val="bottom"/>
            <w:gridSpan w:val="3"/>
          </w:tcPr>
          <w:p>
            <w:pPr>
              <w:jc w:val="right"/>
              <w:spacing w:after="0"/>
              <w:rPr>
                <w:rFonts w:ascii="Arial" w:cs="Arial" w:eastAsia="Arial" w:hAnsi="Arial"/>
                <w:sz w:val="18"/>
                <w:szCs w:val="18"/>
                <w:color w:val="auto"/>
              </w:rPr>
            </w:pPr>
            <w:hyperlink w:anchor="page423">
              <w:r>
                <w:rPr>
                  <w:rFonts w:ascii="Arial" w:cs="Arial" w:eastAsia="Arial" w:hAnsi="Arial"/>
                  <w:sz w:val="18"/>
                  <w:szCs w:val="18"/>
                  <w:color w:val="auto"/>
                </w:rPr>
                <w:t>19</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VI</w:t>
            </w:r>
          </w:p>
        </w:tc>
        <w:tc>
          <w:tcPr>
            <w:tcW w:w="7420" w:type="dxa"/>
            <w:vAlign w:val="bottom"/>
            <w:gridSpan w:val="3"/>
          </w:tcPr>
          <w:p>
            <w:pPr>
              <w:ind w:left="780"/>
              <w:spacing w:after="0"/>
              <w:rPr>
                <w:rFonts w:ascii="Arial" w:cs="Arial" w:eastAsia="Arial" w:hAnsi="Arial"/>
                <w:sz w:val="18"/>
                <w:szCs w:val="18"/>
                <w:color w:val="auto"/>
              </w:rPr>
            </w:pPr>
            <w:hyperlink w:anchor="page424">
              <w:r>
                <w:rPr>
                  <w:rFonts w:ascii="Arial" w:cs="Arial" w:eastAsia="Arial" w:hAnsi="Arial"/>
                  <w:sz w:val="18"/>
                  <w:szCs w:val="18"/>
                  <w:color w:val="auto"/>
                </w:rPr>
                <w:t>Indemnity, Subrogation and Subordination</w:t>
              </w:r>
            </w:hyperlink>
          </w:p>
        </w:tc>
        <w:tc>
          <w:tcPr>
            <w:tcW w:w="1600" w:type="dxa"/>
            <w:vAlign w:val="bottom"/>
            <w:gridSpan w:val="3"/>
          </w:tcPr>
          <w:p>
            <w:pPr>
              <w:jc w:val="right"/>
              <w:spacing w:after="0"/>
              <w:rPr>
                <w:rFonts w:ascii="Arial" w:cs="Arial" w:eastAsia="Arial" w:hAnsi="Arial"/>
                <w:sz w:val="18"/>
                <w:szCs w:val="18"/>
                <w:color w:val="auto"/>
              </w:rPr>
            </w:pPr>
            <w:hyperlink w:anchor="page424">
              <w:r>
                <w:rPr>
                  <w:rFonts w:ascii="Arial" w:cs="Arial" w:eastAsia="Arial" w:hAnsi="Arial"/>
                  <w:sz w:val="18"/>
                  <w:szCs w:val="18"/>
                  <w:color w:val="auto"/>
                </w:rPr>
                <w:t>20</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6.01.</w:t>
            </w:r>
          </w:p>
        </w:tc>
        <w:tc>
          <w:tcPr>
            <w:tcW w:w="7420" w:type="dxa"/>
            <w:vAlign w:val="bottom"/>
            <w:gridSpan w:val="3"/>
          </w:tcPr>
          <w:p>
            <w:pPr>
              <w:ind w:left="1020"/>
              <w:spacing w:after="0"/>
              <w:rPr>
                <w:rFonts w:ascii="Arial" w:cs="Arial" w:eastAsia="Arial" w:hAnsi="Arial"/>
                <w:sz w:val="18"/>
                <w:szCs w:val="18"/>
                <w:color w:val="auto"/>
              </w:rPr>
            </w:pPr>
            <w:hyperlink w:anchor="page424">
              <w:r>
                <w:rPr>
                  <w:rFonts w:ascii="Arial" w:cs="Arial" w:eastAsia="Arial" w:hAnsi="Arial"/>
                  <w:sz w:val="18"/>
                  <w:szCs w:val="18"/>
                  <w:color w:val="auto"/>
                </w:rPr>
                <w:t>Indemnity</w:t>
              </w:r>
            </w:hyperlink>
          </w:p>
        </w:tc>
        <w:tc>
          <w:tcPr>
            <w:tcW w:w="1600" w:type="dxa"/>
            <w:vAlign w:val="bottom"/>
            <w:gridSpan w:val="3"/>
          </w:tcPr>
          <w:p>
            <w:pPr>
              <w:jc w:val="right"/>
              <w:spacing w:after="0"/>
              <w:rPr>
                <w:rFonts w:ascii="Arial" w:cs="Arial" w:eastAsia="Arial" w:hAnsi="Arial"/>
                <w:sz w:val="18"/>
                <w:szCs w:val="18"/>
                <w:color w:val="auto"/>
              </w:rPr>
            </w:pPr>
            <w:hyperlink w:anchor="page424">
              <w:r>
                <w:rPr>
                  <w:rFonts w:ascii="Arial" w:cs="Arial" w:eastAsia="Arial" w:hAnsi="Arial"/>
                  <w:sz w:val="18"/>
                  <w:szCs w:val="18"/>
                  <w:color w:val="auto"/>
                </w:rPr>
                <w:t>20</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6.02.</w:t>
            </w:r>
          </w:p>
        </w:tc>
        <w:tc>
          <w:tcPr>
            <w:tcW w:w="7420" w:type="dxa"/>
            <w:vAlign w:val="bottom"/>
            <w:gridSpan w:val="3"/>
          </w:tcPr>
          <w:p>
            <w:pPr>
              <w:ind w:left="1020"/>
              <w:spacing w:after="0"/>
              <w:rPr>
                <w:rFonts w:ascii="Arial" w:cs="Arial" w:eastAsia="Arial" w:hAnsi="Arial"/>
                <w:sz w:val="18"/>
                <w:szCs w:val="18"/>
                <w:color w:val="auto"/>
              </w:rPr>
            </w:pPr>
            <w:hyperlink w:anchor="page424">
              <w:r>
                <w:rPr>
                  <w:rFonts w:ascii="Arial" w:cs="Arial" w:eastAsia="Arial" w:hAnsi="Arial"/>
                  <w:sz w:val="18"/>
                  <w:szCs w:val="18"/>
                  <w:color w:val="auto"/>
                </w:rPr>
                <w:t>Contribution and Subrogation</w:t>
              </w:r>
            </w:hyperlink>
          </w:p>
        </w:tc>
        <w:tc>
          <w:tcPr>
            <w:tcW w:w="1600" w:type="dxa"/>
            <w:vAlign w:val="bottom"/>
            <w:gridSpan w:val="3"/>
          </w:tcPr>
          <w:p>
            <w:pPr>
              <w:jc w:val="right"/>
              <w:spacing w:after="0"/>
              <w:rPr>
                <w:rFonts w:ascii="Arial" w:cs="Arial" w:eastAsia="Arial" w:hAnsi="Arial"/>
                <w:sz w:val="18"/>
                <w:szCs w:val="18"/>
                <w:color w:val="auto"/>
              </w:rPr>
            </w:pPr>
            <w:hyperlink w:anchor="page424">
              <w:r>
                <w:rPr>
                  <w:rFonts w:ascii="Arial" w:cs="Arial" w:eastAsia="Arial" w:hAnsi="Arial"/>
                  <w:sz w:val="18"/>
                  <w:szCs w:val="18"/>
                  <w:color w:val="auto"/>
                </w:rPr>
                <w:t>20</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6.03.</w:t>
            </w:r>
          </w:p>
        </w:tc>
        <w:tc>
          <w:tcPr>
            <w:tcW w:w="7420" w:type="dxa"/>
            <w:vAlign w:val="bottom"/>
            <w:gridSpan w:val="3"/>
          </w:tcPr>
          <w:p>
            <w:pPr>
              <w:ind w:left="1020"/>
              <w:spacing w:after="0"/>
              <w:rPr>
                <w:rFonts w:ascii="Arial" w:cs="Arial" w:eastAsia="Arial" w:hAnsi="Arial"/>
                <w:sz w:val="18"/>
                <w:szCs w:val="18"/>
                <w:color w:val="auto"/>
              </w:rPr>
            </w:pPr>
            <w:hyperlink w:anchor="page425">
              <w:r>
                <w:rPr>
                  <w:rFonts w:ascii="Arial" w:cs="Arial" w:eastAsia="Arial" w:hAnsi="Arial"/>
                  <w:sz w:val="18"/>
                  <w:szCs w:val="18"/>
                  <w:color w:val="auto"/>
                </w:rPr>
                <w:t>Subordination</w:t>
              </w:r>
            </w:hyperlink>
          </w:p>
        </w:tc>
        <w:tc>
          <w:tcPr>
            <w:tcW w:w="1600" w:type="dxa"/>
            <w:vAlign w:val="bottom"/>
            <w:gridSpan w:val="3"/>
          </w:tcPr>
          <w:p>
            <w:pPr>
              <w:jc w:val="right"/>
              <w:spacing w:after="0"/>
              <w:rPr>
                <w:rFonts w:ascii="Arial" w:cs="Arial" w:eastAsia="Arial" w:hAnsi="Arial"/>
                <w:sz w:val="18"/>
                <w:szCs w:val="18"/>
                <w:color w:val="auto"/>
              </w:rPr>
            </w:pPr>
            <w:hyperlink w:anchor="page425">
              <w:r>
                <w:rPr>
                  <w:rFonts w:ascii="Arial" w:cs="Arial" w:eastAsia="Arial" w:hAnsi="Arial"/>
                  <w:sz w:val="18"/>
                  <w:szCs w:val="18"/>
                  <w:color w:val="auto"/>
                </w:rPr>
                <w:t>21</w:t>
              </w:r>
            </w:hyperlink>
          </w:p>
        </w:tc>
      </w:tr>
      <w:tr>
        <w:trPr>
          <w:trHeight w:val="392"/>
        </w:trPr>
        <w:tc>
          <w:tcPr>
            <w:tcW w:w="1980" w:type="dxa"/>
            <w:vAlign w:val="bottom"/>
          </w:tcPr>
          <w:p>
            <w:pPr>
              <w:spacing w:after="0"/>
              <w:rPr>
                <w:sz w:val="20"/>
                <w:szCs w:val="20"/>
                <w:color w:val="auto"/>
              </w:rPr>
            </w:pPr>
            <w:r>
              <w:rPr>
                <w:rFonts w:ascii="Arial" w:cs="Arial" w:eastAsia="Arial" w:hAnsi="Arial"/>
                <w:sz w:val="18"/>
                <w:szCs w:val="18"/>
                <w:color w:val="auto"/>
              </w:rPr>
              <w:t>ARTICLE VII</w:t>
            </w:r>
          </w:p>
        </w:tc>
        <w:tc>
          <w:tcPr>
            <w:tcW w:w="7420" w:type="dxa"/>
            <w:vAlign w:val="bottom"/>
            <w:gridSpan w:val="3"/>
          </w:tcPr>
          <w:p>
            <w:pPr>
              <w:ind w:left="780"/>
              <w:spacing w:after="0"/>
              <w:rPr>
                <w:rFonts w:ascii="Arial" w:cs="Arial" w:eastAsia="Arial" w:hAnsi="Arial"/>
                <w:sz w:val="18"/>
                <w:szCs w:val="18"/>
                <w:color w:val="auto"/>
              </w:rPr>
            </w:pPr>
            <w:hyperlink w:anchor="page425">
              <w:r>
                <w:rPr>
                  <w:rFonts w:ascii="Arial" w:cs="Arial" w:eastAsia="Arial" w:hAnsi="Arial"/>
                  <w:sz w:val="18"/>
                  <w:szCs w:val="18"/>
                  <w:color w:val="auto"/>
                </w:rPr>
                <w:t>Miscellaneous</w:t>
              </w:r>
            </w:hyperlink>
          </w:p>
        </w:tc>
        <w:tc>
          <w:tcPr>
            <w:tcW w:w="1600" w:type="dxa"/>
            <w:vAlign w:val="bottom"/>
            <w:gridSpan w:val="3"/>
          </w:tcPr>
          <w:p>
            <w:pPr>
              <w:jc w:val="right"/>
              <w:spacing w:after="0"/>
              <w:rPr>
                <w:rFonts w:ascii="Arial" w:cs="Arial" w:eastAsia="Arial" w:hAnsi="Arial"/>
                <w:sz w:val="18"/>
                <w:szCs w:val="18"/>
                <w:color w:val="auto"/>
              </w:rPr>
            </w:pPr>
            <w:hyperlink w:anchor="page425">
              <w:r>
                <w:rPr>
                  <w:rFonts w:ascii="Arial" w:cs="Arial" w:eastAsia="Arial" w:hAnsi="Arial"/>
                  <w:sz w:val="18"/>
                  <w:szCs w:val="18"/>
                  <w:color w:val="auto"/>
                </w:rPr>
                <w:t>21</w:t>
              </w:r>
            </w:hyperlink>
          </w:p>
        </w:tc>
      </w:tr>
      <w:tr>
        <w:trPr>
          <w:trHeight w:val="392"/>
        </w:trPr>
        <w:tc>
          <w:tcPr>
            <w:tcW w:w="1980" w:type="dxa"/>
            <w:vAlign w:val="bottom"/>
          </w:tcPr>
          <w:p>
            <w:pPr>
              <w:ind w:left="240"/>
              <w:spacing w:after="0"/>
              <w:rPr>
                <w:sz w:val="20"/>
                <w:szCs w:val="20"/>
                <w:color w:val="auto"/>
              </w:rPr>
            </w:pPr>
            <w:r>
              <w:rPr>
                <w:rFonts w:ascii="Arial" w:cs="Arial" w:eastAsia="Arial" w:hAnsi="Arial"/>
                <w:sz w:val="18"/>
                <w:szCs w:val="18"/>
                <w:color w:val="auto"/>
              </w:rPr>
              <w:t>Section 7.01.</w:t>
            </w:r>
          </w:p>
        </w:tc>
        <w:tc>
          <w:tcPr>
            <w:tcW w:w="7420" w:type="dxa"/>
            <w:vAlign w:val="bottom"/>
            <w:gridSpan w:val="3"/>
          </w:tcPr>
          <w:p>
            <w:pPr>
              <w:ind w:left="1020"/>
              <w:spacing w:after="0"/>
              <w:rPr>
                <w:rFonts w:ascii="Arial" w:cs="Arial" w:eastAsia="Arial" w:hAnsi="Arial"/>
                <w:sz w:val="18"/>
                <w:szCs w:val="18"/>
                <w:color w:val="auto"/>
              </w:rPr>
            </w:pPr>
            <w:hyperlink w:anchor="page425">
              <w:r>
                <w:rPr>
                  <w:rFonts w:ascii="Arial" w:cs="Arial" w:eastAsia="Arial" w:hAnsi="Arial"/>
                  <w:sz w:val="18"/>
                  <w:szCs w:val="18"/>
                  <w:color w:val="auto"/>
                </w:rPr>
                <w:t>Notices</w:t>
              </w:r>
            </w:hyperlink>
          </w:p>
        </w:tc>
        <w:tc>
          <w:tcPr>
            <w:tcW w:w="1600" w:type="dxa"/>
            <w:vAlign w:val="bottom"/>
            <w:gridSpan w:val="3"/>
          </w:tcPr>
          <w:p>
            <w:pPr>
              <w:jc w:val="right"/>
              <w:spacing w:after="0"/>
              <w:rPr>
                <w:rFonts w:ascii="Arial" w:cs="Arial" w:eastAsia="Arial" w:hAnsi="Arial"/>
                <w:sz w:val="18"/>
                <w:szCs w:val="18"/>
                <w:color w:val="auto"/>
              </w:rPr>
            </w:pPr>
            <w:hyperlink w:anchor="page425">
              <w:r>
                <w:rPr>
                  <w:rFonts w:ascii="Arial" w:cs="Arial" w:eastAsia="Arial" w:hAnsi="Arial"/>
                  <w:sz w:val="18"/>
                  <w:szCs w:val="18"/>
                  <w:color w:val="auto"/>
                </w:rPr>
                <w:t>21</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7.02.</w:t>
            </w:r>
          </w:p>
        </w:tc>
        <w:tc>
          <w:tcPr>
            <w:tcW w:w="7420" w:type="dxa"/>
            <w:vAlign w:val="bottom"/>
            <w:gridSpan w:val="3"/>
          </w:tcPr>
          <w:p>
            <w:pPr>
              <w:ind w:left="1020"/>
              <w:spacing w:after="0"/>
              <w:rPr>
                <w:rFonts w:ascii="Arial" w:cs="Arial" w:eastAsia="Arial" w:hAnsi="Arial"/>
                <w:sz w:val="18"/>
                <w:szCs w:val="18"/>
                <w:color w:val="auto"/>
              </w:rPr>
            </w:pPr>
            <w:hyperlink w:anchor="page425">
              <w:r>
                <w:rPr>
                  <w:rFonts w:ascii="Arial" w:cs="Arial" w:eastAsia="Arial" w:hAnsi="Arial"/>
                  <w:sz w:val="18"/>
                  <w:szCs w:val="18"/>
                  <w:color w:val="auto"/>
                </w:rPr>
                <w:t>Waivers; Amendment</w:t>
              </w:r>
            </w:hyperlink>
          </w:p>
        </w:tc>
        <w:tc>
          <w:tcPr>
            <w:tcW w:w="1600" w:type="dxa"/>
            <w:vAlign w:val="bottom"/>
            <w:gridSpan w:val="3"/>
          </w:tcPr>
          <w:p>
            <w:pPr>
              <w:jc w:val="right"/>
              <w:spacing w:after="0"/>
              <w:rPr>
                <w:rFonts w:ascii="Arial" w:cs="Arial" w:eastAsia="Arial" w:hAnsi="Arial"/>
                <w:sz w:val="18"/>
                <w:szCs w:val="18"/>
                <w:color w:val="auto"/>
              </w:rPr>
            </w:pPr>
            <w:hyperlink w:anchor="page425">
              <w:r>
                <w:rPr>
                  <w:rFonts w:ascii="Arial" w:cs="Arial" w:eastAsia="Arial" w:hAnsi="Arial"/>
                  <w:sz w:val="18"/>
                  <w:szCs w:val="18"/>
                  <w:color w:val="auto"/>
                </w:rPr>
                <w:t>21</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7.03.</w:t>
            </w:r>
          </w:p>
        </w:tc>
        <w:tc>
          <w:tcPr>
            <w:tcW w:w="7420" w:type="dxa"/>
            <w:vAlign w:val="bottom"/>
            <w:gridSpan w:val="3"/>
          </w:tcPr>
          <w:p>
            <w:pPr>
              <w:ind w:left="1020"/>
              <w:spacing w:after="0"/>
              <w:rPr>
                <w:rFonts w:ascii="Arial" w:cs="Arial" w:eastAsia="Arial" w:hAnsi="Arial"/>
                <w:sz w:val="18"/>
                <w:szCs w:val="18"/>
                <w:color w:val="auto"/>
              </w:rPr>
            </w:pPr>
            <w:hyperlink w:anchor="page426">
              <w:r>
                <w:rPr>
                  <w:rFonts w:ascii="Arial" w:cs="Arial" w:eastAsia="Arial" w:hAnsi="Arial"/>
                  <w:sz w:val="18"/>
                  <w:szCs w:val="18"/>
                  <w:color w:val="auto"/>
                </w:rPr>
                <w:t>Collateral Agent’s Fees and Expenses; Indemnification</w:t>
              </w:r>
            </w:hyperlink>
          </w:p>
        </w:tc>
        <w:tc>
          <w:tcPr>
            <w:tcW w:w="1600" w:type="dxa"/>
            <w:vAlign w:val="bottom"/>
            <w:gridSpan w:val="3"/>
          </w:tcPr>
          <w:p>
            <w:pPr>
              <w:jc w:val="right"/>
              <w:spacing w:after="0"/>
              <w:rPr>
                <w:rFonts w:ascii="Arial" w:cs="Arial" w:eastAsia="Arial" w:hAnsi="Arial"/>
                <w:sz w:val="18"/>
                <w:szCs w:val="18"/>
                <w:color w:val="auto"/>
              </w:rPr>
            </w:pPr>
            <w:hyperlink w:anchor="page426">
              <w:r>
                <w:rPr>
                  <w:rFonts w:ascii="Arial" w:cs="Arial" w:eastAsia="Arial" w:hAnsi="Arial"/>
                  <w:sz w:val="18"/>
                  <w:szCs w:val="18"/>
                  <w:color w:val="auto"/>
                </w:rPr>
                <w:t>22</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7.04.</w:t>
            </w:r>
          </w:p>
        </w:tc>
        <w:tc>
          <w:tcPr>
            <w:tcW w:w="7420" w:type="dxa"/>
            <w:vAlign w:val="bottom"/>
            <w:gridSpan w:val="3"/>
          </w:tcPr>
          <w:p>
            <w:pPr>
              <w:ind w:left="1020"/>
              <w:spacing w:after="0"/>
              <w:rPr>
                <w:rFonts w:ascii="Arial" w:cs="Arial" w:eastAsia="Arial" w:hAnsi="Arial"/>
                <w:sz w:val="18"/>
                <w:szCs w:val="18"/>
                <w:color w:val="auto"/>
              </w:rPr>
            </w:pPr>
            <w:hyperlink w:anchor="page426">
              <w:r>
                <w:rPr>
                  <w:rFonts w:ascii="Arial" w:cs="Arial" w:eastAsia="Arial" w:hAnsi="Arial"/>
                  <w:sz w:val="18"/>
                  <w:szCs w:val="18"/>
                  <w:color w:val="auto"/>
                </w:rPr>
                <w:t>Successors and Assigns</w:t>
              </w:r>
            </w:hyperlink>
          </w:p>
        </w:tc>
        <w:tc>
          <w:tcPr>
            <w:tcW w:w="1600" w:type="dxa"/>
            <w:vAlign w:val="bottom"/>
            <w:gridSpan w:val="3"/>
          </w:tcPr>
          <w:p>
            <w:pPr>
              <w:jc w:val="right"/>
              <w:spacing w:after="0"/>
              <w:rPr>
                <w:rFonts w:ascii="Arial" w:cs="Arial" w:eastAsia="Arial" w:hAnsi="Arial"/>
                <w:sz w:val="18"/>
                <w:szCs w:val="18"/>
                <w:color w:val="auto"/>
              </w:rPr>
            </w:pPr>
            <w:hyperlink w:anchor="page426">
              <w:r>
                <w:rPr>
                  <w:rFonts w:ascii="Arial" w:cs="Arial" w:eastAsia="Arial" w:hAnsi="Arial"/>
                  <w:sz w:val="18"/>
                  <w:szCs w:val="18"/>
                  <w:color w:val="auto"/>
                </w:rPr>
                <w:t>22</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7.05.</w:t>
            </w:r>
          </w:p>
        </w:tc>
        <w:tc>
          <w:tcPr>
            <w:tcW w:w="7420" w:type="dxa"/>
            <w:vAlign w:val="bottom"/>
            <w:gridSpan w:val="3"/>
          </w:tcPr>
          <w:p>
            <w:pPr>
              <w:ind w:left="1020"/>
              <w:spacing w:after="0"/>
              <w:rPr>
                <w:rFonts w:ascii="Arial" w:cs="Arial" w:eastAsia="Arial" w:hAnsi="Arial"/>
                <w:sz w:val="18"/>
                <w:szCs w:val="18"/>
                <w:color w:val="auto"/>
              </w:rPr>
            </w:pPr>
            <w:hyperlink w:anchor="page426">
              <w:r>
                <w:rPr>
                  <w:rFonts w:ascii="Arial" w:cs="Arial" w:eastAsia="Arial" w:hAnsi="Arial"/>
                  <w:sz w:val="18"/>
                  <w:szCs w:val="18"/>
                  <w:color w:val="auto"/>
                </w:rPr>
                <w:t>Survival of Agreement</w:t>
              </w:r>
            </w:hyperlink>
          </w:p>
        </w:tc>
        <w:tc>
          <w:tcPr>
            <w:tcW w:w="1600" w:type="dxa"/>
            <w:vAlign w:val="bottom"/>
            <w:gridSpan w:val="3"/>
          </w:tcPr>
          <w:p>
            <w:pPr>
              <w:jc w:val="right"/>
              <w:spacing w:after="0"/>
              <w:rPr>
                <w:rFonts w:ascii="Arial" w:cs="Arial" w:eastAsia="Arial" w:hAnsi="Arial"/>
                <w:sz w:val="18"/>
                <w:szCs w:val="18"/>
                <w:color w:val="auto"/>
              </w:rPr>
            </w:pPr>
            <w:hyperlink w:anchor="page426">
              <w:r>
                <w:rPr>
                  <w:rFonts w:ascii="Arial" w:cs="Arial" w:eastAsia="Arial" w:hAnsi="Arial"/>
                  <w:sz w:val="18"/>
                  <w:szCs w:val="18"/>
                  <w:color w:val="auto"/>
                </w:rPr>
                <w:t>22</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7.06.</w:t>
            </w:r>
          </w:p>
        </w:tc>
        <w:tc>
          <w:tcPr>
            <w:tcW w:w="7420" w:type="dxa"/>
            <w:vAlign w:val="bottom"/>
            <w:gridSpan w:val="3"/>
          </w:tcPr>
          <w:p>
            <w:pPr>
              <w:ind w:left="1020"/>
              <w:spacing w:after="0"/>
              <w:rPr>
                <w:rFonts w:ascii="Arial" w:cs="Arial" w:eastAsia="Arial" w:hAnsi="Arial"/>
                <w:sz w:val="18"/>
                <w:szCs w:val="18"/>
                <w:color w:val="auto"/>
              </w:rPr>
            </w:pPr>
            <w:hyperlink w:anchor="page427">
              <w:r>
                <w:rPr>
                  <w:rFonts w:ascii="Arial" w:cs="Arial" w:eastAsia="Arial" w:hAnsi="Arial"/>
                  <w:sz w:val="18"/>
                  <w:szCs w:val="18"/>
                  <w:color w:val="auto"/>
                </w:rPr>
                <w:t>Counterparts; Effectiveness; Several Agreement</w:t>
              </w:r>
            </w:hyperlink>
          </w:p>
        </w:tc>
        <w:tc>
          <w:tcPr>
            <w:tcW w:w="1600" w:type="dxa"/>
            <w:vAlign w:val="bottom"/>
            <w:gridSpan w:val="3"/>
          </w:tcPr>
          <w:p>
            <w:pPr>
              <w:jc w:val="right"/>
              <w:spacing w:after="0"/>
              <w:rPr>
                <w:rFonts w:ascii="Arial" w:cs="Arial" w:eastAsia="Arial" w:hAnsi="Arial"/>
                <w:sz w:val="18"/>
                <w:szCs w:val="18"/>
                <w:color w:val="auto"/>
              </w:rPr>
            </w:pPr>
            <w:hyperlink w:anchor="page427">
              <w:r>
                <w:rPr>
                  <w:rFonts w:ascii="Arial" w:cs="Arial" w:eastAsia="Arial" w:hAnsi="Arial"/>
                  <w:sz w:val="18"/>
                  <w:szCs w:val="18"/>
                  <w:color w:val="auto"/>
                </w:rPr>
                <w:t>23</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7.07.</w:t>
            </w:r>
          </w:p>
        </w:tc>
        <w:tc>
          <w:tcPr>
            <w:tcW w:w="7420" w:type="dxa"/>
            <w:vAlign w:val="bottom"/>
            <w:gridSpan w:val="3"/>
          </w:tcPr>
          <w:p>
            <w:pPr>
              <w:ind w:left="1020"/>
              <w:spacing w:after="0"/>
              <w:rPr>
                <w:rFonts w:ascii="Arial" w:cs="Arial" w:eastAsia="Arial" w:hAnsi="Arial"/>
                <w:sz w:val="18"/>
                <w:szCs w:val="18"/>
                <w:color w:val="auto"/>
              </w:rPr>
            </w:pPr>
            <w:hyperlink w:anchor="page427">
              <w:r>
                <w:rPr>
                  <w:rFonts w:ascii="Arial" w:cs="Arial" w:eastAsia="Arial" w:hAnsi="Arial"/>
                  <w:sz w:val="18"/>
                  <w:szCs w:val="18"/>
                  <w:color w:val="auto"/>
                </w:rPr>
                <w:t>Severability</w:t>
              </w:r>
            </w:hyperlink>
          </w:p>
        </w:tc>
        <w:tc>
          <w:tcPr>
            <w:tcW w:w="1600" w:type="dxa"/>
            <w:vAlign w:val="bottom"/>
            <w:gridSpan w:val="3"/>
          </w:tcPr>
          <w:p>
            <w:pPr>
              <w:jc w:val="right"/>
              <w:spacing w:after="0"/>
              <w:rPr>
                <w:rFonts w:ascii="Arial" w:cs="Arial" w:eastAsia="Arial" w:hAnsi="Arial"/>
                <w:sz w:val="18"/>
                <w:szCs w:val="18"/>
                <w:color w:val="auto"/>
              </w:rPr>
            </w:pPr>
            <w:hyperlink w:anchor="page427">
              <w:r>
                <w:rPr>
                  <w:rFonts w:ascii="Arial" w:cs="Arial" w:eastAsia="Arial" w:hAnsi="Arial"/>
                  <w:sz w:val="18"/>
                  <w:szCs w:val="18"/>
                  <w:color w:val="auto"/>
                </w:rPr>
                <w:t>23</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7.08.</w:t>
            </w:r>
          </w:p>
        </w:tc>
        <w:tc>
          <w:tcPr>
            <w:tcW w:w="7420" w:type="dxa"/>
            <w:vAlign w:val="bottom"/>
            <w:gridSpan w:val="3"/>
          </w:tcPr>
          <w:p>
            <w:pPr>
              <w:ind w:left="1020"/>
              <w:spacing w:after="0"/>
              <w:rPr>
                <w:rFonts w:ascii="Arial" w:cs="Arial" w:eastAsia="Arial" w:hAnsi="Arial"/>
                <w:sz w:val="18"/>
                <w:szCs w:val="18"/>
                <w:color w:val="auto"/>
              </w:rPr>
            </w:pPr>
            <w:hyperlink w:anchor="page427">
              <w:r>
                <w:rPr>
                  <w:rFonts w:ascii="Arial" w:cs="Arial" w:eastAsia="Arial" w:hAnsi="Arial"/>
                  <w:sz w:val="18"/>
                  <w:szCs w:val="18"/>
                  <w:color w:val="auto"/>
                </w:rPr>
                <w:t>Right of Set-Off</w:t>
              </w:r>
            </w:hyperlink>
          </w:p>
        </w:tc>
        <w:tc>
          <w:tcPr>
            <w:tcW w:w="1600" w:type="dxa"/>
            <w:vAlign w:val="bottom"/>
            <w:gridSpan w:val="3"/>
          </w:tcPr>
          <w:p>
            <w:pPr>
              <w:jc w:val="right"/>
              <w:spacing w:after="0"/>
              <w:rPr>
                <w:rFonts w:ascii="Arial" w:cs="Arial" w:eastAsia="Arial" w:hAnsi="Arial"/>
                <w:sz w:val="18"/>
                <w:szCs w:val="18"/>
                <w:color w:val="auto"/>
              </w:rPr>
            </w:pPr>
            <w:hyperlink w:anchor="page427">
              <w:r>
                <w:rPr>
                  <w:rFonts w:ascii="Arial" w:cs="Arial" w:eastAsia="Arial" w:hAnsi="Arial"/>
                  <w:sz w:val="18"/>
                  <w:szCs w:val="18"/>
                  <w:color w:val="auto"/>
                </w:rPr>
                <w:t>23</w:t>
              </w:r>
            </w:hyperlink>
          </w:p>
        </w:tc>
      </w:tr>
      <w:tr>
        <w:trPr>
          <w:trHeight w:val="270"/>
        </w:trPr>
        <w:tc>
          <w:tcPr>
            <w:tcW w:w="1980" w:type="dxa"/>
            <w:vAlign w:val="bottom"/>
          </w:tcPr>
          <w:p>
            <w:pPr>
              <w:ind w:left="240"/>
              <w:spacing w:after="0"/>
              <w:rPr>
                <w:sz w:val="20"/>
                <w:szCs w:val="20"/>
                <w:color w:val="auto"/>
              </w:rPr>
            </w:pPr>
            <w:r>
              <w:rPr>
                <w:rFonts w:ascii="Arial" w:cs="Arial" w:eastAsia="Arial" w:hAnsi="Arial"/>
                <w:sz w:val="18"/>
                <w:szCs w:val="18"/>
                <w:color w:val="auto"/>
              </w:rPr>
              <w:t>Section 7.09.</w:t>
            </w:r>
          </w:p>
        </w:tc>
        <w:tc>
          <w:tcPr>
            <w:tcW w:w="7420" w:type="dxa"/>
            <w:vAlign w:val="bottom"/>
            <w:gridSpan w:val="3"/>
          </w:tcPr>
          <w:p>
            <w:pPr>
              <w:ind w:left="1020"/>
              <w:spacing w:after="0"/>
              <w:rPr>
                <w:rFonts w:ascii="Arial" w:cs="Arial" w:eastAsia="Arial" w:hAnsi="Arial"/>
                <w:sz w:val="18"/>
                <w:szCs w:val="18"/>
                <w:color w:val="auto"/>
              </w:rPr>
            </w:pPr>
            <w:hyperlink w:anchor="page427">
              <w:r>
                <w:rPr>
                  <w:rFonts w:ascii="Arial" w:cs="Arial" w:eastAsia="Arial" w:hAnsi="Arial"/>
                  <w:sz w:val="18"/>
                  <w:szCs w:val="18"/>
                  <w:color w:val="auto"/>
                </w:rPr>
                <w:t>Governing Law; Jurisdiction; Consent to Service of Process</w:t>
              </w:r>
            </w:hyperlink>
          </w:p>
        </w:tc>
        <w:tc>
          <w:tcPr>
            <w:tcW w:w="1600" w:type="dxa"/>
            <w:vAlign w:val="bottom"/>
            <w:gridSpan w:val="3"/>
          </w:tcPr>
          <w:p>
            <w:pPr>
              <w:jc w:val="right"/>
              <w:spacing w:after="0"/>
              <w:rPr>
                <w:rFonts w:ascii="Arial" w:cs="Arial" w:eastAsia="Arial" w:hAnsi="Arial"/>
                <w:sz w:val="18"/>
                <w:szCs w:val="18"/>
                <w:color w:val="auto"/>
              </w:rPr>
            </w:pPr>
            <w:hyperlink w:anchor="page427">
              <w:r>
                <w:rPr>
                  <w:rFonts w:ascii="Arial" w:cs="Arial" w:eastAsia="Arial" w:hAnsi="Arial"/>
                  <w:sz w:val="18"/>
                  <w:szCs w:val="18"/>
                  <w:color w:val="auto"/>
                </w:rPr>
                <w:t>23</w:t>
              </w:r>
            </w:hyperlink>
          </w:p>
        </w:tc>
      </w:tr>
    </w:tbl>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260" w:top="513" w:right="6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95959845_3</w:t>
      </w:r>
    </w:p>
    <w:p>
      <w:pPr>
        <w:sectPr>
          <w:pgSz w:w="11900" w:h="16838" w:orient="portrait"/>
          <w:cols w:equalWidth="0" w:num="1">
            <w:col w:w="11020"/>
          </w:cols>
          <w:pgMar w:left="260" w:top="513" w:right="619" w:bottom="1440" w:gutter="0" w:footer="0" w:header="0"/>
          <w:type w:val="continuous"/>
        </w:sectPr>
      </w:pPr>
    </w:p>
    <w:bookmarkStart w:id="402" w:name="page403"/>
    <w:bookmarkEnd w:id="402"/>
    <w:tbl>
      <w:tblPr>
        <w:tblLayout w:type="fixed"/>
        <w:tblInd w:w="2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64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(continued)</w:t>
            </w:r>
          </w:p>
        </w:tc>
        <w:tc>
          <w:tcPr>
            <w:tcW w:w="1500" w:type="dxa"/>
            <w:vAlign w:val="bottom"/>
          </w:tcPr>
          <w:p>
            <w:pPr>
              <w:spacing w:after="0"/>
              <w:rPr>
                <w:sz w:val="17"/>
                <w:szCs w:val="17"/>
                <w:color w:val="auto"/>
              </w:rPr>
            </w:pPr>
          </w:p>
        </w:tc>
        <w:tc>
          <w:tcPr>
            <w:tcW w:w="2260" w:type="dxa"/>
            <w:vAlign w:val="bottom"/>
            <w:gridSpan w:val="3"/>
          </w:tcPr>
          <w:p>
            <w:pPr>
              <w:jc w:val="right"/>
              <w:ind w:right="310"/>
              <w:spacing w:after="0" w:line="196" w:lineRule="exact"/>
              <w:rPr>
                <w:sz w:val="20"/>
                <w:szCs w:val="20"/>
                <w:color w:val="auto"/>
              </w:rPr>
            </w:pPr>
            <w:r>
              <w:rPr>
                <w:rFonts w:ascii="Arial" w:cs="Arial" w:eastAsia="Arial" w:hAnsi="Arial"/>
                <w:sz w:val="18"/>
                <w:szCs w:val="18"/>
                <w:b w:val="1"/>
                <w:bCs w:val="1"/>
                <w:color w:val="auto"/>
              </w:rPr>
              <w:t>Page</w:t>
            </w:r>
          </w:p>
        </w:tc>
      </w:tr>
      <w:tr>
        <w:trPr>
          <w:trHeight w:val="291"/>
        </w:trPr>
        <w:tc>
          <w:tcPr>
            <w:tcW w:w="1860" w:type="dxa"/>
            <w:vAlign w:val="bottom"/>
          </w:tcPr>
          <w:p>
            <w:pPr>
              <w:spacing w:after="0"/>
              <w:rPr>
                <w:sz w:val="20"/>
                <w:szCs w:val="20"/>
                <w:color w:val="auto"/>
              </w:rPr>
            </w:pPr>
            <w:r>
              <w:rPr>
                <w:rFonts w:ascii="Arial" w:cs="Arial" w:eastAsia="Arial" w:hAnsi="Arial"/>
                <w:sz w:val="18"/>
                <w:szCs w:val="18"/>
                <w:color w:val="auto"/>
              </w:rPr>
              <w:t>Section 7.10.</w:t>
            </w:r>
          </w:p>
        </w:tc>
        <w:tc>
          <w:tcPr>
            <w:tcW w:w="6640" w:type="dxa"/>
            <w:vAlign w:val="bottom"/>
            <w:gridSpan w:val="3"/>
          </w:tcPr>
          <w:p>
            <w:pPr>
              <w:ind w:left="900"/>
              <w:spacing w:after="0"/>
              <w:rPr>
                <w:rFonts w:ascii="Arial" w:cs="Arial" w:eastAsia="Arial" w:hAnsi="Arial"/>
                <w:sz w:val="18"/>
                <w:szCs w:val="18"/>
                <w:color w:val="auto"/>
              </w:rPr>
            </w:pPr>
            <w:hyperlink w:anchor="page428">
              <w:r>
                <w:rPr>
                  <w:rFonts w:ascii="Arial" w:cs="Arial" w:eastAsia="Arial" w:hAnsi="Arial"/>
                  <w:sz w:val="18"/>
                  <w:szCs w:val="18"/>
                  <w:color w:val="auto"/>
                </w:rPr>
                <w:t>WAIVER OF JURY TRIAL</w:t>
              </w:r>
            </w:hyperlink>
          </w:p>
        </w:tc>
        <w:tc>
          <w:tcPr>
            <w:tcW w:w="15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0" w:type="dxa"/>
            <w:vAlign w:val="bottom"/>
          </w:tcPr>
          <w:p>
            <w:pPr>
              <w:jc w:val="right"/>
              <w:spacing w:after="0"/>
              <w:rPr>
                <w:rFonts w:ascii="Arial" w:cs="Arial" w:eastAsia="Arial" w:hAnsi="Arial"/>
                <w:sz w:val="18"/>
                <w:szCs w:val="18"/>
                <w:color w:val="auto"/>
              </w:rPr>
            </w:pPr>
            <w:hyperlink w:anchor="page428">
              <w:r>
                <w:rPr>
                  <w:rFonts w:ascii="Arial" w:cs="Arial" w:eastAsia="Arial" w:hAnsi="Arial"/>
                  <w:sz w:val="18"/>
                  <w:szCs w:val="18"/>
                  <w:color w:val="auto"/>
                </w:rPr>
                <w:t>24</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7.11.</w:t>
            </w:r>
          </w:p>
        </w:tc>
        <w:tc>
          <w:tcPr>
            <w:tcW w:w="6640" w:type="dxa"/>
            <w:vAlign w:val="bottom"/>
            <w:gridSpan w:val="3"/>
          </w:tcPr>
          <w:p>
            <w:pPr>
              <w:ind w:left="900"/>
              <w:spacing w:after="0"/>
              <w:rPr>
                <w:rFonts w:ascii="Arial" w:cs="Arial" w:eastAsia="Arial" w:hAnsi="Arial"/>
                <w:sz w:val="18"/>
                <w:szCs w:val="18"/>
                <w:color w:val="auto"/>
              </w:rPr>
            </w:pPr>
            <w:hyperlink w:anchor="page428">
              <w:r>
                <w:rPr>
                  <w:rFonts w:ascii="Arial" w:cs="Arial" w:eastAsia="Arial" w:hAnsi="Arial"/>
                  <w:sz w:val="18"/>
                  <w:szCs w:val="18"/>
                  <w:color w:val="auto"/>
                </w:rPr>
                <w:t>Headings</w:t>
              </w:r>
            </w:hyperlink>
          </w:p>
        </w:tc>
        <w:tc>
          <w:tcPr>
            <w:tcW w:w="2260" w:type="dxa"/>
            <w:vAlign w:val="bottom"/>
            <w:gridSpan w:val="3"/>
          </w:tcPr>
          <w:p>
            <w:pPr>
              <w:jc w:val="right"/>
              <w:spacing w:after="0"/>
              <w:rPr>
                <w:rFonts w:ascii="Arial" w:cs="Arial" w:eastAsia="Arial" w:hAnsi="Arial"/>
                <w:sz w:val="18"/>
                <w:szCs w:val="18"/>
                <w:color w:val="auto"/>
              </w:rPr>
            </w:pPr>
            <w:hyperlink w:anchor="page428">
              <w:r>
                <w:rPr>
                  <w:rFonts w:ascii="Arial" w:cs="Arial" w:eastAsia="Arial" w:hAnsi="Arial"/>
                  <w:sz w:val="18"/>
                  <w:szCs w:val="18"/>
                  <w:color w:val="auto"/>
                </w:rPr>
                <w:t>24</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7.12.</w:t>
            </w:r>
          </w:p>
        </w:tc>
        <w:tc>
          <w:tcPr>
            <w:tcW w:w="6640" w:type="dxa"/>
            <w:vAlign w:val="bottom"/>
            <w:gridSpan w:val="3"/>
          </w:tcPr>
          <w:p>
            <w:pPr>
              <w:ind w:left="900"/>
              <w:spacing w:after="0"/>
              <w:rPr>
                <w:rFonts w:ascii="Arial" w:cs="Arial" w:eastAsia="Arial" w:hAnsi="Arial"/>
                <w:sz w:val="18"/>
                <w:szCs w:val="18"/>
                <w:color w:val="auto"/>
              </w:rPr>
            </w:pPr>
            <w:hyperlink w:anchor="page428">
              <w:r>
                <w:rPr>
                  <w:rFonts w:ascii="Arial" w:cs="Arial" w:eastAsia="Arial" w:hAnsi="Arial"/>
                  <w:sz w:val="18"/>
                  <w:szCs w:val="18"/>
                  <w:color w:val="auto"/>
                </w:rPr>
                <w:t>Security Interest Absolute</w:t>
              </w:r>
            </w:hyperlink>
          </w:p>
        </w:tc>
        <w:tc>
          <w:tcPr>
            <w:tcW w:w="2260" w:type="dxa"/>
            <w:vAlign w:val="bottom"/>
            <w:gridSpan w:val="3"/>
          </w:tcPr>
          <w:p>
            <w:pPr>
              <w:jc w:val="right"/>
              <w:spacing w:after="0"/>
              <w:rPr>
                <w:rFonts w:ascii="Arial" w:cs="Arial" w:eastAsia="Arial" w:hAnsi="Arial"/>
                <w:sz w:val="18"/>
                <w:szCs w:val="18"/>
                <w:color w:val="auto"/>
              </w:rPr>
            </w:pPr>
            <w:hyperlink w:anchor="page428">
              <w:r>
                <w:rPr>
                  <w:rFonts w:ascii="Arial" w:cs="Arial" w:eastAsia="Arial" w:hAnsi="Arial"/>
                  <w:sz w:val="18"/>
                  <w:szCs w:val="18"/>
                  <w:color w:val="auto"/>
                </w:rPr>
                <w:t>24</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7.13.</w:t>
            </w:r>
          </w:p>
        </w:tc>
        <w:tc>
          <w:tcPr>
            <w:tcW w:w="6640" w:type="dxa"/>
            <w:vAlign w:val="bottom"/>
            <w:gridSpan w:val="3"/>
          </w:tcPr>
          <w:p>
            <w:pPr>
              <w:ind w:left="900"/>
              <w:spacing w:after="0"/>
              <w:rPr>
                <w:rFonts w:ascii="Arial" w:cs="Arial" w:eastAsia="Arial" w:hAnsi="Arial"/>
                <w:sz w:val="18"/>
                <w:szCs w:val="18"/>
                <w:color w:val="auto"/>
              </w:rPr>
            </w:pPr>
            <w:hyperlink w:anchor="page428">
              <w:r>
                <w:rPr>
                  <w:rFonts w:ascii="Arial" w:cs="Arial" w:eastAsia="Arial" w:hAnsi="Arial"/>
                  <w:sz w:val="18"/>
                  <w:szCs w:val="18"/>
                  <w:color w:val="auto"/>
                </w:rPr>
                <w:t>Termination or Release</w:t>
              </w:r>
            </w:hyperlink>
          </w:p>
        </w:tc>
        <w:tc>
          <w:tcPr>
            <w:tcW w:w="2260" w:type="dxa"/>
            <w:vAlign w:val="bottom"/>
            <w:gridSpan w:val="3"/>
          </w:tcPr>
          <w:p>
            <w:pPr>
              <w:jc w:val="right"/>
              <w:spacing w:after="0"/>
              <w:rPr>
                <w:rFonts w:ascii="Arial" w:cs="Arial" w:eastAsia="Arial" w:hAnsi="Arial"/>
                <w:sz w:val="18"/>
                <w:szCs w:val="18"/>
                <w:color w:val="auto"/>
              </w:rPr>
            </w:pPr>
            <w:hyperlink w:anchor="page428">
              <w:r>
                <w:rPr>
                  <w:rFonts w:ascii="Arial" w:cs="Arial" w:eastAsia="Arial" w:hAnsi="Arial"/>
                  <w:sz w:val="18"/>
                  <w:szCs w:val="18"/>
                  <w:color w:val="auto"/>
                </w:rPr>
                <w:t>24</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7.14.</w:t>
            </w:r>
          </w:p>
        </w:tc>
        <w:tc>
          <w:tcPr>
            <w:tcW w:w="6640" w:type="dxa"/>
            <w:vAlign w:val="bottom"/>
            <w:gridSpan w:val="3"/>
          </w:tcPr>
          <w:p>
            <w:pPr>
              <w:ind w:left="900"/>
              <w:spacing w:after="0"/>
              <w:rPr>
                <w:rFonts w:ascii="Arial" w:cs="Arial" w:eastAsia="Arial" w:hAnsi="Arial"/>
                <w:sz w:val="18"/>
                <w:szCs w:val="18"/>
                <w:color w:val="auto"/>
              </w:rPr>
            </w:pPr>
            <w:hyperlink w:anchor="page429">
              <w:r>
                <w:rPr>
                  <w:rFonts w:ascii="Arial" w:cs="Arial" w:eastAsia="Arial" w:hAnsi="Arial"/>
                  <w:sz w:val="18"/>
                  <w:szCs w:val="18"/>
                  <w:color w:val="auto"/>
                </w:rPr>
                <w:t>Additional Subsidiaries</w:t>
              </w:r>
            </w:hyperlink>
          </w:p>
        </w:tc>
        <w:tc>
          <w:tcPr>
            <w:tcW w:w="2260" w:type="dxa"/>
            <w:vAlign w:val="bottom"/>
            <w:gridSpan w:val="3"/>
          </w:tcPr>
          <w:p>
            <w:pPr>
              <w:jc w:val="right"/>
              <w:spacing w:after="0"/>
              <w:rPr>
                <w:rFonts w:ascii="Arial" w:cs="Arial" w:eastAsia="Arial" w:hAnsi="Arial"/>
                <w:sz w:val="18"/>
                <w:szCs w:val="18"/>
                <w:color w:val="auto"/>
              </w:rPr>
            </w:pPr>
            <w:hyperlink w:anchor="page429">
              <w:r>
                <w:rPr>
                  <w:rFonts w:ascii="Arial" w:cs="Arial" w:eastAsia="Arial" w:hAnsi="Arial"/>
                  <w:sz w:val="18"/>
                  <w:szCs w:val="18"/>
                  <w:color w:val="auto"/>
                </w:rPr>
                <w:t>25</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7.15.</w:t>
            </w:r>
          </w:p>
        </w:tc>
        <w:tc>
          <w:tcPr>
            <w:tcW w:w="6640" w:type="dxa"/>
            <w:vAlign w:val="bottom"/>
            <w:gridSpan w:val="3"/>
          </w:tcPr>
          <w:p>
            <w:pPr>
              <w:ind w:left="900"/>
              <w:spacing w:after="0"/>
              <w:rPr>
                <w:rFonts w:ascii="Arial" w:cs="Arial" w:eastAsia="Arial" w:hAnsi="Arial"/>
                <w:sz w:val="18"/>
                <w:szCs w:val="18"/>
                <w:color w:val="auto"/>
              </w:rPr>
            </w:pPr>
            <w:hyperlink w:anchor="page429">
              <w:r>
                <w:rPr>
                  <w:rFonts w:ascii="Arial" w:cs="Arial" w:eastAsia="Arial" w:hAnsi="Arial"/>
                  <w:sz w:val="18"/>
                  <w:szCs w:val="18"/>
                  <w:color w:val="auto"/>
                </w:rPr>
                <w:t>Collateral Agent Appointed Attorney-in-Fact</w:t>
              </w:r>
            </w:hyperlink>
          </w:p>
        </w:tc>
        <w:tc>
          <w:tcPr>
            <w:tcW w:w="2260" w:type="dxa"/>
            <w:vAlign w:val="bottom"/>
            <w:gridSpan w:val="3"/>
          </w:tcPr>
          <w:p>
            <w:pPr>
              <w:jc w:val="right"/>
              <w:spacing w:after="0"/>
              <w:rPr>
                <w:rFonts w:ascii="Arial" w:cs="Arial" w:eastAsia="Arial" w:hAnsi="Arial"/>
                <w:sz w:val="18"/>
                <w:szCs w:val="18"/>
                <w:color w:val="auto"/>
              </w:rPr>
            </w:pPr>
            <w:hyperlink w:anchor="page429">
              <w:r>
                <w:rPr>
                  <w:rFonts w:ascii="Arial" w:cs="Arial" w:eastAsia="Arial" w:hAnsi="Arial"/>
                  <w:sz w:val="18"/>
                  <w:szCs w:val="18"/>
                  <w:color w:val="auto"/>
                </w:rPr>
                <w:t>25</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7.16.</w:t>
            </w:r>
          </w:p>
        </w:tc>
        <w:tc>
          <w:tcPr>
            <w:tcW w:w="6640" w:type="dxa"/>
            <w:vAlign w:val="bottom"/>
            <w:gridSpan w:val="3"/>
          </w:tcPr>
          <w:p>
            <w:pPr>
              <w:ind w:left="900"/>
              <w:spacing w:after="0"/>
              <w:rPr>
                <w:rFonts w:ascii="Arial" w:cs="Arial" w:eastAsia="Arial" w:hAnsi="Arial"/>
                <w:sz w:val="18"/>
                <w:szCs w:val="18"/>
                <w:color w:val="auto"/>
              </w:rPr>
            </w:pPr>
            <w:hyperlink w:anchor="page430">
              <w:r>
                <w:rPr>
                  <w:rFonts w:ascii="Arial" w:cs="Arial" w:eastAsia="Arial" w:hAnsi="Arial"/>
                  <w:sz w:val="18"/>
                  <w:szCs w:val="18"/>
                  <w:color w:val="auto"/>
                </w:rPr>
                <w:t>General Authority of the Collateral Agent</w:t>
              </w:r>
            </w:hyperlink>
          </w:p>
        </w:tc>
        <w:tc>
          <w:tcPr>
            <w:tcW w:w="2260" w:type="dxa"/>
            <w:vAlign w:val="bottom"/>
            <w:gridSpan w:val="3"/>
          </w:tcPr>
          <w:p>
            <w:pPr>
              <w:jc w:val="right"/>
              <w:spacing w:after="0"/>
              <w:rPr>
                <w:rFonts w:ascii="Arial" w:cs="Arial" w:eastAsia="Arial" w:hAnsi="Arial"/>
                <w:sz w:val="18"/>
                <w:szCs w:val="18"/>
                <w:color w:val="auto"/>
              </w:rPr>
            </w:pPr>
            <w:hyperlink w:anchor="page430">
              <w:r>
                <w:rPr>
                  <w:rFonts w:ascii="Arial" w:cs="Arial" w:eastAsia="Arial" w:hAnsi="Arial"/>
                  <w:sz w:val="18"/>
                  <w:szCs w:val="18"/>
                  <w:color w:val="auto"/>
                </w:rPr>
                <w:t>26</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7.17.</w:t>
            </w:r>
          </w:p>
        </w:tc>
        <w:tc>
          <w:tcPr>
            <w:tcW w:w="6640" w:type="dxa"/>
            <w:vAlign w:val="bottom"/>
            <w:gridSpan w:val="3"/>
          </w:tcPr>
          <w:p>
            <w:pPr>
              <w:ind w:left="900"/>
              <w:spacing w:after="0"/>
              <w:rPr>
                <w:rFonts w:ascii="Arial" w:cs="Arial" w:eastAsia="Arial" w:hAnsi="Arial"/>
                <w:sz w:val="18"/>
                <w:szCs w:val="18"/>
                <w:color w:val="auto"/>
              </w:rPr>
            </w:pPr>
            <w:hyperlink w:anchor="page431">
              <w:r>
                <w:rPr>
                  <w:rFonts w:ascii="Arial" w:cs="Arial" w:eastAsia="Arial" w:hAnsi="Arial"/>
                  <w:sz w:val="18"/>
                  <w:szCs w:val="18"/>
                  <w:color w:val="auto"/>
                </w:rPr>
                <w:t>Mortgages</w:t>
              </w:r>
            </w:hyperlink>
          </w:p>
        </w:tc>
        <w:tc>
          <w:tcPr>
            <w:tcW w:w="2260" w:type="dxa"/>
            <w:vAlign w:val="bottom"/>
            <w:gridSpan w:val="3"/>
          </w:tcPr>
          <w:p>
            <w:pPr>
              <w:jc w:val="right"/>
              <w:spacing w:after="0"/>
              <w:rPr>
                <w:rFonts w:ascii="Arial" w:cs="Arial" w:eastAsia="Arial" w:hAnsi="Arial"/>
                <w:sz w:val="18"/>
                <w:szCs w:val="18"/>
                <w:color w:val="auto"/>
              </w:rPr>
            </w:pPr>
            <w:hyperlink w:anchor="page431">
              <w:r>
                <w:rPr>
                  <w:rFonts w:ascii="Arial" w:cs="Arial" w:eastAsia="Arial" w:hAnsi="Arial"/>
                  <w:sz w:val="18"/>
                  <w:szCs w:val="18"/>
                  <w:color w:val="auto"/>
                </w:rPr>
                <w:t>27</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7.18.</w:t>
            </w:r>
          </w:p>
        </w:tc>
        <w:tc>
          <w:tcPr>
            <w:tcW w:w="6640" w:type="dxa"/>
            <w:vAlign w:val="bottom"/>
            <w:gridSpan w:val="3"/>
          </w:tcPr>
          <w:p>
            <w:pPr>
              <w:ind w:left="900"/>
              <w:spacing w:after="0"/>
              <w:rPr>
                <w:rFonts w:ascii="Arial" w:cs="Arial" w:eastAsia="Arial" w:hAnsi="Arial"/>
                <w:sz w:val="18"/>
                <w:szCs w:val="18"/>
                <w:color w:val="auto"/>
              </w:rPr>
            </w:pPr>
            <w:hyperlink w:anchor="page431">
              <w:r>
                <w:rPr>
                  <w:rFonts w:ascii="Arial" w:cs="Arial" w:eastAsia="Arial" w:hAnsi="Arial"/>
                  <w:sz w:val="18"/>
                  <w:szCs w:val="18"/>
                  <w:color w:val="auto"/>
                </w:rPr>
                <w:t>Recourse; Limited Obligations</w:t>
              </w:r>
            </w:hyperlink>
          </w:p>
        </w:tc>
        <w:tc>
          <w:tcPr>
            <w:tcW w:w="2260" w:type="dxa"/>
            <w:vAlign w:val="bottom"/>
            <w:gridSpan w:val="3"/>
          </w:tcPr>
          <w:p>
            <w:pPr>
              <w:jc w:val="right"/>
              <w:spacing w:after="0"/>
              <w:rPr>
                <w:rFonts w:ascii="Arial" w:cs="Arial" w:eastAsia="Arial" w:hAnsi="Arial"/>
                <w:sz w:val="18"/>
                <w:szCs w:val="18"/>
                <w:color w:val="auto"/>
              </w:rPr>
            </w:pPr>
            <w:hyperlink w:anchor="page431">
              <w:r>
                <w:rPr>
                  <w:rFonts w:ascii="Arial" w:cs="Arial" w:eastAsia="Arial" w:hAnsi="Arial"/>
                  <w:sz w:val="18"/>
                  <w:szCs w:val="18"/>
                  <w:color w:val="auto"/>
                </w:rPr>
                <w:t>27</w:t>
              </w:r>
            </w:hyperlink>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Section 7.19.</w:t>
            </w:r>
          </w:p>
        </w:tc>
        <w:tc>
          <w:tcPr>
            <w:tcW w:w="6640" w:type="dxa"/>
            <w:vAlign w:val="bottom"/>
            <w:gridSpan w:val="3"/>
          </w:tcPr>
          <w:p>
            <w:pPr>
              <w:ind w:left="900"/>
              <w:spacing w:after="0"/>
              <w:rPr>
                <w:rFonts w:ascii="Arial" w:cs="Arial" w:eastAsia="Arial" w:hAnsi="Arial"/>
                <w:sz w:val="18"/>
                <w:szCs w:val="18"/>
                <w:color w:val="auto"/>
              </w:rPr>
            </w:pPr>
            <w:hyperlink w:anchor="page431">
              <w:r>
                <w:rPr>
                  <w:rFonts w:ascii="Arial" w:cs="Arial" w:eastAsia="Arial" w:hAnsi="Arial"/>
                  <w:sz w:val="18"/>
                  <w:szCs w:val="18"/>
                  <w:color w:val="auto"/>
                </w:rPr>
                <w:t>Amendment and Restatement; No Novation</w:t>
              </w:r>
            </w:hyperlink>
          </w:p>
        </w:tc>
        <w:tc>
          <w:tcPr>
            <w:tcW w:w="2260" w:type="dxa"/>
            <w:vAlign w:val="bottom"/>
            <w:gridSpan w:val="3"/>
          </w:tcPr>
          <w:p>
            <w:pPr>
              <w:jc w:val="right"/>
              <w:spacing w:after="0"/>
              <w:rPr>
                <w:rFonts w:ascii="Arial" w:cs="Arial" w:eastAsia="Arial" w:hAnsi="Arial"/>
                <w:sz w:val="18"/>
                <w:szCs w:val="18"/>
                <w:color w:val="auto"/>
              </w:rPr>
            </w:pPr>
            <w:hyperlink w:anchor="page431">
              <w:r>
                <w:rPr>
                  <w:rFonts w:ascii="Arial" w:cs="Arial" w:eastAsia="Arial" w:hAnsi="Arial"/>
                  <w:sz w:val="18"/>
                  <w:szCs w:val="18"/>
                  <w:color w:val="auto"/>
                </w:rPr>
                <w:t>27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020"/>
          </w:cols>
          <w:pgMar w:left="260" w:top="513" w:right="619" w:bottom="1440" w:gutter="0" w:footer="0" w:header="0"/>
        </w:sectPr>
      </w:pPr>
    </w:p>
    <w:bookmarkStart w:id="403" w:name="page404"/>
    <w:bookmarkEnd w:id="403"/>
    <w:p>
      <w:pPr>
        <w:ind w:left="20"/>
        <w:spacing w:after="0"/>
        <w:rPr>
          <w:sz w:val="20"/>
          <w:szCs w:val="20"/>
          <w:color w:val="auto"/>
        </w:rPr>
      </w:pPr>
      <w:r>
        <w:rPr>
          <w:rFonts w:ascii="Arial" w:cs="Arial" w:eastAsia="Arial" w:hAnsi="Arial"/>
          <w:sz w:val="20"/>
          <w:szCs w:val="20"/>
          <w:color w:val="auto"/>
        </w:rPr>
        <w:t>SCHEDULES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1200" w:type="dxa"/>
            <w:vAlign w:val="bottom"/>
          </w:tcPr>
          <w:p>
            <w:pPr>
              <w:spacing w:after="0"/>
              <w:rPr>
                <w:sz w:val="20"/>
                <w:szCs w:val="20"/>
                <w:color w:val="auto"/>
              </w:rPr>
            </w:pPr>
            <w:r>
              <w:rPr>
                <w:rFonts w:ascii="Arial" w:cs="Arial" w:eastAsia="Arial" w:hAnsi="Arial"/>
                <w:sz w:val="20"/>
                <w:szCs w:val="20"/>
                <w:color w:val="auto"/>
              </w:rPr>
              <w:t>Schedule I</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ind w:left="40"/>
              <w:spacing w:after="0"/>
              <w:rPr>
                <w:rFonts w:ascii="Arial" w:cs="Arial" w:eastAsia="Arial" w:hAnsi="Arial"/>
                <w:sz w:val="18"/>
                <w:szCs w:val="18"/>
                <w:color w:val="auto"/>
              </w:rPr>
            </w:pPr>
            <w:hyperlink w:anchor="page445">
              <w:r>
                <w:rPr>
                  <w:rFonts w:ascii="Arial" w:cs="Arial" w:eastAsia="Arial" w:hAnsi="Arial"/>
                  <w:sz w:val="18"/>
                  <w:szCs w:val="18"/>
                  <w:color w:val="auto"/>
                </w:rPr>
                <w:t>Subsidiary Parties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II</w:t>
            </w:r>
          </w:p>
        </w:tc>
        <w:tc>
          <w:tcPr>
            <w:tcW w:w="3220" w:type="dxa"/>
            <w:vAlign w:val="bottom"/>
            <w:gridSpan w:val="2"/>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48">
              <w:r>
                <w:rPr>
                  <w:rFonts w:ascii="Arial" w:cs="Arial" w:eastAsia="Arial" w:hAnsi="Arial"/>
                  <w:sz w:val="18"/>
                  <w:szCs w:val="18"/>
                  <w:color w:val="auto"/>
                </w:rPr>
                <w:t>Pledged Equity; Pledged Debt</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III</w:t>
            </w:r>
          </w:p>
        </w:tc>
        <w:tc>
          <w:tcPr>
            <w:tcW w:w="3220" w:type="dxa"/>
            <w:vAlign w:val="bottom"/>
            <w:gridSpan w:val="2"/>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49">
              <w:r>
                <w:rPr>
                  <w:rFonts w:ascii="Arial" w:cs="Arial" w:eastAsia="Arial" w:hAnsi="Arial"/>
                  <w:sz w:val="18"/>
                  <w:szCs w:val="18"/>
                  <w:color w:val="auto"/>
                </w:rPr>
                <w:t>Commercial Tort Claims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IV</w:t>
            </w:r>
          </w:p>
        </w:tc>
        <w:tc>
          <w:tcPr>
            <w:tcW w:w="3220" w:type="dxa"/>
            <w:vAlign w:val="bottom"/>
            <w:gridSpan w:val="2"/>
          </w:tcPr>
          <w:p>
            <w:pPr>
              <w:ind w:left="1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450">
              <w:r>
                <w:rPr>
                  <w:rFonts w:ascii="Arial" w:cs="Arial" w:eastAsia="Arial" w:hAnsi="Arial"/>
                  <w:sz w:val="18"/>
                  <w:szCs w:val="18"/>
                  <w:color w:val="auto"/>
                  <w:w w:val="98"/>
                </w:rPr>
                <w:t>Copyrights and Copyright Applications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V</w:t>
            </w:r>
          </w:p>
        </w:tc>
        <w:tc>
          <w:tcPr>
            <w:tcW w:w="3220" w:type="dxa"/>
            <w:vAlign w:val="bottom"/>
            <w:gridSpan w:val="2"/>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51">
              <w:r>
                <w:rPr>
                  <w:rFonts w:ascii="Arial" w:cs="Arial" w:eastAsia="Arial" w:hAnsi="Arial"/>
                  <w:sz w:val="18"/>
                  <w:szCs w:val="18"/>
                  <w:color w:val="auto"/>
                </w:rPr>
                <w:t>Domain Names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VI</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ind w:left="40"/>
              <w:spacing w:after="0"/>
              <w:rPr>
                <w:rFonts w:ascii="Arial" w:cs="Arial" w:eastAsia="Arial" w:hAnsi="Arial"/>
                <w:sz w:val="18"/>
                <w:szCs w:val="18"/>
                <w:color w:val="auto"/>
              </w:rPr>
            </w:pPr>
            <w:hyperlink w:anchor="page452">
              <w:r>
                <w:rPr>
                  <w:rFonts w:ascii="Arial" w:cs="Arial" w:eastAsia="Arial" w:hAnsi="Arial"/>
                  <w:sz w:val="18"/>
                  <w:szCs w:val="18"/>
                  <w:color w:val="auto"/>
                </w:rPr>
                <w:t>Licenses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Schedule VII</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ind w:left="40"/>
              <w:spacing w:after="0"/>
              <w:rPr>
                <w:rFonts w:ascii="Arial" w:cs="Arial" w:eastAsia="Arial" w:hAnsi="Arial"/>
                <w:sz w:val="18"/>
                <w:szCs w:val="18"/>
                <w:color w:val="auto"/>
              </w:rPr>
            </w:pPr>
            <w:hyperlink w:anchor="page453">
              <w:r>
                <w:rPr>
                  <w:rFonts w:ascii="Arial" w:cs="Arial" w:eastAsia="Arial" w:hAnsi="Arial"/>
                  <w:sz w:val="18"/>
                  <w:szCs w:val="18"/>
                  <w:color w:val="auto"/>
                </w:rPr>
                <w:t>Patents and Patent Applications</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w w:val="99"/>
              </w:rPr>
              <w:t>Schedule VIII</w:t>
            </w:r>
          </w:p>
        </w:tc>
        <w:tc>
          <w:tcPr>
            <w:tcW w:w="3220" w:type="dxa"/>
            <w:vAlign w:val="bottom"/>
            <w:gridSpan w:val="2"/>
          </w:tcPr>
          <w:p>
            <w:pPr>
              <w:ind w:left="1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54">
              <w:r>
                <w:rPr>
                  <w:rFonts w:ascii="Arial" w:cs="Arial" w:eastAsia="Arial" w:hAnsi="Arial"/>
                  <w:sz w:val="18"/>
                  <w:szCs w:val="18"/>
                  <w:color w:val="auto"/>
                  <w:w w:val="94"/>
                </w:rPr>
                <w:t>Trademarks and Trademark Application</w:t>
              </w:r>
            </w:hyperlink>
          </w:p>
        </w:tc>
      </w:tr>
      <w:tr>
        <w:trPr>
          <w:trHeight w:val="675"/>
        </w:trPr>
        <w:tc>
          <w:tcPr>
            <w:tcW w:w="1200" w:type="dxa"/>
            <w:vAlign w:val="bottom"/>
          </w:tcPr>
          <w:p>
            <w:pPr>
              <w:spacing w:after="0"/>
              <w:rPr>
                <w:sz w:val="20"/>
                <w:szCs w:val="20"/>
                <w:color w:val="auto"/>
              </w:rPr>
            </w:pPr>
            <w:r>
              <w:rPr>
                <w:rFonts w:ascii="Arial" w:cs="Arial" w:eastAsia="Arial" w:hAnsi="Arial"/>
                <w:sz w:val="20"/>
                <w:szCs w:val="20"/>
                <w:color w:val="auto"/>
              </w:rPr>
              <w:t>EXHIBITS</w:t>
            </w: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932"/>
        </w:trPr>
        <w:tc>
          <w:tcPr>
            <w:tcW w:w="1200" w:type="dxa"/>
            <w:vAlign w:val="bottom"/>
          </w:tcPr>
          <w:p>
            <w:pPr>
              <w:spacing w:after="0"/>
              <w:rPr>
                <w:sz w:val="20"/>
                <w:szCs w:val="20"/>
                <w:color w:val="auto"/>
              </w:rPr>
            </w:pPr>
            <w:r>
              <w:rPr>
                <w:rFonts w:ascii="Arial" w:cs="Arial" w:eastAsia="Arial" w:hAnsi="Arial"/>
                <w:sz w:val="20"/>
                <w:szCs w:val="20"/>
                <w:color w:val="auto"/>
              </w:rPr>
              <w:t>Exhibit I</w:t>
            </w:r>
          </w:p>
        </w:tc>
        <w:tc>
          <w:tcPr>
            <w:tcW w:w="3220" w:type="dxa"/>
            <w:vAlign w:val="bottom"/>
            <w:gridSpan w:val="2"/>
          </w:tcPr>
          <w:p>
            <w:pPr>
              <w:ind w:left="10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455">
              <w:r>
                <w:rPr>
                  <w:rFonts w:ascii="Arial" w:cs="Arial" w:eastAsia="Arial" w:hAnsi="Arial"/>
                  <w:sz w:val="18"/>
                  <w:szCs w:val="18"/>
                  <w:color w:val="auto"/>
                  <w:w w:val="91"/>
                </w:rPr>
                <w:t>Form of Security Agreement Supplement</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Exhibit II</w:t>
            </w:r>
          </w:p>
        </w:tc>
        <w:tc>
          <w:tcPr>
            <w:tcW w:w="3220" w:type="dxa"/>
            <w:vAlign w:val="bottom"/>
            <w:gridSpan w:val="2"/>
          </w:tcPr>
          <w:p>
            <w:pPr>
              <w:ind w:left="1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w:anchor="page459">
              <w:r>
                <w:rPr>
                  <w:rFonts w:ascii="Arial" w:cs="Arial" w:eastAsia="Arial" w:hAnsi="Arial"/>
                  <w:sz w:val="18"/>
                  <w:szCs w:val="18"/>
                  <w:color w:val="auto"/>
                  <w:w w:val="97"/>
                </w:rPr>
                <w:t>Form of Copyright Security Agreement</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Exhibit III</w:t>
            </w:r>
          </w:p>
        </w:tc>
        <w:tc>
          <w:tcPr>
            <w:tcW w:w="3220" w:type="dxa"/>
            <w:vAlign w:val="bottom"/>
            <w:gridSpan w:val="2"/>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64">
              <w:r>
                <w:rPr>
                  <w:rFonts w:ascii="Arial" w:cs="Arial" w:eastAsia="Arial" w:hAnsi="Arial"/>
                  <w:sz w:val="18"/>
                  <w:szCs w:val="18"/>
                  <w:color w:val="auto"/>
                </w:rPr>
                <w:t>Form of Patent Security Agreement</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Exhibit IV</w:t>
            </w:r>
          </w:p>
        </w:tc>
        <w:tc>
          <w:tcPr>
            <w:tcW w:w="3220" w:type="dxa"/>
            <w:vAlign w:val="bottom"/>
            <w:gridSpan w:val="2"/>
          </w:tcPr>
          <w:p>
            <w:pPr>
              <w:ind w:left="1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69">
              <w:r>
                <w:rPr>
                  <w:rFonts w:ascii="Arial" w:cs="Arial" w:eastAsia="Arial" w:hAnsi="Arial"/>
                  <w:sz w:val="18"/>
                  <w:szCs w:val="18"/>
                  <w:color w:val="auto"/>
                  <w:w w:val="94"/>
                </w:rPr>
                <w:t>Form of Trademark Security Agreement</w:t>
              </w:r>
            </w:hyperlink>
          </w:p>
        </w:tc>
      </w:tr>
      <w:tr>
        <w:trPr>
          <w:trHeight w:val="284"/>
        </w:trPr>
        <w:tc>
          <w:tcPr>
            <w:tcW w:w="1200" w:type="dxa"/>
            <w:vAlign w:val="bottom"/>
          </w:tcPr>
          <w:p>
            <w:pPr>
              <w:spacing w:after="0"/>
              <w:rPr>
                <w:sz w:val="20"/>
                <w:szCs w:val="20"/>
                <w:color w:val="auto"/>
              </w:rPr>
            </w:pPr>
            <w:r>
              <w:rPr>
                <w:rFonts w:ascii="Arial" w:cs="Arial" w:eastAsia="Arial" w:hAnsi="Arial"/>
                <w:sz w:val="20"/>
                <w:szCs w:val="20"/>
                <w:color w:val="auto"/>
              </w:rPr>
              <w:t>Exhibit V</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020" w:type="dxa"/>
            <w:vAlign w:val="bottom"/>
          </w:tcPr>
          <w:p>
            <w:pPr>
              <w:ind w:left="40"/>
              <w:spacing w:after="0"/>
              <w:rPr>
                <w:rFonts w:ascii="Arial" w:cs="Arial" w:eastAsia="Arial" w:hAnsi="Arial"/>
                <w:sz w:val="18"/>
                <w:szCs w:val="18"/>
                <w:color w:val="auto"/>
              </w:rPr>
            </w:pPr>
            <w:hyperlink w:anchor="page474">
              <w:r>
                <w:rPr>
                  <w:rFonts w:ascii="Arial" w:cs="Arial" w:eastAsia="Arial" w:hAnsi="Arial"/>
                  <w:sz w:val="18"/>
                  <w:szCs w:val="18"/>
                  <w:color w:val="auto"/>
                </w:rPr>
                <w:t>Form of Perfection Certificate</w:t>
              </w:r>
            </w:hyperlink>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-iii-</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199"/>
          </w:cols>
          <w:pgMar w:left="260" w:top="663" w:right="1440" w:bottom="1440" w:gutter="0" w:footer="0" w:header="0"/>
        </w:sectPr>
      </w:pPr>
    </w:p>
    <w:bookmarkStart w:id="404" w:name="page405"/>
    <w:bookmarkEnd w:id="404"/>
    <w:p>
      <w:pPr>
        <w:jc w:val="both"/>
        <w:ind w:left="280" w:firstLine="648"/>
        <w:spacing w:after="0" w:line="246" w:lineRule="auto"/>
        <w:rPr>
          <w:sz w:val="20"/>
          <w:szCs w:val="20"/>
          <w:color w:val="auto"/>
        </w:rPr>
      </w:pPr>
      <w:r>
        <w:rPr>
          <w:rFonts w:ascii="Arial" w:cs="Arial" w:eastAsia="Arial" w:hAnsi="Arial"/>
          <w:sz w:val="20"/>
          <w:szCs w:val="20"/>
          <w:color w:val="auto"/>
        </w:rPr>
        <w:t>AMENDED AND RESTATED SECURITY AGREEMENT dated as of November 30, 2017,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other Subsidiaries of the Company identified herein and WELLS FARGO BANK, NATIONAL ASSOCIATION, as Collateral Agent for the Secured Parties (as defined below).</w:t>
      </w:r>
    </w:p>
    <w:p>
      <w:pPr>
        <w:spacing w:after="0" w:line="192"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Reference is made to (i) the Amended and Restated Credit Agreement dated as of November 30, 2017 (as amended, restated, supplemented and/or otherwise modified from time to time, the “</w:t>
      </w:r>
      <w:r>
        <w:rPr>
          <w:rFonts w:ascii="Arial" w:cs="Arial" w:eastAsia="Arial" w:hAnsi="Arial"/>
          <w:sz w:val="19"/>
          <w:szCs w:val="19"/>
          <w:u w:val="single" w:color="auto"/>
          <w:color w:val="auto"/>
        </w:rPr>
        <w:t>Credit Agreemen</w:t>
      </w:r>
      <w:r>
        <w:rPr>
          <w:rFonts w:ascii="Arial" w:cs="Arial" w:eastAsia="Arial" w:hAnsi="Arial"/>
          <w:sz w:val="19"/>
          <w:szCs w:val="19"/>
          <w:color w:val="auto"/>
        </w:rPr>
        <w:t>t”), among the Borrowers, each Lender (as defined in the Credit Agreement) from time to time party thereto and Wells Fargo Bank, National Association, as Administrative Agent, Swing Line Lender and an L/C Issuer, (ii) each Guaranty (as defined in the Credit Agreement), (iii) each Secured Hedge Agreement (as defined in the Credit Agreement) and (iv) the Cash Management Obligations (as defined in the Credit Agreement).</w:t>
      </w:r>
    </w:p>
    <w:p>
      <w:pPr>
        <w:spacing w:after="0" w:line="194"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The Lenders have agreed to extend credit to the Borrowers subject to the terms and conditions set forth in the Credit Agreement, the Hedge Banks have agreed to enter into and/or maintain one or more Secured Hedge Agreements on the terms and conditions set forth therein and the Cash Management Banks have agreed to provide and/or maintain Cash Management Services on the terms and conditions agreed upon by the Borrowers or the respective Subsidiary and the respective Cash Management Bank. The obligations of the Lenders to extend such credit, the obligation of the Hedge Banks to enter into and/or maintain such Secured Hedge Agreements and the obligation of the Cash Management Bank to provide and/or maintain such Cash Management Services are, in each case, conditioned upon, among other things, the execution and delivery of this Agreement by each Grantor. The Borrowers and the Subsidiary Parties are affiliates of one another, will derive substantial benefits from (i) the extensions of credit to the Borrowers pursuant to the Credit Agreement, (ii) the entering into and/or maintaining by the Hedge Banks of Secured Hedge Agreements with a Borrower and/or one or more of its respective Subsidiaries and (iii) the providing and/or maintaining of Cash Management Services by the Cash Management Banks to a Borrower and/or one or more of its respective Subsidiaries, and are willing to execute and deliver this Agreement in order to induce the Lenders to extend such credit, the Hedge Banks to enter into and maintain such Secured Hedge Agreements and the Cash Management Banks to provide and/or maintain such Cash Management Services. Accordingly, the parties hereto agree as follows:</w:t>
      </w:r>
    </w:p>
    <w:p>
      <w:pPr>
        <w:spacing w:after="0" w:line="174" w:lineRule="exact"/>
        <w:rPr>
          <w:sz w:val="20"/>
          <w:szCs w:val="20"/>
          <w:color w:val="auto"/>
        </w:rPr>
      </w:pPr>
    </w:p>
    <w:p>
      <w:pPr>
        <w:ind w:left="5880"/>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20"/>
          <w:szCs w:val="20"/>
          <w:u w:val="single" w:color="auto"/>
          <w:color w:val="auto"/>
        </w:rPr>
        <w:t>Definitions</w:t>
      </w:r>
    </w:p>
    <w:p>
      <w:pPr>
        <w:spacing w:after="0" w:line="200" w:lineRule="exact"/>
        <w:rPr>
          <w:sz w:val="20"/>
          <w:szCs w:val="20"/>
          <w:color w:val="auto"/>
        </w:rPr>
      </w:pPr>
    </w:p>
    <w:p>
      <w:pPr>
        <w:spacing w:after="0" w:line="245" w:lineRule="exact"/>
        <w:rPr>
          <w:sz w:val="20"/>
          <w:szCs w:val="20"/>
          <w:color w:val="auto"/>
        </w:rPr>
      </w:pPr>
    </w:p>
    <w:p>
      <w:pPr>
        <w:jc w:val="both"/>
        <w:ind w:left="280" w:firstLine="648"/>
        <w:spacing w:after="0" w:line="291"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Credit Agreement</w:t>
      </w:r>
      <w:r>
        <w:rPr>
          <w:rFonts w:ascii="Arial" w:cs="Arial" w:eastAsia="Arial" w:hAnsi="Arial"/>
          <w:sz w:val="18"/>
          <w:szCs w:val="18"/>
          <w:color w:val="auto"/>
        </w:rPr>
        <w:t>. (a) Capitalized terms used in this Agreement and not otherwise defined herein have the meanings specified in the Credit Agreement. All terms defined in the New York UCC (as defined herein) and not defined in this Agreement have the meanings specified therein; the term “instrument” shall have the meaning specified in Article 9 of the New York UCC.</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(b) The rules of construction specified in Article I of the Credit Agreement also apply to this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Other Defined Terms</w:t>
      </w:r>
      <w:r>
        <w:rPr>
          <w:rFonts w:ascii="Arial" w:cs="Arial" w:eastAsia="Arial" w:hAnsi="Arial"/>
          <w:sz w:val="19"/>
          <w:szCs w:val="19"/>
          <w:color w:val="auto"/>
        </w:rPr>
        <w:t>. As used in this Agreement, the following terms have the meanings specified below:</w:t>
      </w:r>
    </w:p>
    <w:p>
      <w:pPr>
        <w:spacing w:after="0" w:line="241"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who is or who may become obligated to any Grantor under, with respect to or on account of an Account.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After-Acquired Intellectual Property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4.02(d).</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4" w:right="239" w:bottom="1440" w:gutter="0" w:footer="0" w:header="0"/>
        </w:sectPr>
      </w:pPr>
    </w:p>
    <w:bookmarkStart w:id="405" w:name="page406"/>
    <w:bookmarkEnd w:id="405"/>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Amended and Restated Security Agreement.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Article 9 Collateral</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Event of Default</w:t>
      </w:r>
      <w:r>
        <w:rPr>
          <w:rFonts w:ascii="Arial" w:cs="Arial" w:eastAsia="Arial" w:hAnsi="Arial"/>
          <w:sz w:val="20"/>
          <w:szCs w:val="20"/>
          <w:color w:val="auto"/>
        </w:rPr>
        <w:t>” means any Event of Default under Section 8.01(f) of the Credit Agreement.</w:t>
      </w:r>
    </w:p>
    <w:p>
      <w:pPr>
        <w:spacing w:after="0" w:line="229" w:lineRule="exact"/>
        <w:rPr>
          <w:sz w:val="20"/>
          <w:szCs w:val="20"/>
          <w:color w:val="auto"/>
        </w:rPr>
      </w:pPr>
    </w:p>
    <w:p>
      <w:pPr>
        <w:ind w:left="280" w:right="4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 Account</w:t>
      </w:r>
      <w:r>
        <w:rPr>
          <w:rFonts w:ascii="Arial" w:cs="Arial" w:eastAsia="Arial" w:hAnsi="Arial"/>
          <w:sz w:val="20"/>
          <w:szCs w:val="20"/>
          <w:color w:val="auto"/>
        </w:rPr>
        <w:t>” means a non-interest bearing cash collateral account maintained with, and in the sole dominion and control of, the Collateral Agent for the benefit of the Secured Parties.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the Article 9 Collateral and the Pledged Collateral.</w:t>
      </w:r>
    </w:p>
    <w:p>
      <w:pPr>
        <w:spacing w:after="0" w:line="216" w:lineRule="exact"/>
        <w:rPr>
          <w:sz w:val="20"/>
          <w:szCs w:val="20"/>
          <w:color w:val="auto"/>
        </w:rPr>
      </w:pPr>
    </w:p>
    <w:p>
      <w:pPr>
        <w:jc w:val="both"/>
        <w:ind w:left="2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any Intellectual Property right, the possession (whether by ownership or license, other than pursuant to this Agreement) by a party of the right to grant to another party an interest as provided herein under such item or right without violating the terms of any agreement or other arrangements with any third party existing before or after the Closing Date.</w:t>
      </w:r>
    </w:p>
    <w:p>
      <w:pPr>
        <w:spacing w:after="0" w:line="152"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 License</w:t>
      </w:r>
      <w:r>
        <w:rPr>
          <w:rFonts w:ascii="Arial" w:cs="Arial" w:eastAsia="Arial" w:hAnsi="Arial"/>
          <w:sz w:val="19"/>
          <w:szCs w:val="19"/>
          <w:color w:val="auto"/>
        </w:rPr>
        <w:t>” means any written agreement, now or hereafter in effect, (a) granting to any third party any right under an Owned Copyright or any Copyright that a Grantor otherwise has the right to grant a license under, or (b) granting to any Grantor any right under a Copyright now or hereafter owned by any third party, and all rights of such Grantor under any such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Security Agreement</w:t>
      </w:r>
      <w:r>
        <w:rPr>
          <w:rFonts w:ascii="Arial" w:cs="Arial" w:eastAsia="Arial" w:hAnsi="Arial"/>
          <w:sz w:val="20"/>
          <w:szCs w:val="20"/>
          <w:color w:val="auto"/>
        </w:rPr>
        <w:t xml:space="preserve">” means an agreement substantially in the form of </w:t>
      </w:r>
      <w:r>
        <w:rPr>
          <w:rFonts w:ascii="Arial" w:cs="Arial" w:eastAsia="Arial" w:hAnsi="Arial"/>
          <w:sz w:val="20"/>
          <w:szCs w:val="20"/>
          <w:u w:val="single" w:color="auto"/>
          <w:color w:val="auto"/>
        </w:rPr>
        <w:t>Exhibit II</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hereto.</w:t>
      </w:r>
    </w:p>
    <w:p>
      <w:pPr>
        <w:spacing w:after="0" w:line="200"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xml:space="preserve">” means: (a) all copyright rights in any work subject to the copyright laws of the United States or any other country, whether the holder of such rights is an author, assignee, transferee or otherwise entitled to such rights, whether registered or unregistered and whether published or unpublished; (b) all registrations and applications for registration of any such copyright in the United States or any other country, including registrations, recordings, supplemental registrations and pending applications for registration in the United States Copyright Office, including those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and (c) all (i) rights and privileges arising under applicable Law with respect to the use of such copyrights, (ii) reissues, renewals, continuations and extensions or restorations thereof and amendments thereto, (iii) income, fees, royalties, damages, claims and payments now or hereafter due and/or payable with respect thereto, including damages and payments for past, present or future infringements thereof, (iv) rights corresponding thereto throughout the world and (v) rights to sue for past, present or future infringements thereof.</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has the meaning assigned to such term in the preliminary statement of this Agreement.</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Domain Names</w:t>
      </w:r>
      <w:r>
        <w:rPr>
          <w:rFonts w:ascii="Arial" w:cs="Arial" w:eastAsia="Arial" w:hAnsi="Arial"/>
          <w:sz w:val="20"/>
          <w:szCs w:val="20"/>
          <w:color w:val="auto"/>
        </w:rPr>
        <w:t xml:space="preserve">” means all Internet domain names and associated URL addresses in or to which any Grantor now or hereafter has any right, title or interest, including those listed on </w:t>
      </w:r>
      <w:r>
        <w:rPr>
          <w:rFonts w:ascii="Arial" w:cs="Arial" w:eastAsia="Arial" w:hAnsi="Arial"/>
          <w:sz w:val="20"/>
          <w:szCs w:val="20"/>
          <w:u w:val="single" w:color="auto"/>
          <w:color w:val="auto"/>
        </w:rPr>
        <w:t>Schedule V</w:t>
      </w:r>
      <w:r>
        <w:rPr>
          <w:rFonts w:ascii="Arial" w:cs="Arial" w:eastAsia="Arial" w:hAnsi="Arial"/>
          <w:sz w:val="20"/>
          <w:szCs w:val="20"/>
          <w:color w:val="auto"/>
        </w:rPr>
        <w:t>.</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has the meaning assigned to such term in the Credit Agreement.</w:t>
      </w:r>
    </w:p>
    <w:p>
      <w:pPr>
        <w:spacing w:after="0" w:line="216"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General Intangibles</w:t>
      </w:r>
      <w:r>
        <w:rPr>
          <w:rFonts w:ascii="Arial" w:cs="Arial" w:eastAsia="Arial" w:hAnsi="Arial"/>
          <w:sz w:val="19"/>
          <w:szCs w:val="19"/>
          <w:color w:val="auto"/>
        </w:rPr>
        <w:t>” has the meaning provided in Article 9 of the New York UCC and shall in any event include all choses in action and causes of action and all other intangible personal property of every kind and nature now owned or hereafter acquired by any Grantor, as the case may be, including corporate or other business records, indemnification claims, contract rights (including rights under leases, whether entered into as lessor or lessee, Swap Contracts and other agreements), goodwill, registrations,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663" w:right="239" w:bottom="1440" w:gutter="0" w:footer="0" w:header="0"/>
        </w:sectPr>
      </w:pPr>
    </w:p>
    <w:bookmarkStart w:id="406" w:name="page407"/>
    <w:bookmarkEnd w:id="406"/>
    <w:p>
      <w:pPr>
        <w:jc w:val="both"/>
        <w:ind w:left="280" w:right="20"/>
        <w:spacing w:after="0" w:line="260" w:lineRule="auto"/>
        <w:rPr>
          <w:sz w:val="20"/>
          <w:szCs w:val="20"/>
          <w:color w:val="auto"/>
        </w:rPr>
      </w:pPr>
      <w:r>
        <w:rPr>
          <w:rFonts w:ascii="Arial" w:cs="Arial" w:eastAsia="Arial" w:hAnsi="Arial"/>
          <w:sz w:val="20"/>
          <w:szCs w:val="20"/>
          <w:color w:val="auto"/>
        </w:rPr>
        <w:t>franchises, tax refund claims and any letter of credit, guarantee, claim, security interest or other security held by or granted to any Grantor, as the case may be, to secure payment by an Account Debtor of any of the Accounts.</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w:t>
      </w:r>
      <w:r>
        <w:rPr>
          <w:rFonts w:ascii="Arial" w:cs="Arial" w:eastAsia="Arial" w:hAnsi="Arial"/>
          <w:sz w:val="20"/>
          <w:szCs w:val="20"/>
          <w:color w:val="auto"/>
        </w:rPr>
        <w:t>” means each Borrower and each Subsidiary Party.</w:t>
      </w:r>
    </w:p>
    <w:p>
      <w:pPr>
        <w:spacing w:after="0" w:line="21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intellectual and similar property of every kind and nature, including inventions, designs, Patents, Copyrights, Licenses, Trademarks, trade secrets, confidential or proprietary technical and business information, know-how, show-how or other data or information, software, databases, all other proprietary information, including but not limited to Domain Names, and all embodiments or fixations thereof and related documentation, registrations and franchises, and all additions, improvements and accessions to, and books and records describing or used in connection with, any of the foregoing.</w:t>
      </w:r>
    </w:p>
    <w:p>
      <w:pPr>
        <w:spacing w:after="0" w:line="181"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Collateral</w:t>
      </w:r>
      <w:r>
        <w:rPr>
          <w:rFonts w:ascii="Arial" w:cs="Arial" w:eastAsia="Arial" w:hAnsi="Arial"/>
          <w:sz w:val="20"/>
          <w:szCs w:val="20"/>
          <w:color w:val="auto"/>
        </w:rPr>
        <w:t>” means Collateral consisting of Owned Intellectual Property registered under the Laws of the United States.</w:t>
      </w:r>
    </w:p>
    <w:p>
      <w:pPr>
        <w:spacing w:after="0" w:line="19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Security Agreement</w:t>
      </w:r>
      <w:r>
        <w:rPr>
          <w:rFonts w:ascii="Arial" w:cs="Arial" w:eastAsia="Arial" w:hAnsi="Arial"/>
          <w:sz w:val="20"/>
          <w:szCs w:val="20"/>
          <w:color w:val="auto"/>
        </w:rPr>
        <w:t>” means a Copyright Security Agreement, Patent Security Agreement or Trademark Security Agreement, as the context requires.</w:t>
      </w:r>
    </w:p>
    <w:p>
      <w:pPr>
        <w:spacing w:after="0" w:line="19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w:t>
      </w:r>
      <w:r>
        <w:rPr>
          <w:rFonts w:ascii="Arial" w:cs="Arial" w:eastAsia="Arial" w:hAnsi="Arial"/>
          <w:sz w:val="20"/>
          <w:szCs w:val="20"/>
          <w:color w:val="auto"/>
        </w:rPr>
        <w:t xml:space="preserve">” means any Patent License, Trademark License, Copyright License, or other license or sublicense agreement to which any Grantor is a party, including those listed on </w:t>
      </w:r>
      <w:r>
        <w:rPr>
          <w:rFonts w:ascii="Arial" w:cs="Arial" w:eastAsia="Arial" w:hAnsi="Arial"/>
          <w:sz w:val="20"/>
          <w:szCs w:val="20"/>
          <w:u w:val="single" w:color="auto"/>
          <w:color w:val="auto"/>
        </w:rPr>
        <w:t>Schedule VI</w:t>
      </w:r>
      <w:r>
        <w:rPr>
          <w:rFonts w:ascii="Arial" w:cs="Arial" w:eastAsia="Arial" w:hAnsi="Arial"/>
          <w:sz w:val="20"/>
          <w:szCs w:val="20"/>
          <w:color w:val="auto"/>
        </w:rPr>
        <w: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York UCC</w:t>
      </w:r>
      <w:r>
        <w:rPr>
          <w:rFonts w:ascii="Arial" w:cs="Arial" w:eastAsia="Arial" w:hAnsi="Arial"/>
          <w:sz w:val="20"/>
          <w:szCs w:val="20"/>
          <w:color w:val="auto"/>
        </w:rPr>
        <w:t>” means the Uniform Commercial Code as from time to time in effect in the State of New York.</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Copyrights</w:t>
      </w:r>
      <w:r>
        <w:rPr>
          <w:rFonts w:ascii="Arial" w:cs="Arial" w:eastAsia="Arial" w:hAnsi="Arial"/>
          <w:sz w:val="20"/>
          <w:szCs w:val="20"/>
          <w:color w:val="auto"/>
        </w:rPr>
        <w:t xml:space="preserve">” means Copyrights now Controlled by, or that hereafter become Controlled by any Grantor, whether by acquisition, assignment, or an exclusive license, including those listed on </w:t>
      </w:r>
      <w:r>
        <w:rPr>
          <w:rFonts w:ascii="Arial" w:cs="Arial" w:eastAsia="Arial" w:hAnsi="Arial"/>
          <w:sz w:val="20"/>
          <w:szCs w:val="20"/>
          <w:u w:val="single" w:color="auto"/>
          <w:color w:val="auto"/>
        </w:rPr>
        <w:t>Schedule IV</w:t>
      </w:r>
      <w:r>
        <w:rPr>
          <w:rFonts w:ascii="Arial" w:cs="Arial" w:eastAsia="Arial" w:hAnsi="Arial"/>
          <w:sz w:val="20"/>
          <w:szCs w:val="20"/>
          <w:color w:val="auto"/>
        </w:rPr>
        <w:t>.</w:t>
      </w:r>
    </w:p>
    <w:p>
      <w:pPr>
        <w:spacing w:after="0" w:line="177"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Intellectual Property</w:t>
      </w:r>
      <w:r>
        <w:rPr>
          <w:rFonts w:ascii="Arial" w:cs="Arial" w:eastAsia="Arial" w:hAnsi="Arial"/>
          <w:sz w:val="20"/>
          <w:szCs w:val="20"/>
          <w:color w:val="auto"/>
        </w:rPr>
        <w:t xml:space="preserve">” means Intellectual Property now Controlled by, or that hereafter becomes Controlled by, any Grantor, whether by acquisition, assignment, or an exclusive license including, but not limited to, all Intellectual Property listed on </w:t>
      </w:r>
      <w:r>
        <w:rPr>
          <w:rFonts w:ascii="Arial" w:cs="Arial" w:eastAsia="Arial" w:hAnsi="Arial"/>
          <w:sz w:val="20"/>
          <w:szCs w:val="20"/>
          <w:u w:val="single" w:color="auto"/>
          <w:color w:val="auto"/>
        </w:rPr>
        <w:t>Schedules 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VIII</w:t>
      </w:r>
      <w:r>
        <w:rPr>
          <w:rFonts w:ascii="Arial" w:cs="Arial" w:eastAsia="Arial" w:hAnsi="Arial"/>
          <w:sz w:val="20"/>
          <w:szCs w:val="20"/>
          <w:color w:val="auto"/>
        </w:rPr>
        <w:t>.</w:t>
      </w:r>
    </w:p>
    <w:p>
      <w:pPr>
        <w:spacing w:after="0" w:line="18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Patents</w:t>
      </w:r>
      <w:r>
        <w:rPr>
          <w:rFonts w:ascii="Arial" w:cs="Arial" w:eastAsia="Arial" w:hAnsi="Arial"/>
          <w:sz w:val="20"/>
          <w:szCs w:val="20"/>
          <w:color w:val="auto"/>
        </w:rPr>
        <w:t xml:space="preserve">” means Patents now Controlled by, or that hereafter become Controlled by, any Grantor whether by acquisition, assignment, or an exclusive license, including those listed on </w:t>
      </w:r>
      <w:r>
        <w:rPr>
          <w:rFonts w:ascii="Arial" w:cs="Arial" w:eastAsia="Arial" w:hAnsi="Arial"/>
          <w:sz w:val="20"/>
          <w:szCs w:val="20"/>
          <w:u w:val="single" w:color="auto"/>
          <w:color w:val="auto"/>
        </w:rPr>
        <w:t>Schedule VII</w:t>
      </w:r>
      <w:r>
        <w:rPr>
          <w:rFonts w:ascii="Arial" w:cs="Arial" w:eastAsia="Arial" w:hAnsi="Arial"/>
          <w:sz w:val="20"/>
          <w:szCs w:val="20"/>
          <w:color w:val="auto"/>
        </w:rPr>
        <w:t>.</w:t>
      </w:r>
    </w:p>
    <w:p>
      <w:pPr>
        <w:spacing w:after="0" w:line="177" w:lineRule="exact"/>
        <w:rPr>
          <w:sz w:val="20"/>
          <w:szCs w:val="20"/>
          <w:color w:val="auto"/>
        </w:rPr>
      </w:pPr>
    </w:p>
    <w:p>
      <w:pPr>
        <w:jc w:val="both"/>
        <w:ind w:left="28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Owned Trademarks</w:t>
      </w:r>
      <w:r>
        <w:rPr>
          <w:rFonts w:ascii="Arial" w:cs="Arial" w:eastAsia="Arial" w:hAnsi="Arial"/>
          <w:sz w:val="20"/>
          <w:szCs w:val="20"/>
          <w:color w:val="auto"/>
        </w:rPr>
        <w:t xml:space="preserve">” means Trademarks now Controlled by, or that hereafter become Controlled by, any Grantor, whether by acquisition, assignment, or an exclusive license, including those listed on </w:t>
      </w:r>
      <w:r>
        <w:rPr>
          <w:rFonts w:ascii="Arial" w:cs="Arial" w:eastAsia="Arial" w:hAnsi="Arial"/>
          <w:sz w:val="20"/>
          <w:szCs w:val="20"/>
          <w:u w:val="single" w:color="auto"/>
          <w:color w:val="auto"/>
        </w:rPr>
        <w:t>Schedule VIII</w:t>
      </w:r>
      <w:r>
        <w:rPr>
          <w:rFonts w:ascii="Arial" w:cs="Arial" w:eastAsia="Arial" w:hAnsi="Arial"/>
          <w:sz w:val="20"/>
          <w:szCs w:val="20"/>
          <w:color w:val="auto"/>
        </w:rPr>
        <w:t>.</w:t>
      </w:r>
    </w:p>
    <w:p>
      <w:pPr>
        <w:spacing w:after="0" w:line="177"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License</w:t>
      </w:r>
      <w:r>
        <w:rPr>
          <w:rFonts w:ascii="Arial" w:cs="Arial" w:eastAsia="Arial" w:hAnsi="Arial"/>
          <w:sz w:val="19"/>
          <w:szCs w:val="19"/>
          <w:color w:val="auto"/>
        </w:rPr>
        <w:t>” means any written agreement, now or hereafter in effect, (a) granting to any third party any right arising under an Owned Patent or any Patent that a Grantor otherwise has the right to grant a license under, or (b) granting to any Grantor any right arising under a Patent now or hereafter owned by any third party; and all rights of any Grantor under any such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Security Agreement</w:t>
      </w:r>
      <w:r>
        <w:rPr>
          <w:rFonts w:ascii="Arial" w:cs="Arial" w:eastAsia="Arial" w:hAnsi="Arial"/>
          <w:sz w:val="20"/>
          <w:szCs w:val="20"/>
          <w:color w:val="auto"/>
        </w:rPr>
        <w:t xml:space="preserve">” means an agreement substantially in the form of </w:t>
      </w:r>
      <w:r>
        <w:rPr>
          <w:rFonts w:ascii="Arial" w:cs="Arial" w:eastAsia="Arial" w:hAnsi="Arial"/>
          <w:sz w:val="20"/>
          <w:szCs w:val="20"/>
          <w:u w:val="single" w:color="auto"/>
          <w:color w:val="auto"/>
        </w:rPr>
        <w:t>Exhibit III</w:t>
      </w:r>
      <w:r>
        <w:rPr>
          <w:rFonts w:ascii="Arial" w:cs="Arial" w:eastAsia="Arial" w:hAnsi="Arial"/>
          <w:sz w:val="20"/>
          <w:szCs w:val="20"/>
          <w:color w:val="auto"/>
        </w:rPr>
        <w:t xml:space="preserve"> hereto.</w:t>
      </w:r>
    </w:p>
    <w:p>
      <w:pPr>
        <w:spacing w:after="0" w:line="21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(a) all letters patent of 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similar offices in any other country, including those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07" w:name="page408"/>
    <w:bookmarkEnd w:id="407"/>
    <w:p>
      <w:pPr>
        <w:jc w:val="both"/>
        <w:ind w:left="280"/>
        <w:spacing w:after="0" w:line="243" w:lineRule="auto"/>
        <w:rPr>
          <w:sz w:val="20"/>
          <w:szCs w:val="20"/>
          <w:color w:val="auto"/>
        </w:rPr>
      </w:pPr>
      <w:r>
        <w:rPr>
          <w:rFonts w:ascii="Arial" w:cs="Arial" w:eastAsia="Arial" w:hAnsi="Arial"/>
          <w:sz w:val="20"/>
          <w:szCs w:val="20"/>
          <w:color w:val="auto"/>
        </w:rPr>
        <w:t xml:space="preserve">listed on </w:t>
      </w:r>
      <w:r>
        <w:rPr>
          <w:rFonts w:ascii="Arial" w:cs="Arial" w:eastAsia="Arial" w:hAnsi="Arial"/>
          <w:sz w:val="20"/>
          <w:szCs w:val="20"/>
          <w:u w:val="single" w:color="auto"/>
          <w:color w:val="auto"/>
        </w:rPr>
        <w:t>Schedule VII</w:t>
      </w:r>
      <w:r>
        <w:rPr>
          <w:rFonts w:ascii="Arial" w:cs="Arial" w:eastAsia="Arial" w:hAnsi="Arial"/>
          <w:sz w:val="20"/>
          <w:szCs w:val="20"/>
          <w:color w:val="auto"/>
        </w:rPr>
        <w:t>; and (b) (i) rights and privileges arising under applicable Law with respect to the use of any patents, (ii) inventions and improvements described and claimed therein, (iii) reissues, reexaminations, divisions, continuations, renewals, extensions or restorations and continuations- in-part thereof and amendments thereto, (iv) income, fees, royalties, damages, claims and payments now or hereafter due and/or payable thereunder and with respect thereto including damages and payments for past, present or future infringements thereof, (v) rights corresponding thereto throughout the world and</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20"/>
          <w:szCs w:val="20"/>
          <w:color w:val="auto"/>
        </w:rPr>
        <w:t>(vi) rights to sue for past, present or future infringements thereof.</w:t>
      </w:r>
    </w:p>
    <w:p>
      <w:pPr>
        <w:spacing w:after="0" w:line="208"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V</w:t>
      </w:r>
      <w:r>
        <w:rPr>
          <w:rFonts w:ascii="Arial" w:cs="Arial" w:eastAsia="Arial" w:hAnsi="Arial"/>
          <w:sz w:val="20"/>
          <w:szCs w:val="20"/>
          <w:color w:val="auto"/>
        </w:rPr>
        <w:t xml:space="preserve"> hereto, completed and supplemented with the schedules and attachments contemplated thereby, and duly executed by a Responsible Officer of the Company.</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Debt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Equity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Securities</w:t>
      </w:r>
      <w:r>
        <w:rPr>
          <w:rFonts w:ascii="Arial" w:cs="Arial" w:eastAsia="Arial" w:hAnsi="Arial"/>
          <w:sz w:val="20"/>
          <w:szCs w:val="20"/>
          <w:color w:val="auto"/>
        </w:rPr>
        <w:t>” means any promissory notes, stock certificates or other securities now or hereafter included in the Pledged Collateral, including all Pledged Equity, Pledged Debt and all other certificates, instruments or other documents representing or evidencing any Pledged Collateral.</w:t>
      </w:r>
    </w:p>
    <w:p>
      <w:pPr>
        <w:spacing w:after="0" w:line="200" w:lineRule="exact"/>
        <w:rPr>
          <w:sz w:val="20"/>
          <w:szCs w:val="20"/>
          <w:color w:val="auto"/>
        </w:rPr>
      </w:pPr>
    </w:p>
    <w:p>
      <w:pPr>
        <w:jc w:val="both"/>
        <w:ind w:left="28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Credit Document</w:t>
      </w:r>
      <w:r>
        <w:rPr>
          <w:rFonts w:ascii="Arial" w:cs="Arial" w:eastAsia="Arial" w:hAnsi="Arial"/>
          <w:sz w:val="20"/>
          <w:szCs w:val="20"/>
          <w:color w:val="auto"/>
        </w:rPr>
        <w:t>” means each Loan Document, each Secured Hedge Agreement and any agreement evidencing any Cash Management Obligations.</w:t>
      </w:r>
    </w:p>
    <w:p>
      <w:pPr>
        <w:spacing w:after="0" w:line="190"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the “Obligations” as defined in the Credit Agreement; it being acknowledged and agreed that the term “Secured Obligations” as used herein shall include each extension of credit under the Credit Agreement and all obligations (other than any Excluded Swap Obligations) of the Borrowers and/or their respective Subsidiaries under the Secured Hedge Agreements and all Cash Management Obligations, in each case, whether outstanding on the date of this Agreement or extended from time to time after the date of this Agreement.</w:t>
      </w:r>
    </w:p>
    <w:p>
      <w:pPr>
        <w:spacing w:after="0" w:line="195" w:lineRule="exact"/>
        <w:rPr>
          <w:sz w:val="20"/>
          <w:szCs w:val="20"/>
          <w:color w:val="auto"/>
        </w:rPr>
      </w:pPr>
    </w:p>
    <w:p>
      <w:pPr>
        <w:jc w:val="both"/>
        <w:ind w:left="280"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Administrative Agent, the Collateral Agent, the Lenders, each L/C Issuer, the Hedge Banks, the Cash Management Banks, the Supplemental Administrative Agent and each co-agent or sub-agent appointed by the Administrative Agent from time to time pursuant to Section 9.02 of the Credit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 Supplement</w:t>
      </w:r>
      <w:r>
        <w:rPr>
          <w:rFonts w:ascii="Arial" w:cs="Arial" w:eastAsia="Arial" w:hAnsi="Arial"/>
          <w:sz w:val="20"/>
          <w:szCs w:val="20"/>
          <w:color w:val="auto"/>
        </w:rPr>
        <w:t xml:space="preserve">” means an instrument substantially in the form of </w:t>
      </w:r>
      <w:r>
        <w:rPr>
          <w:rFonts w:ascii="Arial" w:cs="Arial" w:eastAsia="Arial" w:hAnsi="Arial"/>
          <w:sz w:val="20"/>
          <w:szCs w:val="20"/>
          <w:u w:val="single" w:color="auto"/>
          <w:color w:val="auto"/>
        </w:rPr>
        <w:t>Exhibit I</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hereto.</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Interest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3.01(a)</w:t>
      </w:r>
      <w:r>
        <w:rPr>
          <w:rFonts w:ascii="Arial" w:cs="Arial" w:eastAsia="Arial" w:hAnsi="Arial"/>
          <w:sz w:val="20"/>
          <w:szCs w:val="20"/>
          <w:color w:val="auto"/>
        </w:rPr>
        <w:t>.</w:t>
      </w:r>
    </w:p>
    <w:p>
      <w:pPr>
        <w:spacing w:after="0" w:line="202"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Parties</w:t>
      </w:r>
      <w:r>
        <w:rPr>
          <w:rFonts w:ascii="Arial" w:cs="Arial" w:eastAsia="Arial" w:hAnsi="Arial"/>
          <w:sz w:val="20"/>
          <w:szCs w:val="20"/>
          <w:color w:val="auto"/>
        </w:rPr>
        <w:t xml:space="preserve"> ” means (a) the Subsidiaries identified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and (b) each other Subsidiary that becomes a party to this Agreement as a Subsidiary Party after the Closing Date.</w:t>
      </w:r>
    </w:p>
    <w:p>
      <w:pPr>
        <w:spacing w:after="0" w:line="190" w:lineRule="exact"/>
        <w:rPr>
          <w:sz w:val="20"/>
          <w:szCs w:val="20"/>
          <w:color w:val="auto"/>
        </w:rPr>
      </w:pPr>
    </w:p>
    <w:p>
      <w:pPr>
        <w:jc w:val="both"/>
        <w:ind w:left="2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means any written agreement, now or hereafter in effect, (a) granting to any third party any right to use any Owned Trademark or any Trademark that a Grantor otherwise has the right to grant a license under, or (b) granting to any Grantor any right to use any Trademark now or hereafter owned by any third party, and all rights of any Grantor under any such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6" w:right="239" w:bottom="1440" w:gutter="0" w:footer="0" w:header="0"/>
        </w:sectPr>
      </w:pPr>
    </w:p>
    <w:bookmarkStart w:id="408" w:name="page409"/>
    <w:bookmarkEnd w:id="408"/>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Security Agreement</w:t>
      </w:r>
      <w:r>
        <w:rPr>
          <w:rFonts w:ascii="Arial" w:cs="Arial" w:eastAsia="Arial" w:hAnsi="Arial"/>
          <w:sz w:val="20"/>
          <w:szCs w:val="20"/>
          <w:color w:val="auto"/>
        </w:rPr>
        <w:t xml:space="preserve">” shall mean an agreement substantially in the form of </w:t>
      </w:r>
      <w:r>
        <w:rPr>
          <w:rFonts w:ascii="Arial" w:cs="Arial" w:eastAsia="Arial" w:hAnsi="Arial"/>
          <w:sz w:val="20"/>
          <w:szCs w:val="20"/>
          <w:u w:val="single" w:color="auto"/>
          <w:color w:val="auto"/>
        </w:rPr>
        <w:t>Exhibit IV</w:t>
      </w:r>
      <w:r>
        <w:rPr>
          <w:rFonts w:ascii="Arial" w:cs="Arial" w:eastAsia="Arial" w:hAnsi="Arial"/>
          <w:sz w:val="20"/>
          <w:szCs w:val="20"/>
          <w:color w:val="auto"/>
        </w:rPr>
        <w:t xml:space="preserve"> hereto.</w:t>
      </w:r>
    </w:p>
    <w:p>
      <w:pPr>
        <w:spacing w:after="0" w:line="216"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xml:space="preserve">” means: (a) all trademarks, service marks, trade names, corporate names, company names, business names, fictitious business names, slogans, trade styles, trade dress, logos, other source or business identifiers, designs and general intangibles of like nature, whether registered or unregistered, now existing or hereafter adopted, acquired or assigned to, all registrations and recordings thereof,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extensions or renewals thereof, including those listed on </w:t>
      </w:r>
      <w:r>
        <w:rPr>
          <w:rFonts w:ascii="Arial" w:cs="Arial" w:eastAsia="Arial" w:hAnsi="Arial"/>
          <w:sz w:val="18"/>
          <w:szCs w:val="18"/>
          <w:u w:val="single" w:color="auto"/>
          <w:color w:val="auto"/>
        </w:rPr>
        <w:t>Schedule VIII</w:t>
      </w:r>
      <w:r>
        <w:rPr>
          <w:rFonts w:ascii="Arial" w:cs="Arial" w:eastAsia="Arial" w:hAnsi="Arial"/>
          <w:sz w:val="18"/>
          <w:szCs w:val="18"/>
          <w:color w:val="auto"/>
        </w:rPr>
        <w:t>, together with (b) any and all (i) rights and privileges arising under applicable Law with respect to the use of any trademarks, (ii) reissues, continuations, extensions and renewals thereof and amendments thereto, (iii) income, fees, royalties, damages and payments now and hereafter due and/or payable thereunder and with respect thereto, including damages, claims and payments for past, present or future infringements thereof, (iv) rights corresponding thereto throughout the world and (v) rights to sue for past, present and future infringements thereof.</w:t>
      </w:r>
    </w:p>
    <w:p>
      <w:pPr>
        <w:spacing w:after="0" w:line="175" w:lineRule="exact"/>
        <w:rPr>
          <w:sz w:val="20"/>
          <w:szCs w:val="20"/>
          <w:color w:val="auto"/>
        </w:rPr>
      </w:pPr>
    </w:p>
    <w:p>
      <w:pPr>
        <w:jc w:val="center"/>
        <w:ind w:left="1280"/>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ind w:left="5560"/>
        <w:spacing w:after="0"/>
        <w:rPr>
          <w:sz w:val="20"/>
          <w:szCs w:val="20"/>
          <w:color w:val="auto"/>
        </w:rPr>
      </w:pPr>
      <w:r>
        <w:rPr>
          <w:rFonts w:ascii="Arial" w:cs="Arial" w:eastAsia="Arial" w:hAnsi="Arial"/>
          <w:sz w:val="20"/>
          <w:szCs w:val="20"/>
          <w:u w:val="single" w:color="auto"/>
          <w:color w:val="auto"/>
        </w:rPr>
        <w:t>Pledge of Securities</w:t>
      </w:r>
    </w:p>
    <w:p>
      <w:pPr>
        <w:spacing w:after="0" w:line="310"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Pledge</w:t>
      </w:r>
      <w:r>
        <w:rPr>
          <w:rFonts w:ascii="Arial" w:cs="Arial" w:eastAsia="Arial" w:hAnsi="Arial"/>
          <w:sz w:val="18"/>
          <w:szCs w:val="18"/>
          <w:color w:val="auto"/>
        </w:rPr>
        <w:t xml:space="preserve">. As security for the payment or performance, as the case may be, in full of the Secured Obligations, including each Guaranty, each Grantor hereby assigns and pledges to the Collateral Agent, its successors and assigns, for the benefit of the Secured Parties, and hereby grants to the Collateral Agent, its successors and assigns, for the benefit of the Secured Parties, a security interest in, all of such Grantor’s right, title and interest in, to and under (i) all Equity Interests of OSI and of each other Domestic Subsidiary directly owned by such Grantor held by it and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and any other Equity Interests of Domestic Subsidiaries directly owned in the future by such Grantor and the certificates representing all such Equity Interests (the “</w:t>
      </w:r>
      <w:r>
        <w:rPr>
          <w:rFonts w:ascii="Arial" w:cs="Arial" w:eastAsia="Arial" w:hAnsi="Arial"/>
          <w:sz w:val="18"/>
          <w:szCs w:val="18"/>
          <w:u w:val="single" w:color="auto"/>
          <w:color w:val="auto"/>
        </w:rPr>
        <w:t>Pledged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Pledged Equity shall not include (A) Equity Interests of any Employment Participation Subsidiary (except to the extent a perfected security interest in such Subsidiary can be obtained by filing of a UCC-1 financing statement), (B) Equity Interests of Foreign Subsidiary Holding Companies, (C) Equity Interests of any Subsidiary of a Foreign Subsidiary, (D) Margin Stock, (E) specifically identified Equity Interests of any Subsidiary with respect to which (i) the Administrative Agent has confirmed in writing to the Company its determination that the costs of providing a pledge of its Equity Interests is excessive in view of the practical benefits to be obtained by the Lenders or (ii) the Borrowers in consultation with the Administrative Agent have reasonably determined that the creation or perfection of pledges of, or security interests in, such Equity Interests would result in material adverse tax consequences to any Borrower or any of its Subsidiaries, (F) Equity Interests of any non-Wholly Owned Subsidiary if (but only to the extent that, and for so long as) (i) the Organization Documents or other agreements with respect to the Equity Interests of such non-Wholly Owned Subsidiary with other equity holders (other than any such agreement where all of the equity holders party thereto are Grantors or Subsidiaries thereof) do not permit or restrict the pledge of such Equity Interests, or (ii) the pledge of such Equity Interests (including any exercise of remedies) would result in a change of control, repurchase obligation or other adverse consequence to any of the Grantors or such Subsidiary (other than the loss of such Equity Interests as a result of any such exercise of remedies), (G) any Equity Interest if (but only to the extent that, and for so long as) the pledge of such Equity Interest hereunder (i) is prohibited by applicable Law other than to the extent such prohibition is rendered ineffective under the UCC or other applicable Laws or (ii) would violate the terms of any written agreement, license, lease or similar arrangement with respect to such Equity Interest or would require consent, approval, license or authorization (in each case, after giving effect to the relevant provisions of the UCC or other applicable Laws) or would give rise to a termination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09" w:name="page410"/>
    <w:bookmarkEnd w:id="409"/>
    <w:p>
      <w:pPr>
        <w:jc w:val="both"/>
        <w:ind w:left="280"/>
        <w:spacing w:after="0" w:line="269" w:lineRule="auto"/>
        <w:rPr>
          <w:sz w:val="20"/>
          <w:szCs w:val="20"/>
          <w:color w:val="auto"/>
        </w:rPr>
      </w:pPr>
      <w:r>
        <w:rPr>
          <w:rFonts w:ascii="Arial" w:cs="Arial" w:eastAsia="Arial" w:hAnsi="Arial"/>
          <w:sz w:val="18"/>
          <w:szCs w:val="18"/>
          <w:color w:val="auto"/>
        </w:rPr>
        <w:t>right (in favor of a Person other than any Borrower or any Subsidiary) pursuant to any “change of control” or other similar provision under such written agreement, license or lease (except to the extent such provision is overridden by the UCC or other applicable Laws), in each case, (x) excluding any such written agreement that relates to Credit Agreement Refinancing Indebtedness or Incremental Equivalent Debt and (y) only to the extent that such limitation on such pledge or security interest is otherwise permitted under Section 7.09 of the Credit Agreement, (H) Equity Interests of each Subsidiary set forth in Schedule 1.01A of the Credit Agreement, (I) Equity Interests of Liquor License Subsidiaries and (J) any other Equity Interests that constitute Excluded Assets (any Equity Interests excluded pursuant to clauses</w:t>
      </w:r>
    </w:p>
    <w:p>
      <w:pPr>
        <w:spacing w:after="0" w:line="2" w:lineRule="exact"/>
        <w:rPr>
          <w:sz w:val="20"/>
          <w:szCs w:val="20"/>
          <w:color w:val="auto"/>
        </w:rPr>
      </w:pPr>
    </w:p>
    <w:p>
      <w:pPr>
        <w:jc w:val="both"/>
        <w:ind w:left="280" w:hanging="2"/>
        <w:spacing w:after="0" w:line="253" w:lineRule="auto"/>
        <w:tabs>
          <w:tab w:leader="none" w:pos="615" w:val="left"/>
        </w:tabs>
        <w:numPr>
          <w:ilvl w:val="0"/>
          <w:numId w:val="342"/>
        </w:numPr>
        <w:rPr>
          <w:rFonts w:ascii="Arial" w:cs="Arial" w:eastAsia="Arial" w:hAnsi="Arial"/>
          <w:sz w:val="19"/>
          <w:szCs w:val="19"/>
          <w:color w:val="auto"/>
        </w:rPr>
      </w:pPr>
      <w:r>
        <w:rPr>
          <w:rFonts w:ascii="Arial" w:cs="Arial" w:eastAsia="Arial" w:hAnsi="Arial"/>
          <w:sz w:val="19"/>
          <w:szCs w:val="19"/>
          <w:color w:val="auto"/>
        </w:rPr>
        <w:t>through (J) above, the “</w:t>
      </w:r>
      <w:r>
        <w:rPr>
          <w:rFonts w:ascii="Arial" w:cs="Arial" w:eastAsia="Arial" w:hAnsi="Arial"/>
          <w:sz w:val="19"/>
          <w:szCs w:val="19"/>
          <w:u w:val="single" w:color="auto"/>
          <w:color w:val="auto"/>
        </w:rPr>
        <w:t>Excluded Equity Interests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Excluded Equity Interests shall not include any Proceeds, substitutions or replacements of any Excluded Equity Interests referred to in the foregoing clauses (A) through (J) (unless such Proceeds, substitutions or replacements would independently constitute Excluded Equity Interests referred to in the foregoing clauses (A) through (J))); (A) promissory notes and instruments evidencing indebtedness owned by a Grantor and listed opposite the name of such Grantor on </w:t>
      </w:r>
      <w:r>
        <w:rPr>
          <w:rFonts w:ascii="Arial" w:cs="Arial" w:eastAsia="Arial" w:hAnsi="Arial"/>
          <w:sz w:val="19"/>
          <w:szCs w:val="19"/>
          <w:u w:val="single" w:color="auto"/>
          <w:color w:val="auto"/>
        </w:rPr>
        <w:t>Schedule II</w:t>
      </w:r>
      <w:r>
        <w:rPr>
          <w:rFonts w:ascii="Arial" w:cs="Arial" w:eastAsia="Arial" w:hAnsi="Arial"/>
          <w:sz w:val="19"/>
          <w:szCs w:val="19"/>
          <w:color w:val="auto"/>
        </w:rPr>
        <w:t>, and (B) any promissory notes and instruments evidencing indebtedness obtained in the future by such Grantor (the “</w:t>
      </w:r>
      <w:r>
        <w:rPr>
          <w:rFonts w:ascii="Arial" w:cs="Arial" w:eastAsia="Arial" w:hAnsi="Arial"/>
          <w:sz w:val="19"/>
          <w:szCs w:val="19"/>
          <w:u w:val="single" w:color="auto"/>
          <w:color w:val="auto"/>
        </w:rPr>
        <w:t>Pledged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Deb</w:t>
      </w:r>
      <w:r>
        <w:rPr>
          <w:rFonts w:ascii="Arial" w:cs="Arial" w:eastAsia="Arial" w:hAnsi="Arial"/>
          <w:sz w:val="19"/>
          <w:szCs w:val="19"/>
          <w:color w:val="auto"/>
        </w:rPr>
        <w:t xml:space="preserve">t”); (iii) all other property that may be delivered to and held by the Collateral Agent pursuant to the terms of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(iv) subject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(i) and (ii) above; (v) subject to </w:t>
      </w:r>
      <w:r>
        <w:rPr>
          <w:rFonts w:ascii="Arial" w:cs="Arial" w:eastAsia="Arial" w:hAnsi="Arial"/>
          <w:sz w:val="19"/>
          <w:szCs w:val="19"/>
          <w:u w:val="single" w:color="auto"/>
          <w:color w:val="auto"/>
        </w:rPr>
        <w:t>Section 2.06</w:t>
      </w:r>
      <w:r>
        <w:rPr>
          <w:rFonts w:ascii="Arial" w:cs="Arial" w:eastAsia="Arial" w:hAnsi="Arial"/>
          <w:sz w:val="19"/>
          <w:szCs w:val="19"/>
          <w:color w:val="auto"/>
        </w:rPr>
        <w:t>, all rights and privileges of such Grantor with respect to the securities and other property referred to in clauses (i), (ii), (iii) and (iv) above; and (vi) all Proceeds of, and Security Entitlements in, any of the foregoing (the items referred to in clauses (i) through (vi) above being collectively referred to as the “</w:t>
      </w:r>
      <w:r>
        <w:rPr>
          <w:rFonts w:ascii="Arial" w:cs="Arial" w:eastAsia="Arial" w:hAnsi="Arial"/>
          <w:sz w:val="19"/>
          <w:szCs w:val="19"/>
          <w:u w:val="single" w:color="auto"/>
          <w:color w:val="auto"/>
        </w:rPr>
        <w:t>Pledged Collateral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Pledged Collateral shall not include any Excluded Assets).</w:t>
      </w:r>
    </w:p>
    <w:p>
      <w:pPr>
        <w:spacing w:after="0" w:line="191"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TO HAVE AND TO HOLD the Pledged Collateral, together with all right, title, interest, powers, privileges and preferences pertaining or incidental thereto, unto the Collateral Agent, its successors and assigns, for the benefit of the applicable Secured Parties, forever; subject, however, to the terms, covenants and conditions hereinafter set forth.</w:t>
      </w:r>
    </w:p>
    <w:p>
      <w:pPr>
        <w:spacing w:after="0" w:line="200"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Delivery of the Pledged Collateral</w:t>
      </w:r>
      <w:r>
        <w:rPr>
          <w:rFonts w:ascii="Arial" w:cs="Arial" w:eastAsia="Arial" w:hAnsi="Arial"/>
          <w:sz w:val="18"/>
          <w:szCs w:val="18"/>
          <w:color w:val="auto"/>
        </w:rPr>
        <w:t xml:space="preserve">. (a) Each Grantor agrees promptly (or, if acquired after the date hereof, within 30 days after receipt thereof by such Grantor (or such longer period as the Collateral Agent may agree in its reasonable discretion)) to deliver or cause to be delivered to the Collateral Agent, for the benefit of the applicable Secured Parties, any and all Pledged Securities (other than any uncertificated securities, but only for so long as such securities remain uncertificated) to the extent such Pledged Securities, in the case of promissory notes and instruments evidencing Indebtedness, are required to be delivered pursuant to paragraph (b) of this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79" w:lineRule="exact"/>
        <w:rPr>
          <w:sz w:val="20"/>
          <w:szCs w:val="20"/>
          <w:color w:val="auto"/>
        </w:rPr>
      </w:pPr>
    </w:p>
    <w:p>
      <w:pPr>
        <w:jc w:val="both"/>
        <w:ind w:left="280" w:firstLine="646"/>
        <w:spacing w:after="0" w:line="278" w:lineRule="auto"/>
        <w:tabs>
          <w:tab w:leader="none" w:pos="1807" w:val="left"/>
        </w:tabs>
        <w:numPr>
          <w:ilvl w:val="0"/>
          <w:numId w:val="343"/>
        </w:numPr>
        <w:rPr>
          <w:rFonts w:ascii="Arial" w:cs="Arial" w:eastAsia="Arial" w:hAnsi="Arial"/>
          <w:sz w:val="20"/>
          <w:szCs w:val="20"/>
          <w:color w:val="auto"/>
        </w:rPr>
      </w:pPr>
      <w:r>
        <w:rPr>
          <w:rFonts w:ascii="Arial" w:cs="Arial" w:eastAsia="Arial" w:hAnsi="Arial"/>
          <w:sz w:val="20"/>
          <w:szCs w:val="20"/>
          <w:color w:val="auto"/>
        </w:rPr>
        <w:t>Each Grantor will cause any Indebtedness for borrowed money having an aggregate principal amount that is in excess of $5,000,000 owed to such Grantor by any Person to be evidenced by a duly executed promissory note to be pledged and delivered to the Collateral Agent, for the benefit of the applicable Secured Parties, pursuant to the terms hereof.</w:t>
      </w:r>
    </w:p>
    <w:p>
      <w:pPr>
        <w:spacing w:after="0" w:line="186" w:lineRule="exact"/>
        <w:rPr>
          <w:rFonts w:ascii="Arial" w:cs="Arial" w:eastAsia="Arial" w:hAnsi="Arial"/>
          <w:sz w:val="20"/>
          <w:szCs w:val="20"/>
          <w:color w:val="auto"/>
        </w:rPr>
      </w:pPr>
    </w:p>
    <w:p>
      <w:pPr>
        <w:jc w:val="both"/>
        <w:ind w:left="280" w:firstLine="646"/>
        <w:spacing w:after="0" w:line="271" w:lineRule="auto"/>
        <w:tabs>
          <w:tab w:leader="none" w:pos="1796" w:val="left"/>
        </w:tabs>
        <w:numPr>
          <w:ilvl w:val="0"/>
          <w:numId w:val="343"/>
        </w:numPr>
        <w:rPr>
          <w:rFonts w:ascii="Arial" w:cs="Arial" w:eastAsia="Arial" w:hAnsi="Arial"/>
          <w:sz w:val="20"/>
          <w:szCs w:val="20"/>
          <w:color w:val="auto"/>
        </w:rPr>
      </w:pPr>
      <w:r>
        <w:rPr>
          <w:rFonts w:ascii="Arial" w:cs="Arial" w:eastAsia="Arial" w:hAnsi="Arial"/>
          <w:sz w:val="20"/>
          <w:szCs w:val="20"/>
          <w:color w:val="auto"/>
        </w:rPr>
        <w:t xml:space="preserve">Upon delivery to the Collateral Agent, (i) any Pledged Securities shall be accompanied by stock powers duly executed in blank or other instruments of transfer reasonably satisfactory to the Collateral Agent and by such other instruments and documents as the Collateral Agent may reasonably request and (ii) all other property comprising part of the Pledged Collateral shall be accompanied by proper instruments of assignment (if appropriate) duly executed by the applicable Grantor and such other instruments or documents as the Collateral Agent may reasonably request. Each delivery of Pledged Securities shall be accompanied by a schedule describing the securities, which schedule shall be deemed to supplement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and made a part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failure to supplement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hereto shall not affect the validity of such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7" w:right="239" w:bottom="1440" w:gutter="0" w:footer="0" w:header="0"/>
        </w:sectPr>
      </w:pPr>
    </w:p>
    <w:bookmarkStart w:id="410" w:name="page411"/>
    <w:bookmarkEnd w:id="410"/>
    <w:p>
      <w:pPr>
        <w:ind w:left="280"/>
        <w:spacing w:after="0"/>
        <w:rPr>
          <w:sz w:val="20"/>
          <w:szCs w:val="20"/>
          <w:color w:val="auto"/>
        </w:rPr>
      </w:pPr>
      <w:r>
        <w:rPr>
          <w:rFonts w:ascii="Arial" w:cs="Arial" w:eastAsia="Arial" w:hAnsi="Arial"/>
          <w:sz w:val="20"/>
          <w:szCs w:val="20"/>
          <w:color w:val="auto"/>
        </w:rPr>
        <w:t>pledge of such Pledged Securities. Each schedule so delivered shall supplement any prior schedules so delivered.</w:t>
      </w:r>
    </w:p>
    <w:p>
      <w:pPr>
        <w:spacing w:after="0" w:line="229" w:lineRule="exact"/>
        <w:rPr>
          <w:sz w:val="20"/>
          <w:szCs w:val="20"/>
          <w:color w:val="auto"/>
        </w:rPr>
      </w:pPr>
    </w:p>
    <w:p>
      <w:pPr>
        <w:ind w:left="280" w:firstLine="648"/>
        <w:spacing w:after="0" w:line="28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Representations, Warranties and Covenants</w:t>
      </w:r>
      <w:r>
        <w:rPr>
          <w:rFonts w:ascii="Arial" w:cs="Arial" w:eastAsia="Arial" w:hAnsi="Arial"/>
          <w:sz w:val="19"/>
          <w:szCs w:val="19"/>
          <w:color w:val="auto"/>
        </w:rPr>
        <w:t>. Each Borrower jointly and severally represents, warrants and covenants, as to themselves and the other Grantors, to and with the Collateral Agent, for the benefit of the Secured Parties, that:</w:t>
      </w:r>
    </w:p>
    <w:p>
      <w:pPr>
        <w:spacing w:after="0" w:line="153" w:lineRule="exact"/>
        <w:rPr>
          <w:sz w:val="20"/>
          <w:szCs w:val="20"/>
          <w:color w:val="auto"/>
        </w:rPr>
      </w:pPr>
    </w:p>
    <w:p>
      <w:pPr>
        <w:jc w:val="both"/>
        <w:ind w:left="920" w:firstLine="655"/>
        <w:spacing w:after="0" w:line="244" w:lineRule="auto"/>
        <w:tabs>
          <w:tab w:leader="none" w:pos="1968" w:val="left"/>
        </w:tabs>
        <w:numPr>
          <w:ilvl w:val="0"/>
          <w:numId w:val="344"/>
        </w:numPr>
        <w:rPr>
          <w:rFonts w:ascii="Arial" w:cs="Arial" w:eastAsia="Arial" w:hAnsi="Arial"/>
          <w:sz w:val="20"/>
          <w:szCs w:val="20"/>
          <w:color w:val="auto"/>
        </w:rPr>
      </w:pP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or the supplement thereto, as applicable, correctly sets forth, as of the Closing Date and as of each date on which a supplement to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is delivered pursuant to </w:t>
      </w:r>
      <w:r>
        <w:rPr>
          <w:rFonts w:ascii="Arial" w:cs="Arial" w:eastAsia="Arial" w:hAnsi="Arial"/>
          <w:sz w:val="20"/>
          <w:szCs w:val="20"/>
          <w:u w:val="single" w:color="auto"/>
          <w:color w:val="auto"/>
        </w:rPr>
        <w:t>Section 2.02(c)</w:t>
      </w:r>
      <w:r>
        <w:rPr>
          <w:rFonts w:ascii="Arial" w:cs="Arial" w:eastAsia="Arial" w:hAnsi="Arial"/>
          <w:sz w:val="20"/>
          <w:szCs w:val="20"/>
          <w:color w:val="auto"/>
        </w:rPr>
        <w:t>, the percentage of the issued and outstanding units of each class of the Equity Interests of the issuer thereof represented by the Pledged Equity and includes all Equity Interests required to be pledged and all debt securities and promissory notes required to be pledged and delivered hereunder in order to satisfy the Collateral and Guarantee Requirement;</w:t>
      </w:r>
    </w:p>
    <w:p>
      <w:pPr>
        <w:spacing w:after="0" w:line="194" w:lineRule="exact"/>
        <w:rPr>
          <w:rFonts w:ascii="Arial" w:cs="Arial" w:eastAsia="Arial" w:hAnsi="Arial"/>
          <w:sz w:val="20"/>
          <w:szCs w:val="20"/>
          <w:color w:val="auto"/>
        </w:rPr>
      </w:pPr>
    </w:p>
    <w:p>
      <w:pPr>
        <w:jc w:val="both"/>
        <w:ind w:left="920" w:firstLine="655"/>
        <w:spacing w:after="0" w:line="243" w:lineRule="auto"/>
        <w:tabs>
          <w:tab w:leader="none" w:pos="2019" w:val="left"/>
        </w:tabs>
        <w:numPr>
          <w:ilvl w:val="0"/>
          <w:numId w:val="344"/>
        </w:numPr>
        <w:rPr>
          <w:rFonts w:ascii="Arial" w:cs="Arial" w:eastAsia="Arial" w:hAnsi="Arial"/>
          <w:sz w:val="20"/>
          <w:szCs w:val="20"/>
          <w:color w:val="auto"/>
        </w:rPr>
      </w:pPr>
      <w:r>
        <w:rPr>
          <w:rFonts w:ascii="Arial" w:cs="Arial" w:eastAsia="Arial" w:hAnsi="Arial"/>
          <w:sz w:val="20"/>
          <w:szCs w:val="20"/>
          <w:color w:val="auto"/>
        </w:rPr>
        <w:t>the Pledged Equity issued by OSI or a Subsidiary of the Company and Pledged Debt (solely with respect to Pledged Debt issued by a Person other than the Company or a Subsidiary of the Company, to the best of each Borrower’s knowledge) have been duly and validly authorized and issued by the issuers thereof and (i) in the case of Pledged Equity, are fully paid and nonassessable and (ii) in the case of Pledged Debt (solely with respect to Pledged Debt issued by a Person other than the Company or a Subsidiary of the Company, to the best of each Borrower’s knowledge), are legal, valid and binding obligations of the issuers thereof;</w:t>
      </w:r>
    </w:p>
    <w:p>
      <w:pPr>
        <w:spacing w:after="0" w:line="210" w:lineRule="exact"/>
        <w:rPr>
          <w:rFonts w:ascii="Arial" w:cs="Arial" w:eastAsia="Arial" w:hAnsi="Arial"/>
          <w:sz w:val="20"/>
          <w:szCs w:val="20"/>
          <w:color w:val="auto"/>
        </w:rPr>
      </w:pPr>
    </w:p>
    <w:p>
      <w:pPr>
        <w:jc w:val="both"/>
        <w:ind w:left="920" w:firstLine="655"/>
        <w:spacing w:after="0" w:line="256" w:lineRule="auto"/>
        <w:tabs>
          <w:tab w:leader="none" w:pos="2035" w:val="left"/>
        </w:tabs>
        <w:numPr>
          <w:ilvl w:val="0"/>
          <w:numId w:val="344"/>
        </w:numPr>
        <w:rPr>
          <w:rFonts w:ascii="Arial" w:cs="Arial" w:eastAsia="Arial" w:hAnsi="Arial"/>
          <w:sz w:val="19"/>
          <w:szCs w:val="19"/>
          <w:color w:val="auto"/>
        </w:rPr>
      </w:pPr>
      <w:r>
        <w:rPr>
          <w:rFonts w:ascii="Arial" w:cs="Arial" w:eastAsia="Arial" w:hAnsi="Arial"/>
          <w:sz w:val="19"/>
          <w:szCs w:val="19"/>
          <w:color w:val="auto"/>
        </w:rPr>
        <w:t xml:space="preserve">except for the security interests granted hereunder, each of the Grantors (i) is and, subject to any transfers made in compliance with the Credit Agreement, will continue to be the direct owner, beneficially and of record, of the Pledged Securities indicated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as owned by such Grantors, (ii) holds the same free and clear of all Liens, other than (A) Liens created by the Collateral Documents and (B) Liens expressly permitted pursuant to Section 7.01 of the Credit Agreement, (iii) will make no assignment, pledge, hypothecation or transfer of, or create or permit to exist any security interest in or other Lien on, the Pledged Collateral, other than transfers made in accordance with the Credit Agreement and (A) Liens created by the Collateral Documents and (B) Liens expressly permitted pursuant to Section 7.01 of the Credit Agreement, and (iv) will defend its title or interest thereto or therein against any and all Liens (other than the Liens permitted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however arising, of all Persons whomsoever;</w:t>
      </w:r>
    </w:p>
    <w:p>
      <w:pPr>
        <w:spacing w:after="0" w:line="198" w:lineRule="exact"/>
        <w:rPr>
          <w:rFonts w:ascii="Arial" w:cs="Arial" w:eastAsia="Arial" w:hAnsi="Arial"/>
          <w:sz w:val="19"/>
          <w:szCs w:val="19"/>
          <w:color w:val="auto"/>
        </w:rPr>
      </w:pPr>
    </w:p>
    <w:p>
      <w:pPr>
        <w:jc w:val="both"/>
        <w:ind w:left="920" w:firstLine="655"/>
        <w:spacing w:after="0" w:line="274" w:lineRule="auto"/>
        <w:tabs>
          <w:tab w:leader="none" w:pos="2006" w:val="left"/>
        </w:tabs>
        <w:numPr>
          <w:ilvl w:val="0"/>
          <w:numId w:val="344"/>
        </w:numPr>
        <w:rPr>
          <w:rFonts w:ascii="Arial" w:cs="Arial" w:eastAsia="Arial" w:hAnsi="Arial"/>
          <w:sz w:val="18"/>
          <w:szCs w:val="18"/>
          <w:color w:val="auto"/>
        </w:rPr>
      </w:pPr>
      <w:r>
        <w:rPr>
          <w:rFonts w:ascii="Arial" w:cs="Arial" w:eastAsia="Arial" w:hAnsi="Arial"/>
          <w:sz w:val="18"/>
          <w:szCs w:val="18"/>
          <w:color w:val="auto"/>
        </w:rPr>
        <w:t>except for (i) restrictions and limitations imposed by the Loan Documents or securities laws generally, (ii) in the case of Pledged Equity of Persons that are not Subsidiaries, transfer restrictions that exist at the time of acquisition of such Equity Interests and (iii) as described in the Perfection Certificate, the Pledged Collateral is and will continue to be freely transferable and assignable, and none of the Pledged Collateral is or will be subject to any option, right of first refusal, shareholders agreement, charter or by-law provisions or contractual restriction of any nature that might prohibit, impair, delay or otherwise affect in any manner material and adverse to the Secured Parties the pledge of such Pledged Collateral hereunder, the sale or disposition thereof pursuant hereto or the exercise by the Collateral Agent of rights and remedies hereunder;</w:t>
      </w:r>
    </w:p>
    <w:p>
      <w:pPr>
        <w:spacing w:after="0" w:line="169" w:lineRule="exact"/>
        <w:rPr>
          <w:rFonts w:ascii="Arial" w:cs="Arial" w:eastAsia="Arial" w:hAnsi="Arial"/>
          <w:sz w:val="18"/>
          <w:szCs w:val="18"/>
          <w:color w:val="auto"/>
        </w:rPr>
      </w:pPr>
    </w:p>
    <w:p>
      <w:pPr>
        <w:ind w:left="920" w:right="20" w:firstLine="655"/>
        <w:spacing w:after="0" w:line="260" w:lineRule="auto"/>
        <w:tabs>
          <w:tab w:leader="none" w:pos="2062" w:val="left"/>
        </w:tabs>
        <w:numPr>
          <w:ilvl w:val="0"/>
          <w:numId w:val="344"/>
        </w:numPr>
        <w:rPr>
          <w:rFonts w:ascii="Arial" w:cs="Arial" w:eastAsia="Arial" w:hAnsi="Arial"/>
          <w:sz w:val="20"/>
          <w:szCs w:val="20"/>
          <w:color w:val="auto"/>
        </w:rPr>
      </w:pPr>
      <w:r>
        <w:rPr>
          <w:rFonts w:ascii="Arial" w:cs="Arial" w:eastAsia="Arial" w:hAnsi="Arial"/>
          <w:sz w:val="20"/>
          <w:szCs w:val="20"/>
          <w:color w:val="auto"/>
        </w:rPr>
        <w:t>each of the Grantors has the power and authority to pledge the Pledged Collateral pledged by it hereunder in the manner hereby done or contemplated;</w:t>
      </w:r>
    </w:p>
    <w:p>
      <w:pPr>
        <w:spacing w:after="0" w:line="258" w:lineRule="exact"/>
        <w:rPr>
          <w:rFonts w:ascii="Arial" w:cs="Arial" w:eastAsia="Arial" w:hAnsi="Arial"/>
          <w:sz w:val="20"/>
          <w:szCs w:val="20"/>
          <w:color w:val="auto"/>
        </w:rPr>
      </w:pPr>
    </w:p>
    <w:p>
      <w:pPr>
        <w:ind w:left="920" w:right="20" w:firstLine="655"/>
        <w:spacing w:after="0" w:line="316" w:lineRule="auto"/>
        <w:tabs>
          <w:tab w:leader="none" w:pos="209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consent or approval of any Governmental Authority, any securities exchange or any other Person was or is necessary to the validity of the pledge effected hereby (other than such as have been obtained and are in full force and effect);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1" w:name="page412"/>
    <w:bookmarkEnd w:id="411"/>
    <w:p>
      <w:pPr>
        <w:jc w:val="both"/>
        <w:ind w:left="920" w:firstLine="655"/>
        <w:spacing w:after="0" w:line="263" w:lineRule="auto"/>
        <w:tabs>
          <w:tab w:leader="none" w:pos="2006" w:val="left"/>
        </w:tabs>
        <w:numPr>
          <w:ilvl w:val="0"/>
          <w:numId w:val="345"/>
        </w:numPr>
        <w:rPr>
          <w:rFonts w:ascii="Arial" w:cs="Arial" w:eastAsia="Arial" w:hAnsi="Arial"/>
          <w:sz w:val="19"/>
          <w:szCs w:val="19"/>
          <w:color w:val="auto"/>
        </w:rPr>
      </w:pPr>
      <w:r>
        <w:rPr>
          <w:rFonts w:ascii="Arial" w:cs="Arial" w:eastAsia="Arial" w:hAnsi="Arial"/>
          <w:sz w:val="19"/>
          <w:szCs w:val="19"/>
          <w:color w:val="auto"/>
        </w:rPr>
        <w:t>by virtue of the execution and delivery by the Grantors of this Agreement, when any Pledged Securities are delivered to the Collateral Agent in accordance with this Agreement, the Collateral Agent will obtain a legal, valid and first-priority perfected lien upon and security interest in such Pledged Securities as security for the payment and performance of the Secured Obligations, subject only to any Lien permitted pursuant to Section 7.01 of the Credit Agreement; and</w:t>
      </w:r>
    </w:p>
    <w:p>
      <w:pPr>
        <w:spacing w:after="0" w:line="190" w:lineRule="exact"/>
        <w:rPr>
          <w:rFonts w:ascii="Arial" w:cs="Arial" w:eastAsia="Arial" w:hAnsi="Arial"/>
          <w:sz w:val="19"/>
          <w:szCs w:val="19"/>
          <w:color w:val="auto"/>
        </w:rPr>
      </w:pPr>
    </w:p>
    <w:p>
      <w:pPr>
        <w:ind w:left="920" w:firstLine="655"/>
        <w:spacing w:after="0" w:line="260" w:lineRule="auto"/>
        <w:tabs>
          <w:tab w:leader="none" w:pos="1992" w:val="left"/>
        </w:tabs>
        <w:numPr>
          <w:ilvl w:val="0"/>
          <w:numId w:val="345"/>
        </w:numPr>
        <w:rPr>
          <w:rFonts w:ascii="Arial" w:cs="Arial" w:eastAsia="Arial" w:hAnsi="Arial"/>
          <w:sz w:val="20"/>
          <w:szCs w:val="20"/>
          <w:color w:val="auto"/>
        </w:rPr>
      </w:pPr>
      <w:r>
        <w:rPr>
          <w:rFonts w:ascii="Arial" w:cs="Arial" w:eastAsia="Arial" w:hAnsi="Arial"/>
          <w:sz w:val="20"/>
          <w:szCs w:val="20"/>
          <w:color w:val="auto"/>
        </w:rPr>
        <w:t>the pledge effected hereby is effective to vest in the Collateral Agent, for the benefit of the Secured Parties, the rights of the Collateral Agent in the Pledged Collateral as set forth herein.</w:t>
      </w:r>
    </w:p>
    <w:p>
      <w:pPr>
        <w:spacing w:after="0" w:line="190" w:lineRule="exact"/>
        <w:rPr>
          <w:sz w:val="20"/>
          <w:szCs w:val="20"/>
          <w:color w:val="auto"/>
        </w:rPr>
      </w:pPr>
    </w:p>
    <w:p>
      <w:pPr>
        <w:jc w:val="both"/>
        <w:ind w:left="280" w:right="20" w:firstLine="648"/>
        <w:spacing w:after="0" w:line="278" w:lineRule="auto"/>
        <w:rPr>
          <w:sz w:val="20"/>
          <w:szCs w:val="20"/>
          <w:color w:val="auto"/>
        </w:rPr>
      </w:pPr>
      <w:r>
        <w:rPr>
          <w:rFonts w:ascii="Arial" w:cs="Arial" w:eastAsia="Arial" w:hAnsi="Arial"/>
          <w:sz w:val="18"/>
          <w:szCs w:val="18"/>
          <w:color w:val="auto"/>
        </w:rPr>
        <w:t xml:space="preserve">Notwithstanding anything to the contrary in this Agreement, to the extent any provision of this Agreement or the Credit Agreement excludes any assets from the scope of the Pledged Collateral, or from any requirement to take any action to perfect any security interest in favor of the Administrative Agent in the Pledged Collateral, the representations, warranties and covenants made by any relevant Grantor in this Agreement with respect to the creation, perfection or priority (as applicable) of the security interest granted in favor of the Administrative Agent (including, without limitation, this </w:t>
      </w:r>
      <w:r>
        <w:rPr>
          <w:rFonts w:ascii="Arial" w:cs="Arial" w:eastAsia="Arial" w:hAnsi="Arial"/>
          <w:sz w:val="18"/>
          <w:szCs w:val="18"/>
          <w:u w:val="single" w:color="auto"/>
          <w:color w:val="auto"/>
        </w:rPr>
        <w:t>Section 2.03</w:t>
      </w:r>
      <w:r>
        <w:rPr>
          <w:rFonts w:ascii="Arial" w:cs="Arial" w:eastAsia="Arial" w:hAnsi="Arial"/>
          <w:sz w:val="18"/>
          <w:szCs w:val="18"/>
          <w:color w:val="auto"/>
        </w:rPr>
        <w:t>) shall be deemed not to apply to such excluded assets.</w:t>
      </w:r>
    </w:p>
    <w:p>
      <w:pPr>
        <w:spacing w:after="0" w:line="179" w:lineRule="exact"/>
        <w:rPr>
          <w:sz w:val="20"/>
          <w:szCs w:val="20"/>
          <w:color w:val="auto"/>
        </w:rPr>
      </w:pPr>
    </w:p>
    <w:p>
      <w:pPr>
        <w:jc w:val="both"/>
        <w:ind w:left="280" w:firstLine="648"/>
        <w:spacing w:after="0" w:line="241"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Certification of Limited Liability Company and Limited Partnership Interests</w:t>
      </w:r>
      <w:r>
        <w:rPr>
          <w:rFonts w:ascii="Arial" w:cs="Arial" w:eastAsia="Arial" w:hAnsi="Arial"/>
          <w:sz w:val="20"/>
          <w:szCs w:val="20"/>
          <w:color w:val="auto"/>
        </w:rPr>
        <w:t xml:space="preserve">. No interest in any limited liability company or limited partnership controlled by any Grantor that constitutes Pledged Equity (x) shall be represented by a certificate unless (i) the limited liability company agreement or partnership agreement expressly provides that such interests shall be a “security” within the meaning of Article 8 of the UCC of the applicable jurisdiction, and (ii) such certificate shall be delivered to the Collateral Agent in accordance with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or (y) shall, in the case of any limited liability company or limited partnership that is a Wholly Owned Subsidiary of any Grantor, be an uncertificated “security” within the meaning of Article 8 of the UCC of the applicable jurisdiction unless a control agreement, in form and substance reasonably satisfactory to the Collateral Agent, has been executed and delivered by the relevant Grantor and the issuer of such interests to the Collateral Agent within 30 days from the date hereof or if such interest is acquired after the date hereof, within 30 days from the date of such acquisition (or such longer period as the Collateral Agent may agree in its reasonable discretion).</w:t>
      </w:r>
    </w:p>
    <w:p>
      <w:pPr>
        <w:spacing w:after="0" w:line="216"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in Nominee Name; Denominations</w:t>
      </w:r>
      <w:r>
        <w:rPr>
          <w:rFonts w:ascii="Arial" w:cs="Arial" w:eastAsia="Arial" w:hAnsi="Arial"/>
          <w:sz w:val="18"/>
          <w:szCs w:val="18"/>
          <w:color w:val="auto"/>
        </w:rPr>
        <w:t xml:space="preserve">. If an Event of Default shall occur and be continuing and the Collateral Agent shall give the Company notice of its intent to exercise such rights, (a) the Collateral Agent, on behalf of the Secured Parties, shall have the right (in its sole and absolute discretion) to hold the Pledged Securities in its own name as pledgee, the name of its nominee (as pledgee or as sub-agent) or the name of the applicable Grantor, endorsed or assigned in blank or in favor of the Collateral Agent and each Grantor will promptly give to the Collateral Agent copies of any notices or other communications received by it with respect to Pledged Securities registered in the name of such Grantor and (b) the Collateral Agent shall have the right to exchange the certificates representing Pledged Securities for certificates of smaller or larger denominations for any purpose consistent with this Agreement and, in the case of Pledged Securities of persons that are not Subsidiaries, to the extent permitted by the documentation governing such Pledged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if a Bankruptcy Event of Default shall have occurred and be continuing, the Collateral Agent shall not be required to give the notice referred to above in order to exercise the rights described above.</w:t>
      </w:r>
    </w:p>
    <w:p>
      <w:pPr>
        <w:spacing w:after="0" w:line="26"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Voting Rights; Dividends and Interest</w:t>
      </w:r>
      <w:r>
        <w:rPr>
          <w:rFonts w:ascii="Arial" w:cs="Arial" w:eastAsia="Arial" w:hAnsi="Arial"/>
          <w:sz w:val="18"/>
          <w:szCs w:val="18"/>
          <w:color w:val="auto"/>
        </w:rPr>
        <w:t xml:space="preserve">. (a) Unless and until an Event of Default shall have occurred and be continuing and the Collateral Agent shall have notified the Company that the rights of the Grantors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are being suspended:</w:t>
      </w:r>
    </w:p>
    <w:p>
      <w:pPr>
        <w:spacing w:after="0" w:line="117" w:lineRule="exact"/>
        <w:rPr>
          <w:sz w:val="20"/>
          <w:szCs w:val="20"/>
          <w:color w:val="auto"/>
        </w:rPr>
      </w:pPr>
    </w:p>
    <w:p>
      <w:pPr>
        <w:ind w:left="920" w:firstLine="655"/>
        <w:spacing w:after="0" w:line="260" w:lineRule="auto"/>
        <w:tabs>
          <w:tab w:leader="none" w:pos="1976" w:val="left"/>
        </w:tabs>
        <w:numPr>
          <w:ilvl w:val="0"/>
          <w:numId w:val="346"/>
        </w:numPr>
        <w:rPr>
          <w:rFonts w:ascii="Arial" w:cs="Arial" w:eastAsia="Arial" w:hAnsi="Arial"/>
          <w:sz w:val="20"/>
          <w:szCs w:val="20"/>
          <w:color w:val="auto"/>
        </w:rPr>
      </w:pPr>
      <w:r>
        <w:rPr>
          <w:rFonts w:ascii="Arial" w:cs="Arial" w:eastAsia="Arial" w:hAnsi="Arial"/>
          <w:sz w:val="20"/>
          <w:szCs w:val="20"/>
          <w:color w:val="auto"/>
        </w:rPr>
        <w:t>Each Grantor shall be entitled to exercise any and all voting and/or other consensual rights and powers inuring to an owner of Pledged Securities or any part thereof for any purpose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582" w:right="239" w:bottom="1440" w:gutter="0" w:footer="0" w:header="0"/>
        </w:sectPr>
      </w:pPr>
    </w:p>
    <w:bookmarkStart w:id="412" w:name="page413"/>
    <w:bookmarkEnd w:id="412"/>
    <w:p>
      <w:pPr>
        <w:jc w:val="both"/>
        <w:ind w:left="920"/>
        <w:spacing w:after="0" w:line="282" w:lineRule="auto"/>
        <w:rPr>
          <w:sz w:val="20"/>
          <w:szCs w:val="20"/>
          <w:color w:val="auto"/>
        </w:rPr>
      </w:pPr>
      <w:r>
        <w:rPr>
          <w:rFonts w:ascii="Arial" w:cs="Arial" w:eastAsia="Arial" w:hAnsi="Arial"/>
          <w:sz w:val="18"/>
          <w:szCs w:val="18"/>
          <w:color w:val="auto"/>
        </w:rPr>
        <w:t xml:space="preserve">consistent with the terms of this Agreement, the Credit Agreement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rights and powers shall not be exercised in any manner that could materially and adversely affect the rights inuring to a holder of any Pledged Securities or the rights and remedies of any of the Collateral Agent or the other Secured Parties under this Agreement, the Credit Agreement or any other Secured Credit Document or the ability of the Secured Parties to exercise the same.</w:t>
      </w:r>
    </w:p>
    <w:p>
      <w:pPr>
        <w:spacing w:after="0" w:line="162" w:lineRule="exact"/>
        <w:rPr>
          <w:sz w:val="20"/>
          <w:szCs w:val="20"/>
          <w:color w:val="auto"/>
        </w:rPr>
      </w:pPr>
    </w:p>
    <w:p>
      <w:pPr>
        <w:jc w:val="both"/>
        <w:ind w:left="920" w:firstLine="655"/>
        <w:spacing w:after="0" w:line="246" w:lineRule="auto"/>
        <w:tabs>
          <w:tab w:leader="none" w:pos="1990" w:val="left"/>
        </w:tabs>
        <w:numPr>
          <w:ilvl w:val="1"/>
          <w:numId w:val="347"/>
        </w:numPr>
        <w:rPr>
          <w:rFonts w:ascii="Arial" w:cs="Arial" w:eastAsia="Arial" w:hAnsi="Arial"/>
          <w:sz w:val="20"/>
          <w:szCs w:val="20"/>
          <w:color w:val="auto"/>
        </w:rPr>
      </w:pPr>
      <w:r>
        <w:rPr>
          <w:rFonts w:ascii="Arial" w:cs="Arial" w:eastAsia="Arial" w:hAnsi="Arial"/>
          <w:sz w:val="20"/>
          <w:szCs w:val="20"/>
          <w:color w:val="auto"/>
        </w:rPr>
        <w:t>The Collateral Agent shall promptly (after reasonable advance notice) execute and deliver to each Grantor, or cause to be executed and delivered to such Grantor, all such proxies, powers of attorney and other instruments as such Grantor may reasonably request for the purpose of enabling such Grantor to exercise the voting and/or consensual rights and powers it is entitled to exercise pursuant to subparagraph (i) above.</w:t>
      </w:r>
    </w:p>
    <w:p>
      <w:pPr>
        <w:spacing w:after="0" w:line="191" w:lineRule="exact"/>
        <w:rPr>
          <w:rFonts w:ascii="Arial" w:cs="Arial" w:eastAsia="Arial" w:hAnsi="Arial"/>
          <w:sz w:val="20"/>
          <w:szCs w:val="20"/>
          <w:color w:val="auto"/>
        </w:rPr>
      </w:pPr>
    </w:p>
    <w:p>
      <w:pPr>
        <w:jc w:val="both"/>
        <w:ind w:left="920" w:firstLine="655"/>
        <w:spacing w:after="0" w:line="270" w:lineRule="auto"/>
        <w:tabs>
          <w:tab w:leader="none" w:pos="2099"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Each Grantor shall be entitled to receive and retain any and all dividends, interest, principal and other distributions paid on or distributed in respect of the Pledged Securities, to the extent (and only to the extent) that such dividends, interest, principal and other distributions are permitted by, and otherwise paid or distributed in accordance with, the terms and conditions of the Credit Agreement, the other Loan Documents and applicable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noncash dividends, interest, principal or other distributions that would constitute Pledged Equity or Pledged Debt, whether resulting from a subdivision, combination or reclassification of the outstanding Equity Interests of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not be commingled by such Grantor with any of its other funds or property but shall be held separate and apart therefrom, shall be held in trust for the benefit of the Collateral Agent and the applicable Secured Parties and shall be forthwith delivered to the Collateral Agent in the same form as so received (with any necessary endorsement reasonably requested by the Collateral Agent). So long as no Default or Event of Default has occurred and is continuing, the Collateral Agent shall promptly deliver to each Grantor any Pledged Securities in its possession if requested to be delivered to the issuer thereof in connection with any exchange or redemption of such Pledged Securities in accordance with this </w:t>
      </w:r>
      <w:r>
        <w:rPr>
          <w:rFonts w:ascii="Arial" w:cs="Arial" w:eastAsia="Arial" w:hAnsi="Arial"/>
          <w:sz w:val="18"/>
          <w:szCs w:val="18"/>
          <w:u w:val="single" w:color="auto"/>
          <w:color w:val="auto"/>
        </w:rPr>
        <w:t>Section 2.06(a)(iii)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80" w:firstLine="646"/>
        <w:spacing w:after="0" w:line="284" w:lineRule="auto"/>
        <w:tabs>
          <w:tab w:leader="none" w:pos="1807"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after the Collateral Agent shall have notified the Company of the suspension of the rights of the Grantors under paragraph (a)(iii)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then all rights of any Grantor to dividends, interest, principal or other distributions that such Grantor is authorized to receive pursuant to paragraph (a)(iii)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w:t>
      </w:r>
      <w:r>
        <w:rPr>
          <w:rFonts w:ascii="Arial" w:cs="Arial" w:eastAsia="Arial" w:hAnsi="Arial"/>
          <w:sz w:val="19"/>
          <w:szCs w:val="19"/>
          <w:color w:val="auto"/>
        </w:rPr>
        <w:t xml:space="preserve">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be held in trust for the benefit of the Collateral Agent, shall be segregated from other property or funds of such Grantor and shall be forthwith delivered to the Collateral Agent upon demand in the same form as so received (with any necessary endorsement reasonably requested by the Collateral Agent).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After all Events of Default have been cured or waived, the Collateral Agent shall promptly repay to each Grantor (without interest) all dividends, interest, principal or other distributions that such Grantor would otherwise be permitted to retain pursuant to the terms of paragraph (a)(iii)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in the absence of an Event of Default and that remain in such account.</w:t>
      </w:r>
    </w:p>
    <w:p>
      <w:pPr>
        <w:spacing w:after="0" w:line="188" w:lineRule="exact"/>
        <w:rPr>
          <w:rFonts w:ascii="Arial" w:cs="Arial" w:eastAsia="Arial" w:hAnsi="Arial"/>
          <w:sz w:val="19"/>
          <w:szCs w:val="19"/>
          <w:color w:val="auto"/>
        </w:rPr>
      </w:pPr>
    </w:p>
    <w:p>
      <w:pPr>
        <w:ind w:left="280" w:firstLine="646"/>
        <w:spacing w:after="0" w:line="289" w:lineRule="auto"/>
        <w:tabs>
          <w:tab w:leader="none" w:pos="1796" w:val="left"/>
        </w:tabs>
        <w:numPr>
          <w:ilvl w:val="0"/>
          <w:numId w:val="348"/>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 Event of Default, after the Collateral Agent shall have notified the Company of the suspension of the rights of the Grantors under paragraph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6" w:right="239" w:bottom="1440" w:gutter="0" w:footer="0" w:header="0"/>
        </w:sectPr>
      </w:pPr>
    </w:p>
    <w:bookmarkStart w:id="413" w:name="page414"/>
    <w:bookmarkEnd w:id="413"/>
    <w:p>
      <w:pPr>
        <w:jc w:val="both"/>
        <w:ind w:left="280" w:hanging="2"/>
        <w:spacing w:after="0" w:line="297" w:lineRule="auto"/>
        <w:tabs>
          <w:tab w:leader="none" w:pos="53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then all rights of any Grantor to exercise the voting and consensual rights and powers it is entitled to exercise pursuant to paragraph (a)(i)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the obligations of the Collateral Agent under paragraph (a)(ii) of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otherwise directed by the Required Lenders, the Collateral Agent shall have the right from time to time following and during the continuance of an Event of Default to permit the Grantors to exercise such rights. After all Events of Default have been cured or waived, each Grantor shall have the exclusive right to exercise the voting and/or consensual rights and powers that such Grantor would otherwise be entitled to exercise pursuant to the terms of paragraph (a)</w:t>
      </w:r>
    </w:p>
    <w:p>
      <w:pPr>
        <w:spacing w:after="0" w:line="3" w:lineRule="exact"/>
        <w:rPr>
          <w:rFonts w:ascii="Arial" w:cs="Arial" w:eastAsia="Arial" w:hAnsi="Arial"/>
          <w:sz w:val="18"/>
          <w:szCs w:val="18"/>
          <w:color w:val="auto"/>
        </w:rPr>
      </w:pPr>
    </w:p>
    <w:p>
      <w:pPr>
        <w:ind w:left="520" w:hanging="242"/>
        <w:spacing w:after="0"/>
        <w:tabs>
          <w:tab w:leader="none" w:pos="52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 xml:space="preserve">above, and the obligations of the Collateral Agent under paragraph (a)(ii) of this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shall be reinstated.</w:t>
      </w:r>
    </w:p>
    <w:p>
      <w:pPr>
        <w:spacing w:after="0" w:line="242" w:lineRule="exact"/>
        <w:rPr>
          <w:rFonts w:ascii="Arial" w:cs="Arial" w:eastAsia="Arial" w:hAnsi="Arial"/>
          <w:sz w:val="20"/>
          <w:szCs w:val="20"/>
          <w:color w:val="auto"/>
        </w:rPr>
      </w:pPr>
    </w:p>
    <w:p>
      <w:pPr>
        <w:jc w:val="both"/>
        <w:ind w:left="280" w:firstLine="646"/>
        <w:spacing w:after="0" w:line="286" w:lineRule="auto"/>
        <w:tabs>
          <w:tab w:leader="none" w:pos="1807" w:val="left"/>
        </w:tabs>
        <w:numPr>
          <w:ilvl w:val="1"/>
          <w:numId w:val="350"/>
        </w:numPr>
        <w:rPr>
          <w:rFonts w:ascii="Arial" w:cs="Arial" w:eastAsia="Arial" w:hAnsi="Arial"/>
          <w:sz w:val="19"/>
          <w:szCs w:val="19"/>
          <w:color w:val="auto"/>
        </w:rPr>
      </w:pPr>
      <w:r>
        <w:rPr>
          <w:rFonts w:ascii="Arial" w:cs="Arial" w:eastAsia="Arial" w:hAnsi="Arial"/>
          <w:sz w:val="19"/>
          <w:szCs w:val="19"/>
          <w:color w:val="auto"/>
        </w:rPr>
        <w:t xml:space="preserve">Any notice given by the Collateral Agent to the Company suspending the rights of the Grantors under paragraph (a) of this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(i) shall be given in writing, (ii) may be given with respect to one or more of the Grantors at the same or different times and (iii) may suspend the rights of the Grantors under paragraph (a)(i) or paragraph (a)(iii)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 Notwithstanding anything to the contrary contained in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if a Bankruptcy Event of Default shall have occurred and be continuing, the Collateral Agent shall not be required to give any notice referred to in said Section in order to exercise any of its rights described in such Section, and the suspension of the rights of each of the Grantors under each such Section shall be automatic upon the occurrence of such Bankruptcy Event of Default.</w:t>
      </w:r>
    </w:p>
    <w:p>
      <w:pPr>
        <w:spacing w:after="0" w:line="182"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Collateral Agent Not a Partner or Limited Liability Company Member</w:t>
      </w:r>
      <w:r>
        <w:rPr>
          <w:rFonts w:ascii="Arial" w:cs="Arial" w:eastAsia="Arial" w:hAnsi="Arial"/>
          <w:sz w:val="18"/>
          <w:szCs w:val="18"/>
          <w:color w:val="auto"/>
        </w:rPr>
        <w:t>. Nothing contained in this Agreement shall be construed to make the Collateral Agent or any other Secured Party liable as a member of any limited liability company or as a partner of any partnership and neither the Collateral Agent nor any other Secured Party by virtue of this Agreement or otherwise (except as referred to in the following sentence) shall have any of the duties, obligations or liabilities of a member of any limited liability company or as a partner in any partnership. The parties hereto expressly agree that, unless the Collateral Agent shall become the absolute owner of Pledged Equity consisting of a limited liability company interest or a partnership interest pursuant hereto, this Agreement shall not be construed as creating a partnership or joint venture among the Collateral Agent, any other Secured Party, any Grantor and/or any other Person.</w:t>
      </w:r>
    </w:p>
    <w:p>
      <w:pPr>
        <w:spacing w:after="0" w:line="183" w:lineRule="exact"/>
        <w:rPr>
          <w:sz w:val="20"/>
          <w:szCs w:val="20"/>
          <w:color w:val="auto"/>
        </w:rPr>
      </w:pPr>
    </w:p>
    <w:p>
      <w:pPr>
        <w:jc w:val="center"/>
        <w:ind w:left="128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0"/>
          <w:szCs w:val="20"/>
          <w:u w:val="single" w:color="auto"/>
          <w:color w:val="auto"/>
        </w:rPr>
        <w:t>Security Interests in Personal Property</w:t>
      </w:r>
    </w:p>
    <w:p>
      <w:pPr>
        <w:spacing w:after="0" w:line="200" w:lineRule="exact"/>
        <w:rPr>
          <w:sz w:val="20"/>
          <w:szCs w:val="20"/>
          <w:color w:val="auto"/>
        </w:rPr>
      </w:pPr>
    </w:p>
    <w:p>
      <w:pPr>
        <w:spacing w:after="0" w:line="232" w:lineRule="exact"/>
        <w:rPr>
          <w:sz w:val="20"/>
          <w:szCs w:val="20"/>
          <w:color w:val="auto"/>
        </w:rPr>
      </w:pPr>
    </w:p>
    <w:p>
      <w:pPr>
        <w:ind w:left="280" w:right="20" w:firstLine="648"/>
        <w:spacing w:after="0" w:line="243"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Security Interest</w:t>
      </w:r>
      <w:r>
        <w:rPr>
          <w:rFonts w:ascii="Arial" w:cs="Arial" w:eastAsia="Arial" w:hAnsi="Arial"/>
          <w:sz w:val="20"/>
          <w:szCs w:val="20"/>
          <w:color w:val="auto"/>
        </w:rPr>
        <w:t>. (a) As security for the payment or performance, as the case may be, in full of the Secured Obligations, including each Guaranty, each Grantor hereby assigns and pledges to the Collateral Agent, its successors and assigns, for the benefit of the Secured Parties, and hereby grants to the Collateral Agent, its successors and assigns, for the benefit of the Secured Parties, a security interest (the “</w:t>
      </w:r>
      <w:r>
        <w:rPr>
          <w:rFonts w:ascii="Arial" w:cs="Arial" w:eastAsia="Arial" w:hAnsi="Arial"/>
          <w:sz w:val="20"/>
          <w:szCs w:val="20"/>
          <w:u w:val="single" w:color="auto"/>
          <w:color w:val="auto"/>
        </w:rPr>
        <w:t>Security Interest</w:t>
      </w:r>
      <w:r>
        <w:rPr>
          <w:rFonts w:ascii="Arial" w:cs="Arial" w:eastAsia="Arial" w:hAnsi="Arial"/>
          <w:sz w:val="20"/>
          <w:szCs w:val="20"/>
          <w:color w:val="auto"/>
        </w:rPr>
        <w:t>”) in, all right, title or interest in or to any and all of the following assets and properties now owned or at any time hereafter acquired by such Grantor or in which such Grantor now has or at any time in the future may acquire any right, title or interest (collectively, the “</w:t>
      </w:r>
      <w:r>
        <w:rPr>
          <w:rFonts w:ascii="Arial" w:cs="Arial" w:eastAsia="Arial" w:hAnsi="Arial"/>
          <w:sz w:val="20"/>
          <w:szCs w:val="20"/>
          <w:u w:val="single" w:color="auto"/>
          <w:color w:val="auto"/>
        </w:rPr>
        <w:t>Article 9 Collateral</w:t>
      </w:r>
      <w:r>
        <w:rPr>
          <w:rFonts w:ascii="Arial" w:cs="Arial" w:eastAsia="Arial" w:hAnsi="Arial"/>
          <w:sz w:val="20"/>
          <w:szCs w:val="20"/>
          <w:color w:val="auto"/>
        </w:rPr>
        <w:t>”):</w:t>
      </w:r>
    </w:p>
    <w:p>
      <w:pPr>
        <w:spacing w:after="0" w:line="196" w:lineRule="exact"/>
        <w:rPr>
          <w:sz w:val="20"/>
          <w:szCs w:val="20"/>
          <w:color w:val="auto"/>
        </w:rPr>
      </w:pPr>
    </w:p>
    <w:p>
      <w:pPr>
        <w:ind w:left="2380" w:hanging="805"/>
        <w:spacing w:after="0"/>
        <w:tabs>
          <w:tab w:leader="none" w:pos="238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all Accounts;</w:t>
      </w:r>
    </w:p>
    <w:p>
      <w:pPr>
        <w:spacing w:after="0" w:line="229" w:lineRule="exact"/>
        <w:rPr>
          <w:rFonts w:ascii="Arial" w:cs="Arial" w:eastAsia="Arial" w:hAnsi="Arial"/>
          <w:sz w:val="20"/>
          <w:szCs w:val="20"/>
          <w:color w:val="auto"/>
        </w:rPr>
      </w:pPr>
    </w:p>
    <w:p>
      <w:pPr>
        <w:ind w:left="2200" w:hanging="625"/>
        <w:spacing w:after="0"/>
        <w:tabs>
          <w:tab w:leader="none" w:pos="2200" w:val="left"/>
        </w:tabs>
        <w:numPr>
          <w:ilvl w:val="0"/>
          <w:numId w:val="351"/>
        </w:numPr>
        <w:rPr>
          <w:rFonts w:ascii="Arial" w:cs="Arial" w:eastAsia="Arial" w:hAnsi="Arial"/>
          <w:sz w:val="20"/>
          <w:szCs w:val="20"/>
          <w:color w:val="auto"/>
        </w:rPr>
      </w:pPr>
      <w:r>
        <w:rPr>
          <w:rFonts w:ascii="Arial" w:cs="Arial" w:eastAsia="Arial" w:hAnsi="Arial"/>
          <w:sz w:val="20"/>
          <w:szCs w:val="20"/>
          <w:color w:val="auto"/>
        </w:rPr>
        <w:t>all Chattel Paper;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4" w:name="page415"/>
    <w:bookmarkEnd w:id="414"/>
    <w:p>
      <w:pPr>
        <w:ind w:left="2500" w:hanging="925"/>
        <w:spacing w:after="0"/>
        <w:tabs>
          <w:tab w:leader="none" w:pos="25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Documents;</w:t>
      </w:r>
    </w:p>
    <w:p>
      <w:pPr>
        <w:spacing w:after="0" w:line="242" w:lineRule="exact"/>
        <w:rPr>
          <w:rFonts w:ascii="Arial" w:cs="Arial" w:eastAsia="Arial" w:hAnsi="Arial"/>
          <w:sz w:val="20"/>
          <w:szCs w:val="20"/>
          <w:color w:val="auto"/>
        </w:rPr>
      </w:pPr>
    </w:p>
    <w:p>
      <w:pPr>
        <w:ind w:left="2480" w:hanging="905"/>
        <w:spacing w:after="0"/>
        <w:tabs>
          <w:tab w:leader="none" w:pos="248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Equipment;</w:t>
      </w:r>
    </w:p>
    <w:p>
      <w:pPr>
        <w:spacing w:after="0" w:line="242" w:lineRule="exact"/>
        <w:rPr>
          <w:rFonts w:ascii="Arial" w:cs="Arial" w:eastAsia="Arial" w:hAnsi="Arial"/>
          <w:sz w:val="20"/>
          <w:szCs w:val="20"/>
          <w:color w:val="auto"/>
        </w:rPr>
      </w:pPr>
    </w:p>
    <w:p>
      <w:pPr>
        <w:ind w:left="2420" w:hanging="845"/>
        <w:spacing w:after="0"/>
        <w:tabs>
          <w:tab w:leader="none" w:pos="242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General Intangibles;</w:t>
      </w:r>
    </w:p>
    <w:p>
      <w:pPr>
        <w:spacing w:after="0" w:line="242" w:lineRule="exact"/>
        <w:rPr>
          <w:rFonts w:ascii="Arial" w:cs="Arial" w:eastAsia="Arial" w:hAnsi="Arial"/>
          <w:sz w:val="20"/>
          <w:szCs w:val="20"/>
          <w:color w:val="auto"/>
        </w:rPr>
      </w:pPr>
    </w:p>
    <w:p>
      <w:pPr>
        <w:ind w:left="2480" w:hanging="905"/>
        <w:spacing w:after="0"/>
        <w:tabs>
          <w:tab w:leader="none" w:pos="248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Instruments;</w:t>
      </w:r>
    </w:p>
    <w:p>
      <w:pPr>
        <w:spacing w:after="0" w:line="229"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Inventory;</w:t>
      </w:r>
    </w:p>
    <w:p>
      <w:pPr>
        <w:spacing w:after="0" w:line="215"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Intellectual Property Collateral;</w:t>
      </w:r>
    </w:p>
    <w:p>
      <w:pPr>
        <w:spacing w:after="0" w:line="215"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Investment Property;</w:t>
      </w:r>
    </w:p>
    <w:p>
      <w:pPr>
        <w:spacing w:after="0" w:line="215"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books and records pertaining to the Article 9 Collateral;</w:t>
      </w:r>
    </w:p>
    <w:p>
      <w:pPr>
        <w:spacing w:after="0" w:line="215"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Goods and Fixtures;</w:t>
      </w:r>
    </w:p>
    <w:p>
      <w:pPr>
        <w:spacing w:after="0" w:line="215" w:lineRule="exact"/>
        <w:rPr>
          <w:rFonts w:ascii="Arial" w:cs="Arial" w:eastAsia="Arial" w:hAnsi="Arial"/>
          <w:sz w:val="20"/>
          <w:szCs w:val="20"/>
          <w:color w:val="auto"/>
        </w:rPr>
      </w:pPr>
    </w:p>
    <w:p>
      <w:pPr>
        <w:ind w:left="2200" w:hanging="625"/>
        <w:spacing w:after="0"/>
        <w:tabs>
          <w:tab w:leader="none" w:pos="22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Letter-of-Credit Rights;</w:t>
      </w:r>
    </w:p>
    <w:p>
      <w:pPr>
        <w:spacing w:after="0" w:line="229" w:lineRule="exact"/>
        <w:rPr>
          <w:rFonts w:ascii="Arial" w:cs="Arial" w:eastAsia="Arial" w:hAnsi="Arial"/>
          <w:sz w:val="20"/>
          <w:szCs w:val="20"/>
          <w:color w:val="auto"/>
        </w:rPr>
      </w:pPr>
    </w:p>
    <w:p>
      <w:pPr>
        <w:ind w:left="2600" w:hanging="1025"/>
        <w:spacing w:after="0"/>
        <w:tabs>
          <w:tab w:leader="none" w:pos="260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 xml:space="preserve">all Commercial Tort Claims described on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from time to time;</w:t>
      </w:r>
    </w:p>
    <w:p>
      <w:pPr>
        <w:spacing w:after="0" w:line="242" w:lineRule="exact"/>
        <w:rPr>
          <w:rFonts w:ascii="Arial" w:cs="Arial" w:eastAsia="Arial" w:hAnsi="Arial"/>
          <w:sz w:val="20"/>
          <w:szCs w:val="20"/>
          <w:color w:val="auto"/>
        </w:rPr>
      </w:pPr>
    </w:p>
    <w:p>
      <w:pPr>
        <w:ind w:left="2580" w:hanging="1005"/>
        <w:spacing w:after="0"/>
        <w:tabs>
          <w:tab w:leader="none" w:pos="258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the Cash Collateral Account (and all cash, securities and other investments deposited therein);</w:t>
      </w:r>
    </w:p>
    <w:p>
      <w:pPr>
        <w:spacing w:after="0" w:line="256" w:lineRule="exact"/>
        <w:rPr>
          <w:rFonts w:ascii="Arial" w:cs="Arial" w:eastAsia="Arial" w:hAnsi="Arial"/>
          <w:sz w:val="20"/>
          <w:szCs w:val="20"/>
          <w:color w:val="auto"/>
        </w:rPr>
      </w:pPr>
    </w:p>
    <w:p>
      <w:pPr>
        <w:ind w:left="2520" w:hanging="945"/>
        <w:spacing w:after="0"/>
        <w:tabs>
          <w:tab w:leader="none" w:pos="252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Supporting Obligations;</w:t>
      </w:r>
    </w:p>
    <w:p>
      <w:pPr>
        <w:spacing w:after="0" w:line="242" w:lineRule="exact"/>
        <w:rPr>
          <w:rFonts w:ascii="Arial" w:cs="Arial" w:eastAsia="Arial" w:hAnsi="Arial"/>
          <w:sz w:val="20"/>
          <w:szCs w:val="20"/>
          <w:color w:val="auto"/>
        </w:rPr>
      </w:pPr>
    </w:p>
    <w:p>
      <w:pPr>
        <w:ind w:left="2580" w:hanging="1005"/>
        <w:spacing w:after="0"/>
        <w:tabs>
          <w:tab w:leader="none" w:pos="2580" w:val="left"/>
        </w:tabs>
        <w:numPr>
          <w:ilvl w:val="2"/>
          <w:numId w:val="352"/>
        </w:numPr>
        <w:rPr>
          <w:rFonts w:ascii="Arial" w:cs="Arial" w:eastAsia="Arial" w:hAnsi="Arial"/>
          <w:sz w:val="20"/>
          <w:szCs w:val="20"/>
          <w:color w:val="auto"/>
        </w:rPr>
      </w:pPr>
      <w:r>
        <w:rPr>
          <w:rFonts w:ascii="Arial" w:cs="Arial" w:eastAsia="Arial" w:hAnsi="Arial"/>
          <w:sz w:val="20"/>
          <w:szCs w:val="20"/>
          <w:color w:val="auto"/>
        </w:rPr>
        <w:t>all Security Entitlements in any or all of the foregoing; and</w:t>
      </w:r>
    </w:p>
    <w:p>
      <w:pPr>
        <w:spacing w:after="0" w:line="242" w:lineRule="exact"/>
        <w:rPr>
          <w:rFonts w:ascii="Arial" w:cs="Arial" w:eastAsia="Arial" w:hAnsi="Arial"/>
          <w:sz w:val="20"/>
          <w:szCs w:val="20"/>
          <w:color w:val="auto"/>
        </w:rPr>
      </w:pPr>
    </w:p>
    <w:p>
      <w:pPr>
        <w:jc w:val="both"/>
        <w:ind w:left="920" w:firstLine="655"/>
        <w:spacing w:after="0" w:line="274" w:lineRule="auto"/>
        <w:tabs>
          <w:tab w:leader="none" w:pos="2656" w:val="left"/>
        </w:tabs>
        <w:numPr>
          <w:ilvl w:val="2"/>
          <w:numId w:val="352"/>
        </w:numPr>
        <w:rPr>
          <w:rFonts w:ascii="Arial" w:cs="Arial" w:eastAsia="Arial" w:hAnsi="Arial"/>
          <w:sz w:val="20"/>
          <w:szCs w:val="20"/>
          <w:color w:val="auto"/>
        </w:rPr>
      </w:pPr>
      <w:r>
        <w:rPr>
          <w:rFonts w:ascii="Arial" w:cs="Arial" w:eastAsia="Arial" w:hAnsi="Arial"/>
          <w:sz w:val="20"/>
          <w:szCs w:val="20"/>
          <w:color w:val="auto"/>
        </w:rPr>
        <w:t xml:space="preserve">to the extent not otherwise included, all Proceeds and products of any and all of the foregoing and all collateral security and guarantees given by any Person with respect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in this Agreement, Article 9 Collateral shall not include any, and no Security Interest shall be granted in any, Excluded Assets.</w:t>
      </w:r>
    </w:p>
    <w:p>
      <w:pPr>
        <w:spacing w:after="0" w:line="205" w:lineRule="exact"/>
        <w:rPr>
          <w:rFonts w:ascii="Arial" w:cs="Arial" w:eastAsia="Arial" w:hAnsi="Arial"/>
          <w:sz w:val="20"/>
          <w:szCs w:val="20"/>
          <w:color w:val="auto"/>
        </w:rPr>
      </w:pPr>
    </w:p>
    <w:p>
      <w:pPr>
        <w:jc w:val="both"/>
        <w:ind w:left="280" w:firstLine="646"/>
        <w:spacing w:after="0" w:line="297" w:lineRule="auto"/>
        <w:tabs>
          <w:tab w:leader="none" w:pos="1807" w:val="left"/>
        </w:tabs>
        <w:numPr>
          <w:ilvl w:val="1"/>
          <w:numId w:val="353"/>
        </w:numPr>
        <w:rPr>
          <w:rFonts w:ascii="Arial" w:cs="Arial" w:eastAsia="Arial" w:hAnsi="Arial"/>
          <w:sz w:val="18"/>
          <w:szCs w:val="18"/>
          <w:color w:val="auto"/>
        </w:rPr>
      </w:pPr>
      <w:r>
        <w:rPr>
          <w:rFonts w:ascii="Arial" w:cs="Arial" w:eastAsia="Arial" w:hAnsi="Arial"/>
          <w:sz w:val="18"/>
          <w:szCs w:val="18"/>
          <w:color w:val="auto"/>
        </w:rPr>
        <w:t>Each Grantor hereby irrevocably authorizes the Collateral Agent for the benefit of the Secured Parties at any time and from time to time to file in any relevant jurisdiction any initial financing statements (including fixture filings) with respect to the Article 9 Collateral or any part thereof and amendments thereto that (i) indicate the Collateral as all assets of such Grantor or words of similar effect as being of an equal or lesser scope or with greater detail, and (ii) contain the information required by Article 9 of the Uniform Commercial Code or the analogous legislation of each applicable jurisdiction for the filing of any financing statement or amendment, including (A) whether such Grantor is an organization, the type of organization and any organizational identification number issued to such Grantor and</w:t>
      </w:r>
    </w:p>
    <w:p>
      <w:pPr>
        <w:spacing w:after="0" w:line="2" w:lineRule="exact"/>
        <w:rPr>
          <w:rFonts w:ascii="Arial" w:cs="Arial" w:eastAsia="Arial" w:hAnsi="Arial"/>
          <w:sz w:val="18"/>
          <w:szCs w:val="18"/>
          <w:color w:val="auto"/>
        </w:rPr>
      </w:pPr>
    </w:p>
    <w:p>
      <w:pPr>
        <w:ind w:left="280" w:hanging="2"/>
        <w:spacing w:after="0" w:line="289" w:lineRule="auto"/>
        <w:tabs>
          <w:tab w:leader="none" w:pos="593" w:val="left"/>
        </w:tabs>
        <w:numPr>
          <w:ilvl w:val="0"/>
          <w:numId w:val="354"/>
        </w:numPr>
        <w:rPr>
          <w:rFonts w:ascii="Arial" w:cs="Arial" w:eastAsia="Arial" w:hAnsi="Arial"/>
          <w:sz w:val="20"/>
          <w:szCs w:val="20"/>
          <w:color w:val="auto"/>
        </w:rPr>
      </w:pPr>
      <w:r>
        <w:rPr>
          <w:rFonts w:ascii="Arial" w:cs="Arial" w:eastAsia="Arial" w:hAnsi="Arial"/>
          <w:sz w:val="20"/>
          <w:szCs w:val="20"/>
          <w:color w:val="auto"/>
        </w:rPr>
        <w:t>in the case of a financing statement filed as a fixture filing, a sufficient description of the real property to which such Article 9 Collateral relates. Each Grantor agrees to provide such information to the Collateral Agent promptly upon request.</w:t>
      </w:r>
    </w:p>
    <w:p>
      <w:pPr>
        <w:spacing w:after="0" w:line="175" w:lineRule="exact"/>
        <w:rPr>
          <w:rFonts w:ascii="Arial" w:cs="Arial" w:eastAsia="Arial" w:hAnsi="Arial"/>
          <w:sz w:val="20"/>
          <w:szCs w:val="20"/>
          <w:color w:val="auto"/>
        </w:rPr>
      </w:pPr>
    </w:p>
    <w:p>
      <w:pPr>
        <w:ind w:left="280" w:firstLine="646"/>
        <w:spacing w:after="0" w:line="316" w:lineRule="auto"/>
        <w:tabs>
          <w:tab w:leader="none" w:pos="1796" w:val="left"/>
        </w:tabs>
        <w:numPr>
          <w:ilvl w:val="1"/>
          <w:numId w:val="354"/>
        </w:numPr>
        <w:rPr>
          <w:rFonts w:ascii="Arial" w:cs="Arial" w:eastAsia="Arial" w:hAnsi="Arial"/>
          <w:sz w:val="19"/>
          <w:szCs w:val="19"/>
          <w:color w:val="auto"/>
        </w:rPr>
      </w:pPr>
      <w:r>
        <w:rPr>
          <w:rFonts w:ascii="Arial" w:cs="Arial" w:eastAsia="Arial" w:hAnsi="Arial"/>
          <w:sz w:val="19"/>
          <w:szCs w:val="19"/>
          <w:color w:val="auto"/>
        </w:rPr>
        <w:t>The Security Interest is granted as security only and shall not subject the Collateral Agent or any other Secured Party to, or in any way alter or modify, any obligation or liability of any Grantor with respect to or arising out of the Article 9 Collateral.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80" w:right="239" w:bottom="1440" w:gutter="0" w:footer="0" w:header="0"/>
        </w:sectPr>
      </w:pPr>
    </w:p>
    <w:bookmarkStart w:id="415" w:name="page416"/>
    <w:bookmarkEnd w:id="415"/>
    <w:p>
      <w:pPr>
        <w:jc w:val="both"/>
        <w:ind w:left="280" w:firstLine="646"/>
        <w:spacing w:after="0" w:line="273" w:lineRule="auto"/>
        <w:tabs>
          <w:tab w:leader="none" w:pos="1807" w:val="left"/>
        </w:tabs>
        <w:numPr>
          <w:ilvl w:val="0"/>
          <w:numId w:val="355"/>
        </w:numPr>
        <w:rPr>
          <w:rFonts w:ascii="Arial" w:cs="Arial" w:eastAsia="Arial" w:hAnsi="Arial"/>
          <w:sz w:val="20"/>
          <w:szCs w:val="20"/>
          <w:color w:val="auto"/>
        </w:rPr>
      </w:pPr>
      <w:r>
        <w:rPr>
          <w:rFonts w:ascii="Arial" w:cs="Arial" w:eastAsia="Arial" w:hAnsi="Arial"/>
          <w:sz w:val="20"/>
          <w:szCs w:val="20"/>
          <w:color w:val="auto"/>
        </w:rPr>
        <w:t>Each Grantor hereby further authorizes the Collateral Agent to file filings with the United States Patent and Trademark Office or United States Copyright Office (or any successor office), including the Trademark Security Agreement, Copyright Security Agreement, and Patent Security Agreement or other documents as may be necessary or advisable for the purpose of perfecting, confirming, continuing, enforcing or protecting the security interest granted by such Grantor hereunder, without the signature of such Grantor, and naming such Grantor, as debtor, and the Collateral Agent, as secured party.</w:t>
      </w:r>
    </w:p>
    <w:p>
      <w:pPr>
        <w:spacing w:after="0" w:line="178"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Borrower jointly and severally represents and warrants, as to themselves and the other Grantors, to the Collateral Agent and the Secured Parties that:</w:t>
      </w:r>
    </w:p>
    <w:p>
      <w:pPr>
        <w:spacing w:after="0" w:line="190" w:lineRule="exact"/>
        <w:rPr>
          <w:sz w:val="20"/>
          <w:szCs w:val="20"/>
          <w:color w:val="auto"/>
        </w:rPr>
      </w:pPr>
    </w:p>
    <w:p>
      <w:pPr>
        <w:jc w:val="both"/>
        <w:ind w:left="920" w:firstLine="655"/>
        <w:spacing w:after="0" w:line="273" w:lineRule="auto"/>
        <w:tabs>
          <w:tab w:leader="none" w:pos="2436" w:val="left"/>
        </w:tabs>
        <w:numPr>
          <w:ilvl w:val="0"/>
          <w:numId w:val="356"/>
        </w:numPr>
        <w:rPr>
          <w:rFonts w:ascii="Arial" w:cs="Arial" w:eastAsia="Arial" w:hAnsi="Arial"/>
          <w:sz w:val="20"/>
          <w:szCs w:val="20"/>
          <w:color w:val="auto"/>
        </w:rPr>
      </w:pPr>
      <w:r>
        <w:rPr>
          <w:rFonts w:ascii="Arial" w:cs="Arial" w:eastAsia="Arial" w:hAnsi="Arial"/>
          <w:sz w:val="20"/>
          <w:szCs w:val="20"/>
          <w:color w:val="auto"/>
        </w:rPr>
        <w:t>Subject to Liens permitted by Section 7.01 of the Credit Agreement, each Grantor has good and valid rights in and title to the Article 9 Collateral with respect to which it has purported to grant a Security Interest hereunder and has full power and authority to grant to the Collateral Agent the Security Interest in such Article 9 Collateral pursuant hereto and to execute, deliver and perform its obligations in accordance with the terms of this Agreement, without the consent or approval of any other Person other than any consent or approval that has been obtained.</w:t>
      </w:r>
    </w:p>
    <w:p>
      <w:pPr>
        <w:spacing w:after="0" w:line="204" w:lineRule="exact"/>
        <w:rPr>
          <w:rFonts w:ascii="Arial" w:cs="Arial" w:eastAsia="Arial" w:hAnsi="Arial"/>
          <w:sz w:val="20"/>
          <w:szCs w:val="20"/>
          <w:color w:val="auto"/>
        </w:rPr>
      </w:pPr>
    </w:p>
    <w:p>
      <w:pPr>
        <w:jc w:val="both"/>
        <w:ind w:left="920" w:firstLine="655"/>
        <w:spacing w:after="0" w:line="299" w:lineRule="auto"/>
        <w:tabs>
          <w:tab w:leader="none" w:pos="244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The Perfection Certificate has been duly prepared, completed, executed and delivered to the Collateral Agent and the information set forth therein, including the exact legal name of each Grantor, is correct and complete in all material aspects as of the Closing Date. The Uniform Commercial Code financing statements (including fixture filings, as applicable) or other appropriate filings, recordings or registrations prepared by the Collateral Agent based upon the information provided to the Collateral Agent in the Perfection Certificate for filing in each governmental, municipal or other office specified in Schedule 4 to the Perfection Certificate (or specified by notice from the applicable Grantor to the Collateral Agent after the Closing Date in the case of filings, recordings or registrations required by Section 6.11 of the Credit Agreement), are all the filings, recordings and registrations that are necessary to establish a legal, valid and perfected security interest in favor of the Collateral Agent (for the benefit of the Secured Parties) in respect of all Article 9 Collateral in which the Security Interest may be perfected by filing, recording or registration in the United States (or any political subdivision thereof) and its territories and possessions, and no further or subsequent filing, refiling, recording, rerecording, registration or reregistration is necessary in any such jurisdiction, except as provided under applicable Law with respect to the filing of continuation statements. Each Grantor represents and warrants that fully executed agreements in the form of </w:t>
      </w:r>
      <w:r>
        <w:rPr>
          <w:rFonts w:ascii="Arial" w:cs="Arial" w:eastAsia="Arial" w:hAnsi="Arial"/>
          <w:sz w:val="18"/>
          <w:szCs w:val="18"/>
          <w:u w:val="single" w:color="auto"/>
          <w:color w:val="auto"/>
        </w:rPr>
        <w:t>Exhibit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IV</w:t>
      </w:r>
      <w:r>
        <w:rPr>
          <w:rFonts w:ascii="Arial" w:cs="Arial" w:eastAsia="Arial" w:hAnsi="Arial"/>
          <w:sz w:val="18"/>
          <w:szCs w:val="18"/>
          <w:color w:val="auto"/>
        </w:rPr>
        <w:t xml:space="preserve"> hereof and containing a description of all Collateral consisting of Intellectual Property with respect to United States Patents and United States registered Trademarks (and Trademarks for which United States registration applications are pending) and United States registered Copyrights have been delivered to the Collateral Agent for recording by the United States Patent and Trademark Office and the United States Copyright Office pursuant to 35 U.S.C. § 261, 15 ;U.S.C.§ 1060 or 17 U.S.C. § 205 and the regulations thereunder, as applicable, and otherwise as may be required pursuant to the laws of any other necessary jurisdiction, to protect the validity of and to establish a legal, valid and perfected security interest in favor of the Collateral Agent (for the benefit of the Secured Parties) in respect of all Collateral consisting of Patents, Trademarks and Copyrights in which a security interest may be perfected by filing, recording or registration in the United States (or any political subdivision thereof) and its territories and possessions, and no further or subsequent filing, refiling, recording, rerecording, registration or reregistration is necessary (other than such actions as are necessary to perfect the Security Interest with respect to any Collateral consisting of Patents, Trademarks and Copyrights (or registration or application for registration thereof) acquired or developed after the date hereof).</w:t>
      </w:r>
    </w:p>
    <w:p>
      <w:pPr>
        <w:spacing w:after="0" w:line="185" w:lineRule="exact"/>
        <w:rPr>
          <w:rFonts w:ascii="Arial" w:cs="Arial" w:eastAsia="Arial" w:hAnsi="Arial"/>
          <w:sz w:val="18"/>
          <w:szCs w:val="18"/>
          <w:color w:val="auto"/>
        </w:rPr>
      </w:pPr>
    </w:p>
    <w:p>
      <w:pPr>
        <w:ind w:left="920" w:firstLine="655"/>
        <w:spacing w:after="0" w:line="289" w:lineRule="auto"/>
        <w:tabs>
          <w:tab w:leader="none" w:pos="2436"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Security Interest constitutes (i) a legal and valid security interest in all the Article 9 Collateral securing the payment and performance of the Secured Obligations, (ii) subject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6" w:name="page417"/>
    <w:bookmarkEnd w:id="416"/>
    <w:p>
      <w:pPr>
        <w:jc w:val="both"/>
        <w:ind w:left="920"/>
        <w:spacing w:after="0" w:line="285" w:lineRule="auto"/>
        <w:rPr>
          <w:sz w:val="20"/>
          <w:szCs w:val="20"/>
          <w:color w:val="auto"/>
        </w:rPr>
      </w:pPr>
      <w:r>
        <w:rPr>
          <w:rFonts w:ascii="Arial" w:cs="Arial" w:eastAsia="Arial" w:hAnsi="Arial"/>
          <w:sz w:val="19"/>
          <w:szCs w:val="19"/>
          <w:color w:val="auto"/>
        </w:rPr>
        <w:t xml:space="preserve">to the filings described in </w:t>
      </w:r>
      <w:r>
        <w:rPr>
          <w:rFonts w:ascii="Arial" w:cs="Arial" w:eastAsia="Arial" w:hAnsi="Arial"/>
          <w:sz w:val="19"/>
          <w:szCs w:val="19"/>
          <w:u w:val="single" w:color="auto"/>
          <w:color w:val="auto"/>
        </w:rPr>
        <w:t>Section 3.02(b)</w:t>
      </w:r>
      <w:r>
        <w:rPr>
          <w:rFonts w:ascii="Arial" w:cs="Arial" w:eastAsia="Arial" w:hAnsi="Arial"/>
          <w:sz w:val="19"/>
          <w:szCs w:val="19"/>
          <w:color w:val="auto"/>
        </w:rPr>
        <w:t>, a perfected security interest in all Article 9 Collateral in which a security interest may be perfected by filing, recording or registering a financing statement or analogous document in the United States (or any political subdivision thereof) and its territories and possessions pursuant to the Uniform Commercial Code and (iii) a security interest that shall be perfected in all Collateral in which a security interest may be perfected upon the receipt and recording of this Agreement with the United States Patent and Trademark Office and the United States Copyright Office, as applicable, within the three-month period (commencing as of the date hereof) pursuant to 35 U.S.C. § 261 or 15 U.S.C. § 1060 or the one- month period (commencing as of the date hereof) pursuant to 17 U.S.C. § 205 and otherwise as may be required pursuant to the laws of any other necessary jurisdiction. The Security Interest is and shall be prior to any other Lien on any of the Article 9 Collateral, other than (i) any Lien that is expressly permitted pursuant to Section 7.01 of the Credit Agreement and has priority as a matter of law and (ii) Liens expressly permitted pursuant to Section 7.01 of the Credit Agreement.</w:t>
      </w:r>
    </w:p>
    <w:p>
      <w:pPr>
        <w:spacing w:after="0" w:line="188" w:lineRule="exact"/>
        <w:rPr>
          <w:sz w:val="20"/>
          <w:szCs w:val="20"/>
          <w:color w:val="auto"/>
        </w:rPr>
      </w:pPr>
    </w:p>
    <w:p>
      <w:pPr>
        <w:jc w:val="both"/>
        <w:ind w:left="920" w:firstLine="655"/>
        <w:spacing w:after="0" w:line="297" w:lineRule="auto"/>
        <w:tabs>
          <w:tab w:leader="none" w:pos="2447"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Article 9 Collateral is owned by the Grantors free and clear of any Lien, except for Liens expressly permitted pursuant to Section 7.01 of the Credit Agreement. None of the Grantors has filed or consented to the filing of (i) any financing statement or analogous document under the Uniform Commercial Code or any other applicable Laws covering any Article 9 Collateral, (ii) any assignment in which any Grantor assigns any Article 9 Collateral or any security agreement or similar instrument covering any Collateral with the United States Patent and Trademark Office or the United States Copyright Office, or</w:t>
      </w:r>
    </w:p>
    <w:p>
      <w:pPr>
        <w:spacing w:after="0" w:line="2" w:lineRule="exact"/>
        <w:rPr>
          <w:rFonts w:ascii="Arial" w:cs="Arial" w:eastAsia="Arial" w:hAnsi="Arial"/>
          <w:sz w:val="18"/>
          <w:szCs w:val="18"/>
          <w:color w:val="auto"/>
        </w:rPr>
      </w:pPr>
    </w:p>
    <w:p>
      <w:pPr>
        <w:jc w:val="both"/>
        <w:ind w:left="920" w:firstLine="6"/>
        <w:spacing w:after="0" w:line="274" w:lineRule="auto"/>
        <w:tabs>
          <w:tab w:leader="none" w:pos="1271" w:val="left"/>
        </w:tabs>
        <w:numPr>
          <w:ilvl w:val="0"/>
          <w:numId w:val="358"/>
        </w:numPr>
        <w:rPr>
          <w:rFonts w:ascii="Arial" w:cs="Arial" w:eastAsia="Arial" w:hAnsi="Arial"/>
          <w:sz w:val="20"/>
          <w:szCs w:val="20"/>
          <w:color w:val="auto"/>
        </w:rPr>
      </w:pPr>
      <w:r>
        <w:rPr>
          <w:rFonts w:ascii="Arial" w:cs="Arial" w:eastAsia="Arial" w:hAnsi="Arial"/>
          <w:sz w:val="20"/>
          <w:szCs w:val="20"/>
          <w:color w:val="auto"/>
        </w:rPr>
        <w:t>any assignment in which any Grantor assigns any Article 9 Collateral or any security agreement or similar instrument covering any Article 9 Collateral with any foreign governmental, municipal or other office, which financing statement or analogous document, assignment, security agreement or similar instrument is still in effect, except, in each case, for Liens expressly permitted pursuant to Section 7.01 of the Credit Agreement.</w:t>
      </w:r>
    </w:p>
    <w:p>
      <w:pPr>
        <w:spacing w:after="0" w:line="192" w:lineRule="exact"/>
        <w:rPr>
          <w:rFonts w:ascii="Arial" w:cs="Arial" w:eastAsia="Arial" w:hAnsi="Arial"/>
          <w:sz w:val="20"/>
          <w:szCs w:val="20"/>
          <w:color w:val="auto"/>
        </w:rPr>
      </w:pPr>
    </w:p>
    <w:p>
      <w:pPr>
        <w:ind w:left="920" w:right="20" w:firstLine="655"/>
        <w:spacing w:after="0" w:line="289" w:lineRule="auto"/>
        <w:tabs>
          <w:tab w:leader="none" w:pos="2436" w:val="left"/>
        </w:tabs>
        <w:numPr>
          <w:ilvl w:val="1"/>
          <w:numId w:val="358"/>
        </w:numPr>
        <w:rPr>
          <w:rFonts w:ascii="Arial" w:cs="Arial" w:eastAsia="Arial" w:hAnsi="Arial"/>
          <w:sz w:val="20"/>
          <w:szCs w:val="20"/>
          <w:color w:val="auto"/>
        </w:rPr>
      </w:pPr>
      <w:r>
        <w:rPr>
          <w:rFonts w:ascii="Arial" w:cs="Arial" w:eastAsia="Arial" w:hAnsi="Arial"/>
          <w:sz w:val="20"/>
          <w:szCs w:val="20"/>
          <w:color w:val="auto"/>
        </w:rPr>
        <w:t xml:space="preserve">All Commercial Tort Claims of each Grantor in existence on the date of this Agreement (or on the date upon which such Grantor becomes a party to this Agreement) are described on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w:t>
      </w:r>
    </w:p>
    <w:p>
      <w:pPr>
        <w:spacing w:after="0" w:line="162"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Covenants</w:t>
      </w:r>
      <w:r>
        <w:rPr>
          <w:rFonts w:ascii="Arial" w:cs="Arial" w:eastAsia="Arial" w:hAnsi="Arial"/>
          <w:sz w:val="19"/>
          <w:szCs w:val="19"/>
          <w:color w:val="auto"/>
        </w:rPr>
        <w:t>. (a) The Borrowers agree to promptly notify the Collateral Agent in writing of any change (i) in the legal name of any Grantor, (ii) in the identity or type of organization or corporate structure of any Grantor, (iii) in the jurisdiction of organization of any Grantor, (iv) in the location of any Grantor (determined in accordance with Section 9-307 of the UCC) or (v) in the organizational identification number of any Grantor. In addition, if any Grantor does not have an organizational identification number on the Closing Date (or the date such Grantor becomes a party to this Agreement) and later obtains one, the Company shall promptly thereafter notify the Collateral Agent of such organizational identification number and shall take all actions reasonably satisfactory to the Collateral Agent to the extent necessary to maintain the security interests (and the priority thereof) of the Collateral Agent in the Collateral intended to be granted hereby fully perfected and in full force and effect.</w:t>
      </w:r>
    </w:p>
    <w:p>
      <w:pPr>
        <w:spacing w:after="0" w:line="195" w:lineRule="exact"/>
        <w:rPr>
          <w:sz w:val="20"/>
          <w:szCs w:val="20"/>
          <w:color w:val="auto"/>
        </w:rPr>
      </w:pPr>
    </w:p>
    <w:p>
      <w:pPr>
        <w:jc w:val="both"/>
        <w:ind w:left="280" w:firstLine="646"/>
        <w:spacing w:after="0" w:line="297" w:lineRule="auto"/>
        <w:tabs>
          <w:tab w:leader="none" w:pos="180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 xml:space="preserve">Each Grantor shall, at its own expense, take any and all commercially reasonable actions necessary to defend title to the Article 9 Collateral against all Persons and to defend the Security Interest of the Collateral Agent in the Article 9 Collateral and the priority thereof against any Lien not expressly permitted pursuant to Section 7.01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prevent any Grantor from discontinuing the operation or maintenance of any of its assets or properties if such discontinuance is both</w:t>
      </w:r>
    </w:p>
    <w:p>
      <w:pPr>
        <w:spacing w:after="0" w:line="1" w:lineRule="exact"/>
        <w:rPr>
          <w:rFonts w:ascii="Arial" w:cs="Arial" w:eastAsia="Arial" w:hAnsi="Arial"/>
          <w:sz w:val="18"/>
          <w:szCs w:val="18"/>
          <w:color w:val="auto"/>
        </w:rPr>
      </w:pPr>
    </w:p>
    <w:p>
      <w:pPr>
        <w:ind w:left="560" w:hanging="282"/>
        <w:spacing w:after="0"/>
        <w:tabs>
          <w:tab w:leader="none" w:pos="5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determined by such Grantor in good faith to be desirable in the conduct of its business and (y) is permitted by the Credit Agreement.</w:t>
      </w:r>
    </w:p>
    <w:p>
      <w:pPr>
        <w:spacing w:after="0" w:line="279" w:lineRule="exact"/>
        <w:rPr>
          <w:rFonts w:ascii="Arial" w:cs="Arial" w:eastAsia="Arial" w:hAnsi="Arial"/>
          <w:sz w:val="18"/>
          <w:szCs w:val="18"/>
          <w:color w:val="auto"/>
        </w:rPr>
      </w:pPr>
    </w:p>
    <w:p>
      <w:pPr>
        <w:ind w:left="280" w:right="20" w:firstLine="646"/>
        <w:spacing w:after="0" w:line="289" w:lineRule="auto"/>
        <w:tabs>
          <w:tab w:leader="none" w:pos="1796" w:val="left"/>
        </w:tabs>
        <w:numPr>
          <w:ilvl w:val="1"/>
          <w:numId w:val="360"/>
        </w:numPr>
        <w:rPr>
          <w:rFonts w:ascii="Arial" w:cs="Arial" w:eastAsia="Arial" w:hAnsi="Arial"/>
          <w:sz w:val="20"/>
          <w:szCs w:val="20"/>
          <w:color w:val="auto"/>
        </w:rPr>
      </w:pPr>
      <w:r>
        <w:rPr>
          <w:rFonts w:ascii="Arial" w:cs="Arial" w:eastAsia="Arial" w:hAnsi="Arial"/>
          <w:sz w:val="20"/>
          <w:szCs w:val="20"/>
          <w:color w:val="auto"/>
        </w:rPr>
        <w:t>Each year, at the time of delivery of annual financial statements with respect to the preceding fiscal year pursuant to Section 6.01 of the Credit Agreement, the Company shall deliver to the Collateral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7" w:name="page418"/>
    <w:bookmarkEnd w:id="417"/>
    <w:p>
      <w:pPr>
        <w:jc w:val="both"/>
        <w:ind w:left="280"/>
        <w:spacing w:after="0" w:line="278" w:lineRule="auto"/>
        <w:rPr>
          <w:sz w:val="20"/>
          <w:szCs w:val="20"/>
          <w:color w:val="auto"/>
        </w:rPr>
      </w:pPr>
      <w:r>
        <w:rPr>
          <w:rFonts w:ascii="Arial" w:cs="Arial" w:eastAsia="Arial" w:hAnsi="Arial"/>
          <w:sz w:val="20"/>
          <w:szCs w:val="20"/>
          <w:color w:val="auto"/>
        </w:rPr>
        <w:t xml:space="preserve">Agent a certificate executed by a Responsible Officer of the Company setting forth the information required pursuant to Section 1(a) and 1(c) of the Perfection Certificate or confirming that there has been no change in such information since the date of such certificate or the date of the most recent certificate delivered pursuant to this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173" w:lineRule="exact"/>
        <w:rPr>
          <w:sz w:val="20"/>
          <w:szCs w:val="20"/>
          <w:color w:val="auto"/>
        </w:rPr>
      </w:pPr>
    </w:p>
    <w:p>
      <w:pPr>
        <w:jc w:val="both"/>
        <w:ind w:left="280" w:firstLine="646"/>
        <w:spacing w:after="0" w:line="304" w:lineRule="auto"/>
        <w:tabs>
          <w:tab w:leader="none" w:pos="180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Borrower agrees, on its own behalf and on behalf of each other Grantor, at its own expense, to execute, acknowledge, deliver and cause to be duly filed all such further instruments and documents and take all such actions as the Collateral Agent may from time to time reasonably request to better assure, preserve, protect and perfect the Security Interest and the rights and remedies created hereby, including the payment of any fees and taxes required in connection with the execution and delivery of this Agreement, the granting of the Security Interest and the filing of any financing statements (including fixture filings) or other documents in connection herewith or therewith. If any amount payable under or in connection with any of the Article 9 Collateral that exceeds $5,000,000 shall be or become evidenced by any promissory note or other instrument, such note or instrument shall be promptly pledged and delivered to the Collateral Agent, for the benefit of the Secured Parties, duly endorsed in a manner reasonably satisfactory to the Collateral Agent.</w:t>
      </w:r>
    </w:p>
    <w:p>
      <w:pPr>
        <w:spacing w:after="0" w:line="184" w:lineRule="exact"/>
        <w:rPr>
          <w:rFonts w:ascii="Arial" w:cs="Arial" w:eastAsia="Arial" w:hAnsi="Arial"/>
          <w:sz w:val="18"/>
          <w:szCs w:val="18"/>
          <w:color w:val="auto"/>
        </w:rPr>
      </w:pPr>
    </w:p>
    <w:p>
      <w:pPr>
        <w:jc w:val="both"/>
        <w:ind w:left="280" w:firstLine="646"/>
        <w:spacing w:after="0" w:line="303" w:lineRule="auto"/>
        <w:tabs>
          <w:tab w:leader="none" w:pos="179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At its option, the Collateral Agent may discharge past due taxes, assessments, charges, fees, Liens, security interests or other encumbrances at any time levied or placed on the Article 9 Collateral and not permitted pursuant to Section 7.01 of the Credit Agreement, and may pay for the maintenance and preservation of the Article 9 Collateral to the extent any Grantor fails to do so as required by the Credit Agreement or this Agreement and within a reasonable period of time after the Collateral Agent has requested that it do so, and each Grantor jointly and severally agrees to reimburse the Collateral Agent within 10 days after demand for any payment made or any reasonable and documented expense incurred by the Collateral Agent pursuant to the foregoing authorization. Nothing in this paragraph shall be interpreted as excusing any Grantor from the performance of, or imposing any obligation on the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187" w:lineRule="exact"/>
        <w:rPr>
          <w:rFonts w:ascii="Arial" w:cs="Arial" w:eastAsia="Arial" w:hAnsi="Arial"/>
          <w:sz w:val="18"/>
          <w:szCs w:val="18"/>
          <w:color w:val="auto"/>
        </w:rPr>
      </w:pPr>
    </w:p>
    <w:p>
      <w:pPr>
        <w:jc w:val="both"/>
        <w:ind w:left="280" w:firstLine="646"/>
        <w:spacing w:after="0" w:line="273" w:lineRule="auto"/>
        <w:tabs>
          <w:tab w:leader="none" w:pos="1774" w:val="left"/>
        </w:tabs>
        <w:numPr>
          <w:ilvl w:val="0"/>
          <w:numId w:val="361"/>
        </w:numPr>
        <w:rPr>
          <w:rFonts w:ascii="Arial" w:cs="Arial" w:eastAsia="Arial" w:hAnsi="Arial"/>
          <w:sz w:val="20"/>
          <w:szCs w:val="20"/>
          <w:color w:val="auto"/>
        </w:rPr>
      </w:pPr>
      <w:r>
        <w:rPr>
          <w:rFonts w:ascii="Arial" w:cs="Arial" w:eastAsia="Arial" w:hAnsi="Arial"/>
          <w:sz w:val="20"/>
          <w:szCs w:val="20"/>
          <w:color w:val="auto"/>
        </w:rPr>
        <w:t>If at any time any Grantor shall take a security interest in any property of an Account Debtor or any other Person the value of which exceeds $5,000,000 to secure payment and performance of an Account, such Grantor shall promptly assign such security interest to the Collateral Agent for the benefit of the applicable Secured Parties. Such assignment need not be filed of public record unless necessary to continue the perfected status of the security interest against creditors of and transferees from the Account Debtor or other Person granting the security interest.</w:t>
      </w:r>
    </w:p>
    <w:p>
      <w:pPr>
        <w:spacing w:after="0" w:line="204" w:lineRule="exact"/>
        <w:rPr>
          <w:rFonts w:ascii="Arial" w:cs="Arial" w:eastAsia="Arial" w:hAnsi="Arial"/>
          <w:sz w:val="20"/>
          <w:szCs w:val="20"/>
          <w:color w:val="auto"/>
        </w:rPr>
      </w:pPr>
    </w:p>
    <w:p>
      <w:pPr>
        <w:jc w:val="both"/>
        <w:ind w:left="280" w:firstLine="646"/>
        <w:spacing w:after="0" w:line="273" w:lineRule="auto"/>
        <w:tabs>
          <w:tab w:leader="none" w:pos="1807" w:val="left"/>
        </w:tabs>
        <w:numPr>
          <w:ilvl w:val="0"/>
          <w:numId w:val="361"/>
        </w:numPr>
        <w:rPr>
          <w:rFonts w:ascii="Arial" w:cs="Arial" w:eastAsia="Arial" w:hAnsi="Arial"/>
          <w:sz w:val="20"/>
          <w:szCs w:val="20"/>
          <w:color w:val="auto"/>
        </w:rPr>
      </w:pPr>
      <w:r>
        <w:rPr>
          <w:rFonts w:ascii="Arial" w:cs="Arial" w:eastAsia="Arial" w:hAnsi="Arial"/>
          <w:sz w:val="20"/>
          <w:szCs w:val="20"/>
          <w:color w:val="auto"/>
        </w:rPr>
        <w:t>Each Grantor (rather than the Collateral Agent or any Secured Party) shall remain liable (as between itself and any relevant counterparty) to observe and perform all the conditions and obligations to be observed and performed by it under each contract, agreement or instrument relating to the Article 9 Collateral, all in accordance with the terms and conditions thereof, and each Grantor jointly and severally agrees to indemnify and hold harmless the Collateral Agent and the Secured Parties from and against any and all liability for such performance.</w:t>
      </w:r>
    </w:p>
    <w:p>
      <w:pPr>
        <w:spacing w:after="0" w:line="191" w:lineRule="exact"/>
        <w:rPr>
          <w:rFonts w:ascii="Arial" w:cs="Arial" w:eastAsia="Arial" w:hAnsi="Arial"/>
          <w:sz w:val="20"/>
          <w:szCs w:val="20"/>
          <w:color w:val="auto"/>
        </w:rPr>
      </w:pPr>
    </w:p>
    <w:p>
      <w:pPr>
        <w:jc w:val="both"/>
        <w:ind w:left="280" w:firstLine="646"/>
        <w:spacing w:after="0" w:line="290" w:lineRule="auto"/>
        <w:tabs>
          <w:tab w:leader="none" w:pos="1807" w:val="left"/>
        </w:tabs>
        <w:numPr>
          <w:ilvl w:val="0"/>
          <w:numId w:val="361"/>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no control agreement in respect of cash or cash equivalents, deposit or securities accounts or uncertificated securities of persons other than Wholly Owned Subsidiaries directly owned by any Borrower or any Grantor shall be required, and no actions in any non-U.S. jurisdiction or required by the laws of any non-U.S. jurisdiction shall be required in order to create any security interests in assets located or titled outside of the U.S. or to perfect any security interest in such assets, including any Intellectual Property registered in any non-U.S. jurisdiction (it being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8" w:name="page419"/>
    <w:bookmarkEnd w:id="418"/>
    <w:p>
      <w:pPr>
        <w:ind w:left="280"/>
        <w:spacing w:after="0"/>
        <w:rPr>
          <w:sz w:val="20"/>
          <w:szCs w:val="20"/>
          <w:color w:val="auto"/>
        </w:rPr>
      </w:pPr>
      <w:r>
        <w:rPr>
          <w:rFonts w:ascii="Arial" w:cs="Arial" w:eastAsia="Arial" w:hAnsi="Arial"/>
          <w:sz w:val="19"/>
          <w:szCs w:val="19"/>
          <w:color w:val="auto"/>
        </w:rPr>
        <w:t>understood that there shall be no security agreements or pledge agreements governed under the laws of any non-U.S. jurisdiction).</w:t>
      </w:r>
    </w:p>
    <w:p>
      <w:pPr>
        <w:spacing w:after="0" w:line="241"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Other Actions</w:t>
      </w:r>
      <w:r>
        <w:rPr>
          <w:rFonts w:ascii="Arial" w:cs="Arial" w:eastAsia="Arial" w:hAnsi="Arial"/>
          <w:sz w:val="20"/>
          <w:szCs w:val="20"/>
          <w:color w:val="auto"/>
        </w:rPr>
        <w:t>. In order to further ensure the attachment, perfection and priority of, and the ability of the Collateral Agent to enforce, the Security Interest, each Grantor agrees, in each case at such Grantor’s own expense, to take the following actions with respect to the following Article 9 Collateral:</w:t>
      </w:r>
    </w:p>
    <w:p>
      <w:pPr>
        <w:spacing w:after="0" w:line="200" w:lineRule="exact"/>
        <w:rPr>
          <w:sz w:val="20"/>
          <w:szCs w:val="20"/>
          <w:color w:val="auto"/>
        </w:rPr>
      </w:pPr>
    </w:p>
    <w:p>
      <w:pPr>
        <w:jc w:val="both"/>
        <w:ind w:left="920" w:firstLine="655"/>
        <w:spacing w:after="0" w:line="274" w:lineRule="auto"/>
        <w:tabs>
          <w:tab w:leader="none" w:pos="2436" w:val="left"/>
        </w:tabs>
        <w:numPr>
          <w:ilvl w:val="0"/>
          <w:numId w:val="362"/>
        </w:numPr>
        <w:rPr>
          <w:rFonts w:ascii="Arial" w:cs="Arial" w:eastAsia="Arial" w:hAnsi="Arial"/>
          <w:sz w:val="20"/>
          <w:szCs w:val="20"/>
          <w:color w:val="auto"/>
        </w:rPr>
      </w:pPr>
      <w:r>
        <w:rPr>
          <w:rFonts w:ascii="Arial" w:cs="Arial" w:eastAsia="Arial" w:hAnsi="Arial"/>
          <w:sz w:val="20"/>
          <w:szCs w:val="20"/>
          <w:u w:val="single" w:color="auto"/>
          <w:color w:val="auto"/>
        </w:rPr>
        <w:t>Instruments</w:t>
      </w:r>
      <w:r>
        <w:rPr>
          <w:rFonts w:ascii="Arial" w:cs="Arial" w:eastAsia="Arial" w:hAnsi="Arial"/>
          <w:sz w:val="20"/>
          <w:szCs w:val="20"/>
          <w:color w:val="auto"/>
        </w:rPr>
        <w:t>. If any Grantor shall at any time hold or acquire any Instruments constituting Collateral and evidencing an amount in excess of $5,000,000, such Grantor shall forthwith endorse, assign and deliver the same to the Collateral Agent for the benefit of the applicable Secured Parties, accompanied by such instruments of transfer or assignment duly executed in blank as the Collateral Agent may from time to time reasonably request.</w:t>
      </w:r>
    </w:p>
    <w:p>
      <w:pPr>
        <w:spacing w:after="0" w:line="192" w:lineRule="exact"/>
        <w:rPr>
          <w:rFonts w:ascii="Arial" w:cs="Arial" w:eastAsia="Arial" w:hAnsi="Arial"/>
          <w:sz w:val="20"/>
          <w:szCs w:val="20"/>
          <w:color w:val="auto"/>
        </w:rPr>
      </w:pPr>
    </w:p>
    <w:p>
      <w:pPr>
        <w:jc w:val="both"/>
        <w:ind w:left="920" w:firstLine="655"/>
        <w:spacing w:after="0" w:line="299" w:lineRule="auto"/>
        <w:tabs>
          <w:tab w:leader="none" w:pos="2447"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Investment Property</w:t>
      </w:r>
      <w:r>
        <w:rPr>
          <w:rFonts w:ascii="Arial" w:cs="Arial" w:eastAsia="Arial" w:hAnsi="Arial"/>
          <w:sz w:val="18"/>
          <w:szCs w:val="18"/>
          <w:color w:val="auto"/>
        </w:rPr>
        <w:t xml:space="preserve">. Except to the extent otherwise provided in </w:t>
      </w:r>
      <w:r>
        <w:rPr>
          <w:rFonts w:ascii="Arial" w:cs="Arial" w:eastAsia="Arial" w:hAnsi="Arial"/>
          <w:sz w:val="18"/>
          <w:szCs w:val="18"/>
          <w:u w:val="single" w:color="auto"/>
          <w:color w:val="auto"/>
        </w:rPr>
        <w:t>Article II</w:t>
      </w:r>
      <w:r>
        <w:rPr>
          <w:rFonts w:ascii="Arial" w:cs="Arial" w:eastAsia="Arial" w:hAnsi="Arial"/>
          <w:sz w:val="18"/>
          <w:szCs w:val="18"/>
          <w:color w:val="auto"/>
        </w:rPr>
        <w:t>, if any Grantor shall at any time hold or acquire any certificated securities, such Grantor shall forthwith endorse, assign and deliver the same to the Collateral Agent for the benefit of the applicable Secured Parties, accompanied by such instruments of transfer or assignment duly executed in blank as the Collateral Agent may from time to time reasonably request. If any securities now or hereafter acquired by any Grantor are uncertificated and are issued to such Grantor or its nominee directly by the issuer thereof, upon the Collateral Agent’s request and following the occurrence of an Event of Default such Grantor shall promptly notify the Collateral Agent thereof and, at the Collateral Agent’s reasonable request, pursuant to an agreement in form and substance reasonably satisfactory to the Collateral Agent, either (i) cause the issuer to agree to comply with instructions from the Collateral Agent as to such securities, without further consent of any Grantor or such nominee, or (ii) arrange for the Collateral Agent to become the registered owner of the securities. If any securities, whether certificated or uncertificated, or other investment property are held by any Grantor or its nominee through a securities intermediary or commodity intermediary, upon the Collateral Agent’s request and following the occurrence of an Event of Default, such Grantor shall immediately notify the Collateral Agent thereof and at the Collateral Agent’s request and option, pursuant to an agreement in form and substance reasonably satisfactory to the Collateral Agent shall either (i) cause such securities intermediary or (as the case may be) commodity intermediary to agree to comply with entitlement orders or other instructions from the Collateral Agent to such securities intermediary as to such security entitlements, or (as the case may be) to apply any value distributed on account of any commodity contract as directed by the Collateral Agent to such commodity intermediary, in each case without further consent of any Grantor or such nominee, or (ii) in the case of financial assets or other Investment Property held through a securities intermediary, arrange for the Collateral Agent to become the entitlement holder with respect to such Investment Property, with the Grantor being permitted, only with the consent of the Collateral Agent, to exercise rights to withdraw or otherwise deal with such Investment Property. The Collateral Agent agrees with each of the Grantors that the Collateral Agent shall not give any such entitlement orders or instructions or directions to any such issuer, securities intermediary or commodity intermediary, and shall not withhold its consent to the exercise of any withdrawal or dealing rights by any Grantor, unless an Event of Default has occurred and is continuing. The provisions of this paragraph shall not apply to any financial assets credited to a securities account for which the Collateral Agent is the securities intermediary.</w:t>
      </w:r>
    </w:p>
    <w:p>
      <w:pPr>
        <w:spacing w:after="0" w:line="185" w:lineRule="exact"/>
        <w:rPr>
          <w:rFonts w:ascii="Arial" w:cs="Arial" w:eastAsia="Arial" w:hAnsi="Arial"/>
          <w:sz w:val="18"/>
          <w:szCs w:val="18"/>
          <w:color w:val="auto"/>
        </w:rPr>
      </w:pPr>
    </w:p>
    <w:p>
      <w:pPr>
        <w:jc w:val="both"/>
        <w:ind w:left="920" w:firstLine="655"/>
        <w:spacing w:after="0" w:line="290" w:lineRule="auto"/>
        <w:tabs>
          <w:tab w:leader="none" w:pos="2436" w:val="left"/>
        </w:tabs>
        <w:numPr>
          <w:ilvl w:val="0"/>
          <w:numId w:val="362"/>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If any Grantor shall at any time after the date of this Agreement acquire a Commercial Tort Claim in an amount (taking the greater of the aggregate claimed damages thereunder or the reasonably estimated value thereof) of $5,000,000 or more, such Grantor shall promptly notify the Collateral Agent thereof in a writing signed by such Grantor and provide supplements to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describing the details thereof and shall grant to the Collateral Agent a security interest therein and in the proceeds thereof, all upon the terms of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19" w:name="page420"/>
    <w:bookmarkEnd w:id="419"/>
    <w:p>
      <w:pPr>
        <w:jc w:val="both"/>
        <w:ind w:left="920" w:firstLine="655"/>
        <w:spacing w:after="0" w:line="270" w:lineRule="auto"/>
        <w:tabs>
          <w:tab w:leader="none" w:pos="2447" w:val="left"/>
        </w:tabs>
        <w:numPr>
          <w:ilvl w:val="0"/>
          <w:numId w:val="363"/>
        </w:numPr>
        <w:rPr>
          <w:rFonts w:ascii="Arial" w:cs="Arial" w:eastAsia="Arial" w:hAnsi="Arial"/>
          <w:sz w:val="20"/>
          <w:szCs w:val="20"/>
          <w:color w:val="auto"/>
        </w:rPr>
      </w:pPr>
      <w:r>
        <w:rPr>
          <w:rFonts w:ascii="Arial" w:cs="Arial" w:eastAsia="Arial" w:hAnsi="Arial"/>
          <w:sz w:val="20"/>
          <w:szCs w:val="20"/>
          <w:u w:val="single" w:color="auto"/>
          <w:color w:val="auto"/>
        </w:rPr>
        <w:t>Letter of Credit Rights</w:t>
      </w:r>
      <w:r>
        <w:rPr>
          <w:rFonts w:ascii="Arial" w:cs="Arial" w:eastAsia="Arial" w:hAnsi="Arial"/>
          <w:sz w:val="20"/>
          <w:szCs w:val="20"/>
          <w:color w:val="auto"/>
        </w:rPr>
        <w:t>. If any Grantor is at any time a beneficiary under a letter of credit with a stated amount of $5,000,000 or more, such Grantor shall promptly notify the Collateral Agent thereof and, at the request of the Collateral Agent, such Grantor shall, pursuant to an agreement in form and substance reasonably satisfactory to the Collateral Agent, use its commercially reasonable efforts to (i) arrange for the issuer and any confirmer of such letter of credit to consent to an assignment to the Collateral Agent of the proceeds of any drawing under such letter of credit or (ii) arrange for the Collateral Agent to become the transferee beneficiary of such letter of credit, with the Collateral Agent agreeing, in each case, that the proceeds of any drawing under the letter of credit are to be applied as provided in this Agreement after the occurrence and during the continuance of an Event of Default.</w:t>
      </w:r>
    </w:p>
    <w:p>
      <w:pPr>
        <w:spacing w:after="0" w:line="186" w:lineRule="exact"/>
        <w:rPr>
          <w:sz w:val="20"/>
          <w:szCs w:val="20"/>
          <w:color w:val="auto"/>
        </w:rPr>
      </w:pPr>
    </w:p>
    <w:p>
      <w:pPr>
        <w:jc w:val="center"/>
        <w:ind w:left="128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20"/>
          <w:szCs w:val="20"/>
          <w:u w:val="single" w:color="auto"/>
          <w:color w:val="auto"/>
        </w:rPr>
        <w:t>Certain Provisions Concerning Intellectual Property Collateral</w:t>
      </w:r>
    </w:p>
    <w:p>
      <w:pPr>
        <w:spacing w:after="0" w:line="310"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Grant of License to Use Intellectual Property</w:t>
      </w:r>
      <w:r>
        <w:rPr>
          <w:rFonts w:ascii="Arial" w:cs="Arial" w:eastAsia="Arial" w:hAnsi="Arial"/>
          <w:sz w:val="18"/>
          <w:szCs w:val="18"/>
          <w:color w:val="auto"/>
        </w:rPr>
        <w:t xml:space="preserve">. Without limiting the provision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hereof or any other rights of the Collateral Agent as the holder of a Security Interest in any Intellectual Property Collateral, for the purpose of enabling the Collateral Agent to exercise rights and remedies under this Agreement at such time as the Collateral Agent shall be lawfully entitled to exercise such rights and remedies, each Grantor shall, upon request by the Collateral Agent, grant to the Collateral Agent an irrevocable, non-exclusive license (exercisable without payment of royalty or other compensation to the Grantors and exercisable only after the occurrence and during the continuation of an Event of Default) to use, license or sublicense any of the Intellectual Property Collateral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The use of such license by the Collateral Agent may be exercised, at the option of the Collateral Agent, during the continuation of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license, sublicense or other transaction entered into by the Collateral Agent in accordance herewith shall be binding upon the Grantors notwithstanding any subsequent cure of an Event of Default.</w:t>
      </w:r>
    </w:p>
    <w:p>
      <w:pPr>
        <w:spacing w:after="0" w:line="22" w:lineRule="exact"/>
        <w:rPr>
          <w:sz w:val="20"/>
          <w:szCs w:val="20"/>
          <w:color w:val="auto"/>
        </w:rPr>
      </w:pPr>
    </w:p>
    <w:p>
      <w:pPr>
        <w:jc w:val="both"/>
        <w:ind w:left="280" w:firstLine="648"/>
        <w:spacing w:after="0" w:line="255"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Protection of Collateral Agent’s Security</w:t>
      </w:r>
      <w:r>
        <w:rPr>
          <w:rFonts w:ascii="Arial" w:cs="Arial" w:eastAsia="Arial" w:hAnsi="Arial"/>
          <w:sz w:val="19"/>
          <w:szCs w:val="19"/>
          <w:color w:val="auto"/>
        </w:rPr>
        <w:t>. (a) Except to the extent failure to act, either individually or in the aggregate, could not reasonably be expected to have a Material Adverse Effect, with respect to registration or pending application of each item of its Intellectual Property Collateral for which such Grantor has standing to do so, each Grantor agrees to take, at its expense, all steps, including, without limitation, in the U.S. Patent and Trademark Office, the U.S. Copyright Office and any other governmental authority located in the United States, to (i) maintain the validity and enforceability of any registered Intellectual Property Collateral and maintain such Intellectual Property Collateral in full force and effect, and (ii) pursue the registration and maintenance of each Patent, Trademark, or Copyright registration or application, now or hereafter included in such Intellectual Property Collateral of such Grantor, including, without limitation, the payment of required fees and taxes, the filing of responses to office actions issued by the U.S. Patent and Trademark Office, the U.S. Copyright Office or other governmental authorities, the filing of applications for renewal or extension, the filing of affidavits under Sections 8 and 15 of the U.S. Trademark Act, the filing of divisional, continuation, continuation-in-part, reissue and renewal applications or extensions, the payment of maintenance fees and the participation in interference, reexamination, opposition, cancellation, infringement and misappropriation proceedings.</w:t>
      </w:r>
    </w:p>
    <w:p>
      <w:pPr>
        <w:spacing w:after="0" w:line="212" w:lineRule="exact"/>
        <w:rPr>
          <w:sz w:val="20"/>
          <w:szCs w:val="20"/>
          <w:color w:val="auto"/>
        </w:rPr>
      </w:pPr>
    </w:p>
    <w:p>
      <w:pPr>
        <w:jc w:val="both"/>
        <w:ind w:left="280" w:firstLine="646"/>
        <w:spacing w:after="0" w:line="274" w:lineRule="auto"/>
        <w:tabs>
          <w:tab w:leader="none" w:pos="1807" w:val="left"/>
        </w:tabs>
        <w:numPr>
          <w:ilvl w:val="0"/>
          <w:numId w:val="364"/>
        </w:numPr>
        <w:rPr>
          <w:rFonts w:ascii="Arial" w:cs="Arial" w:eastAsia="Arial" w:hAnsi="Arial"/>
          <w:sz w:val="20"/>
          <w:szCs w:val="20"/>
          <w:color w:val="auto"/>
        </w:rPr>
      </w:pPr>
      <w:r>
        <w:rPr>
          <w:rFonts w:ascii="Arial" w:cs="Arial" w:eastAsia="Arial" w:hAnsi="Arial"/>
          <w:sz w:val="20"/>
          <w:szCs w:val="20"/>
          <w:color w:val="auto"/>
        </w:rPr>
        <w:t>Except where failure to do so, either individually or in the aggregate, could not reasonably be expected to have a Material Adverse Effect, each Grantor shall take all steps to preserve and protect each item of its Intellectual Property Collateral, including, without limitation, maintaining the quality of any and all products or services used or provided in connection with any of the Trademarks, consistent with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609" w:right="239" w:bottom="1440" w:gutter="0" w:footer="0" w:header="0"/>
        </w:sectPr>
      </w:pPr>
    </w:p>
    <w:bookmarkStart w:id="420" w:name="page421"/>
    <w:bookmarkEnd w:id="420"/>
    <w:p>
      <w:pPr>
        <w:ind w:left="280"/>
        <w:spacing w:after="0" w:line="289" w:lineRule="auto"/>
        <w:rPr>
          <w:sz w:val="20"/>
          <w:szCs w:val="20"/>
          <w:color w:val="auto"/>
        </w:rPr>
      </w:pPr>
      <w:r>
        <w:rPr>
          <w:rFonts w:ascii="Arial" w:cs="Arial" w:eastAsia="Arial" w:hAnsi="Arial"/>
          <w:sz w:val="20"/>
          <w:szCs w:val="20"/>
          <w:color w:val="auto"/>
        </w:rPr>
        <w:t>quality of the products and services as of the date hereof, and taking all steps necessary to ensure that all licensed users of any of the Trademarks abide by the applicable license’s terms with respect to the standards of quality.</w:t>
      </w:r>
    </w:p>
    <w:p>
      <w:pPr>
        <w:spacing w:after="0" w:line="175" w:lineRule="exact"/>
        <w:rPr>
          <w:sz w:val="20"/>
          <w:szCs w:val="20"/>
          <w:color w:val="auto"/>
        </w:rPr>
      </w:pPr>
    </w:p>
    <w:p>
      <w:pPr>
        <w:jc w:val="both"/>
        <w:ind w:left="280" w:firstLine="646"/>
        <w:spacing w:after="0" w:line="322" w:lineRule="auto"/>
        <w:tabs>
          <w:tab w:leader="none" w:pos="179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as could not, either individually or in the aggregate, reasonably be expected to have a Material Adverse Effect, no Grantor shall do or permit any act or knowingly omit to do any act whereby any of its Intellectual Property Collateral may lapse, be terminated, or become invalid or unenforceable or placed in the public domain (or in case of a trade secret, lose its competitive value).</w:t>
      </w:r>
    </w:p>
    <w:p>
      <w:pPr>
        <w:spacing w:after="0" w:line="152" w:lineRule="exact"/>
        <w:rPr>
          <w:rFonts w:ascii="Arial" w:cs="Arial" w:eastAsia="Arial" w:hAnsi="Arial"/>
          <w:sz w:val="18"/>
          <w:szCs w:val="18"/>
          <w:color w:val="auto"/>
        </w:rPr>
      </w:pPr>
    </w:p>
    <w:p>
      <w:pPr>
        <w:jc w:val="both"/>
        <w:ind w:left="280" w:firstLine="646"/>
        <w:spacing w:after="0" w:line="314" w:lineRule="auto"/>
        <w:tabs>
          <w:tab w:leader="none" w:pos="180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Grantor agrees that, should it obtain an ownership or other interest in any Intellectual Property Collateral after the Closing Date (“</w:t>
      </w:r>
      <w:r>
        <w:rPr>
          <w:rFonts w:ascii="Arial" w:cs="Arial" w:eastAsia="Arial" w:hAnsi="Arial"/>
          <w:sz w:val="18"/>
          <w:szCs w:val="18"/>
          <w:u w:val="single" w:color="auto"/>
          <w:color w:val="auto"/>
        </w:rPr>
        <w:t>After-Acquired Intellectual Property</w:t>
      </w:r>
      <w:r>
        <w:rPr>
          <w:rFonts w:ascii="Arial" w:cs="Arial" w:eastAsia="Arial" w:hAnsi="Arial"/>
          <w:sz w:val="18"/>
          <w:szCs w:val="18"/>
          <w:color w:val="auto"/>
        </w:rPr>
        <w:t>”), (i) the provisions of this Agreement shall automatically apply thereto, and (ii) any such After-Acquired Intellectual Property and, in the case of Trademarks, the goodwill symbolized thereby, shall automatically become part of the Intellectual Property Collateral subject to the terms and conditions of this Agreement with respect thereto.</w:t>
      </w:r>
    </w:p>
    <w:p>
      <w:pPr>
        <w:spacing w:after="0" w:line="159" w:lineRule="exact"/>
        <w:rPr>
          <w:rFonts w:ascii="Arial" w:cs="Arial" w:eastAsia="Arial" w:hAnsi="Arial"/>
          <w:sz w:val="18"/>
          <w:szCs w:val="18"/>
          <w:color w:val="auto"/>
        </w:rPr>
      </w:pPr>
    </w:p>
    <w:p>
      <w:pPr>
        <w:jc w:val="both"/>
        <w:ind w:left="280" w:firstLine="646"/>
        <w:spacing w:after="0" w:line="278" w:lineRule="auto"/>
        <w:tabs>
          <w:tab w:leader="none" w:pos="1796" w:val="left"/>
        </w:tabs>
        <w:numPr>
          <w:ilvl w:val="0"/>
          <w:numId w:val="365"/>
        </w:numPr>
        <w:rPr>
          <w:rFonts w:ascii="Arial" w:cs="Arial" w:eastAsia="Arial" w:hAnsi="Arial"/>
          <w:sz w:val="20"/>
          <w:szCs w:val="20"/>
          <w:color w:val="auto"/>
        </w:rPr>
      </w:pPr>
      <w:r>
        <w:rPr>
          <w:rFonts w:ascii="Arial" w:cs="Arial" w:eastAsia="Arial" w:hAnsi="Arial"/>
          <w:sz w:val="20"/>
          <w:szCs w:val="20"/>
          <w:color w:val="auto"/>
        </w:rPr>
        <w:t>Nothing in this Agreement prevents any Grantor from discontinuing the use or maintenance of any of its Intellectual Property Collateral to the extent permitted by the Credit Agreement if such Grantor determines in its reasonable business judgment that such discontinuance is desirable in the conduct of its business.</w:t>
      </w:r>
    </w:p>
    <w:p>
      <w:pPr>
        <w:spacing w:after="0" w:line="187"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After-Acquired Property</w:t>
      </w:r>
      <w:r>
        <w:rPr>
          <w:rFonts w:ascii="Arial" w:cs="Arial" w:eastAsia="Arial" w:hAnsi="Arial"/>
          <w:sz w:val="18"/>
          <w:szCs w:val="18"/>
          <w:color w:val="auto"/>
        </w:rPr>
        <w:t>. Once every fiscal quarter of the Company, with respect to (i) issued or registered Patents (or published applications therefore) or Trademarks (or applications therefor), and (ii) to registered Copyrights (in each of cases (i) and (ii), other than Excluded Assets), each Grantor shall sign and deliver to the Collateral Agent an appropriate Intellectual Property Security Agreement with respect to all of its applicable Owned Intellectual Property as of the last day of such period, to the extent that such Intellectual Property is not covered by any previous Intellectual Property Security Agreement so signed and delivered by it. In each case, it will promptly cooperate as reasonably necessary to enable the Collateral Agent to make any necessary or reasonably desirable recordations with the U.S. Copyright Office or the U.S. Patent and Trademark Office, as appropriate.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21" w:name="page422"/>
    <w:bookmarkEnd w:id="421"/>
    <w:p>
      <w:pPr>
        <w:jc w:val="center"/>
        <w:ind w:left="128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20"/>
          <w:szCs w:val="20"/>
          <w:u w:val="single" w:color="auto"/>
          <w:color w:val="auto"/>
        </w:rPr>
        <w:t>Remedies</w:t>
      </w:r>
    </w:p>
    <w:p>
      <w:pPr>
        <w:spacing w:after="0" w:line="310"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Remedies Upon Default</w:t>
      </w:r>
      <w:r>
        <w:rPr>
          <w:rFonts w:ascii="Arial" w:cs="Arial" w:eastAsia="Arial" w:hAnsi="Arial"/>
          <w:sz w:val="18"/>
          <w:szCs w:val="18"/>
          <w:color w:val="auto"/>
        </w:rPr>
        <w:t xml:space="preserve">. Upon the occurrence and during the continuance of an Event of Default, it is agreed that the Collateral Agent shall have the right to exercise any and all rights afforded to a secured party with respect to the Secured Obligations, as applicable, under the Uniform Commercial Code or other applicable Law, and also may (i) require each Grantor to, and each Grantor agrees that it will at its expense and upon request of the Collateral Agent forthwith, assemble all or part of the Collateral as directed by the Collateral Agent and make it available to the Collateral Agent at a place and time to be designated by the Collateral Agent that is reasonably convenient to both parties; (ii) occupy any premises owned or, to the extent lawful and permitted, leased by any of the Grantors where the Collateral or any part thereof is assembled or located for a reasonable period in order to effectuate its rights and remedies hereunder or under law, without obligation to such Grantor in respect of such occupation;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Agent shall provide the applicable Grantor with notice thereof prior to or promptly after such occupancy; (iii) exercise any and all rights and remedies of any of the Grantors under or in connection with the Collateral, or otherwise in respect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Agent shall provide the applicable Grantor with notice thereof prior to or promptly after such exercise; (iv) withdraw any and all cash or other Collateral from the Cash Collateral Account and to apply such cash and other Collateral to the payment of any and all Secured Obligations in the manner provided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this Agreement; (v) subject to the mandatory requirements of applicable Law and the notice requirements described below, sell or otherwise dispose of all or any part of the Collateral securing the Secured Obligations at a public or private sale or at any broker’s board or on any securities exchange, for cash, upon credit or for future delivery as the Collateral Agent shall deem appropriate; and (vi) with respect to any Intellectual Property Collateral, on demand, cause the Security Interest to become an assignment, transfer and conveyance of any of or all such Intellectual Property Collateral by the applicable Grantors to the Collateral Agent, or license or sublicense, whether general, special or otherwise, and whether on an exclusive or nonexclusive basis, any such Intellectual Property Collateral throughout the world on such terms and conditions and in such manner as the Collateral Agent shall determine,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terms shall include all terms and restrictions that customarily required to ensure the continuing validity and effectiveness of the Intellectual Property at issue, such as, without limitation, quality control and inure provisions with regard to Trademarks, patent designation provisions with regard to Patents, and copyright notices and restrictions or decompilation and reverse engineering of copyrighted software. The Collateral Agent shall be authorized at any sale of securities (if it deems it advisable to do so) to restrict the prospective bidders or purchasers of such securities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spacing w:after="0" w:line="185"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The Collateral Agent shall give the applicable Grantors 10 days’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22" w:name="page423"/>
    <w:bookmarkEnd w:id="422"/>
    <w:p>
      <w:pPr>
        <w:jc w:val="both"/>
        <w:ind w:left="280"/>
        <w:spacing w:after="0" w:line="268" w:lineRule="auto"/>
        <w:rPr>
          <w:sz w:val="20"/>
          <w:szCs w:val="20"/>
          <w:color w:val="auto"/>
        </w:rPr>
      </w:pPr>
      <w:r>
        <w:rPr>
          <w:rFonts w:ascii="Arial" w:cs="Arial" w:eastAsia="Arial" w:hAnsi="Arial"/>
          <w:sz w:val="18"/>
          <w:szCs w:val="18"/>
          <w:color w:val="auto"/>
        </w:rPr>
        <w:t xml:space="preserve">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Secured Obligations paid in full (in which case the applicable Grantors shall be entitled to the proceeds of any such sale pursuant to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hereof).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 appointed receiver. Any sale pursuant to the provisions of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conform to the commercially reasonable standards as provided in Section 9-610(b) of the New York UCC or its equivalent in other jurisdictions.</w:t>
      </w:r>
    </w:p>
    <w:p>
      <w:pPr>
        <w:spacing w:after="0" w:line="194"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Each Grantor irrevocably makes, constitutes and appoints the Collateral Agent (and all officers, employees or agents designated by the Collateral Agent) as such Grantor’s true and lawful agent (and attorney-in-fact) during the continuance of an Event of Default and after notice to the Company of its intent to exercise such rights (except in the case of a Bankruptcy Event of Default, in which case no such notice shall be required), for the purpose of (i) making, settling and adjusting claims in respect of Article</w:t>
      </w:r>
    </w:p>
    <w:p>
      <w:pPr>
        <w:spacing w:after="0" w:line="2" w:lineRule="exact"/>
        <w:rPr>
          <w:sz w:val="20"/>
          <w:szCs w:val="20"/>
          <w:color w:val="auto"/>
        </w:rPr>
      </w:pPr>
    </w:p>
    <w:p>
      <w:pPr>
        <w:jc w:val="both"/>
        <w:ind w:left="280"/>
        <w:spacing w:after="0"/>
        <w:rPr>
          <w:sz w:val="20"/>
          <w:szCs w:val="20"/>
          <w:color w:val="auto"/>
        </w:rPr>
      </w:pPr>
      <w:r>
        <w:rPr>
          <w:rFonts w:ascii="Arial" w:cs="Arial" w:eastAsia="Arial" w:hAnsi="Arial"/>
          <w:sz w:val="20"/>
          <w:szCs w:val="20"/>
          <w:color w:val="auto"/>
        </w:rPr>
        <w:t>9 Collateral under policies of insurance, endorsing the name of such Grantor on any check, draft, instrument or other item of payment for the proceeds of such policies if insurance, (ii) making all determinations and decisions with respect thereto and (iii) obtaining or maintaining the policies of insurance required by Section 6.07 of the Credit Agreement or to pay any premium in whole or in part relating thereto. All sums disbursed by the Collateral Agent in connection with this paragraph, including reasonable attorneys’ fees, court costs, expenses and other charges relating thereto, shall be payable, within 10 days of demand, by the Grantors to the Collateral Agent and shall be additional Secured Obligations secured hereby.</w:t>
      </w:r>
    </w:p>
    <w:p>
      <w:pPr>
        <w:spacing w:after="0" w:line="198"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 The Collateral Agent shall apply the proceeds of any collection or sale of Collateral, including any Collateral consisting of cash, in accordance with the provisions of Section 8.04 of the Credit Agreement. The Collateral Agent shall have absolute discretion as to the time of application of any such proceeds, moneys or balances in accordance with this Agreement. Upon any sale of Collateral by the Collateral Agent (including pursuant to a power of sale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23" w:name="page424"/>
    <w:bookmarkEnd w:id="423"/>
    <w:p>
      <w:pPr>
        <w:jc w:val="both"/>
        <w:ind w:left="280"/>
        <w:spacing w:after="0" w:line="260" w:lineRule="auto"/>
        <w:rPr>
          <w:sz w:val="20"/>
          <w:szCs w:val="20"/>
          <w:color w:val="auto"/>
        </w:rPr>
      </w:pPr>
      <w:r>
        <w:rPr>
          <w:rFonts w:ascii="Arial" w:cs="Arial" w:eastAsia="Arial" w:hAnsi="Arial"/>
          <w:sz w:val="19"/>
          <w:szCs w:val="19"/>
          <w:color w:val="auto"/>
        </w:rPr>
        <w:t>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It is understood and agreed that the Grantors shall remain jointly and severally liable to the extent of any deficiency between the amount of the proceeds of the Collateral and the aggregate amount of the Secured Obligations.</w:t>
      </w:r>
    </w:p>
    <w:p>
      <w:pPr>
        <w:spacing w:after="0" w:line="262" w:lineRule="exact"/>
        <w:rPr>
          <w:sz w:val="20"/>
          <w:szCs w:val="20"/>
          <w:color w:val="auto"/>
        </w:rPr>
      </w:pPr>
    </w:p>
    <w:p>
      <w:pPr>
        <w:jc w:val="center"/>
        <w:ind w:left="128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20"/>
          <w:szCs w:val="20"/>
          <w:u w:val="single" w:color="auto"/>
          <w:color w:val="auto"/>
        </w:rPr>
        <w:t>Indemnity, Subrogation and Subordination</w:t>
      </w:r>
    </w:p>
    <w:p>
      <w:pPr>
        <w:spacing w:after="0" w:line="310"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In addition to all such rights of indemnity and subrogation as the Grantors may have under applicable Law (but subject to </w:t>
      </w:r>
      <w:r>
        <w:rPr>
          <w:rFonts w:ascii="Arial" w:cs="Arial" w:eastAsia="Arial" w:hAnsi="Arial"/>
          <w:sz w:val="18"/>
          <w:szCs w:val="18"/>
          <w:u w:val="single" w:color="auto"/>
          <w:color w:val="auto"/>
        </w:rPr>
        <w:t>Section 6.03</w:t>
      </w:r>
      <w:r>
        <w:rPr>
          <w:rFonts w:ascii="Arial" w:cs="Arial" w:eastAsia="Arial" w:hAnsi="Arial"/>
          <w:sz w:val="18"/>
          <w:szCs w:val="18"/>
          <w:color w:val="auto"/>
        </w:rPr>
        <w:t>), each Guaranteed Party (as defined in the Guaranty) agrees that, in the event any assets of any Grantor that is a Subsidiary Party shall be sold pursuant to this Agreement or any other Collateral Document to satisfy in whole or in part an Obligation owing directly by such Guaranteed Party to any Secured Party (</w:t>
      </w:r>
      <w:r>
        <w:rPr>
          <w:rFonts w:ascii="Arial" w:cs="Arial" w:eastAsia="Arial" w:hAnsi="Arial"/>
          <w:sz w:val="18"/>
          <w:szCs w:val="18"/>
          <w:u w:val="single" w:color="auto"/>
          <w:color w:val="auto"/>
        </w:rPr>
        <w:t>i.e.</w:t>
      </w:r>
      <w:r>
        <w:rPr>
          <w:rFonts w:ascii="Arial" w:cs="Arial" w:eastAsia="Arial" w:hAnsi="Arial"/>
          <w:sz w:val="18"/>
          <w:szCs w:val="18"/>
          <w:color w:val="auto"/>
        </w:rPr>
        <w:t>, other than pursuant to its capacity as a Guarantor under the Guaranty), such Guaranteed Party shall indemnify such Grantor in an amount equal to the fair market value of the assets so sold.</w:t>
      </w:r>
    </w:p>
    <w:p>
      <w:pPr>
        <w:spacing w:after="0" w:line="179"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Contribution and Subrogation</w:t>
      </w:r>
      <w:r>
        <w:rPr>
          <w:rFonts w:ascii="Arial" w:cs="Arial" w:eastAsia="Arial" w:hAnsi="Arial"/>
          <w:sz w:val="18"/>
          <w:szCs w:val="18"/>
          <w:color w:val="auto"/>
        </w:rPr>
        <w:t xml:space="preserve">. At any time a payment by any Subsidiary Party in respect of the Secured Obligations is made under this Agreement or any other Collateral Document as a result of a sale of assets by such Subsidiary Party that shall not have been fully indemnified as provided in </w:t>
      </w:r>
      <w:r>
        <w:rPr>
          <w:rFonts w:ascii="Arial" w:cs="Arial" w:eastAsia="Arial" w:hAnsi="Arial"/>
          <w:sz w:val="18"/>
          <w:szCs w:val="18"/>
          <w:u w:val="single" w:color="auto"/>
          <w:color w:val="auto"/>
        </w:rPr>
        <w:t>Section 6.01</w:t>
      </w:r>
      <w:r>
        <w:rPr>
          <w:rFonts w:ascii="Arial" w:cs="Arial" w:eastAsia="Arial" w:hAnsi="Arial"/>
          <w:sz w:val="18"/>
          <w:szCs w:val="18"/>
          <w:color w:val="auto"/>
        </w:rPr>
        <w:t>, the right of contribution of each Subsidiary Party against each other Subsidiary Party shall be determined as provided in the immediately succeeding sentence, with the right of contribution of each Subsidiary Party to be revised and restated as of each date on which a payment (a “</w:t>
      </w:r>
      <w:r>
        <w:rPr>
          <w:rFonts w:ascii="Arial" w:cs="Arial" w:eastAsia="Arial" w:hAnsi="Arial"/>
          <w:sz w:val="18"/>
          <w:szCs w:val="18"/>
          <w:u w:val="single" w:color="auto"/>
          <w:color w:val="auto"/>
        </w:rPr>
        <w:t>Relevant Payment</w:t>
      </w:r>
      <w:r>
        <w:rPr>
          <w:rFonts w:ascii="Arial" w:cs="Arial" w:eastAsia="Arial" w:hAnsi="Arial"/>
          <w:sz w:val="18"/>
          <w:szCs w:val="18"/>
          <w:color w:val="auto"/>
        </w:rPr>
        <w:t xml:space="preserve">”) is made on the Secured Obligations under this Agreement and not indemnified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At any time that a Relevant Payment is made by a Subsidiary Party that results in the aggregate payments made by such Subsidiary Party in respect of the Secured Obligations to and including the date of the Relevant Payment exceeding such Subsidiary Party’s Contribution Percentage (as defined below) of the aggregate payments made by all Subsidiary Parties in respect of the Secured Obligations to and including the date of the Relevant Payment (such excess, the “</w:t>
      </w:r>
      <w:r>
        <w:rPr>
          <w:rFonts w:ascii="Arial" w:cs="Arial" w:eastAsia="Arial" w:hAnsi="Arial"/>
          <w:sz w:val="18"/>
          <w:szCs w:val="18"/>
          <w:u w:val="single" w:color="auto"/>
          <w:color w:val="auto"/>
        </w:rPr>
        <w:t>Aggregate Excess Amount</w:t>
      </w:r>
      <w:r>
        <w:rPr>
          <w:rFonts w:ascii="Arial" w:cs="Arial" w:eastAsia="Arial" w:hAnsi="Arial"/>
          <w:sz w:val="18"/>
          <w:szCs w:val="18"/>
          <w:color w:val="auto"/>
        </w:rPr>
        <w:t>”), each such Subsidiary Party shall have a right of contribution against each other Subsidiary Party who has made payments in respect of the Secured Obligations to and including the date of the Relevant Payment in an aggregate amount less than such other Subsidiary Party’s Contribution Percentage of the aggregate payments made to and including the date of the Relevant Payment by all Subsidiary Parties in respect of the Secured Obligations (the aggregate amount of such deficit, the “</w:t>
      </w:r>
      <w:r>
        <w:rPr>
          <w:rFonts w:ascii="Arial" w:cs="Arial" w:eastAsia="Arial" w:hAnsi="Arial"/>
          <w:sz w:val="18"/>
          <w:szCs w:val="18"/>
          <w:u w:val="single" w:color="auto"/>
          <w:color w:val="auto"/>
        </w:rPr>
        <w:t>Aggregate Deficit Amount</w:t>
      </w:r>
      <w:r>
        <w:rPr>
          <w:rFonts w:ascii="Arial" w:cs="Arial" w:eastAsia="Arial" w:hAnsi="Arial"/>
          <w:sz w:val="18"/>
          <w:szCs w:val="18"/>
          <w:color w:val="auto"/>
        </w:rPr>
        <w:t xml:space="preserve">”) in an amount equal to (x) a fraction the numerator of which is the Aggregate Excess Amount of such Subsidiary Party and the denominator of which is the Aggregate Excess Amount of all Subsidiary Parties multiplied by (y) the Aggregate Deficit Amount of such other Subsidiary Party. A Subsidiary Party’s right of contribution pursuant to the preceding sentences shall arise at the time of each computation, subject to adjustment to the time of each computation;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contribution rights of such Subsidiary Party shall be subject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(i) each Subsidiary Party’s “</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shall mean the percentage obtained by dividing (x) the Adjusted Net Worth (as defined below) of such Subsidiary Party by (y) the aggregate Adjusted Net Worth of all Subsidiary Parties; (ii) the “</w:t>
      </w:r>
      <w:r>
        <w:rPr>
          <w:rFonts w:ascii="Arial" w:cs="Arial" w:eastAsia="Arial" w:hAnsi="Arial"/>
          <w:sz w:val="18"/>
          <w:szCs w:val="18"/>
          <w:u w:val="single" w:color="auto"/>
          <w:color w:val="auto"/>
        </w:rPr>
        <w:t>Adjusted Net Worth</w:t>
      </w:r>
      <w:r>
        <w:rPr>
          <w:rFonts w:ascii="Arial" w:cs="Arial" w:eastAsia="Arial" w:hAnsi="Arial"/>
          <w:sz w:val="18"/>
          <w:szCs w:val="18"/>
          <w:color w:val="auto"/>
        </w:rPr>
        <w:t>” of each Subsidiary Party shall mean the greater of (x) the Net Worth (as defined below) of such Subsidiary Party and (y) zero; and (iii) the “</w:t>
      </w:r>
      <w:r>
        <w:rPr>
          <w:rFonts w:ascii="Arial" w:cs="Arial" w:eastAsia="Arial" w:hAnsi="Arial"/>
          <w:sz w:val="18"/>
          <w:szCs w:val="18"/>
          <w:u w:val="single" w:color="auto"/>
          <w:color w:val="auto"/>
        </w:rPr>
        <w:t>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Worth</w:t>
      </w:r>
      <w:r>
        <w:rPr>
          <w:rFonts w:ascii="Arial" w:cs="Arial" w:eastAsia="Arial" w:hAnsi="Arial"/>
          <w:sz w:val="18"/>
          <w:szCs w:val="18"/>
          <w:color w:val="auto"/>
        </w:rPr>
        <w:t>” of each Subsidiary Party shall mean the amount by which the fair saleable value of such Subsidiary Party’s assets on the date of any Relevant Payment exceeds its existing debts and other liabilities (including contingent liabilities, but without giving effect to any Guaranteed Obligations arising under the Guaranty or any guaranteed obligations arising under any guaranty of any Junior Financing or any Permitted Refinancing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24" w:name="page425"/>
    <w:bookmarkEnd w:id="424"/>
    <w:p>
      <w:pPr>
        <w:jc w:val="both"/>
        <w:ind w:left="280"/>
        <w:spacing w:after="0" w:line="311" w:lineRule="auto"/>
        <w:rPr>
          <w:sz w:val="20"/>
          <w:szCs w:val="20"/>
          <w:color w:val="auto"/>
        </w:rPr>
      </w:pPr>
      <w:r>
        <w:rPr>
          <w:rFonts w:ascii="Arial" w:cs="Arial" w:eastAsia="Arial" w:hAnsi="Arial"/>
          <w:sz w:val="16"/>
          <w:szCs w:val="16"/>
          <w:color w:val="auto"/>
        </w:rPr>
        <w:t xml:space="preserve">thereof) on such date. Notwithstanding anything to the contrary contained above, any Subsidiary Party that is released from this Agreement pursuant to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hereof shall thereafter have no contribution obligations, or rights, pursuant to this </w:t>
      </w:r>
      <w:r>
        <w:rPr>
          <w:rFonts w:ascii="Arial" w:cs="Arial" w:eastAsia="Arial" w:hAnsi="Arial"/>
          <w:sz w:val="16"/>
          <w:szCs w:val="16"/>
          <w:u w:val="single" w:color="auto"/>
          <w:color w:val="auto"/>
        </w:rPr>
        <w:t>Section 6.02</w:t>
      </w:r>
      <w:r>
        <w:rPr>
          <w:rFonts w:ascii="Arial" w:cs="Arial" w:eastAsia="Arial" w:hAnsi="Arial"/>
          <w:sz w:val="16"/>
          <w:szCs w:val="16"/>
          <w:color w:val="auto"/>
        </w:rPr>
        <w:t>, and at the time of any such release, if the released Subsidiary Party had an Aggregate Excess Amount or an Aggregate Deficit Amount, same shall be deemed reduced to $0, and the contribution rights and obligations of the remaining Subsidiary Parties shall be recalculated on the respective date of release (as otherwise provided above) based on the payments made hereunder by the remaining Subsidiary Parties. Each of the Subsidiary Parties recognizes and acknowledges that the rights to contribution arising hereunder shall constitute an asset in favor of the party entitled to such contribution. In this context, each Subsidiary Party has the right to waive its contribution right against any other Subsidiary Party to the extent that after giving effect to such waiver such Subsidiary Party would remain solvent, in the determination of the Required Lenders.</w:t>
      </w:r>
    </w:p>
    <w:p>
      <w:pPr>
        <w:spacing w:after="0" w:line="145" w:lineRule="exact"/>
        <w:rPr>
          <w:sz w:val="20"/>
          <w:szCs w:val="20"/>
          <w:color w:val="auto"/>
        </w:rPr>
      </w:pPr>
    </w:p>
    <w:p>
      <w:pPr>
        <w:jc w:val="both"/>
        <w:ind w:left="280" w:firstLine="648"/>
        <w:spacing w:after="0" w:line="272"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Notwithstanding any provision of this Agreement to the contrary, all rights of the Grantors under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all other rights of indemnity, contribution or subrogation under applicable Law or otherwise shall be fully subordinated to the indefeasible payment in full in cash of the Secured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amount shall be paid to such Grantor on account of such subrogation rights at any time prior to the irrevocable payment in full in cash of all the Secured Obligations, such amount shall be held in trust for the benefit of the Secured Parties and shall forthwith be paid to the Collateral Agent to be credited and applied against the Secured Obligations, whether matured or unmatured, in accordance with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this Agreement. No failure on the part of any Borrower or any Grantor to make the payments required by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(or any other payments required under applicable Law or otherwise) shall in any respect limit the obligations and liabilities of any Grantor with respect to its obligations hereunder, and each Grantor shall remain liable for the full amount of the obligations of such Grantor hereunder.</w:t>
      </w:r>
    </w:p>
    <w:p>
      <w:pPr>
        <w:spacing w:after="0" w:line="171" w:lineRule="exact"/>
        <w:rPr>
          <w:sz w:val="20"/>
          <w:szCs w:val="20"/>
          <w:color w:val="auto"/>
        </w:rPr>
      </w:pPr>
    </w:p>
    <w:p>
      <w:pPr>
        <w:ind w:left="578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ind w:left="1280"/>
        <w:spacing w:after="0"/>
        <w:rPr>
          <w:sz w:val="20"/>
          <w:szCs w:val="20"/>
          <w:color w:val="auto"/>
        </w:rPr>
      </w:pPr>
      <w:r>
        <w:rPr>
          <w:rFonts w:ascii="Arial" w:cs="Arial" w:eastAsia="Arial" w:hAnsi="Arial"/>
          <w:sz w:val="20"/>
          <w:szCs w:val="20"/>
          <w:u w:val="single" w:color="auto"/>
          <w:color w:val="auto"/>
        </w:rPr>
        <w:t>Miscellaneous</w:t>
      </w:r>
    </w:p>
    <w:p>
      <w:pPr>
        <w:spacing w:after="0" w:line="81"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and notices hereunder shall (except as otherwise expressly permitted herein) be in writing and given as provided in Section 10.02 of the Credit Agreement. All communications and notices hereunder to any Subsidiary Party shall be given to it in care of the Company as provided in Section 10.02 of the Credit Agreement.</w:t>
      </w:r>
    </w:p>
    <w:p>
      <w:pPr>
        <w:spacing w:after="0" w:line="170" w:lineRule="exact"/>
        <w:rPr>
          <w:sz w:val="20"/>
          <w:szCs w:val="20"/>
          <w:color w:val="auto"/>
        </w:rPr>
      </w:pPr>
    </w:p>
    <w:p>
      <w:pPr>
        <w:jc w:val="both"/>
        <w:ind w:left="280" w:firstLine="648"/>
        <w:spacing w:after="0" w:line="25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Waivers; Amendment</w:t>
      </w:r>
      <w:r>
        <w:rPr>
          <w:rFonts w:ascii="Arial" w:cs="Arial" w:eastAsia="Arial" w:hAnsi="Arial"/>
          <w:sz w:val="19"/>
          <w:szCs w:val="19"/>
          <w:color w:val="auto"/>
        </w:rPr>
        <w:t xml:space="preserve">. (a) No failure or delay by the Collateral Agent, any L/C Issuer or any Lender in exercising any right, remedy, power or privilege hereunder or under any other Loan Document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Collateral Agent, the L/C Issuers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Collateral Agent, any Lender or any L/C Issuer may have had notice or knowledge of such Default at the time. No notice or demand on any Loan Party in any case shall entitle any Loan Party to any other or further notice or demand in similar or other circumstances. (b) Neither this Agreement nor any provision hereof may be waived, amended or modified except pursuant to an agreement or agreements in writing entered into by the Collateral Agent and the Loan Party or Loan Parties with respect to which such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6" w:right="239" w:bottom="1440" w:gutter="0" w:footer="0" w:header="0"/>
        </w:sectPr>
      </w:pPr>
    </w:p>
    <w:bookmarkStart w:id="425" w:name="page426"/>
    <w:bookmarkEnd w:id="425"/>
    <w:p>
      <w:pPr>
        <w:ind w:left="280"/>
        <w:spacing w:after="0"/>
        <w:rPr>
          <w:sz w:val="20"/>
          <w:szCs w:val="20"/>
          <w:color w:val="auto"/>
        </w:rPr>
      </w:pPr>
      <w:r>
        <w:rPr>
          <w:rFonts w:ascii="Arial" w:cs="Arial" w:eastAsia="Arial" w:hAnsi="Arial"/>
          <w:sz w:val="18"/>
          <w:szCs w:val="18"/>
          <w:color w:val="auto"/>
        </w:rPr>
        <w:t>waiver, amendment or modification is to apply, subject to any consent required in accordance with Section 10.01 of the Credit Agreement.</w:t>
      </w:r>
    </w:p>
    <w:p>
      <w:pPr>
        <w:spacing w:after="0" w:line="252" w:lineRule="exact"/>
        <w:rPr>
          <w:sz w:val="20"/>
          <w:szCs w:val="20"/>
          <w:color w:val="auto"/>
        </w:rPr>
      </w:pPr>
    </w:p>
    <w:p>
      <w:pPr>
        <w:ind w:left="280" w:firstLine="648"/>
        <w:spacing w:after="0" w:line="287"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Collateral Agent’s Fees and Expenses; Indemnification</w:t>
      </w:r>
      <w:r>
        <w:rPr>
          <w:rFonts w:ascii="Arial" w:cs="Arial" w:eastAsia="Arial" w:hAnsi="Arial"/>
          <w:sz w:val="19"/>
          <w:szCs w:val="19"/>
          <w:color w:val="auto"/>
        </w:rPr>
        <w:t>. (a) The parties hereto agree that the Collateral Agent shall be entitled to reimbursement of its expenses incurred hereunder as provided in Section 10.04 of the Credit Agreement.</w:t>
      </w:r>
    </w:p>
    <w:p>
      <w:pPr>
        <w:spacing w:after="0" w:line="180" w:lineRule="exact"/>
        <w:rPr>
          <w:sz w:val="20"/>
          <w:szCs w:val="20"/>
          <w:color w:val="auto"/>
        </w:rPr>
      </w:pPr>
    </w:p>
    <w:p>
      <w:pPr>
        <w:jc w:val="both"/>
        <w:ind w:left="280" w:firstLine="646"/>
        <w:spacing w:after="0" w:line="342" w:lineRule="auto"/>
        <w:tabs>
          <w:tab w:leader="none" w:pos="1807" w:val="left"/>
        </w:tabs>
        <w:numPr>
          <w:ilvl w:val="0"/>
          <w:numId w:val="366"/>
        </w:numPr>
        <w:rPr>
          <w:rFonts w:ascii="Arial" w:cs="Arial" w:eastAsia="Arial" w:hAnsi="Arial"/>
          <w:sz w:val="16"/>
          <w:szCs w:val="16"/>
          <w:color w:val="auto"/>
        </w:rPr>
      </w:pPr>
      <w:r>
        <w:rPr>
          <w:rFonts w:ascii="Arial" w:cs="Arial" w:eastAsia="Arial" w:hAnsi="Arial"/>
          <w:sz w:val="16"/>
          <w:szCs w:val="16"/>
          <w:color w:val="auto"/>
        </w:rPr>
        <w:t xml:space="preserve">Without limitation of its indemnification obligations under the other Loan Documents, the Grantors jointly and severally agree to indemnify the Collateral Agent and the other Indemnitees (as defined in Section 10.05 of the Credit Agreement) against, and hold each Indemnitee harmless from, any and all losses, claims, damages, liabilities and related expenses, including the reasonable fees, charges and disbursements of any counsel for any Indemnitee (but limited, in the case of legal fees and expenses, to the reasonable and documented out-of-pocket fees, disbursements and other charges of one counsel to all Indemnitees taken as a whole and, if reasonably necessary, one firm of local counsel in each relevant jurisdiction, and solely in the case of an actual or potential conflict of interest, one additional counsel in each relevant jurisdiction to each group of similarly situated affected Indemnitees), incurred by or asserted against any Indemnitee arising out of, in connection with, or as a result of, the execution, delivery, performance or enforcement of this Agreement or any claim, litigation, investigation or proceeding relating to any of the foregoing agreement or instrument contemplated hereby, or to the Collateral, whether or not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are determined by a court of competent jurisdiction by a final and non-appealable judgment to have resulted from the gross negligence, bad faith or willful misconduct of, or material breach of the Loan Documents by, such Indemnitee or of any Affiliate, director, officer, employee, counsel, agent, trustee, investment advisor or attorney-in-fact of such Indemnitee.</w:t>
      </w:r>
    </w:p>
    <w:p>
      <w:pPr>
        <w:spacing w:after="0" w:line="200" w:lineRule="exact"/>
        <w:rPr>
          <w:rFonts w:ascii="Arial" w:cs="Arial" w:eastAsia="Arial" w:hAnsi="Arial"/>
          <w:sz w:val="16"/>
          <w:szCs w:val="16"/>
          <w:color w:val="auto"/>
        </w:rPr>
      </w:pPr>
    </w:p>
    <w:p>
      <w:pPr>
        <w:spacing w:after="0" w:line="205" w:lineRule="exact"/>
        <w:rPr>
          <w:rFonts w:ascii="Arial" w:cs="Arial" w:eastAsia="Arial" w:hAnsi="Arial"/>
          <w:sz w:val="16"/>
          <w:szCs w:val="16"/>
          <w:color w:val="auto"/>
        </w:rPr>
      </w:pPr>
    </w:p>
    <w:p>
      <w:pPr>
        <w:jc w:val="both"/>
        <w:ind w:left="280" w:firstLine="646"/>
        <w:spacing w:after="0" w:line="272" w:lineRule="auto"/>
        <w:tabs>
          <w:tab w:leader="none" w:pos="1796" w:val="left"/>
        </w:tabs>
        <w:numPr>
          <w:ilvl w:val="0"/>
          <w:numId w:val="366"/>
        </w:numPr>
        <w:rPr>
          <w:rFonts w:ascii="Arial" w:cs="Arial" w:eastAsia="Arial" w:hAnsi="Arial"/>
          <w:sz w:val="20"/>
          <w:szCs w:val="20"/>
          <w:color w:val="auto"/>
        </w:rPr>
      </w:pPr>
      <w:r>
        <w:rPr>
          <w:rFonts w:ascii="Arial" w:cs="Arial" w:eastAsia="Arial" w:hAnsi="Arial"/>
          <w:sz w:val="20"/>
          <w:szCs w:val="20"/>
          <w:color w:val="auto"/>
        </w:rPr>
        <w:t xml:space="preserve">Any such amounts payable as provided hereunder shall be additional Secured Obligations secured hereby and by the other Collateral Documents. The provisions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shall remain operative and in full force and effect regardless of the termination of this Agreement or any other Loan Document, the consummation of the transactions contemplated hereby, the repayment of any of the Secured Obligations, the invalidity or unenforceability of any term or provision of this Agreement or any other Loan Document, or any investigation made by or on behalf of the Collateral Agent or any other Secured Party. All amounts due under this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shall be payable within 10 days of written demand therefor.</w:t>
      </w:r>
    </w:p>
    <w:p>
      <w:pPr>
        <w:spacing w:after="0" w:line="178"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Whenever in this Agreement any of the parties hereto is referred to, such reference shall be deemed to include the permitted successors and assigns of such party; and all covenants, promises and agreements by or on behalf of any Grantor or the Collateral Agent that are contained in this Agreement shall bind and inure to the benefit of their respective successors and assigns.</w:t>
      </w:r>
    </w:p>
    <w:p>
      <w:pPr>
        <w:spacing w:after="0" w:line="205"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Survival of Agreement</w:t>
      </w:r>
      <w:r>
        <w:rPr>
          <w:rFonts w:ascii="Arial" w:cs="Arial" w:eastAsia="Arial" w:hAnsi="Arial"/>
          <w:sz w:val="18"/>
          <w:szCs w:val="18"/>
          <w:color w:val="auto"/>
        </w:rPr>
        <w:t>. All covenants, agreements, representations and warranties made by the Loan Parties in the Loan Documents and in the certificates or other instruments prepared or delivered in connection with or pursuant to this Agreement or any other Loan Document shall be considered to have been relied upon by the Lenders and shall survive the execution and delivery of the Loan Documents and the making of any Loans and issuance of any Letters of Credit, regardless of any investigation made by any Lender or on its behalf and notwithstanding that the Collateral Agent, any L/C Issuer or any Lender may have had notice or knowledge of any Default or incorrect representation or warranty at the time any credit is extended under the Credit Agreement, and shall continue in full force and effect as long as the principal of or any accrued interest on any Loan or any fee or any other amount payable under any Loan Document is outstanding and unpaid or any Letter of Credit is outstanding (except if such Letter of Credit is cash collateralized or subject to a backstop letter of credit in each case in an amount and on terms reasonably satisfactory to the Administrative Agent and the L/C Issuer) and so long as the Commitments have not expired or terminated.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6" w:right="239" w:bottom="1440" w:gutter="0" w:footer="0" w:header="0"/>
        </w:sectPr>
      </w:pPr>
    </w:p>
    <w:bookmarkStart w:id="426" w:name="page427"/>
    <w:bookmarkEnd w:id="426"/>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Counterparts; Effectiveness; Several Agreement</w:t>
      </w:r>
      <w:r>
        <w:rPr>
          <w:rFonts w:ascii="Arial" w:cs="Arial" w:eastAsia="Arial" w:hAnsi="Arial"/>
          <w:sz w:val="18"/>
          <w:szCs w:val="18"/>
          <w:color w:val="auto"/>
        </w:rPr>
        <w:t>. This Agreement may be executed in counterparts, each of which shall constitute an original but all of which when taken together shall constitute a single contract. Delivery of an executed signature page to this Agreement by facsimile or electronic (i.e., “tif” or “pdf”) transmission shall be as effective as delivery of a manually signed counterpart of this Agreement. This Agreement shall become effective as to any Loan Party when a counterpart hereof executed on behalf of such Loan Party shall have been delivered to the Collateral Agent and a counterpart hereof shall have been executed on behalf of the Collateral Agent, and thereafter shall be binding upon such Loan Party and the Collateral Agent and their respective permitted successors and assigns, and shall inure to the benefit of such Loan Party, the Collateral Agent and the other Secured Parties and their respective successors and assigns, except that no Loan Party shall have the right to assign or transfer its rights or obligations hereunder or any interest herein or in the Collateral (and any such assignment or transfer shall be void) except as expressly contemplated by this Agreement or the Credit Agreement. This Agreement shall be construed as a separate agreement with respect to each Loan Party and may be amended, modified, supplemented, waived or released with respect to any Loan Party without the approval of any other Loan Party and without affecting the obligations of any other Loan Party hereunder.</w:t>
      </w:r>
    </w:p>
    <w:p>
      <w:pPr>
        <w:spacing w:after="0" w:line="177"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In addition to any rights and remedies of the Lenders provided by Law, upon the occurrence and during the continuance of any Event of Default, each Lender and its Affiliates is authorized at any time and from time to time, without prior notice to the Borrowers or any other Loan Party, any such notice being waived by the Borrowers and each Loan Party to the fullest extent permitted by applicable Law, to set off and apply any and all deposits (general or special, time or demand, provisional or final) at any time held by, and other Indebtedness at any time owing by, such Lender and its Affiliates to or for the credit or the account of the respective Loan Parties against any and all obligations owing to such Lender and its Affiliates hereunder, now or hereafter existing, irrespective of whether or not such Lender or Affiliate shall have made demand under this Agreement and although such obligations may be contingent or unmatured or denominated in a currency different from that of the applicable deposit or Indebtedness. Each Lender agrees promptly to notify the Company and the Collateral Agent after any such set 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 The rights of each Lender under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are in addition to other rights and remedies (including other rights of setoff) that such Lender may have.</w:t>
      </w:r>
    </w:p>
    <w:p>
      <w:pPr>
        <w:spacing w:after="0" w:line="171" w:lineRule="exact"/>
        <w:rPr>
          <w:sz w:val="20"/>
          <w:szCs w:val="20"/>
          <w:color w:val="auto"/>
        </w:rPr>
      </w:pPr>
    </w:p>
    <w:p>
      <w:pPr>
        <w:jc w:val="both"/>
        <w:ind w:left="280" w:right="20" w:firstLine="648"/>
        <w:spacing w:after="0" w:line="260" w:lineRule="auto"/>
        <w:rPr>
          <w:sz w:val="20"/>
          <w:szCs w:val="20"/>
          <w:color w:val="auto"/>
        </w:rPr>
      </w:pPr>
      <w:r>
        <w:rPr>
          <w:rFonts w:ascii="Arial" w:cs="Arial" w:eastAsia="Arial" w:hAnsi="Arial"/>
          <w:sz w:val="20"/>
          <w:szCs w:val="20"/>
          <w:color w:val="auto"/>
        </w:rPr>
        <w:t xml:space="preserve">Section 7.09. </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 (a) This Agreement shall be construed in accordance with and governed by the law of the State of New York.</w:t>
      </w:r>
    </w:p>
    <w:p>
      <w:pPr>
        <w:spacing w:after="0" w:line="42" w:lineRule="exact"/>
        <w:rPr>
          <w:sz w:val="20"/>
          <w:szCs w:val="20"/>
          <w:color w:val="auto"/>
        </w:rPr>
      </w:pPr>
    </w:p>
    <w:p>
      <w:pPr>
        <w:jc w:val="both"/>
        <w:ind w:left="280" w:firstLine="646"/>
        <w:spacing w:after="0" w:line="271" w:lineRule="auto"/>
        <w:tabs>
          <w:tab w:leader="none" w:pos="1807" w:val="left"/>
        </w:tabs>
        <w:numPr>
          <w:ilvl w:val="0"/>
          <w:numId w:val="367"/>
        </w:numPr>
        <w:rPr>
          <w:rFonts w:ascii="Arial" w:cs="Arial" w:eastAsia="Arial" w:hAnsi="Arial"/>
          <w:sz w:val="20"/>
          <w:szCs w:val="20"/>
          <w:color w:val="auto"/>
        </w:rPr>
      </w:pPr>
      <w:r>
        <w:rPr>
          <w:rFonts w:ascii="Arial" w:cs="Arial" w:eastAsia="Arial" w:hAnsi="Arial"/>
          <w:sz w:val="20"/>
          <w:szCs w:val="20"/>
          <w:color w:val="auto"/>
        </w:rPr>
        <w:t>Each of the Loan Parties hereby irrevocably and unconditionally submits, for itself and its property, to the exclusive jurisdiction of the courts of the State of New York sitting in New York City in the Borough of Manhattan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582" w:right="239" w:bottom="1440" w:gutter="0" w:footer="0" w:header="0"/>
        </w:sectPr>
      </w:pPr>
    </w:p>
    <w:bookmarkStart w:id="427" w:name="page428"/>
    <w:bookmarkEnd w:id="427"/>
    <w:p>
      <w:pPr>
        <w:jc w:val="both"/>
        <w:ind w:left="280"/>
        <w:spacing w:after="0" w:line="274" w:lineRule="auto"/>
        <w:rPr>
          <w:sz w:val="20"/>
          <w:szCs w:val="20"/>
          <w:color w:val="auto"/>
        </w:rPr>
      </w:pPr>
      <w:r>
        <w:rPr>
          <w:rFonts w:ascii="Arial" w:cs="Arial" w:eastAsia="Arial" w:hAnsi="Arial"/>
          <w:sz w:val="20"/>
          <w:szCs w:val="20"/>
          <w:color w:val="auto"/>
        </w:rPr>
        <w:t>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Grantor in the courts of any other jurisdiction in connection with the exercise of any rights under this Agreement or the enforcement of any judgment.</w:t>
      </w:r>
    </w:p>
    <w:p>
      <w:pPr>
        <w:spacing w:after="0" w:line="192" w:lineRule="exact"/>
        <w:rPr>
          <w:sz w:val="20"/>
          <w:szCs w:val="20"/>
          <w:color w:val="auto"/>
        </w:rPr>
      </w:pPr>
    </w:p>
    <w:p>
      <w:pPr>
        <w:jc w:val="both"/>
        <w:ind w:left="280" w:firstLine="646"/>
        <w:spacing w:after="0" w:line="273" w:lineRule="auto"/>
        <w:tabs>
          <w:tab w:leader="none" w:pos="1796" w:val="left"/>
        </w:tabs>
        <w:numPr>
          <w:ilvl w:val="0"/>
          <w:numId w:val="368"/>
        </w:numPr>
        <w:rPr>
          <w:rFonts w:ascii="Arial" w:cs="Arial" w:eastAsia="Arial" w:hAnsi="Arial"/>
          <w:sz w:val="20"/>
          <w:szCs w:val="20"/>
          <w:color w:val="auto"/>
        </w:rPr>
      </w:pPr>
      <w:r>
        <w:rPr>
          <w:rFonts w:ascii="Arial" w:cs="Arial" w:eastAsia="Arial" w:hAnsi="Arial"/>
          <w:sz w:val="20"/>
          <w:szCs w:val="20"/>
          <w:color w:val="auto"/>
        </w:rPr>
        <w:t xml:space="preserve">Each of the Loan Parties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Arial" w:cs="Arial" w:eastAsia="Arial" w:hAnsi="Arial"/>
          <w:sz w:val="20"/>
          <w:szCs w:val="20"/>
          <w:u w:val="single" w:color="auto"/>
          <w:color w:val="auto"/>
        </w:rPr>
        <w:t>Section 7.09</w:t>
      </w:r>
      <w:r>
        <w:rPr>
          <w:rFonts w:ascii="Arial" w:cs="Arial" w:eastAsia="Arial" w:hAnsi="Arial"/>
          <w:sz w:val="20"/>
          <w:szCs w:val="20"/>
          <w:color w:val="auto"/>
        </w:rPr>
        <w:t>. Each of the parties hereto hereby irrevocably waives, to the fullest extent permitted by applicable Law, the defense of an inconvenient forum to the maintenance of such action or proceeding in any such court.</w:t>
      </w:r>
    </w:p>
    <w:p>
      <w:pPr>
        <w:spacing w:after="0" w:line="204" w:lineRule="exact"/>
        <w:rPr>
          <w:rFonts w:ascii="Arial" w:cs="Arial" w:eastAsia="Arial" w:hAnsi="Arial"/>
          <w:sz w:val="20"/>
          <w:szCs w:val="20"/>
          <w:color w:val="auto"/>
        </w:rPr>
      </w:pPr>
    </w:p>
    <w:p>
      <w:pPr>
        <w:jc w:val="both"/>
        <w:ind w:left="280" w:firstLine="646"/>
        <w:spacing w:after="0" w:line="278" w:lineRule="auto"/>
        <w:tabs>
          <w:tab w:leader="none" w:pos="1807" w:val="left"/>
        </w:tabs>
        <w:numPr>
          <w:ilvl w:val="0"/>
          <w:numId w:val="368"/>
        </w:numPr>
        <w:rPr>
          <w:rFonts w:ascii="Arial" w:cs="Arial" w:eastAsia="Arial" w:hAnsi="Arial"/>
          <w:sz w:val="20"/>
          <w:szCs w:val="20"/>
          <w:color w:val="auto"/>
        </w:rPr>
      </w:pPr>
      <w:r>
        <w:rPr>
          <w:rFonts w:ascii="Arial" w:cs="Arial" w:eastAsia="Arial" w:hAnsi="Arial"/>
          <w:sz w:val="20"/>
          <w:szCs w:val="20"/>
          <w:color w:val="auto"/>
        </w:rPr>
        <w:t xml:space="preserve">Each party to this Agreement irrevocably consents to service of process in the manner provided for notices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w:t>
      </w:r>
      <w:r>
        <w:rPr>
          <w:rFonts w:ascii="Arial" w:cs="Arial" w:eastAsia="Arial" w:hAnsi="Arial"/>
          <w:sz w:val="20"/>
          <w:szCs w:val="20"/>
          <w:color w:val="auto"/>
        </w:rPr>
        <w:t>. Nothing in this Agreement or any other Loan Document will affect the right of any party to this Agreement to serve process in any other manner permitted by law.</w:t>
      </w:r>
    </w:p>
    <w:p>
      <w:pPr>
        <w:spacing w:after="0" w:line="173"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HERETO HEREBY EXPRESSLY WAIVES ANY RIGHT TO TRIAL BY JURY OF ANY CLAIM, DEMAND, ACTION OR CAUSE OF ACTION ARISING UNDER THIS AGREEMENT OR IN ANY WAY CONNECTED WITH OR RELATED OR INCIDENTAL TO THE DEALINGS OF THE PARTIES HERETO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WITH ANY COURT AS WRITTEN EVIDENCE OF THE CONSENT OF THE SIGNATORIES HERETO TO THE WAIVER OF THEIR RIGHT TO TRIAL BY JURY.</w:t>
      </w:r>
    </w:p>
    <w:p>
      <w:pPr>
        <w:spacing w:after="0" w:line="181" w:lineRule="exact"/>
        <w:rPr>
          <w:sz w:val="20"/>
          <w:szCs w:val="20"/>
          <w:color w:val="auto"/>
        </w:rPr>
      </w:pPr>
    </w:p>
    <w:p>
      <w:pPr>
        <w:jc w:val="both"/>
        <w:ind w:left="280" w:right="20" w:firstLine="648"/>
        <w:spacing w:after="0" w:line="316"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30" w:lineRule="exact"/>
        <w:rPr>
          <w:sz w:val="20"/>
          <w:szCs w:val="20"/>
          <w:color w:val="auto"/>
        </w:rPr>
      </w:pPr>
    </w:p>
    <w:p>
      <w:pPr>
        <w:jc w:val="both"/>
        <w:ind w:left="280" w:firstLine="648"/>
        <w:spacing w:after="0" w:line="311"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Security Interest Absolute</w:t>
      </w:r>
      <w:r>
        <w:rPr>
          <w:rFonts w:ascii="Arial" w:cs="Arial" w:eastAsia="Arial" w:hAnsi="Arial"/>
          <w:sz w:val="16"/>
          <w:szCs w:val="16"/>
          <w:color w:val="auto"/>
        </w:rPr>
        <w:t>. All rights of the Collateral Agent hereunder, the Security Interest, the grant of a security interest in the Pledged Collateral and all obligations of each Grantor hereunder shall be absolute and unconditional irrespective of (a) any lack of validity or enforceability of the Credit Agreement, any other Loan Document, the Secured Hedge Agreements,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Credit Agreement, any other Loan Document, the Secured Hedge Agreements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Grantor in respect of the Secured Obligations or this Agreement.</w:t>
      </w:r>
    </w:p>
    <w:p>
      <w:pPr>
        <w:spacing w:after="0" w:line="375"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u w:val="single" w:color="auto"/>
          <w:color w:val="auto"/>
        </w:rPr>
        <w:t>Termination or Release</w:t>
      </w:r>
      <w:r>
        <w:rPr>
          <w:rFonts w:ascii="Arial" w:cs="Arial" w:eastAsia="Arial" w:hAnsi="Arial"/>
          <w:sz w:val="19"/>
          <w:szCs w:val="19"/>
          <w:color w:val="auto"/>
        </w:rPr>
        <w:t>. (a) This Agreement, the Security Interest and all other security interests granted hereby shall terminate when all the outstanding Secured Obligations (other than Secured Obligations in respect of Secured Hedge Agreements and Cash Management Obligations not yet due and payable (to the extent permitted by the terms thereof) and contingent indemnification obligations not yet accrued and payable) have been indefeasibly paid in full and the Lenders have no further commitment to lend under the Credit Agreement, the L/C Obligations have been reduced to zero (except if such Letter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6" w:right="239" w:bottom="1440" w:gutter="0" w:footer="0" w:header="0"/>
        </w:sectPr>
      </w:pPr>
    </w:p>
    <w:bookmarkStart w:id="428" w:name="page429"/>
    <w:bookmarkEnd w:id="428"/>
    <w:p>
      <w:pPr>
        <w:jc w:val="both"/>
        <w:ind w:left="280"/>
        <w:spacing w:after="0" w:line="250" w:lineRule="auto"/>
        <w:rPr>
          <w:sz w:val="20"/>
          <w:szCs w:val="20"/>
          <w:color w:val="auto"/>
        </w:rPr>
      </w:pPr>
      <w:r>
        <w:rPr>
          <w:rFonts w:ascii="Arial" w:cs="Arial" w:eastAsia="Arial" w:hAnsi="Arial"/>
          <w:sz w:val="20"/>
          <w:szCs w:val="20"/>
          <w:color w:val="auto"/>
        </w:rPr>
        <w:t>Credit is fully cash collateralized or supported by a backstop letter of credit in each case in an amount and on terms reasonably satisfactory to the Administrative Agent and the L/C Issuer) and the L/C Issuers have no further obligations to issue Letters of Credit under the Credit Agreement.</w:t>
      </w:r>
    </w:p>
    <w:p>
      <w:pPr>
        <w:spacing w:after="0" w:line="213" w:lineRule="exact"/>
        <w:rPr>
          <w:sz w:val="20"/>
          <w:szCs w:val="20"/>
          <w:color w:val="auto"/>
        </w:rPr>
      </w:pPr>
    </w:p>
    <w:p>
      <w:pPr>
        <w:jc w:val="both"/>
        <w:ind w:left="280" w:firstLine="646"/>
        <w:spacing w:after="0" w:line="278" w:lineRule="auto"/>
        <w:tabs>
          <w:tab w:leader="none" w:pos="1807"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 Subsidiary Party shall automatically be released from its obligations hereunder and the Security Interest in the Collateral of such Subsidiary Party shall be automatically released upon the consummation of any transaction permitted by the Credit Agreement as a result of which such Subsidiary Party ceases to be a Subsidiary of the Company.</w:t>
      </w:r>
    </w:p>
    <w:p>
      <w:pPr>
        <w:spacing w:after="0" w:line="200" w:lineRule="exact"/>
        <w:rPr>
          <w:rFonts w:ascii="Arial" w:cs="Arial" w:eastAsia="Arial" w:hAnsi="Arial"/>
          <w:sz w:val="20"/>
          <w:szCs w:val="20"/>
          <w:color w:val="auto"/>
        </w:rPr>
      </w:pPr>
    </w:p>
    <w:p>
      <w:pPr>
        <w:jc w:val="both"/>
        <w:ind w:left="280" w:firstLine="646"/>
        <w:spacing w:after="0" w:line="299" w:lineRule="auto"/>
        <w:tabs>
          <w:tab w:leader="none" w:pos="1796" w:val="left"/>
        </w:tabs>
        <w:numPr>
          <w:ilvl w:val="0"/>
          <w:numId w:val="369"/>
        </w:numPr>
        <w:rPr>
          <w:rFonts w:ascii="Arial" w:cs="Arial" w:eastAsia="Arial" w:hAnsi="Arial"/>
          <w:sz w:val="19"/>
          <w:szCs w:val="19"/>
          <w:color w:val="auto"/>
        </w:rPr>
      </w:pPr>
      <w:r>
        <w:rPr>
          <w:rFonts w:ascii="Arial" w:cs="Arial" w:eastAsia="Arial" w:hAnsi="Arial"/>
          <w:sz w:val="19"/>
          <w:szCs w:val="19"/>
          <w:color w:val="auto"/>
        </w:rPr>
        <w:t>Upon any sale or other transfer by any Grantor of any Collateral that is permitted under the Credit Agreement, or upon the effectiveness of any written consent to the release of the security interest granted hereby in any Collateral pursuant to Section 10.01 of the Credit Agreement, the security interest in such Collateral shall be automatically released.</w:t>
      </w:r>
    </w:p>
    <w:p>
      <w:pPr>
        <w:spacing w:after="0" w:line="169" w:lineRule="exact"/>
        <w:rPr>
          <w:rFonts w:ascii="Arial" w:cs="Arial" w:eastAsia="Arial" w:hAnsi="Arial"/>
          <w:sz w:val="19"/>
          <w:szCs w:val="19"/>
          <w:color w:val="auto"/>
        </w:rPr>
      </w:pPr>
    </w:p>
    <w:p>
      <w:pPr>
        <w:jc w:val="both"/>
        <w:ind w:left="280" w:firstLine="646"/>
        <w:spacing w:after="0" w:line="293" w:lineRule="auto"/>
        <w:tabs>
          <w:tab w:leader="none" w:pos="1807" w:val="left"/>
        </w:tabs>
        <w:numPr>
          <w:ilvl w:val="0"/>
          <w:numId w:val="369"/>
        </w:numPr>
        <w:rPr>
          <w:rFonts w:ascii="Arial" w:cs="Arial" w:eastAsia="Arial" w:hAnsi="Arial"/>
          <w:sz w:val="19"/>
          <w:szCs w:val="19"/>
          <w:color w:val="auto"/>
        </w:rPr>
      </w:pPr>
      <w:r>
        <w:rPr>
          <w:rFonts w:ascii="Arial" w:cs="Arial" w:eastAsia="Arial" w:hAnsi="Arial"/>
          <w:sz w:val="19"/>
          <w:szCs w:val="19"/>
          <w:color w:val="auto"/>
        </w:rPr>
        <w:t xml:space="preserve">In connection with any termination or release pursuant to paragraph (a), (b) or (c), the Collateral Agent shall promptly execute and deliver to any Grantor, at such Grantor’s expense, all documents (including relevant certificates, securities and other instruments) that such Grantor shall reasonably request to evidence such termination or release. Any execution and delivery of documents pursuant to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shall be without recourse to or warranty by the Collateral Agent.</w:t>
      </w:r>
    </w:p>
    <w:p>
      <w:pPr>
        <w:spacing w:after="0" w:line="175" w:lineRule="exact"/>
        <w:rPr>
          <w:rFonts w:ascii="Arial" w:cs="Arial" w:eastAsia="Arial" w:hAnsi="Arial"/>
          <w:sz w:val="19"/>
          <w:szCs w:val="19"/>
          <w:color w:val="auto"/>
        </w:rPr>
      </w:pPr>
    </w:p>
    <w:p>
      <w:pPr>
        <w:jc w:val="both"/>
        <w:ind w:left="280" w:firstLine="646"/>
        <w:spacing w:after="0" w:line="273" w:lineRule="auto"/>
        <w:tabs>
          <w:tab w:leader="none" w:pos="179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 xml:space="preserve">At any time that the respective Grantor desires that the Collateral Agent take any action described in the immediately preceding paragraph (d), it shall, upon request of the Collateral Agent, deliver to the Collateral Agent an officer’s certificate certifying that the release of the respective Collateral is permitted pursuant to paragraph (a), (b) or (c). The Collateral Agent shall have no liability whatsoever to any Secured Party as the result of any release of Collateral by it as permitted (or which the Collateral Agent in good faith believes to be permitted) by this </w:t>
      </w:r>
      <w:r>
        <w:rPr>
          <w:rFonts w:ascii="Arial" w:cs="Arial" w:eastAsia="Arial" w:hAnsi="Arial"/>
          <w:sz w:val="20"/>
          <w:szCs w:val="20"/>
          <w:u w:val="single" w:color="auto"/>
          <w:color w:val="auto"/>
        </w:rPr>
        <w:t>Section 7.13</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280" w:firstLine="646"/>
        <w:spacing w:after="0" w:line="310" w:lineRule="auto"/>
        <w:tabs>
          <w:tab w:leader="none" w:pos="177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in this Agreement, each Cash Management Bank and each Hedge Bank by the acceptance of the benefits under this Agreement hereby acknowledge and agree that (i) the obligations of the Borrowers or any Subsidiary under any Secured Hedge Agreement and the Cash Management Obligations shall be secured pursuant to this Agreement only to the extent that, and for so long as, the other Secured Obligations are so secured and (ii) any release of Collateral effected in the manner permitted by this Agreement shall not require the consent of any Hedge Bank or Cash Management Bank.</w:t>
      </w:r>
    </w:p>
    <w:p>
      <w:pPr>
        <w:spacing w:after="0" w:line="149"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Additional Subsidiaries</w:t>
      </w:r>
      <w:r>
        <w:rPr>
          <w:rFonts w:ascii="Arial" w:cs="Arial" w:eastAsia="Arial" w:hAnsi="Arial"/>
          <w:sz w:val="19"/>
          <w:szCs w:val="19"/>
          <w:color w:val="auto"/>
        </w:rPr>
        <w:t>. Pursuant to Section 6.11 of the Credit Agreement, certain Subsidiaries of the Loan Parties that were not in existence on the date of the Credit Agreement are required to enter in this Agreement as Grantors upon becoming Subsidiaries. In addition, certain Subsidiaries of the Loan Parties that are not required under the Credit Agreement to enter in this Agreement as Grantors may elect to do so at their option. Upon execution and delivery by the Collateral Agent and a Subsidiary of a Security Agreement Supplement, such Subsidiary shall become a Subsidiary Party hereunder with the same force and effect as if originally named as a Subsidiary Party herein. The execution and delivery of any such instrument shall not require the consent of any other Loan Party hereunder. The rights and obligations of each Loan Party hereunder shall remain in full force and effect notwithstanding the addition of any new Loan Party as a party to this Agreement.</w:t>
      </w:r>
    </w:p>
    <w:p>
      <w:pPr>
        <w:spacing w:after="0" w:line="195" w:lineRule="exact"/>
        <w:rPr>
          <w:sz w:val="20"/>
          <w:szCs w:val="20"/>
          <w:color w:val="auto"/>
        </w:rPr>
      </w:pPr>
    </w:p>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Collateral Agent Appointed Attorney-in-Fact</w:t>
      </w:r>
      <w:r>
        <w:rPr>
          <w:rFonts w:ascii="Arial" w:cs="Arial" w:eastAsia="Arial" w:hAnsi="Arial"/>
          <w:sz w:val="18"/>
          <w:szCs w:val="18"/>
          <w:color w:val="auto"/>
        </w:rPr>
        <w:t>.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at any time after and during the continuance of an Event of Default, which appointment is irrevocable and coupled with an interest. Without limiting the generality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6" w:right="239" w:bottom="1440" w:gutter="0" w:footer="0" w:header="0"/>
        </w:sectPr>
      </w:pPr>
    </w:p>
    <w:bookmarkStart w:id="429" w:name="page430"/>
    <w:bookmarkEnd w:id="429"/>
    <w:p>
      <w:pPr>
        <w:jc w:val="both"/>
        <w:ind w:left="280"/>
        <w:spacing w:after="0" w:line="268" w:lineRule="auto"/>
        <w:rPr>
          <w:sz w:val="20"/>
          <w:szCs w:val="20"/>
          <w:color w:val="auto"/>
        </w:rPr>
      </w:pPr>
      <w:r>
        <w:rPr>
          <w:rFonts w:ascii="Arial" w:cs="Arial" w:eastAsia="Arial" w:hAnsi="Arial"/>
          <w:sz w:val="18"/>
          <w:szCs w:val="18"/>
          <w:color w:val="auto"/>
        </w:rPr>
        <w:t>the foregoing, the Collateral Agent shall have the right, upon the occurrence and during the continuance of an Event of Default and (unless a Bankruptcy Event of Default has occurred and is continuing) delivery of notice by the Collateral Agent to the Company of its intent to exercise such rights, with full power of substitution either in the Collateral Agent’s name or in the name of such Grantor (a) to receive, endorse,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to send verifications of Accounts to any Account Debtor; (e) to commence and prosecute any and all suits, actions or proceedings at law or in equity in any court of competent jurisdiction to collect or otherwise realize on all or any of the Collateral or to enforce any rights in respect of any Collateral;</w:t>
      </w:r>
    </w:p>
    <w:p>
      <w:pPr>
        <w:spacing w:after="0" w:line="4" w:lineRule="exact"/>
        <w:rPr>
          <w:sz w:val="20"/>
          <w:szCs w:val="20"/>
          <w:color w:val="auto"/>
        </w:rPr>
      </w:pPr>
    </w:p>
    <w:p>
      <w:pPr>
        <w:jc w:val="both"/>
        <w:ind w:left="280" w:hanging="2"/>
        <w:spacing w:after="0" w:line="269" w:lineRule="auto"/>
        <w:tabs>
          <w:tab w:leader="none" w:pos="53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to settle, compromise, compound, adjust or defend any actions, suits or proceedings relating to all or any of the Collateral; (g) to notify, or to require any Grantor to notify, Account Debtors to make payment directly to the Collateral Agent or the Cash Collateral Account and adjust, settle or compromise the amount of payment of any Account; and (h)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willful misconduct or that of any of their Affiliates, directors, officers, employees, counsel, agents or attorneys-in-fact.</w:t>
      </w:r>
    </w:p>
    <w:p>
      <w:pPr>
        <w:spacing w:after="0" w:line="185" w:lineRule="exact"/>
        <w:rPr>
          <w:sz w:val="20"/>
          <w:szCs w:val="20"/>
          <w:color w:val="auto"/>
        </w:rPr>
      </w:pPr>
    </w:p>
    <w:p>
      <w:pPr>
        <w:jc w:val="both"/>
        <w:ind w:left="280" w:firstLine="648"/>
        <w:spacing w:after="0" w:line="272"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General Authority of the Collateral Agent</w:t>
      </w:r>
      <w:r>
        <w:rPr>
          <w:rFonts w:ascii="Arial" w:cs="Arial" w:eastAsia="Arial" w:hAnsi="Arial"/>
          <w:sz w:val="18"/>
          <w:szCs w:val="18"/>
          <w:color w:val="auto"/>
        </w:rPr>
        <w:t>. By acceptance of the benefits of this Agreement and any other Collateral Documents, each Secured Party (whether or not a signatory hereto) shall be deemed irrevocably (a) to consent to the appointment of the Collateral Agent as its agent hereunder and under such other Collateral Documents, (b) to confirm that the Collateral Agent shall have the authority to act as the exclusive agent of such Secured Party for the enforcement of any provisions of this Agreement and such other Collateral Documents against any Grantor, the exercise of remedies hereunder or thereunder and the giving or withholding of any consent or approval hereunder or thereunder relating to any Collateral or any Grantor’s obligations with respect thereto, (c) to agree that it shall not take any action to enforce any provisions of this Agreement or any other Collateral Document against any Grantor, to exercise any remedy hereunder or thereunder or to give any consents or approvals hereunder or thereunder except as expressly provided in this Agreement or any other Collateral Document and (d) to agree to be bound by the terms of this Agreement and any other Collateral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6" w:right="239" w:bottom="1440" w:gutter="0" w:footer="0" w:header="0"/>
        </w:sectPr>
      </w:pPr>
    </w:p>
    <w:bookmarkStart w:id="430" w:name="page431"/>
    <w:bookmarkEnd w:id="430"/>
    <w:p>
      <w:pPr>
        <w:jc w:val="both"/>
        <w:ind w:left="280" w:firstLine="648"/>
        <w:spacing w:after="0" w:line="282"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Mortgages</w:t>
      </w:r>
      <w:r>
        <w:rPr>
          <w:rFonts w:ascii="Arial" w:cs="Arial" w:eastAsia="Arial" w:hAnsi="Arial"/>
          <w:sz w:val="18"/>
          <w:szCs w:val="18"/>
          <w:color w:val="auto"/>
        </w:rPr>
        <w:t>. In the event that any of the Collateral hereunder is also subject to a valid and enforceable Lien under the terms of a Mortgage and the terms thereof are inconsistent with the terms of this Agreement, then with respect to such Collateral, the terms of such Mortgage shall control in the case of Fixtures and real estate leases, letting and licenses of, and contracts and agreements relating to the lease of, real property, and the terms of this Agreement shall control in the case of all other Collateral.</w:t>
      </w:r>
    </w:p>
    <w:p>
      <w:pPr>
        <w:spacing w:after="0" w:line="162" w:lineRule="exact"/>
        <w:rPr>
          <w:sz w:val="20"/>
          <w:szCs w:val="20"/>
          <w:color w:val="auto"/>
        </w:rPr>
      </w:pPr>
    </w:p>
    <w:p>
      <w:pPr>
        <w:jc w:val="both"/>
        <w:ind w:left="280" w:firstLine="648"/>
        <w:spacing w:after="0" w:line="258"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u w:val="single" w:color="auto"/>
          <w:color w:val="auto"/>
        </w:rPr>
        <w:t>Recourse; Limited Obligations</w:t>
      </w:r>
      <w:r>
        <w:rPr>
          <w:rFonts w:ascii="Arial" w:cs="Arial" w:eastAsia="Arial" w:hAnsi="Arial"/>
          <w:sz w:val="19"/>
          <w:szCs w:val="19"/>
          <w:color w:val="auto"/>
        </w:rPr>
        <w:t>. This Agreement is made with full recourse to each Grantor and pursuant to and upon all the warranties, representations, covenants and agreements on the part of such Grantor contained herein, in the Loan Documents and the Secured Hedge Agreements and otherwise in writing in connection herewith or therewith. It is the desire and intent of each Grantor and the Secured Parties that this Agreement shall be enforced against each Grantor to the fullest extent permissible under the laws applied in each jurisdiction in which enforcement is sought. Notwithstanding anything to the contrary contained herein, and in furtherance of the foregoing, it is noted that the obligations of each Grantor that is a Subsidiary Party have been limited as expressly provided in the Guaranty and are limited hereunder as and to the same extent provided therein.</w:t>
      </w:r>
    </w:p>
    <w:p>
      <w:pPr>
        <w:spacing w:after="0" w:line="17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u w:val="single" w:color="auto"/>
          <w:color w:val="auto"/>
        </w:rPr>
        <w:t>Amendment and Restatement; No Novation</w:t>
      </w:r>
      <w:r>
        <w:rPr>
          <w:rFonts w:ascii="Arial" w:cs="Arial" w:eastAsia="Arial" w:hAnsi="Arial"/>
          <w:sz w:val="19"/>
          <w:szCs w:val="19"/>
          <w:color w:val="auto"/>
        </w:rPr>
        <w:t>. This Agreement constitutes an amendment and restatement of that certain Security Agreement dated of October 26, 2012 (as amended, restated, supplemented, reaffirmed or otherwise modified,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effective from and after the Closing Date. The execution and delivery of this Agreement shall not constitute a novation of any indebtedness or other obligations owing to the Lenders or the Collateral Agent under the Existing Credit Agreement or secured by the Existing Security Agreement or release of any Liens securing any such indebtedness or obligations.</w:t>
      </w:r>
    </w:p>
    <w:p>
      <w:pPr>
        <w:spacing w:after="0" w:line="194"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[THE REMAINDER OF THIS PAGE IS INTENTIONALLY LEFT BLANK]</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31" w:name="page432"/>
    <w:bookmarkEnd w:id="431"/>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their duly authorized officers to execute and deliver this Agreement as of the date first above written.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GRANTORS:</w:t>
      </w:r>
    </w:p>
    <w:p>
      <w:pPr>
        <w:spacing w:after="0" w:line="16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OSI RESTAURANT PARTNERS,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6400"/>
        <w:spacing w:after="0"/>
        <w:rPr>
          <w:sz w:val="20"/>
          <w:szCs w:val="20"/>
          <w:color w:val="auto"/>
        </w:rPr>
      </w:pPr>
      <w:r>
        <w:rPr>
          <w:rFonts w:ascii="Arial" w:cs="Arial" w:eastAsia="Arial" w:hAnsi="Arial"/>
          <w:sz w:val="19"/>
          <w:szCs w:val="19"/>
          <w:color w:val="343636"/>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6320"/>
        <w:spacing w:after="0"/>
        <w:rPr>
          <w:sz w:val="20"/>
          <w:szCs w:val="20"/>
          <w:color w:val="auto"/>
        </w:rPr>
      </w:pPr>
      <w:r>
        <w:rPr>
          <w:rFonts w:ascii="Arial" w:cs="Arial" w:eastAsia="Arial" w:hAnsi="Arial"/>
          <w:sz w:val="19"/>
          <w:szCs w:val="19"/>
          <w:color w:val="343636"/>
        </w:rPr>
        <w:t>Name: Michael A'Hearn</w:t>
      </w:r>
    </w:p>
    <w:p>
      <w:pPr>
        <w:spacing w:after="0" w:line="52" w:lineRule="exact"/>
        <w:rPr>
          <w:sz w:val="20"/>
          <w:szCs w:val="20"/>
          <w:color w:val="auto"/>
        </w:rPr>
      </w:pPr>
    </w:p>
    <w:p>
      <w:pPr>
        <w:ind w:left="6400"/>
        <w:spacing w:after="0"/>
        <w:rPr>
          <w:sz w:val="20"/>
          <w:szCs w:val="20"/>
          <w:color w:val="auto"/>
        </w:rPr>
      </w:pPr>
      <w:r>
        <w:rPr>
          <w:rFonts w:ascii="Arial" w:cs="Arial" w:eastAsia="Arial" w:hAnsi="Arial"/>
          <w:sz w:val="19"/>
          <w:szCs w:val="19"/>
          <w:color w:val="343636"/>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BLOOMIN’ BRANDS GIFT CARD SERVICES,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OS RESTAURANT SERVICES,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OUTBACK DESIGNATED PARTNER, LLC</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OUTBACK KANSAS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672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its member</w:t>
      </w:r>
    </w:p>
    <w:p>
      <w:pPr>
        <w:spacing w:after="0" w:line="36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By:________________________________________________</w:t>
      </w:r>
    </w:p>
    <w:p>
      <w:pPr>
        <w:spacing w:after="0" w:line="84" w:lineRule="exact"/>
        <w:rPr>
          <w:sz w:val="20"/>
          <w:szCs w:val="20"/>
          <w:color w:val="auto"/>
        </w:rPr>
      </w:pPr>
    </w:p>
    <w:p>
      <w:pPr>
        <w:ind w:left="696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Officer &amp; Assistant Secretary</w:t>
      </w:r>
    </w:p>
    <w:p>
      <w:pPr>
        <w:sectPr>
          <w:pgSz w:w="11900" w:h="16838" w:orient="portrait"/>
          <w:cols w:equalWidth="0" w:num="1">
            <w:col w:w="11420"/>
          </w:cols>
          <w:pgMar w:left="240" w:top="3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20"/>
          </w:cols>
          <w:pgMar w:left="240" w:top="366" w:right="239" w:bottom="1440" w:gutter="0" w:footer="0" w:header="0"/>
          <w:type w:val="continuous"/>
        </w:sectPr>
      </w:pPr>
    </w:p>
    <w:bookmarkStart w:id="432" w:name="page433"/>
    <w:bookmarkEnd w:id="432"/>
    <w:p>
      <w:pPr>
        <w:ind w:left="4720"/>
        <w:spacing w:after="0"/>
        <w:rPr>
          <w:sz w:val="20"/>
          <w:szCs w:val="20"/>
          <w:color w:val="auto"/>
        </w:rPr>
      </w:pPr>
      <w:r>
        <w:rPr>
          <w:rFonts w:ascii="Arial" w:cs="Arial" w:eastAsia="Arial" w:hAnsi="Arial"/>
          <w:sz w:val="20"/>
          <w:szCs w:val="20"/>
          <w:color w:val="auto"/>
        </w:rPr>
        <w:t>BONEFISH OF BEL AIR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managing member</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BONEFISH/ASHEVILLE,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BONEFISH/CAROLINAS,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BONEFISH/COLUMBUS-I, LIMITED</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BONEFISH/CRESCENT SPRINGS, LIMITED</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BONEFISH/GREENSBORO, LIMITED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BONEFISH/HYDE PARK,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general partner</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9"/>
          <w:szCs w:val="19"/>
          <w:color w:val="343636"/>
        </w:rPr>
        <w:t xml:space="preserve">By: </w:t>
      </w:r>
      <w:r>
        <w:rPr>
          <w:rFonts w:ascii="Arial" w:cs="Arial" w:eastAsia="Arial" w:hAnsi="Arial"/>
          <w:sz w:val="19"/>
          <w:szCs w:val="19"/>
          <w:color w:val="000000"/>
        </w:rPr>
        <w:t>OSI RESTAURANT PARTNERS, LLC,</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433" w:name="page434"/>
    <w:bookmarkEnd w:id="433"/>
    <w:p>
      <w:pPr>
        <w:ind w:left="4720"/>
        <w:spacing w:after="0"/>
        <w:rPr>
          <w:sz w:val="20"/>
          <w:szCs w:val="20"/>
          <w:color w:val="auto"/>
        </w:rPr>
      </w:pPr>
      <w:r>
        <w:rPr>
          <w:rFonts w:ascii="Arial" w:cs="Arial" w:eastAsia="Arial" w:hAnsi="Arial"/>
          <w:sz w:val="20"/>
          <w:szCs w:val="20"/>
          <w:color w:val="auto"/>
        </w:rPr>
        <w:t>BONEFISH BEVERAGES, LLC</w:t>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HOLDINGS,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 BEVERAGES OF TEXAS,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 HOLDINGS,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BEVERAGES OF TEXAS,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OBTEX HOLDINGS,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BRANDYWINE, LLC</w:t>
      </w:r>
    </w:p>
    <w:p>
      <w:pPr>
        <w:spacing w:after="0" w:line="22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DESIGNATED PARTNER, LLC</w:t>
      </w:r>
    </w:p>
    <w:p>
      <w:pPr>
        <w:spacing w:after="0" w:line="22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KANSAS,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member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Officer &amp; Assistant Secretary</w:t>
      </w:r>
    </w:p>
    <w:p>
      <w:pPr>
        <w:spacing w:after="0" w:line="200" w:lineRule="exact"/>
        <w:rPr>
          <w:sz w:val="20"/>
          <w:szCs w:val="20"/>
          <w:color w:val="auto"/>
        </w:rPr>
      </w:pPr>
    </w:p>
    <w:p>
      <w:pPr>
        <w:spacing w:after="0" w:line="30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95" w:right="379" w:bottom="1440" w:gutter="0" w:footer="0" w:header="0"/>
        </w:sectPr>
      </w:pPr>
    </w:p>
    <w:bookmarkStart w:id="434" w:name="page435"/>
    <w:bookmarkEnd w:id="434"/>
    <w:p>
      <w:pPr>
        <w:ind w:left="4720"/>
        <w:spacing w:after="0"/>
        <w:rPr>
          <w:sz w:val="20"/>
          <w:szCs w:val="20"/>
          <w:color w:val="auto"/>
        </w:rPr>
      </w:pPr>
      <w:r>
        <w:rPr>
          <w:rFonts w:ascii="Arial" w:cs="Arial" w:eastAsia="Arial" w:hAnsi="Arial"/>
          <w:sz w:val="20"/>
          <w:szCs w:val="20"/>
          <w:color w:val="auto"/>
        </w:rPr>
        <w:t>BFG NEBRASKA,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BFG OKLAHOMA,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 NEBRASKA,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 OKLAHOMA,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 MANAGEMENT,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 MORTGAGE HOLDINGS,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 NEBRASKA,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 OKLAHOMA,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ALABAMA,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OUTBACK &amp; CARRABBA’S OF NEW MEXICO,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David J. Deno</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Title: Chief Financial and Administrative Officer,</w:t>
      </w:r>
    </w:p>
    <w:p>
      <w:pPr>
        <w:spacing w:after="0" w:line="65"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00"/>
          </w:cols>
          <w:pgMar w:left="1440" w:top="528" w:right="1159" w:bottom="1440" w:gutter="0" w:footer="0" w:header="0"/>
        </w:sectPr>
      </w:pPr>
    </w:p>
    <w:bookmarkStart w:id="435" w:name="page436"/>
    <w:bookmarkEnd w:id="435"/>
    <w:p>
      <w:pPr>
        <w:ind w:left="4720"/>
        <w:spacing w:after="0"/>
        <w:rPr>
          <w:sz w:val="20"/>
          <w:szCs w:val="20"/>
          <w:color w:val="auto"/>
        </w:rPr>
      </w:pPr>
      <w:r>
        <w:rPr>
          <w:rFonts w:ascii="Arial" w:cs="Arial" w:eastAsia="Arial" w:hAnsi="Arial"/>
          <w:sz w:val="20"/>
          <w:szCs w:val="20"/>
          <w:color w:val="auto"/>
        </w:rPr>
        <w:t>CARRABBA’S DESIGNATED PARTNER,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CARRABBA’S KANSAS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CARRABBA’S ITALIAN GRILL OF HOWARD COUNTY, INC.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Malcom Mordue</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Secretary, Treasurer &amp; President</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BONEFISH GRILL,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CARRABBA’S ITALIAN GRILL,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 REALTY,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STEAKHOUSE OF FLORIDA,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PRIVATE RESTAURANT MASTER LESSEE, LLC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DOORSIDE,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member</w:t>
      </w:r>
    </w:p>
    <w:p>
      <w:pPr>
        <w:spacing w:after="0" w:line="36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32588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Legal Office &amp; Assistant Secretary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973" w:right="379" w:bottom="1440" w:gutter="0" w:footer="0" w:header="0"/>
        </w:sectPr>
      </w:pPr>
    </w:p>
    <w:bookmarkStart w:id="436" w:name="page437"/>
    <w:bookmarkEnd w:id="436"/>
    <w:p>
      <w:pPr>
        <w:ind w:left="4720"/>
        <w:spacing w:after="0"/>
        <w:rPr>
          <w:sz w:val="20"/>
          <w:szCs w:val="20"/>
          <w:color w:val="auto"/>
        </w:rPr>
      </w:pPr>
      <w:r>
        <w:rPr>
          <w:rFonts w:ascii="Arial" w:cs="Arial" w:eastAsia="Arial" w:hAnsi="Arial"/>
          <w:sz w:val="20"/>
          <w:szCs w:val="20"/>
          <w:color w:val="auto"/>
        </w:rPr>
        <w:t>CARRABBA’S OF BOWIE,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managing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 Legal</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CARRABS OF GERMANTOWN,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CARRABA'S OF WALDORF, INC.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sole shareholder</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OSI RESTAURANT PARTNERS, LLC, its member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31750</wp:posOffset>
            </wp:positionV>
            <wp:extent cx="32588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30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437" w:name="page438"/>
    <w:bookmarkEnd w:id="437"/>
    <w:p>
      <w:pPr>
        <w:ind w:left="4720"/>
        <w:spacing w:after="0"/>
        <w:rPr>
          <w:sz w:val="20"/>
          <w:szCs w:val="20"/>
          <w:color w:val="auto"/>
        </w:rPr>
      </w:pPr>
      <w:r>
        <w:rPr>
          <w:rFonts w:ascii="Arial" w:cs="Arial" w:eastAsia="Arial" w:hAnsi="Arial"/>
          <w:sz w:val="20"/>
          <w:szCs w:val="20"/>
          <w:color w:val="auto"/>
        </w:rPr>
        <w:t>CARRABBA’S/BIRMINGHAM 280, LIMITED</w:t>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PARTNERSHIP</w:t>
      </w:r>
    </w:p>
    <w:p>
      <w:pPr>
        <w:spacing w:after="0" w:line="36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DESIGNATED PARTNER,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By: OSI RESTAURANT PARTNERS,</w:t>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LLC, its member</w:t>
      </w:r>
    </w:p>
    <w:p>
      <w:pPr>
        <w:spacing w:after="0" w:line="362"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By:____________________________________</w:t>
      </w:r>
    </w:p>
    <w:p>
      <w:pPr>
        <w:spacing w:after="0" w:line="100"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Title: Executive Vice President</w:t>
      </w:r>
    </w:p>
    <w:p>
      <w:pPr>
        <w:spacing w:after="0" w:line="54"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Chief Legal Officer &amp;</w:t>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Assistant Secretary</w:t>
      </w:r>
    </w:p>
    <w:p>
      <w:pPr>
        <w:spacing w:after="0" w:line="200" w:lineRule="exact"/>
        <w:rPr>
          <w:sz w:val="20"/>
          <w:szCs w:val="20"/>
          <w:color w:val="auto"/>
        </w:rPr>
      </w:pPr>
    </w:p>
    <w:p>
      <w:pPr>
        <w:spacing w:after="0" w:line="286"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100"/>
          </w:cols>
          <w:pgMar w:left="1440" w:top="757" w:right="359" w:bottom="1440" w:gutter="0" w:footer="0" w:header="0"/>
        </w:sectPr>
      </w:pPr>
    </w:p>
    <w:bookmarkStart w:id="438" w:name="page439"/>
    <w:bookmarkEnd w:id="438"/>
    <w:p>
      <w:pPr>
        <w:ind w:left="4720"/>
        <w:spacing w:after="0"/>
        <w:rPr>
          <w:sz w:val="20"/>
          <w:szCs w:val="20"/>
          <w:color w:val="auto"/>
        </w:rPr>
      </w:pPr>
      <w:r>
        <w:rPr>
          <w:rFonts w:ascii="Arial" w:cs="Arial" w:eastAsia="Arial" w:hAnsi="Arial"/>
          <w:sz w:val="20"/>
          <w:szCs w:val="20"/>
          <w:color w:val="auto"/>
        </w:rPr>
        <w:t>CARRABBA’S/DC-I,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CIGI/BFG OF EAST BRUNSWICK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7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439" w:name="page440"/>
    <w:bookmarkEnd w:id="439"/>
    <w:p>
      <w:pPr>
        <w:ind w:left="4720"/>
        <w:spacing w:after="0"/>
        <w:rPr>
          <w:sz w:val="20"/>
          <w:szCs w:val="20"/>
          <w:color w:val="auto"/>
        </w:rPr>
      </w:pPr>
      <w:r>
        <w:rPr>
          <w:rFonts w:ascii="Arial" w:cs="Arial" w:eastAsia="Arial" w:hAnsi="Arial"/>
          <w:sz w:val="20"/>
          <w:szCs w:val="20"/>
          <w:color w:val="auto"/>
        </w:rPr>
        <w:t>OUTBACK OF ASPEN HILL,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OF GERMANTOWN,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FREDERICK OUTBACK, INC.</w:t>
      </w:r>
    </w:p>
    <w:p>
      <w:pPr>
        <w:spacing w:after="0" w:line="378"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Name: Stephen S. Newton</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Title: Treasurer, President &amp; Secretary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OSF/BFG OF DEPTFORD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OSF/BFG OF LAWRENCEVILLE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BONEFISH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 its</w:t>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8" w:right="379" w:bottom="1440" w:gutter="0" w:footer="0" w:header="0"/>
        </w:sectPr>
      </w:pPr>
    </w:p>
    <w:bookmarkStart w:id="440" w:name="page441"/>
    <w:bookmarkEnd w:id="440"/>
    <w:p>
      <w:pPr>
        <w:ind w:left="4720"/>
        <w:spacing w:after="0"/>
        <w:rPr>
          <w:sz w:val="20"/>
          <w:szCs w:val="20"/>
          <w:color w:val="auto"/>
        </w:rPr>
      </w:pPr>
      <w:r>
        <w:rPr>
          <w:rFonts w:ascii="Arial" w:cs="Arial" w:eastAsia="Arial" w:hAnsi="Arial"/>
          <w:sz w:val="20"/>
          <w:szCs w:val="20"/>
          <w:color w:val="auto"/>
        </w:rPr>
        <w:t>OSF/CIGI OF EVESHAM PARTNERSHIP</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OUTBACK/CARRABBA'S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By: OUTBACK STEAKHOUSE OF FLORIDA, LLC, its partner</w:t>
      </w:r>
    </w:p>
    <w:p>
      <w:pPr>
        <w:spacing w:after="0" w:line="38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CARRABBA’S ITALIAN GRILL, LLC, its partner</w:t>
      </w:r>
    </w:p>
    <w:p>
      <w:pPr>
        <w:spacing w:after="0" w:line="378"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30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527" w:right="379" w:bottom="1440" w:gutter="0" w:footer="0" w:header="0"/>
        </w:sectPr>
      </w:pPr>
    </w:p>
    <w:bookmarkStart w:id="441" w:name="page442"/>
    <w:bookmarkEnd w:id="441"/>
    <w:p>
      <w:pPr>
        <w:ind w:left="4720"/>
        <w:spacing w:after="0"/>
        <w:rPr>
          <w:sz w:val="20"/>
          <w:szCs w:val="20"/>
          <w:color w:val="auto"/>
        </w:rPr>
      </w:pPr>
      <w:r>
        <w:rPr>
          <w:rFonts w:ascii="Arial" w:cs="Arial" w:eastAsia="Arial" w:hAnsi="Arial"/>
          <w:sz w:val="20"/>
          <w:szCs w:val="20"/>
          <w:color w:val="auto"/>
        </w:rPr>
        <w:t>OUTBACK STEAKHOUSE WEST VIRGINIA,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2"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Name: Joseph J. Kadow</w:t>
      </w:r>
    </w:p>
    <w:p>
      <w:pPr>
        <w:spacing w:after="0" w:line="52" w:lineRule="exact"/>
        <w:rPr>
          <w:sz w:val="20"/>
          <w:szCs w:val="20"/>
          <w:color w:val="auto"/>
        </w:rPr>
      </w:pPr>
    </w:p>
    <w:p>
      <w:pPr>
        <w:ind w:left="5200"/>
        <w:spacing w:after="0"/>
        <w:rPr>
          <w:sz w:val="20"/>
          <w:szCs w:val="20"/>
          <w:color w:val="auto"/>
        </w:rPr>
      </w:pPr>
      <w:r>
        <w:rPr>
          <w:rFonts w:ascii="Arial" w:cs="Arial" w:eastAsia="Arial" w:hAnsi="Arial"/>
          <w:sz w:val="19"/>
          <w:szCs w:val="19"/>
          <w:color w:val="343636"/>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OUTBACK/STONE-II, LIMITED PARTNERSHIP</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general partner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189"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OUTBACK OF LAUREL, LLC</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 OUTBACK STEAKHOUSE OF FLORIDA, LLC,</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its Sole Manager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By: OSI RESTAURANT PARTNERS, LLC,</w:t>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its member</w:t>
      </w:r>
    </w:p>
    <w:p>
      <w:pPr>
        <w:spacing w:after="0" w:line="362"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By:____________________________________________</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Name: Joseph J. Kadow</w:t>
      </w:r>
    </w:p>
    <w:p>
      <w:pPr>
        <w:spacing w:after="0" w:line="54"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Executive Vice President, Chief</w:t>
      </w:r>
    </w:p>
    <w:p>
      <w:pPr>
        <w:spacing w:after="0" w:line="54"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Legal Officer &amp; Assistant Secretary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80"/>
          </w:cols>
          <w:pgMar w:left="1440" w:top="757" w:right="379" w:bottom="1440" w:gutter="0" w:footer="0" w:header="0"/>
        </w:sectPr>
      </w:pPr>
    </w:p>
    <w:bookmarkStart w:id="442" w:name="page443"/>
    <w:bookmarkEnd w:id="442"/>
    <w:p>
      <w:pPr>
        <w:ind w:left="4720"/>
        <w:spacing w:after="0"/>
        <w:rPr>
          <w:sz w:val="20"/>
          <w:szCs w:val="20"/>
          <w:color w:val="auto"/>
        </w:rPr>
      </w:pPr>
      <w:r>
        <w:rPr>
          <w:rFonts w:ascii="Arial" w:cs="Arial" w:eastAsia="Arial" w:hAnsi="Arial"/>
          <w:sz w:val="20"/>
          <w:szCs w:val="20"/>
          <w:color w:val="auto"/>
        </w:rPr>
        <w:t>OSI HOLDCO,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OSI HOLDCO I, INC.</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OSI HOLDCO II,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343636"/>
        </w:rPr>
        <w:t>Name: Joseph J. Kadow</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 xml:space="preserve">Title: </w:t>
      </w:r>
      <w:r>
        <w:rPr>
          <w:rFonts w:ascii="Arial" w:cs="Arial" w:eastAsia="Arial" w:hAnsi="Arial"/>
          <w:sz w:val="19"/>
          <w:szCs w:val="19"/>
          <w:color w:val="000000"/>
        </w:rPr>
        <w:t>Executive Vice President &amp; Secretary</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PRIVATE RESTAURANT PROPERTIES, LLC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27305</wp:posOffset>
            </wp:positionV>
            <wp:extent cx="32588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5120"/>
        <w:spacing w:after="0"/>
        <w:rPr>
          <w:sz w:val="20"/>
          <w:szCs w:val="20"/>
          <w:color w:val="auto"/>
        </w:rPr>
      </w:pPr>
      <w:r>
        <w:rPr>
          <w:rFonts w:ascii="Arial" w:cs="Arial" w:eastAsia="Arial" w:hAnsi="Arial"/>
          <w:sz w:val="20"/>
          <w:szCs w:val="20"/>
          <w:color w:val="343636"/>
        </w:rPr>
        <w:t>Name: Joseph J. Kadow</w:t>
      </w:r>
    </w:p>
    <w:p>
      <w:pPr>
        <w:spacing w:after="0" w:line="54" w:lineRule="exact"/>
        <w:rPr>
          <w:sz w:val="20"/>
          <w:szCs w:val="20"/>
          <w:color w:val="auto"/>
        </w:rPr>
      </w:pPr>
    </w:p>
    <w:p>
      <w:pPr>
        <w:ind w:left="5120"/>
        <w:spacing w:after="0"/>
        <w:rPr>
          <w:sz w:val="20"/>
          <w:szCs w:val="20"/>
          <w:color w:val="auto"/>
        </w:rPr>
      </w:pPr>
      <w:r>
        <w:rPr>
          <w:rFonts w:ascii="Arial" w:cs="Arial" w:eastAsia="Arial" w:hAnsi="Arial"/>
          <w:sz w:val="19"/>
          <w:szCs w:val="19"/>
          <w:color w:val="343636"/>
        </w:rPr>
        <w:t xml:space="preserve">Title: </w:t>
      </w:r>
      <w:r>
        <w:rPr>
          <w:rFonts w:ascii="Arial" w:cs="Arial" w:eastAsia="Arial" w:hAnsi="Arial"/>
          <w:sz w:val="19"/>
          <w:szCs w:val="19"/>
          <w:color w:val="000000"/>
        </w:rPr>
        <w:t>Secretary, Chief Legal Officer &amp;</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Executive Vice President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Bloomin' Brands,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Amended and Restated Security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40"/>
          </w:cols>
          <w:pgMar w:left="1440" w:top="528" w:right="141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20"/>
                <w:szCs w:val="20"/>
                <w:color w:val="auto"/>
              </w:rPr>
              <w:t>COLLATERAL AGENT:</w:t>
            </w:r>
          </w:p>
        </w:tc>
        <w:tc>
          <w:tcPr>
            <w:tcW w:w="8320" w:type="dxa"/>
            <w:vAlign w:val="bottom"/>
            <w:gridSpan w:val="2"/>
          </w:tcPr>
          <w:p>
            <w:pPr>
              <w:ind w:left="3100"/>
              <w:spacing w:after="0"/>
              <w:rPr>
                <w:sz w:val="20"/>
                <w:szCs w:val="20"/>
                <w:color w:val="auto"/>
              </w:rPr>
            </w:pPr>
            <w:r>
              <w:rPr>
                <w:rFonts w:ascii="Arial" w:cs="Arial" w:eastAsia="Arial" w:hAnsi="Arial"/>
                <w:sz w:val="20"/>
                <w:szCs w:val="20"/>
                <w:color w:val="auto"/>
              </w:rPr>
              <w:t>WELLS FARGO BANK, NATIONAL</w:t>
            </w:r>
          </w:p>
        </w:tc>
      </w:tr>
      <w:tr>
        <w:trPr>
          <w:trHeight w:val="250"/>
        </w:trPr>
        <w:tc>
          <w:tcPr>
            <w:tcW w:w="3060" w:type="dxa"/>
            <w:vAlign w:val="bottom"/>
          </w:tcPr>
          <w:p>
            <w:pPr>
              <w:spacing w:after="0"/>
              <w:rPr>
                <w:sz w:val="21"/>
                <w:szCs w:val="21"/>
                <w:color w:val="auto"/>
              </w:rPr>
            </w:pPr>
          </w:p>
        </w:tc>
        <w:tc>
          <w:tcPr>
            <w:tcW w:w="8320" w:type="dxa"/>
            <w:vAlign w:val="bottom"/>
            <w:gridSpan w:val="2"/>
          </w:tcPr>
          <w:p>
            <w:pPr>
              <w:ind w:left="3100"/>
              <w:spacing w:after="0"/>
              <w:rPr>
                <w:sz w:val="20"/>
                <w:szCs w:val="20"/>
                <w:color w:val="auto"/>
              </w:rPr>
            </w:pPr>
            <w:r>
              <w:rPr>
                <w:rFonts w:ascii="Arial" w:cs="Arial" w:eastAsia="Arial" w:hAnsi="Arial"/>
                <w:sz w:val="20"/>
                <w:szCs w:val="20"/>
                <w:color w:val="auto"/>
              </w:rPr>
              <w:t>ASSOCIATION, as Administrative Agent</w:t>
            </w:r>
          </w:p>
        </w:tc>
      </w:tr>
      <w:tr>
        <w:trPr>
          <w:trHeight w:val="932"/>
        </w:trPr>
        <w:tc>
          <w:tcPr>
            <w:tcW w:w="3060" w:type="dxa"/>
            <w:vAlign w:val="bottom"/>
          </w:tcPr>
          <w:p>
            <w:pPr>
              <w:spacing w:after="0"/>
              <w:rPr>
                <w:sz w:val="24"/>
                <w:szCs w:val="24"/>
                <w:color w:val="auto"/>
              </w:rPr>
            </w:pPr>
          </w:p>
        </w:tc>
        <w:tc>
          <w:tcPr>
            <w:tcW w:w="8320" w:type="dxa"/>
            <w:vAlign w:val="bottom"/>
            <w:gridSpan w:val="2"/>
          </w:tcPr>
          <w:p>
            <w:pPr>
              <w:ind w:left="3100"/>
              <w:spacing w:after="0"/>
              <w:rPr>
                <w:sz w:val="20"/>
                <w:szCs w:val="20"/>
                <w:color w:val="auto"/>
              </w:rPr>
            </w:pPr>
            <w:r>
              <w:rPr>
                <w:rFonts w:ascii="Arial" w:cs="Arial" w:eastAsia="Arial" w:hAnsi="Arial"/>
                <w:sz w:val="20"/>
                <w:szCs w:val="20"/>
                <w:color w:val="auto"/>
              </w:rPr>
              <w:t>By:</w:t>
            </w:r>
          </w:p>
        </w:tc>
      </w:tr>
      <w:tr>
        <w:trPr>
          <w:trHeight w:val="23"/>
        </w:trPr>
        <w:tc>
          <w:tcPr>
            <w:tcW w:w="306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r>
      <w:tr>
        <w:trPr>
          <w:trHeight w:val="241"/>
        </w:trPr>
        <w:tc>
          <w:tcPr>
            <w:tcW w:w="3060" w:type="dxa"/>
            <w:vAlign w:val="bottom"/>
          </w:tcPr>
          <w:p>
            <w:pPr>
              <w:spacing w:after="0"/>
              <w:rPr>
                <w:sz w:val="20"/>
                <w:szCs w:val="20"/>
                <w:color w:val="auto"/>
              </w:rPr>
            </w:pPr>
          </w:p>
        </w:tc>
        <w:tc>
          <w:tcPr>
            <w:tcW w:w="3640" w:type="dxa"/>
            <w:vAlign w:val="bottom"/>
          </w:tcPr>
          <w:p>
            <w:pPr>
              <w:ind w:left="3100"/>
              <w:spacing w:after="0"/>
              <w:rPr>
                <w:sz w:val="20"/>
                <w:szCs w:val="20"/>
                <w:color w:val="auto"/>
              </w:rPr>
            </w:pPr>
            <w:r>
              <w:rPr>
                <w:rFonts w:ascii="Arial" w:cs="Arial" w:eastAsia="Arial" w:hAnsi="Arial"/>
                <w:sz w:val="20"/>
                <w:szCs w:val="20"/>
                <w:color w:val="343636"/>
                <w:w w:val="88"/>
              </w:rPr>
              <w:t>Name:</w:t>
            </w:r>
          </w:p>
        </w:tc>
        <w:tc>
          <w:tcPr>
            <w:tcW w:w="4680" w:type="dxa"/>
            <w:vAlign w:val="bottom"/>
            <w:tcBorders>
              <w:top w:val="single" w:sz="8" w:color="auto"/>
            </w:tcBorders>
          </w:tcPr>
          <w:p>
            <w:pPr>
              <w:spacing w:after="0"/>
              <w:rPr>
                <w:sz w:val="20"/>
                <w:szCs w:val="20"/>
                <w:color w:val="auto"/>
              </w:rPr>
            </w:pPr>
          </w:p>
        </w:tc>
      </w:tr>
      <w:tr>
        <w:trPr>
          <w:trHeight w:val="284"/>
        </w:trPr>
        <w:tc>
          <w:tcPr>
            <w:tcW w:w="3060" w:type="dxa"/>
            <w:vAlign w:val="bottom"/>
          </w:tcPr>
          <w:p>
            <w:pPr>
              <w:spacing w:after="0"/>
              <w:rPr>
                <w:sz w:val="24"/>
                <w:szCs w:val="24"/>
                <w:color w:val="auto"/>
              </w:rPr>
            </w:pPr>
          </w:p>
        </w:tc>
        <w:tc>
          <w:tcPr>
            <w:tcW w:w="8320" w:type="dxa"/>
            <w:vAlign w:val="bottom"/>
            <w:gridSpan w:val="2"/>
          </w:tcPr>
          <w:p>
            <w:pPr>
              <w:ind w:left="3100"/>
              <w:spacing w:after="0"/>
              <w:rPr>
                <w:sz w:val="20"/>
                <w:szCs w:val="20"/>
                <w:color w:val="auto"/>
              </w:rPr>
            </w:pPr>
            <w:r>
              <w:rPr>
                <w:rFonts w:ascii="Arial" w:cs="Arial" w:eastAsia="Arial" w:hAnsi="Arial"/>
                <w:sz w:val="20"/>
                <w:szCs w:val="20"/>
                <w:color w:val="auto"/>
              </w:rPr>
              <w:t>Title</w:t>
            </w:r>
          </w:p>
        </w:tc>
      </w:tr>
      <w:tr>
        <w:trPr>
          <w:trHeight w:val="697"/>
        </w:trPr>
        <w:tc>
          <w:tcPr>
            <w:tcW w:w="3060" w:type="dxa"/>
            <w:vAlign w:val="bottom"/>
          </w:tcPr>
          <w:p>
            <w:pPr>
              <w:spacing w:after="0"/>
              <w:rPr>
                <w:sz w:val="24"/>
                <w:szCs w:val="24"/>
                <w:color w:val="auto"/>
              </w:rPr>
            </w:pPr>
          </w:p>
        </w:tc>
        <w:tc>
          <w:tcPr>
            <w:tcW w:w="8320" w:type="dxa"/>
            <w:vAlign w:val="bottom"/>
            <w:gridSpan w:val="2"/>
          </w:tcPr>
          <w:p>
            <w:pPr>
              <w:jc w:val="center"/>
              <w:ind w:right="3100"/>
              <w:spacing w:after="0"/>
              <w:rPr>
                <w:sz w:val="20"/>
                <w:szCs w:val="20"/>
                <w:color w:val="auto"/>
              </w:rPr>
            </w:pPr>
            <w:r>
              <w:rPr>
                <w:rFonts w:ascii="Arial" w:cs="Arial" w:eastAsia="Arial" w:hAnsi="Arial"/>
                <w:sz w:val="18"/>
                <w:szCs w:val="18"/>
                <w:color w:val="auto"/>
                <w:w w:val="93"/>
              </w:rPr>
              <w:t>Bloomin' Brands, Inc.</w:t>
            </w:r>
          </w:p>
        </w:tc>
      </w:tr>
      <w:tr>
        <w:trPr>
          <w:trHeight w:val="216"/>
        </w:trPr>
        <w:tc>
          <w:tcPr>
            <w:tcW w:w="3060" w:type="dxa"/>
            <w:vAlign w:val="bottom"/>
          </w:tcPr>
          <w:p>
            <w:pPr>
              <w:spacing w:after="0"/>
              <w:rPr>
                <w:sz w:val="18"/>
                <w:szCs w:val="18"/>
                <w:color w:val="auto"/>
              </w:rPr>
            </w:pPr>
          </w:p>
        </w:tc>
        <w:tc>
          <w:tcPr>
            <w:tcW w:w="8320" w:type="dxa"/>
            <w:vAlign w:val="bottom"/>
            <w:gridSpan w:val="2"/>
          </w:tcPr>
          <w:p>
            <w:pPr>
              <w:jc w:val="center"/>
              <w:ind w:right="3080"/>
              <w:spacing w:after="0"/>
              <w:rPr>
                <w:sz w:val="20"/>
                <w:szCs w:val="20"/>
                <w:color w:val="auto"/>
              </w:rPr>
            </w:pPr>
            <w:r>
              <w:rPr>
                <w:rFonts w:ascii="Arial" w:cs="Arial" w:eastAsia="Arial" w:hAnsi="Arial"/>
                <w:sz w:val="18"/>
                <w:szCs w:val="18"/>
                <w:color w:val="auto"/>
                <w:w w:val="89"/>
              </w:rPr>
              <w:t>Amended and Restated Security Agreement</w:t>
            </w:r>
          </w:p>
        </w:tc>
      </w:tr>
      <w:tr>
        <w:trPr>
          <w:trHeight w:val="230"/>
        </w:trPr>
        <w:tc>
          <w:tcPr>
            <w:tcW w:w="3060" w:type="dxa"/>
            <w:vAlign w:val="bottom"/>
          </w:tcPr>
          <w:p>
            <w:pPr>
              <w:spacing w:after="0"/>
              <w:rPr>
                <w:sz w:val="20"/>
                <w:szCs w:val="20"/>
                <w:color w:val="auto"/>
              </w:rPr>
            </w:pPr>
          </w:p>
        </w:tc>
        <w:tc>
          <w:tcPr>
            <w:tcW w:w="8320" w:type="dxa"/>
            <w:vAlign w:val="bottom"/>
            <w:gridSpan w:val="2"/>
          </w:tcPr>
          <w:p>
            <w:pPr>
              <w:jc w:val="center"/>
              <w:ind w:right="3080"/>
              <w:spacing w:after="0"/>
              <w:rPr>
                <w:sz w:val="20"/>
                <w:szCs w:val="20"/>
                <w:color w:val="auto"/>
              </w:rPr>
            </w:pPr>
            <w:r>
              <w:rPr>
                <w:rFonts w:ascii="Arial" w:cs="Arial" w:eastAsia="Arial" w:hAnsi="Arial"/>
                <w:sz w:val="18"/>
                <w:szCs w:val="18"/>
                <w:color w:val="auto"/>
                <w:w w:val="87"/>
              </w:rPr>
              <w:t>Signature Page</w:t>
            </w:r>
          </w:p>
        </w:tc>
      </w:tr>
    </w:tbl>
    <w:p>
      <w:pPr>
        <w:sectPr>
          <w:pgSz w:w="11900" w:h="16838" w:orient="portrait"/>
          <w:cols w:equalWidth="0" w:num="1">
            <w:col w:w="11380"/>
          </w:cols>
          <w:pgMar w:left="280" w:top="527" w:right="239" w:bottom="1440" w:gutter="0" w:footer="0" w:header="0"/>
        </w:sectPr>
      </w:pPr>
    </w:p>
    <w:bookmarkStart w:id="444" w:name="page445"/>
    <w:bookmarkEnd w:id="444"/>
    <w:p>
      <w:pPr>
        <w:jc w:val="right"/>
        <w:spacing w:after="0"/>
        <w:rPr>
          <w:sz w:val="20"/>
          <w:szCs w:val="20"/>
          <w:color w:val="auto"/>
        </w:rPr>
      </w:pPr>
      <w:r>
        <w:rPr>
          <w:rFonts w:ascii="Arial" w:cs="Arial" w:eastAsia="Arial" w:hAnsi="Arial"/>
          <w:sz w:val="20"/>
          <w:szCs w:val="20"/>
          <w:color w:val="auto"/>
        </w:rPr>
        <w:t>SCHEDULE I to the Amended and Restated Security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ind w:left="5340"/>
        <w:spacing w:after="0"/>
        <w:rPr>
          <w:sz w:val="20"/>
          <w:szCs w:val="20"/>
          <w:color w:val="auto"/>
        </w:rPr>
      </w:pPr>
      <w:r>
        <w:rPr>
          <w:rFonts w:ascii="Arial" w:cs="Arial" w:eastAsia="Arial" w:hAnsi="Arial"/>
          <w:sz w:val="20"/>
          <w:szCs w:val="20"/>
          <w:u w:val="single" w:color="auto"/>
          <w:color w:val="auto"/>
        </w:rPr>
        <w:t>SUBSIDIARY PARTIES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BFG Nebraska,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BFG Oklahoma,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Bloomin’ Brands Gift Card Services,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Beverages,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Brandywine, LLC</w:t>
      </w:r>
    </w:p>
    <w:p>
      <w:pPr>
        <w:spacing w:after="0" w:line="229"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Designated Partner,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Grill,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Holdings,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Kansas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 of Bel Air,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Bonefish/Asheville, Limited Partnership</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Bonefish/Carolinas, Limited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Bonefish/Columbus-I, Limited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Bonefish/Crescent Springs, Limited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Bonefish/Greensboro, Limited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Bonefish/Hyde Park, Limited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Designated Partner, LLC</w:t>
      </w:r>
    </w:p>
    <w:p>
      <w:pPr>
        <w:spacing w:after="0" w:line="229"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Italian Grill of Howard County,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Italian Grill,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Kansas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of Bowie,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Carrabbas of Germantown,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300"/>
          </w:cols>
          <w:pgMar w:left="240" w:top="433" w:right="359" w:bottom="1440" w:gutter="0" w:footer="0" w:header="0"/>
        </w:sectPr>
      </w:pPr>
    </w:p>
    <w:bookmarkStart w:id="445" w:name="page446"/>
    <w:bookmarkEnd w:id="445"/>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Carrabba’s of Waldorf,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Carrabba’s/Birmingham 280, Limited Partnership</w:t>
      </w:r>
    </w:p>
    <w:p>
      <w:pPr>
        <w:spacing w:after="0" w:line="238" w:lineRule="exact"/>
        <w:rPr>
          <w:rFonts w:ascii="Arial" w:cs="Arial" w:eastAsia="Arial" w:hAnsi="Arial"/>
          <w:sz w:val="18"/>
          <w:szCs w:val="18"/>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Carrabba’s/DC-I, Limited Partnership</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CIGI Beverages of Texas,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CIGI Holdings,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CIGI Nebraska,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CIGI Oklahoma,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CIGI/BFG of East Brunswick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DoorSide,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Frederick Outback,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New Private Restaurant Properties,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OBTex Holdings,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 Management,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 Mortgage Holdings,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 Realty,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 Restaurant Services, LLC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OSF Nebraska,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OSF Oklahoma,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OSF/BFG of Deptford Partnership</w:t>
      </w:r>
    </w:p>
    <w:p>
      <w:pPr>
        <w:spacing w:after="0" w:line="229"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OSF/BFG of Lawrenceville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OSF/CIGI of Evesham Partnership</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OSI HoldCo,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OSI HoldCo I,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OSI, HoldCo II,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Outback &amp; Carrabba’s of New Mexico, Inc.</w:t>
      </w:r>
    </w:p>
    <w:p>
      <w:pPr>
        <w:spacing w:after="0" w:line="215" w:lineRule="exact"/>
        <w:rPr>
          <w:rFonts w:ascii="Arial" w:cs="Arial" w:eastAsia="Arial" w:hAnsi="Arial"/>
          <w:sz w:val="20"/>
          <w:szCs w:val="20"/>
          <w:color w:val="auto"/>
        </w:rPr>
      </w:pPr>
    </w:p>
    <w:p>
      <w:pPr>
        <w:ind w:left="900" w:hanging="298"/>
        <w:spacing w:after="0"/>
        <w:tabs>
          <w:tab w:leader="none" w:pos="90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Outback Alabama, Inc.</w:t>
      </w:r>
    </w:p>
    <w:p>
      <w:pPr>
        <w:spacing w:after="0" w:line="67" w:lineRule="exact"/>
        <w:rPr>
          <w:rFonts w:ascii="Arial" w:cs="Arial" w:eastAsia="Arial" w:hAnsi="Arial"/>
          <w:sz w:val="20"/>
          <w:szCs w:val="20"/>
          <w:color w:val="auto"/>
        </w:rPr>
      </w:pPr>
    </w:p>
    <w:p>
      <w:pPr>
        <w:ind w:left="920" w:hanging="318"/>
        <w:spacing w:after="0"/>
        <w:tabs>
          <w:tab w:leader="none" w:pos="920" w:val="left"/>
        </w:tabs>
        <w:numPr>
          <w:ilvl w:val="0"/>
          <w:numId w:val="372"/>
        </w:numPr>
        <w:rPr>
          <w:rFonts w:ascii="Arial" w:cs="Arial" w:eastAsia="Arial" w:hAnsi="Arial"/>
          <w:sz w:val="20"/>
          <w:szCs w:val="20"/>
          <w:color w:val="auto"/>
        </w:rPr>
      </w:pPr>
      <w:r>
        <w:rPr>
          <w:rFonts w:ascii="Arial" w:cs="Arial" w:eastAsia="Arial" w:hAnsi="Arial"/>
          <w:sz w:val="20"/>
          <w:szCs w:val="20"/>
          <w:color w:val="auto"/>
        </w:rPr>
        <w:t>Outback Beverages of Texas, LLC</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365" w:right="1440" w:bottom="1440" w:gutter="0" w:footer="0" w:header="0"/>
        </w:sectPr>
      </w:pPr>
    </w:p>
    <w:bookmarkStart w:id="446" w:name="page447"/>
    <w:bookmarkEnd w:id="446"/>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 Designated Partner,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 Kansas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 of Aspen Hill,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 of Germantown, Inc.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 of Laurel, LLC</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19"/>
          <w:szCs w:val="19"/>
          <w:color w:val="auto"/>
        </w:rPr>
      </w:pPr>
      <w:r>
        <w:rPr>
          <w:rFonts w:ascii="Arial" w:cs="Arial" w:eastAsia="Arial" w:hAnsi="Arial"/>
          <w:sz w:val="19"/>
          <w:szCs w:val="19"/>
          <w:color w:val="auto"/>
        </w:rPr>
        <w:t>Outback Steakhouse of Florida, LLC</w:t>
      </w:r>
    </w:p>
    <w:p>
      <w:pPr>
        <w:spacing w:after="0" w:line="227" w:lineRule="exact"/>
        <w:rPr>
          <w:rFonts w:ascii="Arial" w:cs="Arial" w:eastAsia="Arial" w:hAnsi="Arial"/>
          <w:sz w:val="19"/>
          <w:szCs w:val="19"/>
          <w:color w:val="auto"/>
        </w:rPr>
      </w:pPr>
    </w:p>
    <w:p>
      <w:pPr>
        <w:ind w:left="920" w:hanging="318"/>
        <w:spacing w:after="0"/>
        <w:tabs>
          <w:tab w:leader="none" w:pos="92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Outback Steakhouse West Virginia, Inc.</w:t>
      </w:r>
    </w:p>
    <w:p>
      <w:pPr>
        <w:spacing w:after="0" w:line="261" w:lineRule="exact"/>
        <w:rPr>
          <w:rFonts w:ascii="Arial" w:cs="Arial" w:eastAsia="Arial" w:hAnsi="Arial"/>
          <w:sz w:val="16"/>
          <w:szCs w:val="16"/>
          <w:color w:val="auto"/>
        </w:rPr>
      </w:pPr>
    </w:p>
    <w:p>
      <w:pPr>
        <w:ind w:left="920" w:hanging="318"/>
        <w:spacing w:after="0"/>
        <w:tabs>
          <w:tab w:leader="none" w:pos="92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Outback/Carrabba’s Partnership</w:t>
      </w:r>
    </w:p>
    <w:p>
      <w:pPr>
        <w:spacing w:after="0" w:line="215" w:lineRule="exact"/>
        <w:rPr>
          <w:rFonts w:ascii="Arial" w:cs="Arial" w:eastAsia="Arial" w:hAnsi="Arial"/>
          <w:sz w:val="20"/>
          <w:szCs w:val="20"/>
          <w:color w:val="auto"/>
        </w:rPr>
      </w:pPr>
    </w:p>
    <w:p>
      <w:pPr>
        <w:ind w:left="920" w:hanging="318"/>
        <w:spacing w:after="0"/>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Outback/Stone-II, Limited Partnership</w:t>
      </w:r>
    </w:p>
    <w:p>
      <w:pPr>
        <w:spacing w:after="0" w:line="238" w:lineRule="exact"/>
        <w:rPr>
          <w:rFonts w:ascii="Arial" w:cs="Arial" w:eastAsia="Arial" w:hAnsi="Arial"/>
          <w:sz w:val="18"/>
          <w:szCs w:val="18"/>
          <w:color w:val="auto"/>
        </w:rPr>
      </w:pPr>
    </w:p>
    <w:p>
      <w:pPr>
        <w:ind w:left="920" w:hanging="318"/>
        <w:spacing w:after="0"/>
        <w:tabs>
          <w:tab w:leader="none" w:pos="9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Private Restaurant Master Lessee,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582" w:right="1440" w:bottom="1440" w:gutter="0" w:footer="0" w:header="0"/>
        </w:sectPr>
      </w:pPr>
    </w:p>
    <w:bookmarkStart w:id="447" w:name="page448"/>
    <w:bookmarkEnd w:id="447"/>
    <w:p>
      <w:pPr>
        <w:jc w:val="right"/>
        <w:spacing w:after="0"/>
        <w:rPr>
          <w:sz w:val="20"/>
          <w:szCs w:val="20"/>
          <w:color w:val="auto"/>
        </w:rPr>
      </w:pPr>
      <w:r>
        <w:rPr>
          <w:rFonts w:ascii="Arial" w:cs="Arial" w:eastAsia="Arial" w:hAnsi="Arial"/>
          <w:sz w:val="20"/>
          <w:szCs w:val="20"/>
          <w:color w:val="auto"/>
        </w:rPr>
        <w:t>SCHEDULE II to the Amended and Restated Security</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40" w:type="dxa"/>
            <w:vAlign w:val="bottom"/>
            <w:gridSpan w:val="7"/>
          </w:tcPr>
          <w:p>
            <w:pPr>
              <w:ind w:left="760"/>
              <w:spacing w:after="0"/>
              <w:rPr>
                <w:sz w:val="20"/>
                <w:szCs w:val="20"/>
                <w:color w:val="auto"/>
              </w:rPr>
            </w:pPr>
            <w:r>
              <w:rPr>
                <w:rFonts w:ascii="Arial" w:cs="Arial" w:eastAsia="Arial" w:hAnsi="Arial"/>
                <w:sz w:val="20"/>
                <w:szCs w:val="20"/>
                <w:color w:val="auto"/>
              </w:rPr>
              <w:t>Agreement</w:t>
            </w: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601"/>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20"/>
                <w:szCs w:val="20"/>
                <w:color w:val="auto"/>
              </w:rPr>
              <w:t>EQUITY INTERESTS</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11"/>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20"/>
                <w:szCs w:val="20"/>
                <w:color w:val="auto"/>
                <w:w w:val="85"/>
              </w:rPr>
              <w:t>Percentage of</w:t>
            </w:r>
          </w:p>
        </w:tc>
      </w:tr>
      <w:tr>
        <w:trPr>
          <w:trHeight w:val="230"/>
        </w:trPr>
        <w:tc>
          <w:tcPr>
            <w:tcW w:w="460" w:type="dxa"/>
            <w:vAlign w:val="bottom"/>
          </w:tcPr>
          <w:p>
            <w:pPr>
              <w:spacing w:after="0"/>
              <w:rPr>
                <w:sz w:val="19"/>
                <w:szCs w:val="19"/>
                <w:color w:val="auto"/>
              </w:rPr>
            </w:pPr>
          </w:p>
        </w:tc>
        <w:tc>
          <w:tcPr>
            <w:tcW w:w="2720" w:type="dxa"/>
            <w:vAlign w:val="bottom"/>
            <w:gridSpan w:val="3"/>
          </w:tcPr>
          <w:p>
            <w:pPr>
              <w:ind w:left="1200"/>
              <w:spacing w:after="0"/>
              <w:rPr>
                <w:sz w:val="20"/>
                <w:szCs w:val="20"/>
                <w:color w:val="auto"/>
              </w:rPr>
            </w:pPr>
            <w:r>
              <w:rPr>
                <w:rFonts w:ascii="Arial" w:cs="Arial" w:eastAsia="Arial" w:hAnsi="Arial"/>
                <w:sz w:val="20"/>
                <w:szCs w:val="20"/>
                <w:color w:val="auto"/>
              </w:rPr>
              <w:t>Number</w:t>
            </w: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900" w:type="dxa"/>
            <w:vAlign w:val="bottom"/>
            <w:gridSpan w:val="4"/>
          </w:tcPr>
          <w:p>
            <w:pPr>
              <w:ind w:left="220"/>
              <w:spacing w:after="0"/>
              <w:rPr>
                <w:sz w:val="20"/>
                <w:szCs w:val="20"/>
                <w:color w:val="auto"/>
              </w:rPr>
            </w:pPr>
            <w:r>
              <w:rPr>
                <w:rFonts w:ascii="Arial" w:cs="Arial" w:eastAsia="Arial" w:hAnsi="Arial"/>
                <w:sz w:val="20"/>
                <w:szCs w:val="20"/>
                <w:color w:val="auto"/>
              </w:rPr>
              <w:t>Number Class</w:t>
            </w:r>
          </w:p>
        </w:tc>
        <w:tc>
          <w:tcPr>
            <w:tcW w:w="1300" w:type="dxa"/>
            <w:vAlign w:val="bottom"/>
          </w:tcPr>
          <w:p>
            <w:pPr>
              <w:ind w:left="520"/>
              <w:spacing w:after="0"/>
              <w:rPr>
                <w:sz w:val="20"/>
                <w:szCs w:val="20"/>
                <w:color w:val="auto"/>
              </w:rPr>
            </w:pPr>
            <w:r>
              <w:rPr>
                <w:rFonts w:ascii="Arial" w:cs="Arial" w:eastAsia="Arial" w:hAnsi="Arial"/>
                <w:sz w:val="20"/>
                <w:szCs w:val="20"/>
                <w:color w:val="auto"/>
              </w:rPr>
              <w:t>and</w:t>
            </w:r>
          </w:p>
        </w:tc>
        <w:tc>
          <w:tcPr>
            <w:tcW w:w="1080" w:type="dxa"/>
            <w:vAlign w:val="bottom"/>
            <w:gridSpan w:val="2"/>
          </w:tcPr>
          <w:p>
            <w:pPr>
              <w:spacing w:after="0"/>
              <w:rPr>
                <w:sz w:val="20"/>
                <w:szCs w:val="20"/>
                <w:color w:val="auto"/>
              </w:rPr>
            </w:pPr>
            <w:r>
              <w:rPr>
                <w:rFonts w:ascii="Arial" w:cs="Arial" w:eastAsia="Arial" w:hAnsi="Arial"/>
                <w:sz w:val="20"/>
                <w:szCs w:val="20"/>
                <w:color w:val="auto"/>
              </w:rPr>
              <w:t>Equity</w:t>
            </w:r>
          </w:p>
        </w:tc>
      </w:tr>
      <w:tr>
        <w:trPr>
          <w:trHeight w:val="206"/>
        </w:trPr>
        <w:tc>
          <w:tcPr>
            <w:tcW w:w="460" w:type="dxa"/>
            <w:vAlign w:val="bottom"/>
          </w:tcPr>
          <w:p>
            <w:pPr>
              <w:spacing w:after="0" w:line="206" w:lineRule="exact"/>
              <w:rPr>
                <w:sz w:val="20"/>
                <w:szCs w:val="20"/>
                <w:color w:val="auto"/>
              </w:rPr>
            </w:pPr>
            <w:r>
              <w:rPr>
                <w:rFonts w:ascii="Arial" w:cs="Arial" w:eastAsia="Arial" w:hAnsi="Arial"/>
                <w:sz w:val="20"/>
                <w:szCs w:val="20"/>
                <w:color w:val="auto"/>
                <w:w w:val="80"/>
              </w:rPr>
              <w:t>Issuer</w:t>
            </w:r>
          </w:p>
        </w:tc>
        <w:tc>
          <w:tcPr>
            <w:tcW w:w="2720" w:type="dxa"/>
            <w:vAlign w:val="bottom"/>
            <w:gridSpan w:val="3"/>
          </w:tcPr>
          <w:p>
            <w:pPr>
              <w:ind w:left="1200"/>
              <w:spacing w:after="0" w:line="206" w:lineRule="exact"/>
              <w:rPr>
                <w:sz w:val="20"/>
                <w:szCs w:val="20"/>
                <w:color w:val="auto"/>
              </w:rPr>
            </w:pPr>
            <w:r>
              <w:rPr>
                <w:rFonts w:ascii="Arial" w:cs="Arial" w:eastAsia="Arial" w:hAnsi="Arial"/>
                <w:sz w:val="20"/>
                <w:szCs w:val="20"/>
                <w:color w:val="auto"/>
              </w:rPr>
              <w:t>Certificate</w:t>
            </w:r>
          </w:p>
        </w:tc>
        <w:tc>
          <w:tcPr>
            <w:tcW w:w="1160" w:type="dxa"/>
            <w:vAlign w:val="bottom"/>
          </w:tcPr>
          <w:p>
            <w:pPr>
              <w:ind w:left="700"/>
              <w:spacing w:after="0" w:line="206" w:lineRule="exact"/>
              <w:rPr>
                <w:sz w:val="20"/>
                <w:szCs w:val="20"/>
                <w:color w:val="auto"/>
              </w:rPr>
            </w:pPr>
            <w:r>
              <w:rPr>
                <w:rFonts w:ascii="Arial" w:cs="Arial" w:eastAsia="Arial" w:hAnsi="Arial"/>
                <w:sz w:val="20"/>
                <w:szCs w:val="20"/>
                <w:color w:val="auto"/>
              </w:rPr>
              <w:t>of</w:t>
            </w:r>
          </w:p>
        </w:tc>
        <w:tc>
          <w:tcPr>
            <w:tcW w:w="3640" w:type="dxa"/>
            <w:vAlign w:val="bottom"/>
            <w:gridSpan w:val="7"/>
          </w:tcPr>
          <w:p>
            <w:pPr>
              <w:ind w:left="320"/>
              <w:spacing w:after="0" w:line="206" w:lineRule="exact"/>
              <w:rPr>
                <w:sz w:val="20"/>
                <w:szCs w:val="20"/>
                <w:color w:val="auto"/>
              </w:rPr>
            </w:pPr>
            <w:r>
              <w:rPr>
                <w:rFonts w:ascii="Arial" w:cs="Arial" w:eastAsia="Arial" w:hAnsi="Arial"/>
                <w:sz w:val="20"/>
                <w:szCs w:val="20"/>
                <w:color w:val="auto"/>
              </w:rPr>
              <w:t>Registered Owner  Equity Interest</w:t>
            </w:r>
          </w:p>
        </w:tc>
        <w:tc>
          <w:tcPr>
            <w:tcW w:w="1300" w:type="dxa"/>
            <w:vAlign w:val="bottom"/>
          </w:tcPr>
          <w:p>
            <w:pPr>
              <w:ind w:left="520"/>
              <w:spacing w:after="0" w:line="206" w:lineRule="exact"/>
              <w:rPr>
                <w:sz w:val="20"/>
                <w:szCs w:val="20"/>
                <w:color w:val="auto"/>
              </w:rPr>
            </w:pPr>
            <w:r>
              <w:rPr>
                <w:rFonts w:ascii="Arial" w:cs="Arial" w:eastAsia="Arial" w:hAnsi="Arial"/>
                <w:sz w:val="20"/>
                <w:szCs w:val="20"/>
                <w:color w:val="auto"/>
              </w:rPr>
              <w:t>of</w:t>
            </w:r>
          </w:p>
        </w:tc>
        <w:tc>
          <w:tcPr>
            <w:tcW w:w="1080" w:type="dxa"/>
            <w:vAlign w:val="bottom"/>
            <w:gridSpan w:val="2"/>
          </w:tcPr>
          <w:p>
            <w:pPr>
              <w:spacing w:after="0" w:line="206" w:lineRule="exact"/>
              <w:rPr>
                <w:sz w:val="20"/>
                <w:szCs w:val="20"/>
                <w:color w:val="auto"/>
              </w:rPr>
            </w:pPr>
            <w:r>
              <w:rPr>
                <w:rFonts w:ascii="Arial" w:cs="Arial" w:eastAsia="Arial" w:hAnsi="Arial"/>
                <w:sz w:val="20"/>
                <w:szCs w:val="20"/>
                <w:color w:val="auto"/>
              </w:rPr>
              <w:t>Interests</w:t>
            </w:r>
          </w:p>
        </w:tc>
      </w:tr>
      <w:tr>
        <w:trPr>
          <w:trHeight w:val="20"/>
        </w:trPr>
        <w:tc>
          <w:tcPr>
            <w:tcW w:w="4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0" w:type="dxa"/>
            <w:vAlign w:val="bottom"/>
            <w:gridSpan w:val="4"/>
          </w:tcPr>
          <w:p>
            <w:pPr>
              <w:ind w:left="1100"/>
              <w:spacing w:after="0"/>
              <w:rPr>
                <w:sz w:val="20"/>
                <w:szCs w:val="20"/>
                <w:color w:val="auto"/>
              </w:rPr>
            </w:pPr>
            <w:r>
              <w:rPr>
                <w:rFonts w:ascii="Arial" w:cs="Arial" w:eastAsia="Arial" w:hAnsi="Arial"/>
                <w:sz w:val="20"/>
                <w:szCs w:val="20"/>
                <w:color w:val="auto"/>
                <w:w w:val="93"/>
              </w:rPr>
              <w:t>DEBT SECURITIES</w:t>
            </w: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11"/>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40" w:type="dxa"/>
            <w:vAlign w:val="bottom"/>
            <w:gridSpan w:val="3"/>
          </w:tcPr>
          <w:p>
            <w:pPr>
              <w:ind w:left="920"/>
              <w:spacing w:after="0"/>
              <w:rPr>
                <w:sz w:val="20"/>
                <w:szCs w:val="20"/>
                <w:color w:val="auto"/>
              </w:rPr>
            </w:pPr>
            <w:r>
              <w:rPr>
                <w:rFonts w:ascii="Arial" w:cs="Arial" w:eastAsia="Arial" w:hAnsi="Arial"/>
                <w:sz w:val="20"/>
                <w:szCs w:val="20"/>
                <w:color w:val="auto"/>
              </w:rPr>
              <w:t>Principal</w:t>
            </w:r>
          </w:p>
        </w:tc>
        <w:tc>
          <w:tcPr>
            <w:tcW w:w="1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300" w:type="dxa"/>
            <w:vAlign w:val="bottom"/>
          </w:tcPr>
          <w:p>
            <w:pPr>
              <w:spacing w:after="0"/>
              <w:rPr>
                <w:sz w:val="17"/>
                <w:szCs w:val="17"/>
                <w:color w:val="auto"/>
              </w:rPr>
            </w:pPr>
          </w:p>
        </w:tc>
        <w:tc>
          <w:tcPr>
            <w:tcW w:w="1360" w:type="dxa"/>
            <w:vAlign w:val="bottom"/>
            <w:gridSpan w:val="2"/>
          </w:tcPr>
          <w:p>
            <w:pPr>
              <w:spacing w:after="0" w:line="206" w:lineRule="exact"/>
              <w:rPr>
                <w:sz w:val="20"/>
                <w:szCs w:val="20"/>
                <w:color w:val="auto"/>
              </w:rPr>
            </w:pPr>
            <w:r>
              <w:rPr>
                <w:rFonts w:ascii="Arial" w:cs="Arial" w:eastAsia="Arial" w:hAnsi="Arial"/>
                <w:sz w:val="20"/>
                <w:szCs w:val="20"/>
                <w:color w:val="auto"/>
              </w:rPr>
              <w:t>Issuer</w:t>
            </w:r>
          </w:p>
        </w:tc>
        <w:tc>
          <w:tcPr>
            <w:tcW w:w="2740" w:type="dxa"/>
            <w:vAlign w:val="bottom"/>
            <w:gridSpan w:val="3"/>
          </w:tcPr>
          <w:p>
            <w:pPr>
              <w:ind w:left="920"/>
              <w:spacing w:after="0" w:line="206" w:lineRule="exact"/>
              <w:rPr>
                <w:sz w:val="20"/>
                <w:szCs w:val="20"/>
                <w:color w:val="auto"/>
              </w:rPr>
            </w:pPr>
            <w:r>
              <w:rPr>
                <w:rFonts w:ascii="Arial" w:cs="Arial" w:eastAsia="Arial" w:hAnsi="Arial"/>
                <w:sz w:val="20"/>
                <w:szCs w:val="20"/>
                <w:color w:val="auto"/>
              </w:rPr>
              <w:t>Amount</w:t>
            </w:r>
          </w:p>
        </w:tc>
        <w:tc>
          <w:tcPr>
            <w:tcW w:w="1100" w:type="dxa"/>
            <w:vAlign w:val="bottom"/>
          </w:tcPr>
          <w:p>
            <w:pPr>
              <w:spacing w:after="0"/>
              <w:rPr>
                <w:sz w:val="17"/>
                <w:szCs w:val="17"/>
                <w:color w:val="auto"/>
              </w:rPr>
            </w:pPr>
          </w:p>
        </w:tc>
        <w:tc>
          <w:tcPr>
            <w:tcW w:w="1700" w:type="dxa"/>
            <w:vAlign w:val="bottom"/>
            <w:gridSpan w:val="3"/>
          </w:tcPr>
          <w:p>
            <w:pPr>
              <w:ind w:left="280"/>
              <w:spacing w:after="0" w:line="206" w:lineRule="exact"/>
              <w:rPr>
                <w:sz w:val="20"/>
                <w:szCs w:val="20"/>
                <w:color w:val="auto"/>
              </w:rPr>
            </w:pPr>
            <w:r>
              <w:rPr>
                <w:rFonts w:ascii="Arial" w:cs="Arial" w:eastAsia="Arial" w:hAnsi="Arial"/>
                <w:sz w:val="20"/>
                <w:szCs w:val="20"/>
                <w:color w:val="auto"/>
              </w:rPr>
              <w:t>Date of Note</w:t>
            </w:r>
          </w:p>
        </w:tc>
        <w:tc>
          <w:tcPr>
            <w:tcW w:w="1400" w:type="dxa"/>
            <w:vAlign w:val="bottom"/>
          </w:tcPr>
          <w:p>
            <w:pPr>
              <w:spacing w:after="0"/>
              <w:rPr>
                <w:sz w:val="17"/>
                <w:szCs w:val="17"/>
                <w:color w:val="auto"/>
              </w:rPr>
            </w:pPr>
          </w:p>
        </w:tc>
        <w:tc>
          <w:tcPr>
            <w:tcW w:w="1120" w:type="dxa"/>
            <w:vAlign w:val="bottom"/>
          </w:tcPr>
          <w:p>
            <w:pPr>
              <w:spacing w:after="0" w:line="206" w:lineRule="exact"/>
              <w:rPr>
                <w:sz w:val="20"/>
                <w:szCs w:val="20"/>
                <w:color w:val="auto"/>
              </w:rPr>
            </w:pPr>
            <w:r>
              <w:rPr>
                <w:rFonts w:ascii="Arial" w:cs="Arial" w:eastAsia="Arial" w:hAnsi="Arial"/>
                <w:sz w:val="20"/>
                <w:szCs w:val="20"/>
                <w:color w:val="auto"/>
                <w:w w:val="92"/>
              </w:rPr>
              <w:t>Maturity Date</w:t>
            </w: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454"/>
        </w:trPr>
        <w:tc>
          <w:tcPr>
            <w:tcW w:w="760" w:type="dxa"/>
            <w:vAlign w:val="bottom"/>
            <w:gridSpan w:val="2"/>
          </w:tcPr>
          <w:p>
            <w:pPr>
              <w:jc w:val="right"/>
              <w:spacing w:after="0"/>
              <w:rPr>
                <w:sz w:val="20"/>
                <w:szCs w:val="20"/>
                <w:color w:val="auto"/>
              </w:rPr>
            </w:pPr>
            <w:r>
              <w:rPr>
                <w:rFonts w:ascii="Arial" w:cs="Arial" w:eastAsia="Arial" w:hAnsi="Arial"/>
                <w:sz w:val="14"/>
                <w:szCs w:val="14"/>
                <w:color w:val="auto"/>
                <w:w w:val="89"/>
              </w:rPr>
              <w:t>95959845_3</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80"/>
          </w:cols>
          <w:pgMar w:left="240" w:top="366" w:right="379" w:bottom="1440" w:gutter="0" w:footer="0" w:header="0"/>
        </w:sectPr>
      </w:pPr>
    </w:p>
    <w:bookmarkStart w:id="448" w:name="page449"/>
    <w:bookmarkEnd w:id="448"/>
    <w:p>
      <w:pPr>
        <w:jc w:val="right"/>
        <w:spacing w:after="0"/>
        <w:rPr>
          <w:sz w:val="20"/>
          <w:szCs w:val="20"/>
          <w:color w:val="auto"/>
        </w:rPr>
      </w:pPr>
      <w:r>
        <w:rPr>
          <w:rFonts w:ascii="Arial" w:cs="Arial" w:eastAsia="Arial" w:hAnsi="Arial"/>
          <w:sz w:val="20"/>
          <w:szCs w:val="20"/>
          <w:color w:val="auto"/>
        </w:rPr>
        <w:t>SCHEDULE III to the Amended and Restated Security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ind w:left="5000"/>
        <w:spacing w:after="0"/>
        <w:rPr>
          <w:sz w:val="20"/>
          <w:szCs w:val="20"/>
          <w:color w:val="auto"/>
        </w:rPr>
      </w:pPr>
      <w:r>
        <w:rPr>
          <w:rFonts w:ascii="Arial" w:cs="Arial" w:eastAsia="Arial" w:hAnsi="Arial"/>
          <w:sz w:val="20"/>
          <w:szCs w:val="20"/>
          <w:u w:val="single" w:color="auto"/>
          <w:color w:val="auto"/>
        </w:rPr>
        <w:t>COMMERCIAL TORT CLAIMS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280"/>
          </w:cols>
          <w:pgMar w:left="240" w:top="433" w:right="379" w:bottom="1440" w:gutter="0" w:footer="0" w:header="0"/>
        </w:sectPr>
      </w:pPr>
    </w:p>
    <w:bookmarkStart w:id="449" w:name="page450"/>
    <w:bookmarkEnd w:id="449"/>
    <w:p>
      <w:pPr>
        <w:jc w:val="right"/>
        <w:spacing w:after="0"/>
        <w:rPr>
          <w:sz w:val="20"/>
          <w:szCs w:val="20"/>
          <w:color w:val="auto"/>
        </w:rPr>
      </w:pPr>
      <w:r>
        <w:rPr>
          <w:rFonts w:ascii="Arial" w:cs="Arial" w:eastAsia="Arial" w:hAnsi="Arial"/>
          <w:sz w:val="20"/>
          <w:szCs w:val="20"/>
          <w:color w:val="auto"/>
        </w:rPr>
        <w:t>SCHEDULE IV to the Amended and Restated Security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U.S. COPYRIGHTS OWNED BY [NAME OR GRANTOR]</w:t>
      </w:r>
    </w:p>
    <w:p>
      <w:pPr>
        <w:spacing w:after="0" w:line="202" w:lineRule="exact"/>
        <w:rPr>
          <w:sz w:val="20"/>
          <w:szCs w:val="20"/>
          <w:color w:val="auto"/>
        </w:rPr>
      </w:pPr>
    </w:p>
    <w:p>
      <w:pPr>
        <w:ind w:left="4560" w:right="400" w:hanging="4556"/>
        <w:spacing w:after="0" w:line="500" w:lineRule="auto"/>
        <w:rPr>
          <w:sz w:val="20"/>
          <w:szCs w:val="20"/>
          <w:color w:val="auto"/>
        </w:rPr>
      </w:pPr>
      <w:r>
        <w:rPr>
          <w:rFonts w:ascii="Arial" w:cs="Arial" w:eastAsia="Arial" w:hAnsi="Arial"/>
          <w:sz w:val="20"/>
          <w:szCs w:val="20"/>
          <w:color w:val="auto"/>
        </w:rPr>
        <w:t xml:space="preserve">[Make a separate page of Schedule IV for each Grantor and state if no copyrights are owned. List in numerical order by Registration No.] </w:t>
      </w:r>
      <w:r>
        <w:rPr>
          <w:rFonts w:ascii="Arial" w:cs="Arial" w:eastAsia="Arial" w:hAnsi="Arial"/>
          <w:sz w:val="20"/>
          <w:szCs w:val="20"/>
          <w:i w:val="1"/>
          <w:iCs w:val="1"/>
          <w:color w:val="auto"/>
        </w:rPr>
        <w:t>U.S. Copyright Registrations</w:t>
      </w:r>
    </w:p>
    <w:p>
      <w:pPr>
        <w:spacing w:after="0" w:line="109" w:lineRule="exact"/>
        <w:rPr>
          <w:sz w:val="20"/>
          <w:szCs w:val="20"/>
          <w:color w:val="auto"/>
        </w:rPr>
      </w:pPr>
    </w:p>
    <w:p>
      <w:pPr>
        <w:ind w:left="1760"/>
        <w:spacing w:after="0"/>
        <w:tabs>
          <w:tab w:leader="none" w:pos="5400" w:val="left"/>
          <w:tab w:leader="none" w:pos="9240" w:val="left"/>
        </w:tabs>
        <w:rPr>
          <w:sz w:val="20"/>
          <w:szCs w:val="20"/>
          <w:color w:val="auto"/>
        </w:rPr>
      </w:pPr>
      <w:r>
        <w:rPr>
          <w:rFonts w:ascii="Arial" w:cs="Arial" w:eastAsia="Arial" w:hAnsi="Arial"/>
          <w:sz w:val="20"/>
          <w:szCs w:val="20"/>
          <w:u w:val="single" w:color="auto"/>
          <w:color w:val="auto"/>
        </w:rPr>
        <w:t>Title</w:t>
      </w:r>
      <w:r>
        <w:rPr>
          <w:sz w:val="20"/>
          <w:szCs w:val="20"/>
          <w:color w:val="auto"/>
        </w:rPr>
        <w:tab/>
      </w:r>
      <w:r>
        <w:rPr>
          <w:rFonts w:ascii="Arial" w:cs="Arial" w:eastAsia="Arial" w:hAnsi="Arial"/>
          <w:sz w:val="20"/>
          <w:szCs w:val="20"/>
          <w:u w:val="single" w:color="auto"/>
          <w:color w:val="auto"/>
        </w:rPr>
        <w:t>Reg. No.</w:t>
      </w:r>
      <w:r>
        <w:rPr>
          <w:sz w:val="20"/>
          <w:szCs w:val="20"/>
          <w:color w:val="auto"/>
        </w:rPr>
        <w:tab/>
      </w:r>
      <w:r>
        <w:rPr>
          <w:rFonts w:ascii="Arial" w:cs="Arial" w:eastAsia="Arial" w:hAnsi="Arial"/>
          <w:sz w:val="19"/>
          <w:szCs w:val="19"/>
          <w:u w:val="single" w:color="auto"/>
          <w:color w:val="auto"/>
        </w:rPr>
        <w:t>Author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9"/>
          <w:szCs w:val="19"/>
          <w:i w:val="1"/>
          <w:iCs w:val="1"/>
          <w:color w:val="auto"/>
        </w:rPr>
        <w:t>Pending U.S. Copyright Applications for Registration</w:t>
      </w:r>
    </w:p>
    <w:p>
      <w:pPr>
        <w:spacing w:after="0" w:line="381" w:lineRule="exact"/>
        <w:rPr>
          <w:sz w:val="20"/>
          <w:szCs w:val="20"/>
          <w:color w:val="auto"/>
        </w:rPr>
      </w:pPr>
    </w:p>
    <w:p>
      <w:pPr>
        <w:ind w:left="1260"/>
        <w:spacing w:after="0"/>
        <w:tabs>
          <w:tab w:leader="none" w:pos="4000" w:val="left"/>
          <w:tab w:leader="none" w:pos="6920" w:val="left"/>
          <w:tab w:leader="none" w:pos="9560" w:val="left"/>
        </w:tabs>
        <w:rPr>
          <w:sz w:val="20"/>
          <w:szCs w:val="20"/>
          <w:color w:val="auto"/>
        </w:rPr>
      </w:pPr>
      <w:r>
        <w:rPr>
          <w:rFonts w:ascii="Arial" w:cs="Arial" w:eastAsia="Arial" w:hAnsi="Arial"/>
          <w:sz w:val="20"/>
          <w:szCs w:val="20"/>
          <w:u w:val="single" w:color="auto"/>
          <w:color w:val="auto"/>
        </w:rPr>
        <w:t>Title</w:t>
      </w:r>
      <w:r>
        <w:rPr>
          <w:sz w:val="20"/>
          <w:szCs w:val="20"/>
          <w:color w:val="auto"/>
        </w:rPr>
        <w:tab/>
      </w:r>
      <w:r>
        <w:rPr>
          <w:rFonts w:ascii="Arial" w:cs="Arial" w:eastAsia="Arial" w:hAnsi="Arial"/>
          <w:sz w:val="20"/>
          <w:szCs w:val="20"/>
          <w:u w:val="single" w:color="auto"/>
          <w:color w:val="auto"/>
        </w:rPr>
        <w:t>Author</w:t>
      </w:r>
      <w:r>
        <w:rPr>
          <w:sz w:val="20"/>
          <w:szCs w:val="20"/>
          <w:color w:val="auto"/>
        </w:rPr>
        <w:tab/>
      </w:r>
      <w:r>
        <w:rPr>
          <w:rFonts w:ascii="Arial" w:cs="Arial" w:eastAsia="Arial" w:hAnsi="Arial"/>
          <w:sz w:val="20"/>
          <w:szCs w:val="20"/>
          <w:u w:val="single" w:color="auto"/>
          <w:color w:val="auto"/>
        </w:rPr>
        <w:t>Class</w:t>
      </w:r>
      <w:r>
        <w:rPr>
          <w:sz w:val="20"/>
          <w:szCs w:val="20"/>
          <w:color w:val="auto"/>
        </w:rPr>
        <w:tab/>
      </w:r>
      <w:r>
        <w:rPr>
          <w:rFonts w:ascii="Arial" w:cs="Arial" w:eastAsia="Arial" w:hAnsi="Arial"/>
          <w:sz w:val="18"/>
          <w:szCs w:val="18"/>
          <w:u w:val="single" w:color="auto"/>
          <w:color w:val="auto"/>
        </w:rPr>
        <w:t>Date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9"/>
          <w:szCs w:val="19"/>
          <w:i w:val="1"/>
          <w:iCs w:val="1"/>
          <w:color w:val="auto"/>
        </w:rPr>
        <w:t>Unregistered Copyrights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300"/>
          </w:cols>
          <w:pgMar w:left="240" w:top="433" w:right="359" w:bottom="1440" w:gutter="0" w:footer="0" w:header="0"/>
        </w:sectPr>
      </w:pPr>
    </w:p>
    <w:bookmarkStart w:id="450" w:name="page451"/>
    <w:bookmarkEnd w:id="450"/>
    <w:p>
      <w:pPr>
        <w:jc w:val="right"/>
        <w:spacing w:after="0"/>
        <w:rPr>
          <w:sz w:val="20"/>
          <w:szCs w:val="20"/>
          <w:color w:val="auto"/>
        </w:rPr>
      </w:pPr>
      <w:r>
        <w:rPr>
          <w:rFonts w:ascii="Arial" w:cs="Arial" w:eastAsia="Arial" w:hAnsi="Arial"/>
          <w:sz w:val="20"/>
          <w:szCs w:val="20"/>
          <w:color w:val="auto"/>
        </w:rPr>
        <w:t>SCHEDULE V to the Amended and Restated Security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ind w:left="2120"/>
        <w:spacing w:after="0"/>
        <w:rPr>
          <w:sz w:val="20"/>
          <w:szCs w:val="20"/>
          <w:color w:val="auto"/>
        </w:rPr>
      </w:pPr>
      <w:r>
        <w:rPr>
          <w:rFonts w:ascii="Arial" w:cs="Arial" w:eastAsia="Arial" w:hAnsi="Arial"/>
          <w:sz w:val="20"/>
          <w:szCs w:val="20"/>
          <w:u w:val="single" w:color="auto"/>
          <w:color w:val="auto"/>
        </w:rPr>
        <w:t>DOMAIN NAMES OWNED BY [NAME OF GRANTOR]</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[Make a separate page of Schedule V for each Grantor and state if no Domain Names are owned.]</w:t>
      </w:r>
    </w:p>
    <w:p>
      <w:pPr>
        <w:spacing w:after="0" w:line="354"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140" w:type="dxa"/>
            <w:vAlign w:val="bottom"/>
            <w:gridSpan w:val="2"/>
          </w:tcPr>
          <w:p>
            <w:pPr>
              <w:spacing w:after="0"/>
              <w:rPr>
                <w:sz w:val="20"/>
                <w:szCs w:val="20"/>
                <w:color w:val="auto"/>
              </w:rPr>
            </w:pPr>
            <w:r>
              <w:rPr>
                <w:rFonts w:ascii="Arial" w:cs="Arial" w:eastAsia="Arial" w:hAnsi="Arial"/>
                <w:sz w:val="20"/>
                <w:szCs w:val="20"/>
                <w:color w:val="auto"/>
              </w:rPr>
              <w:t>Internet Domain Names</w:t>
            </w:r>
          </w:p>
        </w:tc>
        <w:tc>
          <w:tcPr>
            <w:tcW w:w="4220" w:type="dxa"/>
            <w:vAlign w:val="bottom"/>
            <w:gridSpan w:val="3"/>
          </w:tcPr>
          <w:p>
            <w:pPr>
              <w:ind w:left="1240"/>
              <w:spacing w:after="0"/>
              <w:rPr>
                <w:sz w:val="20"/>
                <w:szCs w:val="20"/>
                <w:color w:val="auto"/>
              </w:rPr>
            </w:pPr>
            <w:r>
              <w:rPr>
                <w:rFonts w:ascii="Arial" w:cs="Arial" w:eastAsia="Arial" w:hAnsi="Arial"/>
                <w:sz w:val="20"/>
                <w:szCs w:val="20"/>
                <w:color w:val="auto"/>
              </w:rPr>
              <w:t>Country</w:t>
            </w:r>
          </w:p>
        </w:tc>
        <w:tc>
          <w:tcPr>
            <w:tcW w:w="2060" w:type="dxa"/>
            <w:vAlign w:val="bottom"/>
            <w:gridSpan w:val="3"/>
          </w:tcPr>
          <w:p>
            <w:pPr>
              <w:jc w:val="center"/>
              <w:spacing w:after="0"/>
              <w:rPr>
                <w:sz w:val="20"/>
                <w:szCs w:val="20"/>
                <w:color w:val="auto"/>
              </w:rPr>
            </w:pPr>
            <w:r>
              <w:rPr>
                <w:rFonts w:ascii="Arial" w:cs="Arial" w:eastAsia="Arial" w:hAnsi="Arial"/>
                <w:sz w:val="20"/>
                <w:szCs w:val="20"/>
                <w:color w:val="auto"/>
                <w:w w:val="91"/>
              </w:rPr>
              <w:t>Registration No. (or other</w:t>
            </w:r>
          </w:p>
        </w:tc>
      </w:tr>
      <w:tr>
        <w:trPr>
          <w:trHeight w:val="210"/>
        </w:trPr>
        <w:tc>
          <w:tcPr>
            <w:tcW w:w="190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3"/>
              </w:rPr>
              <w:t>applicable identifier)</w:t>
            </w:r>
          </w:p>
        </w:tc>
        <w:tc>
          <w:tcPr>
            <w:tcW w:w="200" w:type="dxa"/>
            <w:vAlign w:val="bottom"/>
            <w:tcBorders>
              <w:top w:val="single" w:sz="8" w:color="auto"/>
            </w:tcBorders>
          </w:tcPr>
          <w:p>
            <w:pPr>
              <w:spacing w:after="0"/>
              <w:rPr>
                <w:sz w:val="18"/>
                <w:szCs w:val="18"/>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280"/>
          </w:cols>
          <w:pgMar w:left="240" w:top="433" w:right="379" w:bottom="1440" w:gutter="0" w:footer="0" w:header="0"/>
        </w:sectPr>
      </w:pPr>
    </w:p>
    <w:bookmarkStart w:id="451" w:name="page452"/>
    <w:bookmarkEnd w:id="451"/>
    <w:p>
      <w:pPr>
        <w:jc w:val="right"/>
        <w:spacing w:after="0"/>
        <w:rPr>
          <w:sz w:val="20"/>
          <w:szCs w:val="20"/>
          <w:color w:val="auto"/>
        </w:rPr>
      </w:pPr>
      <w:r>
        <w:rPr>
          <w:rFonts w:ascii="Arial" w:cs="Arial" w:eastAsia="Arial" w:hAnsi="Arial"/>
          <w:sz w:val="20"/>
          <w:szCs w:val="20"/>
          <w:color w:val="auto"/>
        </w:rPr>
        <w:t>SCHEDULE VI to the Amended and Restated Security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U.S. COPYRIGHTS LICENSES OWNED BY [NAME OR GRANTOR]</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[Make a separate page of Schedule VI for each Grantor and state if no Copyrights Licenses are owned.]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PATENTS LICENSES OWNED BY [NAME OF GRANTOR]</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[Make a separate page of Schedule VI for each Grantor and state if no Patents Licenses are owned.]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20"/>
          <w:szCs w:val="20"/>
          <w:u w:val="single" w:color="auto"/>
          <w:color w:val="auto"/>
        </w:rPr>
        <w:t>TRADEMARK LICENSES OWNED BY [NAME OF GRANTOR]</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[Make a separate page of Schedule VI for each Grantor and state if no Trademark Licenses are owned.]</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300"/>
          </w:cols>
          <w:pgMar w:left="240" w:top="434" w:right="359" w:bottom="1440" w:gutter="0" w:footer="0" w:header="0"/>
        </w:sectPr>
      </w:pPr>
    </w:p>
    <w:bookmarkStart w:id="452" w:name="page453"/>
    <w:bookmarkEnd w:id="452"/>
    <w:p>
      <w:pPr>
        <w:jc w:val="right"/>
        <w:spacing w:after="0"/>
        <w:rPr>
          <w:sz w:val="20"/>
          <w:szCs w:val="20"/>
          <w:color w:val="auto"/>
        </w:rPr>
      </w:pPr>
      <w:r>
        <w:rPr>
          <w:rFonts w:ascii="Arial" w:cs="Arial" w:eastAsia="Arial" w:hAnsi="Arial"/>
          <w:sz w:val="20"/>
          <w:szCs w:val="20"/>
          <w:color w:val="auto"/>
        </w:rPr>
        <w:t>SCHEDULE VII to the Amended and Restated Security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16" w:lineRule="exact"/>
        <w:rPr>
          <w:sz w:val="20"/>
          <w:szCs w:val="20"/>
          <w:color w:val="auto"/>
        </w:rPr>
      </w:pPr>
    </w:p>
    <w:p>
      <w:pPr>
        <w:ind w:left="2460"/>
        <w:spacing w:after="0"/>
        <w:rPr>
          <w:sz w:val="20"/>
          <w:szCs w:val="20"/>
          <w:color w:val="auto"/>
        </w:rPr>
      </w:pPr>
      <w:r>
        <w:rPr>
          <w:rFonts w:ascii="Arial" w:cs="Arial" w:eastAsia="Arial" w:hAnsi="Arial"/>
          <w:sz w:val="20"/>
          <w:szCs w:val="20"/>
          <w:u w:val="single" w:color="auto"/>
          <w:color w:val="auto"/>
        </w:rPr>
        <w:t>PATENTS OWNED BY [NAME OF GRANTOR]</w:t>
      </w:r>
    </w:p>
    <w:p>
      <w:pPr>
        <w:spacing w:after="0" w:line="202" w:lineRule="exact"/>
        <w:rPr>
          <w:sz w:val="20"/>
          <w:szCs w:val="20"/>
          <w:color w:val="auto"/>
        </w:rPr>
      </w:pPr>
    </w:p>
    <w:p>
      <w:pPr>
        <w:ind w:left="280" w:right="320"/>
        <w:spacing w:after="0" w:line="260" w:lineRule="auto"/>
        <w:rPr>
          <w:sz w:val="20"/>
          <w:szCs w:val="20"/>
          <w:color w:val="auto"/>
        </w:rPr>
      </w:pPr>
      <w:r>
        <w:rPr>
          <w:rFonts w:ascii="Arial" w:cs="Arial" w:eastAsia="Arial" w:hAnsi="Arial"/>
          <w:sz w:val="20"/>
          <w:szCs w:val="20"/>
          <w:color w:val="auto"/>
        </w:rPr>
        <w:t>[Make a separate page of Schedule VII for each Grantor and state if no patents are owned. List in numerical order by Patent No./Patent Application No.]</w:t>
      </w:r>
    </w:p>
    <w:p>
      <w:pPr>
        <w:spacing w:after="0" w:line="190" w:lineRule="exact"/>
        <w:rPr>
          <w:sz w:val="20"/>
          <w:szCs w:val="20"/>
          <w:color w:val="auto"/>
        </w:rPr>
      </w:pPr>
    </w:p>
    <w:p>
      <w:pPr>
        <w:ind w:left="3480"/>
        <w:spacing w:after="0"/>
        <w:rPr>
          <w:sz w:val="20"/>
          <w:szCs w:val="20"/>
          <w:color w:val="auto"/>
        </w:rPr>
      </w:pPr>
      <w:r>
        <w:rPr>
          <w:rFonts w:ascii="Arial" w:cs="Arial" w:eastAsia="Arial" w:hAnsi="Arial"/>
          <w:sz w:val="20"/>
          <w:szCs w:val="20"/>
          <w:i w:val="1"/>
          <w:iCs w:val="1"/>
          <w:color w:val="auto"/>
        </w:rPr>
        <w:t>U.S. Patent Registrations</w:t>
      </w:r>
    </w:p>
    <w:p>
      <w:pPr>
        <w:spacing w:after="0" w:line="378" w:lineRule="exact"/>
        <w:rPr>
          <w:sz w:val="20"/>
          <w:szCs w:val="20"/>
          <w:color w:val="auto"/>
        </w:rPr>
      </w:pPr>
    </w:p>
    <w:p>
      <w:pPr>
        <w:ind w:left="1360"/>
        <w:spacing w:after="0"/>
        <w:tabs>
          <w:tab w:leader="none" w:pos="5560" w:val="left"/>
        </w:tabs>
        <w:rPr>
          <w:sz w:val="20"/>
          <w:szCs w:val="20"/>
          <w:color w:val="auto"/>
        </w:rPr>
      </w:pPr>
      <w:r>
        <w:rPr>
          <w:rFonts w:ascii="Arial" w:cs="Arial" w:eastAsia="Arial" w:hAnsi="Arial"/>
          <w:sz w:val="20"/>
          <w:szCs w:val="20"/>
          <w:u w:val="single" w:color="auto"/>
          <w:color w:val="auto"/>
        </w:rPr>
        <w:t>Patent Numbers</w:t>
      </w:r>
      <w:r>
        <w:rPr>
          <w:sz w:val="20"/>
          <w:szCs w:val="20"/>
          <w:color w:val="auto"/>
        </w:rPr>
        <w:tab/>
      </w:r>
      <w:r>
        <w:rPr>
          <w:rFonts w:ascii="Arial" w:cs="Arial" w:eastAsia="Arial" w:hAnsi="Arial"/>
          <w:sz w:val="16"/>
          <w:szCs w:val="16"/>
          <w:u w:val="single" w:color="auto"/>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520"/>
        <w:spacing w:after="0"/>
        <w:rPr>
          <w:sz w:val="20"/>
          <w:szCs w:val="20"/>
          <w:color w:val="auto"/>
        </w:rPr>
      </w:pPr>
      <w:r>
        <w:rPr>
          <w:rFonts w:ascii="Arial" w:cs="Arial" w:eastAsia="Arial" w:hAnsi="Arial"/>
          <w:sz w:val="20"/>
          <w:szCs w:val="20"/>
          <w:i w:val="1"/>
          <w:iCs w:val="1"/>
          <w:color w:val="auto"/>
        </w:rPr>
        <w:t>U.S. Patent Applications</w:t>
      </w:r>
    </w:p>
    <w:p>
      <w:pPr>
        <w:spacing w:after="0" w:line="378" w:lineRule="exact"/>
        <w:rPr>
          <w:sz w:val="20"/>
          <w:szCs w:val="20"/>
          <w:color w:val="auto"/>
        </w:rPr>
      </w:pPr>
    </w:p>
    <w:p>
      <w:pPr>
        <w:ind w:left="1360"/>
        <w:spacing w:after="0"/>
        <w:tabs>
          <w:tab w:leader="none" w:pos="5560" w:val="left"/>
        </w:tabs>
        <w:rPr>
          <w:sz w:val="20"/>
          <w:szCs w:val="20"/>
          <w:color w:val="auto"/>
        </w:rPr>
      </w:pPr>
      <w:r>
        <w:rPr>
          <w:rFonts w:ascii="Arial" w:cs="Arial" w:eastAsia="Arial" w:hAnsi="Arial"/>
          <w:sz w:val="20"/>
          <w:szCs w:val="20"/>
          <w:u w:val="single" w:color="auto"/>
          <w:color w:val="auto"/>
        </w:rPr>
        <w:t>Patent Numbers</w:t>
      </w:r>
      <w:r>
        <w:rPr>
          <w:sz w:val="20"/>
          <w:szCs w:val="20"/>
          <w:color w:val="auto"/>
        </w:rPr>
        <w:tab/>
      </w:r>
      <w:r>
        <w:rPr>
          <w:rFonts w:ascii="Arial" w:cs="Arial" w:eastAsia="Arial" w:hAnsi="Arial"/>
          <w:sz w:val="18"/>
          <w:szCs w:val="18"/>
          <w:u w:val="single" w:color="auto"/>
          <w:color w:val="auto"/>
        </w:rPr>
        <w:t>Filing Date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280"/>
          </w:cols>
          <w:pgMar w:left="240" w:top="433" w:right="379" w:bottom="1440" w:gutter="0" w:footer="0" w:header="0"/>
        </w:sectPr>
      </w:pPr>
    </w:p>
    <w:bookmarkStart w:id="453" w:name="page454"/>
    <w:bookmarkEnd w:id="453"/>
    <w:p>
      <w:pPr>
        <w:jc w:val="right"/>
        <w:spacing w:after="0"/>
        <w:rPr>
          <w:sz w:val="20"/>
          <w:szCs w:val="20"/>
          <w:color w:val="auto"/>
        </w:rPr>
      </w:pPr>
      <w:r>
        <w:rPr>
          <w:rFonts w:ascii="Arial" w:cs="Arial" w:eastAsia="Arial" w:hAnsi="Arial"/>
          <w:sz w:val="20"/>
          <w:szCs w:val="20"/>
          <w:color w:val="auto"/>
        </w:rPr>
        <w:t>SCHEDULE VIII to the</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Amended and Restated Security Agreement</w:t>
      </w:r>
    </w:p>
    <w:p>
      <w:pPr>
        <w:spacing w:after="0" w:line="200" w:lineRule="exact"/>
        <w:rPr>
          <w:sz w:val="20"/>
          <w:szCs w:val="20"/>
          <w:color w:val="auto"/>
        </w:rPr>
      </w:pPr>
    </w:p>
    <w:p>
      <w:pPr>
        <w:spacing w:after="0" w:line="224" w:lineRule="exact"/>
        <w:rPr>
          <w:sz w:val="20"/>
          <w:szCs w:val="20"/>
          <w:color w:val="auto"/>
        </w:rPr>
      </w:pPr>
    </w:p>
    <w:p>
      <w:pPr>
        <w:ind w:left="1540"/>
        <w:spacing w:after="0"/>
        <w:rPr>
          <w:sz w:val="20"/>
          <w:szCs w:val="20"/>
          <w:color w:val="auto"/>
        </w:rPr>
      </w:pPr>
      <w:r>
        <w:rPr>
          <w:rFonts w:ascii="Arial" w:cs="Arial" w:eastAsia="Arial" w:hAnsi="Arial"/>
          <w:sz w:val="20"/>
          <w:szCs w:val="20"/>
          <w:u w:val="single" w:color="auto"/>
          <w:color w:val="auto"/>
        </w:rPr>
        <w:t>TRADEMARK/TRADE NAMES OWNED BY [NAME OF GRANTOR]</w:t>
      </w:r>
    </w:p>
    <w:p>
      <w:pPr>
        <w:spacing w:after="0" w:line="202" w:lineRule="exact"/>
        <w:rPr>
          <w:sz w:val="20"/>
          <w:szCs w:val="20"/>
          <w:color w:val="auto"/>
        </w:rPr>
      </w:pPr>
    </w:p>
    <w:p>
      <w:pPr>
        <w:ind w:left="280" w:right="500"/>
        <w:spacing w:after="0" w:line="260" w:lineRule="auto"/>
        <w:rPr>
          <w:sz w:val="20"/>
          <w:szCs w:val="20"/>
          <w:color w:val="auto"/>
        </w:rPr>
      </w:pPr>
      <w:r>
        <w:rPr>
          <w:rFonts w:ascii="Arial" w:cs="Arial" w:eastAsia="Arial" w:hAnsi="Arial"/>
          <w:sz w:val="20"/>
          <w:szCs w:val="20"/>
          <w:color w:val="auto"/>
        </w:rPr>
        <w:t>[Make a separate page of Schedule VIII for each Grantor and state if no trademarks/trade names are owned. List in numerical order by trademark registration/application no.]</w:t>
      </w:r>
    </w:p>
    <w:p>
      <w:pPr>
        <w:spacing w:after="0" w:line="190" w:lineRule="exact"/>
        <w:rPr>
          <w:sz w:val="20"/>
          <w:szCs w:val="20"/>
          <w:color w:val="auto"/>
        </w:rPr>
      </w:pPr>
    </w:p>
    <w:p>
      <w:pPr>
        <w:ind w:left="3300"/>
        <w:spacing w:after="0"/>
        <w:rPr>
          <w:sz w:val="20"/>
          <w:szCs w:val="20"/>
          <w:color w:val="auto"/>
        </w:rPr>
      </w:pPr>
      <w:r>
        <w:rPr>
          <w:rFonts w:ascii="Arial" w:cs="Arial" w:eastAsia="Arial" w:hAnsi="Arial"/>
          <w:sz w:val="20"/>
          <w:szCs w:val="20"/>
          <w:i w:val="1"/>
          <w:iCs w:val="1"/>
          <w:color w:val="auto"/>
        </w:rPr>
        <w:t>U.S. Trademark Registrations</w:t>
      </w:r>
    </w:p>
    <w:p>
      <w:pPr>
        <w:spacing w:after="0" w:line="378" w:lineRule="exact"/>
        <w:rPr>
          <w:sz w:val="20"/>
          <w:szCs w:val="20"/>
          <w:color w:val="auto"/>
        </w:rPr>
      </w:pPr>
    </w:p>
    <w:p>
      <w:pPr>
        <w:ind w:left="1740"/>
        <w:spacing w:after="0"/>
        <w:tabs>
          <w:tab w:leader="none" w:pos="5360" w:val="left"/>
          <w:tab w:leader="none" w:pos="9160" w:val="left"/>
        </w:tabs>
        <w:rPr>
          <w:sz w:val="20"/>
          <w:szCs w:val="20"/>
          <w:color w:val="auto"/>
        </w:rPr>
      </w:pPr>
      <w:r>
        <w:rPr>
          <w:rFonts w:ascii="Arial" w:cs="Arial" w:eastAsia="Arial" w:hAnsi="Arial"/>
          <w:sz w:val="20"/>
          <w:szCs w:val="20"/>
          <w:u w:val="single" w:color="auto"/>
          <w:color w:val="auto"/>
        </w:rPr>
        <w:t>Mark</w:t>
      </w:r>
      <w:r>
        <w:rPr>
          <w:sz w:val="20"/>
          <w:szCs w:val="20"/>
          <w:color w:val="auto"/>
        </w:rPr>
        <w:tab/>
      </w:r>
      <w:r>
        <w:rPr>
          <w:rFonts w:ascii="Arial" w:cs="Arial" w:eastAsia="Arial" w:hAnsi="Arial"/>
          <w:sz w:val="20"/>
          <w:szCs w:val="20"/>
          <w:u w:val="single" w:color="auto"/>
          <w:color w:val="auto"/>
        </w:rPr>
        <w:t>Reg. Date</w:t>
      </w:r>
      <w:r>
        <w:rPr>
          <w:sz w:val="20"/>
          <w:szCs w:val="20"/>
          <w:color w:val="auto"/>
        </w:rPr>
        <w:tab/>
      </w:r>
      <w:r>
        <w:rPr>
          <w:rFonts w:ascii="Arial" w:cs="Arial" w:eastAsia="Arial" w:hAnsi="Arial"/>
          <w:sz w:val="18"/>
          <w:szCs w:val="18"/>
          <w:u w:val="single" w:color="auto"/>
          <w:color w:val="auto"/>
        </w:rPr>
        <w:t>Reg.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20"/>
        <w:spacing w:after="0"/>
        <w:rPr>
          <w:sz w:val="20"/>
          <w:szCs w:val="20"/>
          <w:color w:val="auto"/>
        </w:rPr>
      </w:pPr>
      <w:r>
        <w:rPr>
          <w:rFonts w:ascii="Arial" w:cs="Arial" w:eastAsia="Arial" w:hAnsi="Arial"/>
          <w:sz w:val="20"/>
          <w:szCs w:val="20"/>
          <w:i w:val="1"/>
          <w:iCs w:val="1"/>
          <w:color w:val="auto"/>
        </w:rPr>
        <w:t>U.S. Trademark Applications</w:t>
      </w:r>
    </w:p>
    <w:p>
      <w:pPr>
        <w:spacing w:after="0" w:line="378" w:lineRule="exact"/>
        <w:rPr>
          <w:sz w:val="20"/>
          <w:szCs w:val="20"/>
          <w:color w:val="auto"/>
        </w:rPr>
      </w:pPr>
    </w:p>
    <w:p>
      <w:pPr>
        <w:ind w:left="1740"/>
        <w:spacing w:after="0"/>
        <w:tabs>
          <w:tab w:leader="none" w:pos="5320" w:val="left"/>
          <w:tab w:leader="none" w:pos="8880" w:val="left"/>
        </w:tabs>
        <w:rPr>
          <w:sz w:val="20"/>
          <w:szCs w:val="20"/>
          <w:color w:val="auto"/>
        </w:rPr>
      </w:pPr>
      <w:r>
        <w:rPr>
          <w:rFonts w:ascii="Arial" w:cs="Arial" w:eastAsia="Arial" w:hAnsi="Arial"/>
          <w:sz w:val="20"/>
          <w:szCs w:val="20"/>
          <w:u w:val="single" w:color="auto"/>
          <w:color w:val="auto"/>
        </w:rPr>
        <w:t>Mark</w:t>
      </w:r>
      <w:r>
        <w:rPr>
          <w:sz w:val="20"/>
          <w:szCs w:val="20"/>
          <w:color w:val="auto"/>
        </w:rPr>
        <w:tab/>
      </w:r>
      <w:r>
        <w:rPr>
          <w:rFonts w:ascii="Arial" w:cs="Arial" w:eastAsia="Arial" w:hAnsi="Arial"/>
          <w:sz w:val="20"/>
          <w:szCs w:val="20"/>
          <w:u w:val="single" w:color="auto"/>
          <w:color w:val="auto"/>
        </w:rPr>
        <w:t>Filing Date</w:t>
      </w:r>
      <w:r>
        <w:rPr>
          <w:sz w:val="20"/>
          <w:szCs w:val="20"/>
          <w:color w:val="auto"/>
        </w:rPr>
        <w:tab/>
      </w:r>
      <w:r>
        <w:rPr>
          <w:rFonts w:ascii="Arial" w:cs="Arial" w:eastAsia="Arial" w:hAnsi="Arial"/>
          <w:sz w:val="19"/>
          <w:szCs w:val="19"/>
          <w:u w:val="single" w:color="auto"/>
          <w:color w:val="auto"/>
        </w:rPr>
        <w:t>Application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00"/>
        <w:spacing w:after="0"/>
        <w:rPr>
          <w:sz w:val="20"/>
          <w:szCs w:val="20"/>
          <w:color w:val="auto"/>
        </w:rPr>
      </w:pPr>
      <w:r>
        <w:rPr>
          <w:rFonts w:ascii="Arial" w:cs="Arial" w:eastAsia="Arial" w:hAnsi="Arial"/>
          <w:sz w:val="20"/>
          <w:szCs w:val="20"/>
          <w:i w:val="1"/>
          <w:iCs w:val="1"/>
          <w:color w:val="auto"/>
        </w:rPr>
        <w:t>Common Law Trademarks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7" w:right="239" w:bottom="1440" w:gutter="0" w:footer="0" w:header="0"/>
        </w:sectPr>
      </w:pPr>
    </w:p>
    <w:bookmarkStart w:id="454" w:name="page455"/>
    <w:bookmarkEnd w:id="454"/>
    <w:p>
      <w:pPr>
        <w:ind w:left="7280"/>
        <w:spacing w:after="0"/>
        <w:rPr>
          <w:sz w:val="20"/>
          <w:szCs w:val="20"/>
          <w:color w:val="auto"/>
        </w:rPr>
      </w:pPr>
      <w:r>
        <w:rPr>
          <w:rFonts w:ascii="Arial" w:cs="Arial" w:eastAsia="Arial" w:hAnsi="Arial"/>
          <w:sz w:val="18"/>
          <w:szCs w:val="18"/>
          <w:color w:val="auto"/>
        </w:rPr>
        <w:t>EXHIBIT I to the Amended and Restated Security</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97"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SUPPLEMENT NO. dated as of [ ● ], to the Amended and Restated Security Agreement dated as of November 30, 2017 (as amended, restated, supplemented or otherwise modified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among OSI RESTAURANT PARTNERS, LLC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the Subsidiaries of the Company identified therein and WELLS FARGO BANK, NATIONAL ASSOCIATION, as Collateral Agent for the Secured Parties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-610870</wp:posOffset>
            </wp:positionV>
            <wp:extent cx="482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48260" cy="8890"/>
                    </a:xfrm>
                    <a:prstGeom prst="rect">
                      <a:avLst/>
                    </a:prstGeom>
                    <a:noFill/>
                  </pic:spPr>
                </pic:pic>
              </a:graphicData>
            </a:graphic>
          </wp:anchor>
        </w:drawing>
      </w:r>
    </w:p>
    <w:p>
      <w:pPr>
        <w:spacing w:after="0" w:line="188" w:lineRule="exact"/>
        <w:rPr>
          <w:sz w:val="20"/>
          <w:szCs w:val="20"/>
          <w:color w:val="auto"/>
        </w:rPr>
      </w:pPr>
    </w:p>
    <w:p>
      <w:pPr>
        <w:jc w:val="both"/>
        <w:ind w:left="280" w:firstLine="646"/>
        <w:spacing w:after="0" w:line="273" w:lineRule="auto"/>
        <w:tabs>
          <w:tab w:leader="none" w:pos="1769" w:val="left"/>
        </w:tabs>
        <w:numPr>
          <w:ilvl w:val="0"/>
          <w:numId w:val="374"/>
        </w:numPr>
        <w:rPr>
          <w:rFonts w:ascii="Arial" w:cs="Arial" w:eastAsia="Arial" w:hAnsi="Arial"/>
          <w:sz w:val="20"/>
          <w:szCs w:val="20"/>
          <w:color w:val="auto"/>
        </w:rPr>
      </w:pPr>
      <w:r>
        <w:rPr>
          <w:rFonts w:ascii="Arial" w:cs="Arial" w:eastAsia="Arial" w:hAnsi="Arial"/>
          <w:sz w:val="20"/>
          <w:szCs w:val="20"/>
          <w:color w:val="auto"/>
        </w:rPr>
        <w:t>Reference is made to (i) the Amended and Restated Credit Agreement dated as of November 30, 2017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Borrowers, each Lender from time to time party thereto and Wells Fargo Bank, National Association, as Administrative Agent, (ii) the Guaranty (as defined in the Credit Agreement), (iii) each Secured Hedge Agreement (as defined in the Credit Agreement) and (vi) the Cash Management Obligations (as defined in the Credit agreement).</w:t>
      </w:r>
    </w:p>
    <w:p>
      <w:pPr>
        <w:spacing w:after="0" w:line="204" w:lineRule="exact"/>
        <w:rPr>
          <w:rFonts w:ascii="Arial" w:cs="Arial" w:eastAsia="Arial" w:hAnsi="Arial"/>
          <w:sz w:val="20"/>
          <w:szCs w:val="20"/>
          <w:color w:val="auto"/>
        </w:rPr>
      </w:pPr>
    </w:p>
    <w:p>
      <w:pPr>
        <w:ind w:left="280" w:firstLine="646"/>
        <w:spacing w:after="0" w:line="289" w:lineRule="auto"/>
        <w:tabs>
          <w:tab w:leader="none" w:pos="1758" w:val="left"/>
        </w:tabs>
        <w:numPr>
          <w:ilvl w:val="0"/>
          <w:numId w:val="374"/>
        </w:numPr>
        <w:rPr>
          <w:rFonts w:ascii="Arial" w:cs="Arial" w:eastAsia="Arial" w:hAnsi="Arial"/>
          <w:sz w:val="20"/>
          <w:szCs w:val="20"/>
          <w:color w:val="auto"/>
        </w:rPr>
      </w:pPr>
      <w:r>
        <w:rPr>
          <w:rFonts w:ascii="Arial" w:cs="Arial" w:eastAsia="Arial" w:hAnsi="Arial"/>
          <w:sz w:val="20"/>
          <w:szCs w:val="20"/>
          <w:color w:val="auto"/>
        </w:rPr>
        <w:t>Capitalized terms used herein and not otherwise defined herein shall have the meanings assigned to such terms in the Credit Agreement and the Security Agreement referred to therein.</w:t>
      </w:r>
    </w:p>
    <w:p>
      <w:pPr>
        <w:spacing w:after="0" w:line="188" w:lineRule="exact"/>
        <w:rPr>
          <w:rFonts w:ascii="Arial" w:cs="Arial" w:eastAsia="Arial" w:hAnsi="Arial"/>
          <w:sz w:val="20"/>
          <w:szCs w:val="20"/>
          <w:color w:val="auto"/>
        </w:rPr>
      </w:pPr>
    </w:p>
    <w:p>
      <w:pPr>
        <w:jc w:val="both"/>
        <w:ind w:left="280" w:firstLine="646"/>
        <w:spacing w:after="0" w:line="270" w:lineRule="auto"/>
        <w:tabs>
          <w:tab w:leader="none" w:pos="1758"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Grantors have entered into the Security Agreement in order to induce (x) the Lenders to make Loans and the L/C Issuers to issue Letters of Credit, (y) the Hedge Banks to enter into and/or maintain Secured Hedge Agreements and (z) the Cash Management Bank to provide Cash Management Services. Section 7.14 of the Security Agreement provides that additional Subsidiaries of the Company may become Subsidiary Parties under the Security Agreement by execution and delivery of an instrument substantially in the form of this Supplement. The undersigned Subsidiary (the “</w:t>
      </w:r>
      <w:r>
        <w:rPr>
          <w:rFonts w:ascii="Arial" w:cs="Arial" w:eastAsia="Arial" w:hAnsi="Arial"/>
          <w:sz w:val="20"/>
          <w:szCs w:val="20"/>
          <w:u w:val="single" w:color="auto"/>
          <w:color w:val="auto"/>
        </w:rPr>
        <w:t>New Subsidiary</w:t>
      </w:r>
      <w:r>
        <w:rPr>
          <w:rFonts w:ascii="Arial" w:cs="Arial" w:eastAsia="Arial" w:hAnsi="Arial"/>
          <w:sz w:val="20"/>
          <w:szCs w:val="20"/>
          <w:color w:val="auto"/>
        </w:rPr>
        <w:t>”) is executing this Supplement in accordance with the requirements of the Credit Agreement to become a Subsidiary Party under the Security Agreement in order to induce the Lenders to make additional Loans and the L/C Issuers to issue additional Letters of Credit and as consideration for Loans previously made and Letters of Credit previously issued.</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Accordingly, the Collateral Agent and the New Subsidiary agree as follows:</w:t>
      </w:r>
    </w:p>
    <w:p>
      <w:pPr>
        <w:spacing w:after="0" w:line="216"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u w:val="single" w:color="auto"/>
          <w:color w:val="auto"/>
        </w:rPr>
        <w:t>Section 1</w:t>
      </w:r>
      <w:r>
        <w:rPr>
          <w:rFonts w:ascii="Arial" w:cs="Arial" w:eastAsia="Arial" w:hAnsi="Arial"/>
          <w:sz w:val="19"/>
          <w:szCs w:val="19"/>
          <w:color w:val="auto"/>
        </w:rPr>
        <w:t>. In accordance with Section 7.14 of the Security Agreement, the New Subsidiary by its signature below becomes a Subsidiary Party (and accordingly, becomes a Grantor) and Grantor under the Security Agreement with the same force and effect as if originally named therein as a Subsidiary Party and the New Subsidiary hereby (a) agrees to all the terms and provisions of the Security Agreement applicable to it as a Subsidiary Party and Grantor thereunder and (b) represents and warrants that the representations and warranties made by it as a Grantor thereunder are true and correct on and as of the date hereof. In furtherance of the foregoing, the New Subsidiary, as security for the payment and performance in full of the Secured Obligations does hereby create and grant to the Collateral Agent, its successors and assigns, for the benefit of the Secured Parties, their successors and assigns, a security interest in and lien on all of the New Subsidiary’s right, title and interest in and to the Collateral (as defined in the Security Agreement) of the New Subsidiary. Each reference to a “</w:t>
      </w:r>
      <w:r>
        <w:rPr>
          <w:rFonts w:ascii="Arial" w:cs="Arial" w:eastAsia="Arial" w:hAnsi="Arial"/>
          <w:sz w:val="19"/>
          <w:szCs w:val="19"/>
          <w:u w:val="single" w:color="auto"/>
          <w:color w:val="auto"/>
        </w:rPr>
        <w:t>Grantor</w:t>
      </w:r>
      <w:r>
        <w:rPr>
          <w:rFonts w:ascii="Arial" w:cs="Arial" w:eastAsia="Arial" w:hAnsi="Arial"/>
          <w:sz w:val="19"/>
          <w:szCs w:val="19"/>
          <w:color w:val="auto"/>
        </w:rPr>
        <w:t>” in the Security Agreement shall be deemed to include the New Subsidiary. The Security Agreement is hereby incorporated herein by reference.</w:t>
      </w:r>
    </w:p>
    <w:p>
      <w:pPr>
        <w:spacing w:after="0" w:line="181"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u w:val="single" w:color="auto"/>
          <w:color w:val="auto"/>
        </w:rPr>
        <w:t>Section 2</w:t>
      </w:r>
      <w:r>
        <w:rPr>
          <w:rFonts w:ascii="Arial" w:cs="Arial" w:eastAsia="Arial" w:hAnsi="Arial"/>
          <w:sz w:val="20"/>
          <w:szCs w:val="20"/>
          <w:color w:val="auto"/>
        </w:rPr>
        <w:t>. The New Subsidiary represents and warrants to the Collateral Agent and the other Secured Parties that (i) it has the power and authority to enter into this Supplement and (ii) this Supplement has been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55" w:name="page456"/>
    <w:bookmarkEnd w:id="455"/>
    <w:p>
      <w:pPr>
        <w:jc w:val="both"/>
        <w:ind w:left="280"/>
        <w:spacing w:after="0" w:line="260" w:lineRule="auto"/>
        <w:rPr>
          <w:sz w:val="20"/>
          <w:szCs w:val="20"/>
          <w:color w:val="auto"/>
        </w:rPr>
      </w:pPr>
      <w:r>
        <w:rPr>
          <w:rFonts w:ascii="Arial" w:cs="Arial" w:eastAsia="Arial" w:hAnsi="Arial"/>
          <w:sz w:val="20"/>
          <w:szCs w:val="20"/>
          <w:color w:val="auto"/>
        </w:rPr>
        <w:t>duly authorized, executed and delivered by it and constitutes its legal, valid and binding obligation, enforceable against it in accordance with its terms.</w:t>
      </w:r>
    </w:p>
    <w:p>
      <w:pPr>
        <w:spacing w:after="0" w:line="28"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This Supplement may be executed in counterparts (and by different parties hereto on different counterparts), each of which shall constitute an original, but all of which when taken together shall constitute a single contract. This Supplement shall become effective when the Collateral Agent shall have received a counterpart of this Supplement that bears the signature of the New Subsidiary and the Collateral Agent has executed a counterpart hereof. Delivery of an executed signature page to this Supplement by facsimile or electronic (i.e., “tif” or “pdf”) transmission shall be as effective as delivery of a manually signed counterpart of this Supplement.</w:t>
      </w:r>
    </w:p>
    <w:p>
      <w:pPr>
        <w:spacing w:after="0" w:line="179"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u w:val="single" w:color="auto"/>
          <w:color w:val="auto"/>
        </w:rPr>
        <w:t>Section 4</w:t>
      </w:r>
      <w:r>
        <w:rPr>
          <w:rFonts w:ascii="Arial" w:cs="Arial" w:eastAsia="Arial" w:hAnsi="Arial"/>
          <w:sz w:val="19"/>
          <w:szCs w:val="19"/>
          <w:color w:val="auto"/>
        </w:rPr>
        <w:t>. The New Subsidiary hereby represents and warrants that (a) set forth on Schedule I attached hereto is a true and correct schedule of the location of any and all Collateral of the New Subsidiary and (b) set forth under its signature hereto is the true and correct legal name of the New Subsidiary, its jurisdiction of formation and the location of its chief executive office.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20"/>
          <w:szCs w:val="20"/>
          <w:u w:val="single" w:color="auto"/>
          <w:color w:val="auto"/>
        </w:rPr>
        <w:t>Section 5</w:t>
      </w:r>
      <w:r>
        <w:rPr>
          <w:rFonts w:ascii="Arial" w:cs="Arial" w:eastAsia="Arial" w:hAnsi="Arial"/>
          <w:sz w:val="20"/>
          <w:szCs w:val="20"/>
          <w:color w:val="auto"/>
        </w:rPr>
        <w:t>. Except as expressly supplemented hereby, the Security Agreement shall remain in full force and effect.</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THIS SUPPLEMENT SHALL BE GOVERNED BY, AND CONSTRUED IN ACCORDANCE WITH, THE LAWS OF THE STATE OF NEW YORK.</w:t>
      </w:r>
    </w:p>
    <w:p>
      <w:pPr>
        <w:spacing w:after="0" w:line="190"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u w:val="single" w:color="auto"/>
          <w:color w:val="auto"/>
        </w:rPr>
        <w:t>Section 7</w:t>
      </w:r>
      <w:r>
        <w:rPr>
          <w:rFonts w:ascii="Arial" w:cs="Arial" w:eastAsia="Arial" w:hAnsi="Arial"/>
          <w:sz w:val="20"/>
          <w:szCs w:val="20"/>
          <w:color w:val="auto"/>
        </w:rPr>
        <w:t>. In case any one or more of the provisions contained in this Supplement should be held invalid, illegal or unenforceable in any respect, the validity, legality and enforceability of the remaining provisions contained herein and in the Security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21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u w:val="single" w:color="auto"/>
          <w:color w:val="auto"/>
        </w:rPr>
        <w:t>Section 8</w:t>
      </w:r>
      <w:r>
        <w:rPr>
          <w:rFonts w:ascii="Arial" w:cs="Arial" w:eastAsia="Arial" w:hAnsi="Arial"/>
          <w:sz w:val="20"/>
          <w:szCs w:val="20"/>
          <w:color w:val="auto"/>
        </w:rPr>
        <w:t>. All communications and notices hereunder shall be in writing and given as provided in Section 7.01 of the Security Agreement.</w:t>
      </w:r>
    </w:p>
    <w:p>
      <w:pPr>
        <w:spacing w:after="0" w:line="190"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The New Subsidiary agrees to reimburse the Collateral Agent for its reasonable out-of- pocket expenses in connection with this Supplement, including the reasonable fees, other charges and disbursements of counsel for the Collateral Agent.</w:t>
      </w:r>
    </w:p>
    <w:p>
      <w:pPr>
        <w:spacing w:after="0" w:line="13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[Signature Page Follows]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5" w:right="239" w:bottom="1440" w:gutter="0" w:footer="0" w:header="0"/>
        </w:sectPr>
      </w:pPr>
    </w:p>
    <w:bookmarkStart w:id="456" w:name="page457"/>
    <w:bookmarkEnd w:id="456"/>
    <w:p>
      <w:pPr>
        <w:ind w:left="280" w:firstLine="648"/>
        <w:spacing w:after="0" w:line="260" w:lineRule="auto"/>
        <w:rPr>
          <w:sz w:val="20"/>
          <w:szCs w:val="20"/>
          <w:color w:val="auto"/>
        </w:rPr>
      </w:pPr>
      <w:r>
        <w:rPr>
          <w:rFonts w:ascii="Arial" w:cs="Arial" w:eastAsia="Arial" w:hAnsi="Arial"/>
          <w:sz w:val="20"/>
          <w:szCs w:val="20"/>
          <w:color w:val="auto"/>
        </w:rPr>
        <w:t>IN WITNESS WHEREOF, the New Subsidiary and the Collateral Agent have duly executed this Supplement to the Security Agreement as of the day and year first above written.</w:t>
      </w:r>
    </w:p>
    <w:p>
      <w:pPr>
        <w:spacing w:after="0" w:line="35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OF NEW SUBSIDIARY]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27305</wp:posOffset>
            </wp:positionV>
            <wp:extent cx="25812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Legal Name: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Jurisdiction of Formation:</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Location of Chief Executive Office:</w:t>
      </w:r>
    </w:p>
    <w:p>
      <w:pPr>
        <w:spacing w:after="0" w:line="364"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WELLS FARGO BANK, NATIONAL</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ASSOCIATION, as Collateral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27305</wp:posOffset>
            </wp:positionV>
            <wp:extent cx="25812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Title: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800"/>
          </w:cols>
          <w:pgMar w:left="240" w:top="433" w:right="859" w:bottom="1440" w:gutter="0" w:footer="0" w:header="0"/>
        </w:sectPr>
      </w:pPr>
    </w:p>
    <w:bookmarkStart w:id="457" w:name="page458"/>
    <w:bookmarkEnd w:id="457"/>
    <w:p>
      <w:pPr>
        <w:ind w:left="5040"/>
        <w:spacing w:after="0"/>
        <w:rPr>
          <w:sz w:val="20"/>
          <w:szCs w:val="20"/>
          <w:color w:val="auto"/>
        </w:rPr>
      </w:pPr>
      <w:r>
        <w:rPr>
          <w:rFonts w:ascii="Arial" w:cs="Arial" w:eastAsia="Arial" w:hAnsi="Arial"/>
          <w:sz w:val="20"/>
          <w:szCs w:val="20"/>
          <w:u w:val="single" w:color="auto"/>
          <w:color w:val="auto"/>
        </w:rPr>
        <w:t>LOCATION OF COLLATERAL</w:t>
      </w:r>
    </w:p>
    <w:p>
      <w:pPr>
        <w:spacing w:after="0" w:line="378" w:lineRule="exact"/>
        <w:rPr>
          <w:sz w:val="20"/>
          <w:szCs w:val="20"/>
          <w:color w:val="auto"/>
        </w:rPr>
      </w:pPr>
    </w:p>
    <w:p>
      <w:pPr>
        <w:ind w:left="300"/>
        <w:spacing w:after="0"/>
        <w:tabs>
          <w:tab w:leader="none" w:pos="5320" w:val="left"/>
        </w:tabs>
        <w:rPr>
          <w:sz w:val="20"/>
          <w:szCs w:val="20"/>
          <w:color w:val="auto"/>
        </w:rPr>
      </w:pPr>
      <w:r>
        <w:rPr>
          <w:rFonts w:ascii="Arial" w:cs="Arial" w:eastAsia="Arial" w:hAnsi="Arial"/>
          <w:sz w:val="20"/>
          <w:szCs w:val="20"/>
          <w:u w:val="single" w:color="auto"/>
          <w:color w:val="auto"/>
        </w:rPr>
        <w:t>Description</w:t>
      </w:r>
      <w:r>
        <w:rPr>
          <w:sz w:val="20"/>
          <w:szCs w:val="20"/>
          <w:color w:val="auto"/>
        </w:rPr>
        <w:tab/>
      </w:r>
      <w:r>
        <w:rPr>
          <w:rFonts w:ascii="Arial" w:cs="Arial" w:eastAsia="Arial" w:hAnsi="Arial"/>
          <w:sz w:val="20"/>
          <w:szCs w:val="20"/>
          <w:u w:val="single" w:color="auto"/>
          <w:color w:val="auto"/>
        </w:rPr>
        <w:t>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60" w:type="dxa"/>
            <w:vAlign w:val="bottom"/>
            <w:gridSpan w:val="6"/>
          </w:tcPr>
          <w:p>
            <w:pPr>
              <w:spacing w:after="0"/>
              <w:rPr>
                <w:sz w:val="20"/>
                <w:szCs w:val="20"/>
                <w:color w:val="auto"/>
              </w:rPr>
            </w:pPr>
            <w:r>
              <w:rPr>
                <w:rFonts w:ascii="Arial" w:cs="Arial" w:eastAsia="Arial" w:hAnsi="Arial"/>
                <w:sz w:val="20"/>
                <w:szCs w:val="20"/>
                <w:color w:val="auto"/>
              </w:rPr>
              <w:t>EQUITY INTERESTS</w:t>
            </w: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04"/>
        </w:trPr>
        <w:tc>
          <w:tcPr>
            <w:tcW w:w="460" w:type="dxa"/>
            <w:vAlign w:val="bottom"/>
          </w:tcPr>
          <w:p>
            <w:pPr>
              <w:spacing w:after="0"/>
              <w:rPr>
                <w:sz w:val="24"/>
                <w:szCs w:val="24"/>
                <w:color w:val="auto"/>
              </w:rPr>
            </w:pPr>
          </w:p>
        </w:tc>
        <w:tc>
          <w:tcPr>
            <w:tcW w:w="2720" w:type="dxa"/>
            <w:vAlign w:val="bottom"/>
            <w:gridSpan w:val="3"/>
          </w:tcPr>
          <w:p>
            <w:pPr>
              <w:ind w:left="1200"/>
              <w:spacing w:after="0"/>
              <w:rPr>
                <w:sz w:val="20"/>
                <w:szCs w:val="20"/>
                <w:color w:val="auto"/>
              </w:rPr>
            </w:pPr>
            <w:r>
              <w:rPr>
                <w:rFonts w:ascii="Arial" w:cs="Arial" w:eastAsia="Arial" w:hAnsi="Arial"/>
                <w:sz w:val="20"/>
                <w:szCs w:val="20"/>
                <w:color w:val="auto"/>
              </w:rPr>
              <w:t>Number</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4"/>
          </w:tcPr>
          <w:p>
            <w:pPr>
              <w:ind w:left="220"/>
              <w:spacing w:after="0"/>
              <w:rPr>
                <w:sz w:val="20"/>
                <w:szCs w:val="20"/>
                <w:color w:val="auto"/>
              </w:rPr>
            </w:pPr>
            <w:r>
              <w:rPr>
                <w:rFonts w:ascii="Arial" w:cs="Arial" w:eastAsia="Arial" w:hAnsi="Arial"/>
                <w:sz w:val="20"/>
                <w:szCs w:val="20"/>
                <w:color w:val="auto"/>
              </w:rPr>
              <w:t>Number Class</w:t>
            </w:r>
          </w:p>
        </w:tc>
        <w:tc>
          <w:tcPr>
            <w:tcW w:w="1300" w:type="dxa"/>
            <w:vAlign w:val="bottom"/>
          </w:tcPr>
          <w:p>
            <w:pPr>
              <w:ind w:left="520"/>
              <w:spacing w:after="0"/>
              <w:rPr>
                <w:sz w:val="20"/>
                <w:szCs w:val="20"/>
                <w:color w:val="auto"/>
              </w:rPr>
            </w:pPr>
            <w:r>
              <w:rPr>
                <w:rFonts w:ascii="Arial" w:cs="Arial" w:eastAsia="Arial" w:hAnsi="Arial"/>
                <w:sz w:val="20"/>
                <w:szCs w:val="20"/>
                <w:color w:val="auto"/>
              </w:rPr>
              <w:t>and</w:t>
            </w:r>
          </w:p>
        </w:tc>
        <w:tc>
          <w:tcPr>
            <w:tcW w:w="1660" w:type="dxa"/>
            <w:vAlign w:val="bottom"/>
            <w:gridSpan w:val="3"/>
          </w:tcPr>
          <w:p>
            <w:pPr>
              <w:spacing w:after="0"/>
              <w:rPr>
                <w:sz w:val="20"/>
                <w:szCs w:val="20"/>
                <w:color w:val="auto"/>
              </w:rPr>
            </w:pPr>
            <w:r>
              <w:rPr>
                <w:rFonts w:ascii="Arial" w:cs="Arial" w:eastAsia="Arial" w:hAnsi="Arial"/>
                <w:sz w:val="20"/>
                <w:szCs w:val="20"/>
                <w:color w:val="auto"/>
                <w:w w:val="88"/>
              </w:rPr>
              <w:t>Percentage of Equity</w:t>
            </w:r>
          </w:p>
        </w:tc>
      </w:tr>
      <w:tr>
        <w:trPr>
          <w:trHeight w:val="210"/>
        </w:trPr>
        <w:tc>
          <w:tcPr>
            <w:tcW w:w="460" w:type="dxa"/>
            <w:vAlign w:val="bottom"/>
          </w:tcPr>
          <w:p>
            <w:pPr>
              <w:spacing w:after="0" w:line="209" w:lineRule="exact"/>
              <w:rPr>
                <w:sz w:val="20"/>
                <w:szCs w:val="20"/>
                <w:color w:val="auto"/>
              </w:rPr>
            </w:pPr>
            <w:r>
              <w:rPr>
                <w:rFonts w:ascii="Arial" w:cs="Arial" w:eastAsia="Arial" w:hAnsi="Arial"/>
                <w:sz w:val="20"/>
                <w:szCs w:val="20"/>
                <w:color w:val="auto"/>
                <w:w w:val="80"/>
              </w:rPr>
              <w:t>Issuer</w:t>
            </w:r>
          </w:p>
        </w:tc>
        <w:tc>
          <w:tcPr>
            <w:tcW w:w="2720" w:type="dxa"/>
            <w:vAlign w:val="bottom"/>
            <w:gridSpan w:val="3"/>
          </w:tcPr>
          <w:p>
            <w:pPr>
              <w:ind w:left="1200"/>
              <w:spacing w:after="0" w:line="209" w:lineRule="exact"/>
              <w:rPr>
                <w:sz w:val="20"/>
                <w:szCs w:val="20"/>
                <w:color w:val="auto"/>
              </w:rPr>
            </w:pPr>
            <w:r>
              <w:rPr>
                <w:rFonts w:ascii="Arial" w:cs="Arial" w:eastAsia="Arial" w:hAnsi="Arial"/>
                <w:sz w:val="20"/>
                <w:szCs w:val="20"/>
                <w:color w:val="auto"/>
              </w:rPr>
              <w:t>Certificate</w:t>
            </w:r>
          </w:p>
        </w:tc>
        <w:tc>
          <w:tcPr>
            <w:tcW w:w="1160" w:type="dxa"/>
            <w:vAlign w:val="bottom"/>
          </w:tcPr>
          <w:p>
            <w:pPr>
              <w:ind w:left="700"/>
              <w:spacing w:after="0" w:line="209" w:lineRule="exact"/>
              <w:rPr>
                <w:sz w:val="20"/>
                <w:szCs w:val="20"/>
                <w:color w:val="auto"/>
              </w:rPr>
            </w:pPr>
            <w:r>
              <w:rPr>
                <w:rFonts w:ascii="Arial" w:cs="Arial" w:eastAsia="Arial" w:hAnsi="Arial"/>
                <w:sz w:val="20"/>
                <w:szCs w:val="20"/>
                <w:color w:val="auto"/>
              </w:rPr>
              <w:t>of</w:t>
            </w:r>
          </w:p>
        </w:tc>
        <w:tc>
          <w:tcPr>
            <w:tcW w:w="3640" w:type="dxa"/>
            <w:vAlign w:val="bottom"/>
            <w:gridSpan w:val="7"/>
          </w:tcPr>
          <w:p>
            <w:pPr>
              <w:ind w:left="320"/>
              <w:spacing w:after="0" w:line="209" w:lineRule="exact"/>
              <w:rPr>
                <w:sz w:val="20"/>
                <w:szCs w:val="20"/>
                <w:color w:val="auto"/>
              </w:rPr>
            </w:pPr>
            <w:r>
              <w:rPr>
                <w:rFonts w:ascii="Arial" w:cs="Arial" w:eastAsia="Arial" w:hAnsi="Arial"/>
                <w:sz w:val="20"/>
                <w:szCs w:val="20"/>
                <w:color w:val="auto"/>
              </w:rPr>
              <w:t>Registered Owner  Equity Interest</w:t>
            </w:r>
          </w:p>
        </w:tc>
        <w:tc>
          <w:tcPr>
            <w:tcW w:w="1300" w:type="dxa"/>
            <w:vAlign w:val="bottom"/>
          </w:tcPr>
          <w:p>
            <w:pPr>
              <w:ind w:left="520"/>
              <w:spacing w:after="0" w:line="209" w:lineRule="exact"/>
              <w:rPr>
                <w:sz w:val="20"/>
                <w:szCs w:val="20"/>
                <w:color w:val="auto"/>
              </w:rPr>
            </w:pPr>
            <w:r>
              <w:rPr>
                <w:rFonts w:ascii="Arial" w:cs="Arial" w:eastAsia="Arial" w:hAnsi="Arial"/>
                <w:sz w:val="20"/>
                <w:szCs w:val="20"/>
                <w:color w:val="auto"/>
              </w:rPr>
              <w:t>of</w:t>
            </w:r>
          </w:p>
        </w:tc>
        <w:tc>
          <w:tcPr>
            <w:tcW w:w="1120" w:type="dxa"/>
            <w:vAlign w:val="bottom"/>
            <w:gridSpan w:val="2"/>
          </w:tcPr>
          <w:p>
            <w:pPr>
              <w:spacing w:after="0" w:line="209" w:lineRule="exact"/>
              <w:rPr>
                <w:sz w:val="20"/>
                <w:szCs w:val="20"/>
                <w:color w:val="auto"/>
              </w:rPr>
            </w:pPr>
            <w:r>
              <w:rPr>
                <w:rFonts w:ascii="Arial" w:cs="Arial" w:eastAsia="Arial" w:hAnsi="Arial"/>
                <w:sz w:val="20"/>
                <w:szCs w:val="20"/>
                <w:color w:val="auto"/>
              </w:rPr>
              <w:t>Interests</w:t>
            </w:r>
          </w:p>
        </w:tc>
        <w:tc>
          <w:tcPr>
            <w:tcW w:w="540" w:type="dxa"/>
            <w:vAlign w:val="bottom"/>
            <w:tcBorders>
              <w:top w:val="single" w:sz="8" w:color="auto"/>
            </w:tcBorders>
          </w:tcPr>
          <w:p>
            <w:pPr>
              <w:spacing w:after="0"/>
              <w:rPr>
                <w:sz w:val="18"/>
                <w:szCs w:val="18"/>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DEBT SECURITIES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120" w:type="dxa"/>
            <w:vAlign w:val="bottom"/>
          </w:tcPr>
          <w:p>
            <w:pPr>
              <w:spacing w:after="0"/>
              <w:rPr>
                <w:sz w:val="24"/>
                <w:szCs w:val="24"/>
                <w:color w:val="auto"/>
              </w:rPr>
            </w:pPr>
          </w:p>
        </w:tc>
        <w:tc>
          <w:tcPr>
            <w:tcW w:w="1760" w:type="dxa"/>
            <w:vAlign w:val="bottom"/>
            <w:gridSpan w:val="2"/>
            <w:vMerge w:val="restart"/>
          </w:tcPr>
          <w:p>
            <w:pPr>
              <w:jc w:val="center"/>
              <w:ind w:right="1300"/>
              <w:spacing w:after="0"/>
              <w:rPr>
                <w:sz w:val="20"/>
                <w:szCs w:val="20"/>
                <w:color w:val="auto"/>
              </w:rPr>
            </w:pPr>
            <w:r>
              <w:rPr>
                <w:rFonts w:ascii="Arial" w:cs="Arial" w:eastAsia="Arial" w:hAnsi="Arial"/>
                <w:sz w:val="20"/>
                <w:szCs w:val="20"/>
                <w:color w:val="auto"/>
                <w:w w:val="84"/>
              </w:rPr>
              <w:t>Issuer</w:t>
            </w:r>
          </w:p>
        </w:tc>
        <w:tc>
          <w:tcPr>
            <w:tcW w:w="1840" w:type="dxa"/>
            <w:vAlign w:val="bottom"/>
            <w:gridSpan w:val="2"/>
          </w:tcPr>
          <w:p>
            <w:pPr>
              <w:spacing w:after="0"/>
              <w:rPr>
                <w:sz w:val="20"/>
                <w:szCs w:val="20"/>
                <w:color w:val="auto"/>
              </w:rPr>
            </w:pPr>
            <w:r>
              <w:rPr>
                <w:rFonts w:ascii="Arial" w:cs="Arial" w:eastAsia="Arial" w:hAnsi="Arial"/>
                <w:sz w:val="20"/>
                <w:szCs w:val="20"/>
                <w:color w:val="auto"/>
              </w:rPr>
              <w:t>Principal</w:t>
            </w:r>
          </w:p>
        </w:tc>
        <w:tc>
          <w:tcPr>
            <w:tcW w:w="3480" w:type="dxa"/>
            <w:vAlign w:val="bottom"/>
            <w:gridSpan w:val="4"/>
            <w:vMerge w:val="restart"/>
          </w:tcPr>
          <w:p>
            <w:pPr>
              <w:ind w:left="1140"/>
              <w:spacing w:after="0"/>
              <w:rPr>
                <w:sz w:val="20"/>
                <w:szCs w:val="20"/>
                <w:color w:val="auto"/>
              </w:rPr>
            </w:pPr>
            <w:r>
              <w:rPr>
                <w:rFonts w:ascii="Arial" w:cs="Arial" w:eastAsia="Arial" w:hAnsi="Arial"/>
                <w:sz w:val="20"/>
                <w:szCs w:val="20"/>
                <w:color w:val="auto"/>
              </w:rPr>
              <w:t>Date of Note</w:t>
            </w:r>
          </w:p>
        </w:tc>
        <w:tc>
          <w:tcPr>
            <w:tcW w:w="840" w:type="dxa"/>
            <w:vAlign w:val="bottom"/>
          </w:tcPr>
          <w:p>
            <w:pPr>
              <w:spacing w:after="0"/>
              <w:rPr>
                <w:sz w:val="24"/>
                <w:szCs w:val="24"/>
                <w:color w:val="auto"/>
              </w:rPr>
            </w:pPr>
          </w:p>
        </w:tc>
        <w:tc>
          <w:tcPr>
            <w:tcW w:w="1100" w:type="dxa"/>
            <w:vAlign w:val="bottom"/>
            <w:vMerge w:val="restart"/>
          </w:tcPr>
          <w:p>
            <w:pPr>
              <w:spacing w:after="0"/>
              <w:rPr>
                <w:sz w:val="20"/>
                <w:szCs w:val="20"/>
                <w:color w:val="auto"/>
              </w:rPr>
            </w:pPr>
            <w:r>
              <w:rPr>
                <w:rFonts w:ascii="Arial" w:cs="Arial" w:eastAsia="Arial" w:hAnsi="Arial"/>
                <w:sz w:val="20"/>
                <w:szCs w:val="20"/>
                <w:color w:val="auto"/>
                <w:w w:val="90"/>
              </w:rPr>
              <w:t>Maturity Date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840" w:type="dxa"/>
            <w:vAlign w:val="bottom"/>
            <w:gridSpan w:val="2"/>
          </w:tcPr>
          <w:p>
            <w:pPr>
              <w:spacing w:after="0" w:line="173" w:lineRule="exact"/>
              <w:rPr>
                <w:sz w:val="20"/>
                <w:szCs w:val="20"/>
                <w:color w:val="auto"/>
              </w:rPr>
            </w:pPr>
            <w:r>
              <w:rPr>
                <w:rFonts w:ascii="Arial" w:cs="Arial" w:eastAsia="Arial" w:hAnsi="Arial"/>
                <w:sz w:val="19"/>
                <w:szCs w:val="19"/>
                <w:color w:val="auto"/>
              </w:rPr>
              <w:t>Amount</w:t>
            </w:r>
          </w:p>
        </w:tc>
        <w:tc>
          <w:tcPr>
            <w:tcW w:w="3480" w:type="dxa"/>
            <w:vAlign w:val="bottom"/>
            <w:gridSpan w:val="4"/>
            <w:vMerge w:val="continue"/>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1880" w:type="dxa"/>
            <w:vAlign w:val="bottom"/>
            <w:gridSpan w:val="3"/>
          </w:tcPr>
          <w:p>
            <w:pPr>
              <w:jc w:val="right"/>
              <w:ind w:right="1160"/>
              <w:spacing w:after="0"/>
              <w:rPr>
                <w:sz w:val="20"/>
                <w:szCs w:val="20"/>
                <w:color w:val="auto"/>
              </w:rPr>
            </w:pPr>
            <w:r>
              <w:rPr>
                <w:rFonts w:ascii="Arial" w:cs="Arial" w:eastAsia="Arial" w:hAnsi="Arial"/>
                <w:sz w:val="14"/>
                <w:szCs w:val="14"/>
                <w:color w:val="auto"/>
                <w:w w:val="89"/>
              </w:rPr>
              <w:t>95959845_3</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33" w:right="599" w:bottom="1440" w:gutter="0" w:footer="0" w:header="0"/>
        </w:sectPr>
      </w:pPr>
    </w:p>
    <w:bookmarkStart w:id="458" w:name="page459"/>
    <w:bookmarkEnd w:id="458"/>
    <w:p>
      <w:pPr>
        <w:ind w:left="7220"/>
        <w:spacing w:after="0"/>
        <w:rPr>
          <w:sz w:val="20"/>
          <w:szCs w:val="20"/>
          <w:color w:val="auto"/>
        </w:rPr>
      </w:pPr>
      <w:r>
        <w:rPr>
          <w:rFonts w:ascii="Arial" w:cs="Arial" w:eastAsia="Arial" w:hAnsi="Arial"/>
          <w:sz w:val="18"/>
          <w:szCs w:val="18"/>
          <w:color w:val="auto"/>
        </w:rPr>
        <w:t>EXHIBIT II to the Amended and Restated Security</w:t>
      </w:r>
    </w:p>
    <w:p>
      <w:pPr>
        <w:spacing w:after="0" w:line="39" w:lineRule="exact"/>
        <w:rPr>
          <w:sz w:val="20"/>
          <w:szCs w:val="20"/>
          <w:color w:val="auto"/>
        </w:rPr>
      </w:pPr>
    </w:p>
    <w:tbl>
      <w:tblPr>
        <w:tblLayout w:type="fixed"/>
        <w:tblInd w:w="920" w:type="dxa"/>
        <w:tblCellMar>
          <w:top w:w="0" w:type="dxa"/>
          <w:left w:w="0" w:type="dxa"/>
          <w:bottom w:w="0" w:type="dxa"/>
          <w:right w:w="0" w:type="dxa"/>
        </w:tblCellMar>
      </w:tblPr>
      <w:tr>
        <w:trPr>
          <w:trHeight w:val="250"/>
        </w:trPr>
        <w:tc>
          <w:tcPr>
            <w:tcW w:w="6700" w:type="dxa"/>
            <w:vAlign w:val="bottom"/>
            <w:gridSpan w:val="5"/>
          </w:tcPr>
          <w:p>
            <w:pPr>
              <w:ind w:left="4300"/>
              <w:spacing w:after="0"/>
              <w:rPr>
                <w:sz w:val="20"/>
                <w:szCs w:val="20"/>
                <w:color w:val="auto"/>
              </w:rPr>
            </w:pPr>
            <w:r>
              <w:rPr>
                <w:rFonts w:ascii="Arial" w:cs="Arial" w:eastAsia="Arial" w:hAnsi="Arial"/>
                <w:sz w:val="20"/>
                <w:szCs w:val="20"/>
                <w:color w:val="auto"/>
              </w:rPr>
              <w:t>Agreement</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727"/>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20"/>
                <w:szCs w:val="20"/>
                <w:color w:val="auto"/>
              </w:rPr>
              <w:t>[FORM OF]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46"/>
        </w:trPr>
        <w:tc>
          <w:tcPr>
            <w:tcW w:w="6700" w:type="dxa"/>
            <w:vAlign w:val="bottom"/>
            <w:gridSpan w:val="5"/>
          </w:tcPr>
          <w:p>
            <w:pPr>
              <w:ind w:left="1860"/>
              <w:spacing w:after="0"/>
              <w:rPr>
                <w:sz w:val="20"/>
                <w:szCs w:val="20"/>
                <w:color w:val="auto"/>
              </w:rPr>
            </w:pPr>
            <w:r>
              <w:rPr>
                <w:rFonts w:ascii="Arial" w:cs="Arial" w:eastAsia="Arial" w:hAnsi="Arial"/>
                <w:sz w:val="20"/>
                <w:szCs w:val="20"/>
                <w:color w:val="auto"/>
              </w:rPr>
              <w:t>COPYRIGHT SECURITY AGREEMENT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01"/>
        </w:trPr>
        <w:tc>
          <w:tcPr>
            <w:tcW w:w="6700" w:type="dxa"/>
            <w:vAlign w:val="bottom"/>
            <w:gridSpan w:val="5"/>
          </w:tcPr>
          <w:p>
            <w:pPr>
              <w:spacing w:after="0"/>
              <w:rPr>
                <w:sz w:val="20"/>
                <w:szCs w:val="20"/>
                <w:color w:val="auto"/>
              </w:rPr>
            </w:pPr>
            <w:r>
              <w:rPr>
                <w:rFonts w:ascii="Arial" w:cs="Arial" w:eastAsia="Arial" w:hAnsi="Arial"/>
                <w:sz w:val="20"/>
                <w:szCs w:val="20"/>
                <w:color w:val="auto"/>
              </w:rPr>
              <w:t>COPYRIGHT SECURITY AGREEMENT, dated as of [    ], 20[ ], made by [</w:t>
            </w:r>
          </w:p>
        </w:tc>
        <w:tc>
          <w:tcPr>
            <w:tcW w:w="3800" w:type="dxa"/>
            <w:vAlign w:val="bottom"/>
            <w:gridSpan w:val="6"/>
          </w:tcPr>
          <w:p>
            <w:pPr>
              <w:ind w:left="300"/>
              <w:spacing w:after="0"/>
              <w:rPr>
                <w:sz w:val="20"/>
                <w:szCs w:val="20"/>
                <w:color w:val="auto"/>
              </w:rPr>
            </w:pPr>
            <w:r>
              <w:rPr>
                <w:rFonts w:ascii="Arial" w:cs="Arial" w:eastAsia="Arial" w:hAnsi="Arial"/>
                <w:sz w:val="20"/>
                <w:szCs w:val="20"/>
                <w:color w:val="auto"/>
              </w:rPr>
              <w:t>], a [    ] (the “Grantor”), having its chief</w:t>
            </w:r>
          </w:p>
        </w:tc>
      </w:tr>
      <w:tr>
        <w:trPr>
          <w:trHeight w:val="20"/>
        </w:trPr>
        <w:tc>
          <w:tcPr>
            <w:tcW w:w="4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left="280"/>
        <w:spacing w:after="0" w:line="243" w:lineRule="auto"/>
        <w:rPr>
          <w:sz w:val="20"/>
          <w:szCs w:val="20"/>
          <w:color w:val="auto"/>
        </w:rPr>
      </w:pPr>
      <w:r>
        <w:rPr>
          <w:rFonts w:ascii="Arial" w:cs="Arial" w:eastAsia="Arial" w:hAnsi="Arial"/>
          <w:sz w:val="20"/>
          <w:szCs w:val="20"/>
          <w:color w:val="auto"/>
        </w:rPr>
        <w:t>executive office at [ ], in favor of WELLS FARGO BANK, NATIONAL ASSOCIATION, as collateral agent (together with its successors in such capacity, the “</w:t>
      </w:r>
      <w:r>
        <w:rPr>
          <w:rFonts w:ascii="Arial" w:cs="Arial" w:eastAsia="Arial" w:hAnsi="Arial"/>
          <w:sz w:val="20"/>
          <w:szCs w:val="20"/>
          <w:u w:val="single" w:color="auto"/>
          <w:color w:val="auto"/>
        </w:rPr>
        <w:t>Grantee</w:t>
      </w:r>
      <w:r>
        <w:rPr>
          <w:rFonts w:ascii="Arial" w:cs="Arial" w:eastAsia="Arial" w:hAnsi="Arial"/>
          <w:sz w:val="20"/>
          <w:szCs w:val="20"/>
          <w:color w:val="auto"/>
        </w:rPr>
        <w:t>”), with offices at 1525 West W.T. Harris Blvd., MAC D1109-019, Charlotte, North Carolina, 28262, for the Secured Parties referred to in the Amended and Restated Credit Agreement, dated as of November 30, 2017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a Delaware limited liability company, Bloomin’ Brands, Inc., a Delaware corporation, each Lender (as defined in the Credit Agreement) from time to time party thereto and the Grantee,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-755650</wp:posOffset>
            </wp:positionV>
            <wp:extent cx="1568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9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WHEREAS, the Grantor is party to an Amended and Restated Security Agreement, dated as of November 30, 2017 (as amended, restated, supplemented or otherwise modified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in favor of the Grantee pursuant to which the Grantor is required to execute and deliver this Copyright Security Agreement;</w:t>
      </w:r>
    </w:p>
    <w:p>
      <w:pPr>
        <w:spacing w:after="0" w:line="18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spacing w:after="0" w:line="18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used herein and not defined have the meaning given to them in the Security Agreement, or if not defined therein, in the Credit Agreement.</w:t>
      </w:r>
    </w:p>
    <w:p>
      <w:pPr>
        <w:spacing w:after="0" w:line="177"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Grant of Security Interest in Copyrights</w:t>
      </w:r>
      <w:r>
        <w:rPr>
          <w:rFonts w:ascii="Arial" w:cs="Arial" w:eastAsia="Arial" w:hAnsi="Arial"/>
          <w:sz w:val="19"/>
          <w:szCs w:val="19"/>
          <w:color w:val="auto"/>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Arial" w:cs="Arial" w:eastAsia="Arial" w:hAnsi="Arial"/>
          <w:sz w:val="19"/>
          <w:szCs w:val="19"/>
          <w:u w:val="single" w:color="auto"/>
          <w:color w:val="auto"/>
        </w:rPr>
        <w:t>Security Interest</w:t>
      </w:r>
      <w:r>
        <w:rPr>
          <w:rFonts w:ascii="Arial" w:cs="Arial" w:eastAsia="Arial" w:hAnsi="Arial"/>
          <w:sz w:val="19"/>
          <w:szCs w:val="19"/>
          <w:color w:val="auto"/>
        </w:rPr>
        <w:t>”) in, to, or under all right, title or interest in or to any and all of the Owned Copyrights, including those listed on Schedule I hereto, and all proceeds of the Owned Copyrights (in each case, other than Excluded Assets).</w:t>
      </w:r>
    </w:p>
    <w:p>
      <w:pPr>
        <w:spacing w:after="0" w:line="194"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The Security Interest granted pursuant to this Copyright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Copyrights made and granted hereby are more fully set forth in the Security Agreement, the terms and provisions of which are incorporated by reference herein as if fully set forth herein. In the event that any provision of this Copyright Security Agreement is deemed to conflict with the Security Agreement, the provisions of the Security Agreement shall control.</w:t>
      </w:r>
    </w:p>
    <w:p>
      <w:pPr>
        <w:spacing w:after="0" w:line="179"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Counterparts</w:t>
      </w:r>
      <w:r>
        <w:rPr>
          <w:rFonts w:ascii="Arial" w:cs="Arial" w:eastAsia="Arial" w:hAnsi="Arial"/>
          <w:sz w:val="20"/>
          <w:szCs w:val="20"/>
          <w:color w:val="auto"/>
        </w:rPr>
        <w:t>. This Copyright Security Agreement may be executed in any number of counterparts, all of which shall constitute one and the same instrument, and any party hereto may execute this Copyright Security Agreement by signing and delivering one or more counterparts.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59" w:name="page460"/>
    <w:bookmarkEnd w:id="459"/>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Recordation</w:t>
      </w:r>
      <w:r>
        <w:rPr>
          <w:rFonts w:ascii="Arial" w:cs="Arial" w:eastAsia="Arial" w:hAnsi="Arial"/>
          <w:sz w:val="18"/>
          <w:szCs w:val="18"/>
          <w:color w:val="auto"/>
        </w:rPr>
        <w:t>. The Grantor authorizes and requests that the United States Copyright Office record this Agreement.</w:t>
      </w:r>
    </w:p>
    <w:p>
      <w:pPr>
        <w:spacing w:after="0" w:line="252"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Copyright Security Agreement shall be governed by and construed in accordance with the laws of the State of New York.</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 page follows]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300"/>
          </w:cols>
          <w:pgMar w:left="240" w:top="433" w:right="359" w:bottom="1440" w:gutter="0" w:footer="0" w:header="0"/>
        </w:sectPr>
      </w:pPr>
    </w:p>
    <w:bookmarkStart w:id="460" w:name="page461"/>
    <w:bookmarkEnd w:id="460"/>
    <w:p>
      <w:pPr>
        <w:ind w:left="280" w:firstLine="648"/>
        <w:spacing w:after="0" w:line="260" w:lineRule="auto"/>
        <w:rPr>
          <w:sz w:val="20"/>
          <w:szCs w:val="20"/>
          <w:color w:val="auto"/>
        </w:rPr>
      </w:pPr>
      <w:r>
        <w:rPr>
          <w:rFonts w:ascii="Arial" w:cs="Arial" w:eastAsia="Arial" w:hAnsi="Arial"/>
          <w:sz w:val="20"/>
          <w:szCs w:val="20"/>
          <w:color w:val="auto"/>
        </w:rPr>
        <w:t>IN WITNESS WHEREOF, the Grantor has caused this Copyright Security Agreement to be executed and delivered by its duly authorized officer as of the date first set forth above.</w:t>
      </w:r>
    </w:p>
    <w:p>
      <w:pPr>
        <w:spacing w:after="0" w:line="19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________________________</w:t>
      </w:r>
      <w:r>
        <w:rPr>
          <w:rFonts w:ascii="Arial" w:cs="Arial" w:eastAsia="Arial" w:hAnsi="Arial"/>
          <w:sz w:val="18"/>
          <w:szCs w:val="18"/>
          <w:color w:val="auto"/>
        </w:rPr>
        <w:t>], as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27305</wp:posOffset>
            </wp:positionV>
            <wp:extent cx="25812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960"/>
          </w:cols>
          <w:pgMar w:left="240" w:top="433" w:right="699" w:bottom="1440" w:gutter="0" w:footer="0" w:header="0"/>
        </w:sectPr>
      </w:pPr>
    </w:p>
    <w:bookmarkStart w:id="461" w:name="page462"/>
    <w:bookmarkEnd w:id="461"/>
    <w:p>
      <w:pPr>
        <w:ind w:left="300"/>
        <w:spacing w:after="0"/>
        <w:rPr>
          <w:sz w:val="20"/>
          <w:szCs w:val="20"/>
          <w:color w:val="auto"/>
        </w:rPr>
      </w:pPr>
      <w:r>
        <w:rPr>
          <w:rFonts w:ascii="Arial" w:cs="Arial" w:eastAsia="Arial" w:hAnsi="Arial"/>
          <w:sz w:val="20"/>
          <w:szCs w:val="20"/>
          <w:color w:val="auto"/>
        </w:rPr>
        <w:t>Accepted and Agreed:</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 Grantee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27305</wp:posOffset>
            </wp:positionV>
            <wp:extent cx="31470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47" w:lineRule="exact"/>
        <w:rPr>
          <w:sz w:val="20"/>
          <w:szCs w:val="20"/>
          <w:color w:val="auto"/>
        </w:rPr>
      </w:pPr>
    </w:p>
    <w:p>
      <w:pPr>
        <w:ind w:left="70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663" w:right="1440" w:bottom="1440" w:gutter="0" w:footer="0" w:header="0"/>
        </w:sectPr>
      </w:pPr>
    </w:p>
    <w:bookmarkStart w:id="462" w:name="page463"/>
    <w:bookmarkEnd w:id="462"/>
    <w:p>
      <w:pPr>
        <w:ind w:left="5740"/>
        <w:spacing w:after="0"/>
        <w:rPr>
          <w:sz w:val="20"/>
          <w:szCs w:val="20"/>
          <w:color w:val="auto"/>
        </w:rPr>
      </w:pPr>
      <w:r>
        <w:rPr>
          <w:rFonts w:ascii="Arial" w:cs="Arial" w:eastAsia="Arial" w:hAnsi="Arial"/>
          <w:sz w:val="20"/>
          <w:szCs w:val="20"/>
          <w:b w:val="1"/>
          <w:bCs w:val="1"/>
          <w:color w:val="auto"/>
        </w:rPr>
        <w:t>SCHEDULE I</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20"/>
          <w:szCs w:val="20"/>
          <w:b w:val="1"/>
          <w:bCs w:val="1"/>
          <w:color w:val="auto"/>
        </w:rPr>
        <w:t>to</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COPYRIGHT SECURITY AGREEMENT</w:t>
      </w:r>
    </w:p>
    <w:p>
      <w:pPr>
        <w:spacing w:after="0" w:line="13" w:lineRule="exact"/>
        <w:rPr>
          <w:sz w:val="20"/>
          <w:szCs w:val="20"/>
          <w:color w:val="auto"/>
        </w:rPr>
      </w:pPr>
    </w:p>
    <w:p>
      <w:pPr>
        <w:jc w:val="right"/>
        <w:ind w:right="1419"/>
        <w:spacing w:after="0"/>
        <w:rPr>
          <w:sz w:val="20"/>
          <w:szCs w:val="20"/>
          <w:color w:val="auto"/>
        </w:rPr>
      </w:pPr>
      <w:r>
        <w:rPr>
          <w:rFonts w:ascii="Arial" w:cs="Arial" w:eastAsia="Arial" w:hAnsi="Arial"/>
          <w:sz w:val="20"/>
          <w:szCs w:val="20"/>
          <w:b w:val="1"/>
          <w:bCs w:val="1"/>
          <w:u w:val="single" w:color="auto"/>
          <w:color w:val="auto"/>
        </w:rPr>
        <w:t>COPYRIGHT REGISTRATIONS AND COPYRIGHT APPLICATIONS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UNITED STATES COPYRIGHTS:</w:t>
      </w:r>
    </w:p>
    <w:p>
      <w:pPr>
        <w:sectPr>
          <w:pgSz w:w="11900" w:h="16838" w:orient="portrait"/>
          <w:cols w:equalWidth="0" w:num="1">
            <w:col w:w="10219"/>
          </w:cols>
          <w:pgMar w:left="240" w:top="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20"/>
        <w:spacing w:after="0"/>
        <w:rPr>
          <w:sz w:val="20"/>
          <w:szCs w:val="20"/>
          <w:color w:val="auto"/>
        </w:rPr>
      </w:pPr>
      <w:r>
        <w:rPr>
          <w:rFonts w:ascii="Arial" w:cs="Arial" w:eastAsia="Arial" w:hAnsi="Arial"/>
          <w:sz w:val="19"/>
          <w:szCs w:val="19"/>
          <w:u w:val="single" w:color="auto"/>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 Copyright Registrations</w:t>
      </w:r>
    </w:p>
    <w:p>
      <w:pPr>
        <w:spacing w:after="0" w:line="378" w:lineRule="exact"/>
        <w:rPr>
          <w:sz w:val="20"/>
          <w:szCs w:val="20"/>
          <w:color w:val="auto"/>
        </w:rPr>
      </w:pPr>
    </w:p>
    <w:p>
      <w:pPr>
        <w:ind w:left="2060"/>
        <w:spacing w:after="0"/>
        <w:rPr>
          <w:sz w:val="20"/>
          <w:szCs w:val="20"/>
          <w:color w:val="auto"/>
        </w:rPr>
      </w:pPr>
      <w:r>
        <w:rPr>
          <w:rFonts w:ascii="Arial" w:cs="Arial" w:eastAsia="Arial" w:hAnsi="Arial"/>
          <w:sz w:val="18"/>
          <w:szCs w:val="18"/>
          <w:u w:val="single" w:color="auto"/>
          <w:color w:val="auto"/>
        </w:rPr>
        <w:t>Reg.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Author</w:t>
      </w:r>
    </w:p>
    <w:p>
      <w:pPr>
        <w:spacing w:after="0" w:line="200" w:lineRule="exact"/>
        <w:rPr>
          <w:sz w:val="20"/>
          <w:szCs w:val="20"/>
          <w:color w:val="auto"/>
        </w:rPr>
      </w:pPr>
    </w:p>
    <w:p>
      <w:pPr>
        <w:sectPr>
          <w:pgSz w:w="11900" w:h="16838" w:orient="portrait"/>
          <w:cols w:equalWidth="0" w:num="3">
            <w:col w:w="2620" w:space="720"/>
            <w:col w:w="5120" w:space="720"/>
            <w:col w:w="1039"/>
          </w:cols>
          <w:pgMar w:left="240" w:top="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820"/>
        <w:spacing w:after="0"/>
        <w:rPr>
          <w:sz w:val="20"/>
          <w:szCs w:val="20"/>
          <w:color w:val="auto"/>
        </w:rPr>
      </w:pPr>
      <w:r>
        <w:rPr>
          <w:rFonts w:ascii="Arial" w:cs="Arial" w:eastAsia="Arial" w:hAnsi="Arial"/>
          <w:sz w:val="19"/>
          <w:szCs w:val="19"/>
          <w:u w:val="single" w:color="auto"/>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U.S. Copyright Applications for Registration</w:t>
      </w:r>
    </w:p>
    <w:p>
      <w:pPr>
        <w:spacing w:after="0" w:line="200" w:lineRule="exact"/>
        <w:rPr>
          <w:sz w:val="20"/>
          <w:szCs w:val="20"/>
          <w:color w:val="auto"/>
        </w:rPr>
      </w:pP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0"/>
          <w:szCs w:val="20"/>
          <w:u w:val="single" w:color="auto"/>
          <w:color w:val="auto"/>
        </w:rPr>
        <w:t>Author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Date Filed</w:t>
      </w:r>
    </w:p>
    <w:p>
      <w:pPr>
        <w:spacing w:after="0" w:line="245" w:lineRule="exact"/>
        <w:rPr>
          <w:sz w:val="20"/>
          <w:szCs w:val="20"/>
          <w:color w:val="auto"/>
        </w:rPr>
      </w:pPr>
    </w:p>
    <w:p>
      <w:pPr>
        <w:sectPr>
          <w:pgSz w:w="11900" w:h="16838" w:orient="portrait"/>
          <w:cols w:equalWidth="0" w:num="3">
            <w:col w:w="2180" w:space="180"/>
            <w:col w:w="5940" w:space="720"/>
            <w:col w:w="1199"/>
          </w:cols>
          <w:pgMar w:left="240" w:top="440" w:right="1440"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95959845_3</w:t>
      </w:r>
    </w:p>
    <w:p>
      <w:pPr>
        <w:sectPr>
          <w:pgSz w:w="11900" w:h="16838" w:orient="portrait"/>
          <w:cols w:equalWidth="0" w:num="1">
            <w:col w:w="10219"/>
          </w:cols>
          <w:pgMar w:left="240" w:top="440" w:right="1440" w:bottom="1440" w:gutter="0" w:footer="0" w:header="0"/>
          <w:type w:val="continuous"/>
        </w:sectPr>
      </w:pPr>
    </w:p>
    <w:bookmarkStart w:id="463" w:name="page464"/>
    <w:bookmarkEnd w:id="463"/>
    <w:tbl>
      <w:tblPr>
        <w:tblLayout w:type="fixed"/>
        <w:tblInd w:w="920" w:type="dxa"/>
        <w:tblCellMar>
          <w:top w:w="0" w:type="dxa"/>
          <w:left w:w="0" w:type="dxa"/>
          <w:bottom w:w="0" w:type="dxa"/>
          <w:right w:w="0" w:type="dxa"/>
        </w:tblCellMar>
      </w:tblPr>
      <w:tr>
        <w:trPr>
          <w:trHeight w:val="250"/>
        </w:trPr>
        <w:tc>
          <w:tcPr>
            <w:tcW w:w="4080" w:type="dxa"/>
            <w:vAlign w:val="bottom"/>
          </w:tcPr>
          <w:p>
            <w:pPr>
              <w:spacing w:after="0"/>
              <w:rPr>
                <w:sz w:val="21"/>
                <w:szCs w:val="21"/>
                <w:color w:val="auto"/>
              </w:rPr>
            </w:pPr>
          </w:p>
        </w:tc>
        <w:tc>
          <w:tcPr>
            <w:tcW w:w="2000" w:type="dxa"/>
            <w:vAlign w:val="bottom"/>
            <w:gridSpan w:val="3"/>
            <w:vMerge w:val="restart"/>
          </w:tcPr>
          <w:p>
            <w:pPr>
              <w:ind w:left="220"/>
              <w:spacing w:after="0"/>
              <w:rPr>
                <w:sz w:val="20"/>
                <w:szCs w:val="20"/>
                <w:color w:val="auto"/>
              </w:rPr>
            </w:pPr>
            <w:r>
              <w:rPr>
                <w:rFonts w:ascii="Arial" w:cs="Arial" w:eastAsia="Arial" w:hAnsi="Arial"/>
                <w:sz w:val="20"/>
                <w:szCs w:val="20"/>
                <w:color w:val="auto"/>
              </w:rPr>
              <w:t>Agreement</w:t>
            </w:r>
          </w:p>
        </w:tc>
        <w:tc>
          <w:tcPr>
            <w:tcW w:w="4420" w:type="dxa"/>
            <w:vAlign w:val="bottom"/>
            <w:gridSpan w:val="6"/>
          </w:tcPr>
          <w:p>
            <w:pPr>
              <w:ind w:left="160"/>
              <w:spacing w:after="0"/>
              <w:rPr>
                <w:sz w:val="20"/>
                <w:szCs w:val="20"/>
                <w:color w:val="auto"/>
              </w:rPr>
            </w:pPr>
            <w:r>
              <w:rPr>
                <w:rFonts w:ascii="Arial" w:cs="Arial" w:eastAsia="Arial" w:hAnsi="Arial"/>
                <w:sz w:val="20"/>
                <w:szCs w:val="20"/>
                <w:color w:val="auto"/>
                <w:w w:val="94"/>
              </w:rPr>
              <w:t>EXHIBIT III to the Amended and Restated Security</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20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ind w:left="580"/>
              <w:spacing w:after="0"/>
              <w:rPr>
                <w:sz w:val="20"/>
                <w:szCs w:val="20"/>
                <w:color w:val="auto"/>
              </w:rPr>
            </w:pPr>
            <w:r>
              <w:rPr>
                <w:rFonts w:ascii="Arial" w:cs="Arial" w:eastAsia="Arial" w:hAnsi="Arial"/>
                <w:sz w:val="20"/>
                <w:szCs w:val="20"/>
                <w:color w:val="auto"/>
              </w:rPr>
              <w:t>[FORM OF]</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80" w:type="dxa"/>
            <w:vAlign w:val="bottom"/>
            <w:gridSpan w:val="4"/>
          </w:tcPr>
          <w:p>
            <w:pPr>
              <w:ind w:left="2040"/>
              <w:spacing w:after="0"/>
              <w:rPr>
                <w:sz w:val="20"/>
                <w:szCs w:val="20"/>
                <w:color w:val="auto"/>
              </w:rPr>
            </w:pPr>
            <w:r>
              <w:rPr>
                <w:rFonts w:ascii="Arial" w:cs="Arial" w:eastAsia="Arial" w:hAnsi="Arial"/>
                <w:sz w:val="20"/>
                <w:szCs w:val="20"/>
                <w:color w:val="auto"/>
              </w:rPr>
              <w:t>PATENT SECURITY AGREEMENT</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6080" w:type="dxa"/>
            <w:vAlign w:val="bottom"/>
            <w:gridSpan w:val="4"/>
          </w:tcPr>
          <w:p>
            <w:pPr>
              <w:spacing w:after="0"/>
              <w:rPr>
                <w:sz w:val="20"/>
                <w:szCs w:val="20"/>
                <w:color w:val="auto"/>
              </w:rPr>
            </w:pPr>
            <w:r>
              <w:rPr>
                <w:rFonts w:ascii="Arial" w:cs="Arial" w:eastAsia="Arial" w:hAnsi="Arial"/>
                <w:sz w:val="20"/>
                <w:szCs w:val="20"/>
                <w:color w:val="auto"/>
                <w:w w:val="99"/>
              </w:rPr>
              <w:t>PATENT SECURITY AGREEMENT, dated as of [   ], 20[ ], made by [</w:t>
            </w:r>
          </w:p>
        </w:tc>
        <w:tc>
          <w:tcPr>
            <w:tcW w:w="22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Arial" w:cs="Arial" w:eastAsia="Arial" w:hAnsi="Arial"/>
                <w:sz w:val="20"/>
                <w:szCs w:val="20"/>
                <w:color w:val="auto"/>
                <w:w w:val="97"/>
              </w:rPr>
              <w:t>], a [   ] (the “Grantor”), having its chief executive</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-8255</wp:posOffset>
            </wp:positionV>
            <wp:extent cx="31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jc w:val="both"/>
        <w:ind w:left="280"/>
        <w:spacing w:after="0" w:line="243" w:lineRule="auto"/>
        <w:rPr>
          <w:sz w:val="20"/>
          <w:szCs w:val="20"/>
          <w:color w:val="auto"/>
        </w:rPr>
      </w:pPr>
      <w:r>
        <w:rPr>
          <w:rFonts w:ascii="Arial" w:cs="Arial" w:eastAsia="Arial" w:hAnsi="Arial"/>
          <w:sz w:val="20"/>
          <w:szCs w:val="20"/>
          <w:color w:val="auto"/>
        </w:rPr>
        <w:t>office at [ ], in favor of WELLS FARGO BANK, NATIONAL ASSOCIATION, as collateral agent (together with its successors in such capacity, the “</w:t>
      </w:r>
      <w:r>
        <w:rPr>
          <w:rFonts w:ascii="Arial" w:cs="Arial" w:eastAsia="Arial" w:hAnsi="Arial"/>
          <w:sz w:val="20"/>
          <w:szCs w:val="20"/>
          <w:u w:val="single" w:color="auto"/>
          <w:color w:val="auto"/>
        </w:rPr>
        <w:t>Grantee</w:t>
      </w:r>
      <w:r>
        <w:rPr>
          <w:rFonts w:ascii="Arial" w:cs="Arial" w:eastAsia="Arial" w:hAnsi="Arial"/>
          <w:sz w:val="20"/>
          <w:szCs w:val="20"/>
          <w:color w:val="auto"/>
        </w:rPr>
        <w:t>”), with offices at 1525 West W.T. Harris Blvd., MAC D1109-019, Charlotte, North Carolina, 28262, for the Secured Parties referred to in the Amended and Restated Credit Agreement, dated as of November 30, 2017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a Delaware limited liability company, Bloomin’ Brands, Inc., a Delaware corporation, each Lender (as defined in the Credit Agreement) from time to time party thereto and the Grantee,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-755650</wp:posOffset>
            </wp:positionV>
            <wp:extent cx="1828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19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WHEREAS, the Grantor is party to an Amended and Restated Security Agreement, dated as of November 30, 2017 (as amended, restated, supplemented or otherwise modified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in favor of the Grantee pursuant to which the Grantor is required to execute and deliver this Patent Security Agreement;</w:t>
      </w:r>
    </w:p>
    <w:p>
      <w:pPr>
        <w:spacing w:after="0" w:line="18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spacing w:after="0" w:line="18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used herein and not defined have the meaning given to them in the Security Agreement, or if not defined therein, in the Credit Agreement.</w:t>
      </w:r>
    </w:p>
    <w:p>
      <w:pPr>
        <w:spacing w:after="0" w:line="177" w:lineRule="exact"/>
        <w:rPr>
          <w:sz w:val="20"/>
          <w:szCs w:val="20"/>
          <w:color w:val="auto"/>
        </w:rPr>
      </w:pPr>
    </w:p>
    <w:p>
      <w:pPr>
        <w:jc w:val="both"/>
        <w:ind w:left="280" w:firstLine="648"/>
        <w:spacing w:after="0" w:line="27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 in Patents</w:t>
      </w:r>
      <w:r>
        <w:rPr>
          <w:rFonts w:ascii="Arial" w:cs="Arial" w:eastAsia="Arial" w:hAnsi="Arial"/>
          <w:sz w:val="18"/>
          <w:szCs w:val="18"/>
          <w:color w:val="auto"/>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w:t>
      </w:r>
      <w:r>
        <w:rPr>
          <w:rFonts w:ascii="Arial" w:cs="Arial" w:eastAsia="Arial" w:hAnsi="Arial"/>
          <w:sz w:val="18"/>
          <w:szCs w:val="18"/>
          <w:color w:val="auto"/>
        </w:rPr>
        <w:t>”) in, to, or under all right, title or interest in or to any and all Owned Patents, including those listed on Schedule I hereto, and all proceeds and products of the Owned Patents and all causes of action arising prior to or after the date hereof for infringement or competition regarding the same of any of the Owned Patents (in each case, other than Excluded Assets).</w:t>
      </w:r>
    </w:p>
    <w:p>
      <w:pPr>
        <w:spacing w:after="0" w:line="165"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Security Agreement</w:t>
      </w:r>
      <w:r>
        <w:rPr>
          <w:rFonts w:ascii="Arial" w:cs="Arial" w:eastAsia="Arial" w:hAnsi="Arial"/>
          <w:sz w:val="20"/>
          <w:szCs w:val="20"/>
          <w:color w:val="auto"/>
        </w:rPr>
        <w:t>. The Security Interest granted pursuant to this Patent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Patents made and granted hereby are more fully set forth in the Security Agreement, the terms and provisions of which are incorporated by reference herein as if fully set forth herein. In the event that any provision of this Patent Security Agreement is deemed to conflict with the Security Agreement, the provisions of the Security Agreement shall control.</w:t>
      </w:r>
    </w:p>
    <w:p>
      <w:pPr>
        <w:spacing w:after="0" w:line="19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Counterparts</w:t>
      </w:r>
      <w:r>
        <w:rPr>
          <w:rFonts w:ascii="Arial" w:cs="Arial" w:eastAsia="Arial" w:hAnsi="Arial"/>
          <w:sz w:val="20"/>
          <w:szCs w:val="20"/>
          <w:color w:val="auto"/>
        </w:rPr>
        <w:t>. This Patent Security Agreement may be executed in any number of counterparts, all of which shall constitute one and the same instrument, and any party hereto may execute this Patent Security Agreement by signing and delivering one or more counterparts.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64" w:name="page465"/>
    <w:bookmarkEnd w:id="464"/>
    <w:p>
      <w:pPr>
        <w:ind w:left="280" w:right="580"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Recordation</w:t>
      </w:r>
      <w:r>
        <w:rPr>
          <w:rFonts w:ascii="Arial" w:cs="Arial" w:eastAsia="Arial" w:hAnsi="Arial"/>
          <w:sz w:val="20"/>
          <w:szCs w:val="20"/>
          <w:color w:val="auto"/>
        </w:rPr>
        <w:t>. The Grantor authorizes and requests that the Commissioner of Patents and Trademarks record this Agreement.</w:t>
      </w:r>
    </w:p>
    <w:p>
      <w:pPr>
        <w:spacing w:after="0" w:line="190"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Patent Security Agreement shall be governed by and construed in accordance with the laws of the State of New York.</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 page follows]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65" w:name="page466"/>
    <w:bookmarkEnd w:id="465"/>
    <w:p>
      <w:pPr>
        <w:ind w:left="280" w:firstLine="648"/>
        <w:spacing w:after="0" w:line="260" w:lineRule="auto"/>
        <w:rPr>
          <w:sz w:val="20"/>
          <w:szCs w:val="20"/>
          <w:color w:val="auto"/>
        </w:rPr>
      </w:pPr>
      <w:r>
        <w:rPr>
          <w:rFonts w:ascii="Arial" w:cs="Arial" w:eastAsia="Arial" w:hAnsi="Arial"/>
          <w:sz w:val="20"/>
          <w:szCs w:val="20"/>
          <w:color w:val="auto"/>
        </w:rPr>
        <w:t>IN WITNESS WHEREOF, the Grantor has caused this Patent Security Agreement to be executed and delivered by its duly authorized officer as of the date first set forth above.</w:t>
      </w:r>
    </w:p>
    <w:p>
      <w:pPr>
        <w:spacing w:after="0" w:line="136"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_______________________________</w:t>
      </w:r>
      <w:r>
        <w:rPr>
          <w:rFonts w:ascii="Arial" w:cs="Arial" w:eastAsia="Arial" w:hAnsi="Arial"/>
          <w:sz w:val="20"/>
          <w:szCs w:val="20"/>
          <w:color w:val="auto"/>
        </w:rPr>
        <w:t>],</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as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592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660"/>
          </w:cols>
          <w:pgMar w:left="240" w:top="433" w:right="999" w:bottom="1440" w:gutter="0" w:footer="0" w:header="0"/>
        </w:sectPr>
      </w:pPr>
    </w:p>
    <w:bookmarkStart w:id="466" w:name="page467"/>
    <w:bookmarkEnd w:id="466"/>
    <w:p>
      <w:pPr>
        <w:spacing w:after="0"/>
        <w:rPr>
          <w:sz w:val="20"/>
          <w:szCs w:val="20"/>
          <w:color w:val="auto"/>
        </w:rPr>
      </w:pPr>
      <w:r>
        <w:rPr>
          <w:rFonts w:ascii="Arial" w:cs="Arial" w:eastAsia="Arial" w:hAnsi="Arial"/>
          <w:sz w:val="20"/>
          <w:szCs w:val="20"/>
          <w:color w:val="auto"/>
        </w:rPr>
        <w:t>Accepted and Agreed:</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 Grantee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27305</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433" w:right="1440" w:bottom="1440" w:gutter="0" w:footer="0" w:header="0"/>
        </w:sectPr>
      </w:pPr>
    </w:p>
    <w:bookmarkStart w:id="467" w:name="page468"/>
    <w:bookmarkEnd w:id="467"/>
    <w:tbl>
      <w:tblPr>
        <w:tblLayout w:type="fixed"/>
        <w:tblInd w:w="0" w:type="dxa"/>
        <w:tblCellMar>
          <w:top w:w="0" w:type="dxa"/>
          <w:left w:w="0" w:type="dxa"/>
          <w:bottom w:w="0" w:type="dxa"/>
          <w:right w:w="0" w:type="dxa"/>
        </w:tblCellMar>
      </w:tblPr>
      <w:tr>
        <w:trPr>
          <w:trHeight w:val="243"/>
        </w:trPr>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tcPr>
          <w:p>
            <w:pPr>
              <w:jc w:val="center"/>
              <w:ind w:right="1701"/>
              <w:spacing w:after="0"/>
              <w:rPr>
                <w:sz w:val="20"/>
                <w:szCs w:val="20"/>
                <w:color w:val="auto"/>
              </w:rPr>
            </w:pPr>
            <w:r>
              <w:rPr>
                <w:rFonts w:ascii="Arial" w:cs="Arial" w:eastAsia="Arial" w:hAnsi="Arial"/>
                <w:sz w:val="20"/>
                <w:szCs w:val="20"/>
                <w:b w:val="1"/>
                <w:bCs w:val="1"/>
                <w:color w:val="auto"/>
              </w:rPr>
              <w:t>SCHEDULE I</w:t>
            </w:r>
          </w:p>
        </w:tc>
      </w:tr>
      <w:tr>
        <w:trPr>
          <w:trHeight w:val="243"/>
        </w:trPr>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00" w:type="dxa"/>
            <w:vAlign w:val="bottom"/>
          </w:tcPr>
          <w:p>
            <w:pPr>
              <w:jc w:val="center"/>
              <w:ind w:right="1701"/>
              <w:spacing w:after="0"/>
              <w:rPr>
                <w:sz w:val="20"/>
                <w:szCs w:val="20"/>
                <w:color w:val="auto"/>
              </w:rPr>
            </w:pPr>
            <w:r>
              <w:rPr>
                <w:rFonts w:ascii="Arial" w:cs="Arial" w:eastAsia="Arial" w:hAnsi="Arial"/>
                <w:sz w:val="20"/>
                <w:szCs w:val="20"/>
                <w:b w:val="1"/>
                <w:bCs w:val="1"/>
                <w:color w:val="auto"/>
                <w:w w:val="95"/>
              </w:rPr>
              <w:t>to</w:t>
            </w:r>
          </w:p>
        </w:tc>
      </w:tr>
      <w:tr>
        <w:trPr>
          <w:trHeight w:val="243"/>
        </w:trPr>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0" w:type="dxa"/>
            <w:vAlign w:val="bottom"/>
            <w:gridSpan w:val="3"/>
          </w:tcPr>
          <w:p>
            <w:pPr>
              <w:jc w:val="center"/>
              <w:ind w:right="801"/>
              <w:spacing w:after="0"/>
              <w:rPr>
                <w:sz w:val="20"/>
                <w:szCs w:val="20"/>
                <w:color w:val="auto"/>
              </w:rPr>
            </w:pPr>
            <w:r>
              <w:rPr>
                <w:rFonts w:ascii="Arial" w:cs="Arial" w:eastAsia="Arial" w:hAnsi="Arial"/>
                <w:sz w:val="20"/>
                <w:szCs w:val="20"/>
                <w:b w:val="1"/>
                <w:bCs w:val="1"/>
                <w:color w:val="auto"/>
                <w:w w:val="99"/>
              </w:rPr>
              <w:t>PATENT SECURITY AGREEMENT</w:t>
            </w:r>
          </w:p>
        </w:tc>
      </w:tr>
      <w:tr>
        <w:trPr>
          <w:trHeight w:val="212"/>
        </w:trPr>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40" w:type="dxa"/>
            <w:vAlign w:val="bottom"/>
            <w:gridSpan w:val="5"/>
          </w:tcPr>
          <w:p>
            <w:pPr>
              <w:jc w:val="center"/>
              <w:ind w:left="441"/>
              <w:spacing w:after="0" w:line="212" w:lineRule="exact"/>
              <w:rPr>
                <w:sz w:val="20"/>
                <w:szCs w:val="20"/>
                <w:color w:val="auto"/>
              </w:rPr>
            </w:pPr>
            <w:r>
              <w:rPr>
                <w:rFonts w:ascii="Arial" w:cs="Arial" w:eastAsia="Arial" w:hAnsi="Arial"/>
                <w:sz w:val="20"/>
                <w:szCs w:val="20"/>
                <w:b w:val="1"/>
                <w:bCs w:val="1"/>
                <w:color w:val="auto"/>
                <w:w w:val="98"/>
              </w:rPr>
              <w:t>PATENT REGISTRATIONS AND PATENT APPLICATIONS</w:t>
            </w:r>
          </w:p>
        </w:tc>
      </w:tr>
      <w:tr>
        <w:trPr>
          <w:trHeight w:val="470"/>
        </w:trPr>
        <w:tc>
          <w:tcPr>
            <w:tcW w:w="3160" w:type="dxa"/>
            <w:vAlign w:val="bottom"/>
            <w:gridSpan w:val="4"/>
          </w:tcPr>
          <w:p>
            <w:pPr>
              <w:ind w:left="280"/>
              <w:spacing w:after="0"/>
              <w:rPr>
                <w:sz w:val="20"/>
                <w:szCs w:val="20"/>
                <w:color w:val="auto"/>
              </w:rPr>
            </w:pPr>
            <w:r>
              <w:rPr>
                <w:rFonts w:ascii="Arial" w:cs="Arial" w:eastAsia="Arial" w:hAnsi="Arial"/>
                <w:sz w:val="20"/>
                <w:szCs w:val="20"/>
                <w:b w:val="1"/>
                <w:bCs w:val="1"/>
                <w:color w:val="auto"/>
              </w:rPr>
              <w:t>UNITED STATES PATENTS:</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40" w:type="dxa"/>
            <w:vAlign w:val="bottom"/>
            <w:gridSpan w:val="5"/>
          </w:tcPr>
          <w:p>
            <w:pPr>
              <w:jc w:val="right"/>
              <w:ind w:right="3401"/>
              <w:spacing w:after="0"/>
              <w:rPr>
                <w:sz w:val="20"/>
                <w:szCs w:val="20"/>
                <w:color w:val="auto"/>
              </w:rPr>
            </w:pPr>
            <w:r>
              <w:rPr>
                <w:rFonts w:ascii="Arial" w:cs="Arial" w:eastAsia="Arial" w:hAnsi="Arial"/>
                <w:sz w:val="20"/>
                <w:szCs w:val="20"/>
                <w:i w:val="1"/>
                <w:iCs w:val="1"/>
                <w:color w:val="auto"/>
              </w:rPr>
              <w:t>U.S. Patent Registrations</w:t>
            </w:r>
          </w:p>
        </w:tc>
      </w:tr>
      <w:tr>
        <w:trPr>
          <w:trHeight w:val="347"/>
        </w:trPr>
        <w:tc>
          <w:tcPr>
            <w:tcW w:w="3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20"/>
                <w:szCs w:val="20"/>
                <w:color w:val="auto"/>
              </w:rPr>
              <w:t>Patent Numbers</w:t>
            </w:r>
          </w:p>
        </w:tc>
        <w:tc>
          <w:tcPr>
            <w:tcW w:w="540" w:type="dxa"/>
            <w:vAlign w:val="bottom"/>
          </w:tcPr>
          <w:p>
            <w:pPr>
              <w:spacing w:after="0"/>
              <w:rPr>
                <w:sz w:val="24"/>
                <w:szCs w:val="24"/>
                <w:color w:val="auto"/>
              </w:rPr>
            </w:pPr>
          </w:p>
        </w:tc>
        <w:tc>
          <w:tcPr>
            <w:tcW w:w="5300" w:type="dxa"/>
            <w:vAlign w:val="bottom"/>
            <w:gridSpan w:val="4"/>
          </w:tcPr>
          <w:p>
            <w:pPr>
              <w:ind w:left="900"/>
              <w:spacing w:after="0"/>
              <w:rPr>
                <w:sz w:val="20"/>
                <w:szCs w:val="20"/>
                <w:color w:val="auto"/>
              </w:rPr>
            </w:pPr>
            <w:r>
              <w:rPr>
                <w:rFonts w:ascii="Arial" w:cs="Arial" w:eastAsia="Arial" w:hAnsi="Arial"/>
                <w:sz w:val="20"/>
                <w:szCs w:val="20"/>
                <w:color w:val="auto"/>
              </w:rPr>
              <w:t>Issue Date</w:t>
            </w:r>
          </w:p>
        </w:tc>
      </w:tr>
      <w:tr>
        <w:trPr>
          <w:trHeight w:val="20"/>
        </w:trPr>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956"/>
        </w:trPr>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40" w:type="dxa"/>
            <w:vAlign w:val="bottom"/>
            <w:gridSpan w:val="5"/>
          </w:tcPr>
          <w:p>
            <w:pPr>
              <w:jc w:val="right"/>
              <w:ind w:right="3421"/>
              <w:spacing w:after="0"/>
              <w:rPr>
                <w:sz w:val="20"/>
                <w:szCs w:val="20"/>
                <w:color w:val="auto"/>
              </w:rPr>
            </w:pPr>
            <w:r>
              <w:rPr>
                <w:rFonts w:ascii="Arial" w:cs="Arial" w:eastAsia="Arial" w:hAnsi="Arial"/>
                <w:sz w:val="20"/>
                <w:szCs w:val="20"/>
                <w:i w:val="1"/>
                <w:iCs w:val="1"/>
                <w:color w:val="auto"/>
              </w:rPr>
              <w:t>U.S. Patent Applications</w:t>
            </w:r>
          </w:p>
        </w:tc>
      </w:tr>
      <w:tr>
        <w:trPr>
          <w:trHeight w:val="347"/>
        </w:trPr>
        <w:tc>
          <w:tcPr>
            <w:tcW w:w="3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20"/>
                <w:szCs w:val="20"/>
                <w:color w:val="auto"/>
                <w:w w:val="90"/>
              </w:rPr>
              <w:t>Patent Application No.</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4"/>
          </w:tcPr>
          <w:p>
            <w:pPr>
              <w:jc w:val="right"/>
              <w:ind w:right="3401"/>
              <w:spacing w:after="0"/>
              <w:rPr>
                <w:sz w:val="20"/>
                <w:szCs w:val="20"/>
                <w:color w:val="auto"/>
              </w:rPr>
            </w:pPr>
            <w:r>
              <w:rPr>
                <w:rFonts w:ascii="Arial" w:cs="Arial" w:eastAsia="Arial" w:hAnsi="Arial"/>
                <w:sz w:val="20"/>
                <w:szCs w:val="20"/>
                <w:color w:val="auto"/>
              </w:rPr>
              <w:t>Filing Date</w:t>
            </w:r>
          </w:p>
        </w:tc>
      </w:tr>
      <w:tr>
        <w:trPr>
          <w:trHeight w:val="20"/>
        </w:trPr>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54"/>
        </w:trPr>
        <w:tc>
          <w:tcPr>
            <w:tcW w:w="1560" w:type="dxa"/>
            <w:vAlign w:val="bottom"/>
            <w:gridSpan w:val="2"/>
          </w:tcPr>
          <w:p>
            <w:pPr>
              <w:jc w:val="right"/>
              <w:ind w:right="741"/>
              <w:spacing w:after="0"/>
              <w:rPr>
                <w:sz w:val="20"/>
                <w:szCs w:val="20"/>
                <w:color w:val="auto"/>
              </w:rPr>
            </w:pPr>
            <w:r>
              <w:rPr>
                <w:rFonts w:ascii="Arial" w:cs="Arial" w:eastAsia="Arial" w:hAnsi="Arial"/>
                <w:sz w:val="14"/>
                <w:szCs w:val="14"/>
                <w:color w:val="auto"/>
                <w:w w:val="89"/>
              </w:rPr>
              <w:t>95959845_3</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ectPr>
          <w:pgSz w:w="11900" w:h="16838" w:orient="portrait"/>
          <w:cols w:equalWidth="0" w:num="1">
            <w:col w:w="10219"/>
          </w:cols>
          <w:pgMar w:left="240" w:top="440" w:right="1440" w:bottom="1440" w:gutter="0" w:footer="0" w:header="0"/>
        </w:sectPr>
      </w:pPr>
    </w:p>
    <w:bookmarkStart w:id="468" w:name="page469"/>
    <w:bookmarkEnd w:id="468"/>
    <w:p>
      <w:pPr>
        <w:ind w:left="7140"/>
        <w:spacing w:after="0"/>
        <w:rPr>
          <w:sz w:val="20"/>
          <w:szCs w:val="20"/>
          <w:color w:val="auto"/>
        </w:rPr>
      </w:pPr>
      <w:r>
        <w:rPr>
          <w:rFonts w:ascii="Arial" w:cs="Arial" w:eastAsia="Arial" w:hAnsi="Arial"/>
          <w:sz w:val="18"/>
          <w:szCs w:val="18"/>
          <w:color w:val="auto"/>
        </w:rPr>
        <w:t>EXHIBIT IV to the Amended and Restated Security</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02" w:lineRule="exact"/>
        <w:rPr>
          <w:sz w:val="20"/>
          <w:szCs w:val="20"/>
          <w:color w:val="auto"/>
        </w:rPr>
      </w:pPr>
    </w:p>
    <w:p>
      <w:pPr>
        <w:jc w:val="center"/>
        <w:ind w:left="1140"/>
        <w:spacing w:after="0"/>
        <w:rPr>
          <w:sz w:val="20"/>
          <w:szCs w:val="20"/>
          <w:color w:val="auto"/>
        </w:rPr>
      </w:pPr>
      <w:r>
        <w:rPr>
          <w:rFonts w:ascii="Arial" w:cs="Arial" w:eastAsia="Arial" w:hAnsi="Arial"/>
          <w:sz w:val="20"/>
          <w:szCs w:val="20"/>
          <w:color w:val="auto"/>
        </w:rPr>
        <w:t>[FORM OF] TRADEMARK SECURITY AGREEMENT</w:t>
      </w:r>
    </w:p>
    <w:p>
      <w:pPr>
        <w:spacing w:after="0" w:line="108" w:lineRule="exact"/>
        <w:rPr>
          <w:sz w:val="20"/>
          <w:szCs w:val="20"/>
          <w:color w:val="auto"/>
        </w:rPr>
      </w:pPr>
    </w:p>
    <w:p>
      <w:pPr>
        <w:ind w:left="920"/>
        <w:spacing w:after="0"/>
        <w:tabs>
          <w:tab w:leader="none" w:pos="5960" w:val="left"/>
          <w:tab w:leader="none" w:pos="7800" w:val="left"/>
          <w:tab w:leader="none" w:pos="8600" w:val="left"/>
        </w:tabs>
        <w:rPr>
          <w:sz w:val="20"/>
          <w:szCs w:val="20"/>
          <w:color w:val="auto"/>
        </w:rPr>
      </w:pPr>
      <w:r>
        <w:rPr>
          <w:rFonts w:ascii="Arial" w:cs="Arial" w:eastAsia="Arial" w:hAnsi="Arial"/>
          <w:sz w:val="20"/>
          <w:szCs w:val="20"/>
          <w:color w:val="auto"/>
        </w:rPr>
        <w:t>TRADEMARK SECURITY AGREEMENT, dated as of [</w:t>
      </w:r>
      <w:r>
        <w:rPr>
          <w:sz w:val="20"/>
          <w:szCs w:val="20"/>
          <w:color w:val="auto"/>
        </w:rPr>
        <w:tab/>
      </w:r>
      <w:r>
        <w:rPr>
          <w:rFonts w:ascii="Arial" w:cs="Arial" w:eastAsia="Arial" w:hAnsi="Arial"/>
          <w:sz w:val="20"/>
          <w:szCs w:val="20"/>
          <w:color w:val="auto"/>
        </w:rPr>
        <w:t>], 20[ ] made by [</w:t>
      </w:r>
      <w:r>
        <w:rPr>
          <w:sz w:val="20"/>
          <w:szCs w:val="20"/>
          <w:color w:val="auto"/>
        </w:rPr>
        <w:tab/>
      </w:r>
      <w:r>
        <w:rPr>
          <w:rFonts w:ascii="Arial" w:cs="Arial" w:eastAsia="Arial" w:hAnsi="Arial"/>
          <w:sz w:val="20"/>
          <w:szCs w:val="20"/>
          <w:color w:val="auto"/>
        </w:rPr>
        <w:t>], a [</w:t>
      </w:r>
      <w:r>
        <w:rPr>
          <w:sz w:val="20"/>
          <w:szCs w:val="20"/>
          <w:color w:val="auto"/>
        </w:rPr>
        <w:tab/>
      </w:r>
      <w:r>
        <w:rPr>
          <w:rFonts w:ascii="Arial" w:cs="Arial" w:eastAsia="Arial" w:hAnsi="Arial"/>
          <w:sz w:val="19"/>
          <w:szCs w:val="19"/>
          <w:color w:val="auto"/>
        </w:rPr>
        <w:t>] (the “</w:t>
      </w:r>
      <w:r>
        <w:rPr>
          <w:rFonts w:ascii="Arial" w:cs="Arial" w:eastAsia="Arial" w:hAnsi="Arial"/>
          <w:sz w:val="19"/>
          <w:szCs w:val="19"/>
          <w:u w:val="single" w:color="auto"/>
          <w:color w:val="auto"/>
        </w:rPr>
        <w:t>Grantor</w:t>
      </w:r>
      <w:r>
        <w:rPr>
          <w:rFonts w:ascii="Arial" w:cs="Arial" w:eastAsia="Arial" w:hAnsi="Arial"/>
          <w:sz w:val="19"/>
          <w:szCs w:val="19"/>
          <w:color w:val="auto"/>
        </w:rPr>
        <w:t>”), having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-14605</wp:posOffset>
            </wp:positionV>
            <wp:extent cx="2343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234315" cy="8890"/>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-14605</wp:posOffset>
            </wp:positionV>
            <wp:extent cx="400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-14605</wp:posOffset>
            </wp:positionV>
            <wp:extent cx="2425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2425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-14605</wp:posOffset>
            </wp:positionV>
            <wp:extent cx="2425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242570" cy="8890"/>
                    </a:xfrm>
                    <a:prstGeom prst="rect">
                      <a:avLst/>
                    </a:prstGeom>
                    <a:noFill/>
                  </pic:spPr>
                </pic:pic>
              </a:graphicData>
            </a:graphic>
          </wp:anchor>
        </w:drawing>
      </w:r>
    </w:p>
    <w:p>
      <w:pPr>
        <w:jc w:val="both"/>
        <w:ind w:left="280"/>
        <w:spacing w:after="0"/>
        <w:rPr>
          <w:sz w:val="20"/>
          <w:szCs w:val="20"/>
          <w:color w:val="auto"/>
        </w:rPr>
      </w:pPr>
      <w:r>
        <w:rPr>
          <w:rFonts w:ascii="Arial" w:cs="Arial" w:eastAsia="Arial" w:hAnsi="Arial"/>
          <w:sz w:val="20"/>
          <w:szCs w:val="20"/>
          <w:color w:val="auto"/>
        </w:rPr>
        <w:t>executive office at [ ], in favor of WELLS FARGO BANK, NATIONAL ASSOCIATION, as collateral agent (together with its successors in such capacity, the “</w:t>
      </w:r>
      <w:r>
        <w:rPr>
          <w:rFonts w:ascii="Arial" w:cs="Arial" w:eastAsia="Arial" w:hAnsi="Arial"/>
          <w:sz w:val="20"/>
          <w:szCs w:val="20"/>
          <w:u w:val="single" w:color="auto"/>
          <w:color w:val="auto"/>
        </w:rPr>
        <w:t>Grantee</w:t>
      </w:r>
      <w:r>
        <w:rPr>
          <w:rFonts w:ascii="Arial" w:cs="Arial" w:eastAsia="Arial" w:hAnsi="Arial"/>
          <w:sz w:val="20"/>
          <w:szCs w:val="20"/>
          <w:color w:val="auto"/>
        </w:rPr>
        <w:t>”), with offices at 1525 West W.T. Harris Blvd., MAC D1109-019, Charlotte, North Carolina, 28262, for the Secured Parties referred to in the Amended and Restated Credit Agreement, dated as of November 30, 2017 (as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OSI Restaurant Partners, LLC, a Delaware limited liability company, Bloomin’ Brands, Inc., a Delaware corporation, each Lender (as defined in the Credit Agreement) from time to time party thereto and the Grantee,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-755015</wp:posOffset>
            </wp:positionV>
            <wp:extent cx="133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33985" cy="8890"/>
                    </a:xfrm>
                    <a:prstGeom prst="rect">
                      <a:avLst/>
                    </a:prstGeom>
                    <a:noFill/>
                  </pic:spPr>
                </pic:pic>
              </a:graphicData>
            </a:graphic>
          </wp:anchor>
        </w:drawing>
      </w:r>
    </w:p>
    <w:p>
      <w:pPr>
        <w:spacing w:after="0" w:line="178"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WHEREAS, the Grantor is party to an Amended and Restated Security Agreement, dated as of November 30, 2017 (as amended, restated, supplemented or otherwise modified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 in favor of the Grantee pursuant to which the Grantor is required to execute and deliver this Trademark Security Agreement;</w:t>
      </w:r>
    </w:p>
    <w:p>
      <w:pPr>
        <w:spacing w:after="0" w:line="18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is hereby acknowledged, and to induce the Lenders to extend credit under the Credit Agreement, the Grantor hereby agrees with the Grantee as follows:</w:t>
      </w:r>
    </w:p>
    <w:p>
      <w:pPr>
        <w:spacing w:after="0" w:line="18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Unless otherwise defined herein, capitalized terms used herein and not defined have the meaning given to them in the Security Agreement, or if not defined therein, in the Credit Agreement.</w:t>
      </w:r>
    </w:p>
    <w:p>
      <w:pPr>
        <w:spacing w:after="0" w:line="177" w:lineRule="exact"/>
        <w:rPr>
          <w:sz w:val="20"/>
          <w:szCs w:val="20"/>
          <w:color w:val="auto"/>
        </w:rPr>
      </w:pPr>
    </w:p>
    <w:p>
      <w:pPr>
        <w:jc w:val="both"/>
        <w:ind w:left="280" w:firstLine="648"/>
        <w:spacing w:after="0" w:line="258"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Grant of Security Interest in Trademarks</w:t>
      </w:r>
      <w:r>
        <w:rPr>
          <w:rFonts w:ascii="Arial" w:cs="Arial" w:eastAsia="Arial" w:hAnsi="Arial"/>
          <w:sz w:val="19"/>
          <w:szCs w:val="19"/>
          <w:color w:val="auto"/>
        </w:rPr>
        <w:t>. As security for the payment and performance in full of the Obligations, including the Guarantees, the Grantor hereby assigns and pledges to the Grantee, its successors and assigns, for the benefit of the Secured Parties, and hereby grants to the Grantee, its successors and assigns, for the benefit of the Secured Parties, a continuing security interest (the “</w:t>
      </w:r>
      <w:r>
        <w:rPr>
          <w:rFonts w:ascii="Arial" w:cs="Arial" w:eastAsia="Arial" w:hAnsi="Arial"/>
          <w:sz w:val="19"/>
          <w:szCs w:val="19"/>
          <w:u w:val="single" w:color="auto"/>
          <w:color w:val="auto"/>
        </w:rPr>
        <w:t>Security Interest</w:t>
      </w:r>
      <w:r>
        <w:rPr>
          <w:rFonts w:ascii="Arial" w:cs="Arial" w:eastAsia="Arial" w:hAnsi="Arial"/>
          <w:sz w:val="19"/>
          <w:szCs w:val="19"/>
          <w:color w:val="auto"/>
        </w:rPr>
        <w:t>”) in, to, or under all right, title or interest in or to any and all of the Owned Trademarks, including those listed on Schedule I hereto, and all proceeds of the Owned Trademarks, the goodwill of the businesses with which the Owned Trademarks are associated, and all causes of action arising prior to or after the date hereof for infringement of any the Owned Trademarks or unfair competition regarding the same (in each case, other than Excluded Assets).</w:t>
      </w:r>
    </w:p>
    <w:p>
      <w:pPr>
        <w:spacing w:after="0" w:line="179"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Security Agreement</w:t>
      </w:r>
      <w:r>
        <w:rPr>
          <w:rFonts w:ascii="Arial" w:cs="Arial" w:eastAsia="Arial" w:hAnsi="Arial"/>
          <w:sz w:val="19"/>
          <w:szCs w:val="19"/>
          <w:color w:val="auto"/>
        </w:rPr>
        <w:t>. The Security Interest granted pursuant to this Trademark Security Agreement is granted in conjunction with the security interest granted to the Grantee pursuant to the Security Agreement, and the Grantee and the Grantor hereby acknowledge and affirm that the rights and remedies of the Grantee with respect to the Security Interest in the Owned Trademark made and granted hereby are more fully set forth in the Security Agreement, the terms and provisions of which are incorporated by reference herein as if fully set forth herein. In the event that any provision of this Trademark Security Agreement is deemed to conflict with the Security Agreement, the provisions of the Security Agreement shall control.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69" w:name="page470"/>
    <w:bookmarkEnd w:id="469"/>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Counterparts</w:t>
      </w:r>
      <w:r>
        <w:rPr>
          <w:rFonts w:ascii="Arial" w:cs="Arial" w:eastAsia="Arial" w:hAnsi="Arial"/>
          <w:sz w:val="20"/>
          <w:szCs w:val="20"/>
          <w:color w:val="auto"/>
        </w:rPr>
        <w:t>. This Trademark Security Agreement may be executed in any number of counterparts, all of which shall constitute one and the same instrument, and any party hereto may execute this Trademark Security Agreement by signing and delivering one or more counterparts.</w:t>
      </w:r>
    </w:p>
    <w:p>
      <w:pPr>
        <w:spacing w:after="0" w:line="267" w:lineRule="exact"/>
        <w:rPr>
          <w:sz w:val="20"/>
          <w:szCs w:val="20"/>
          <w:color w:val="auto"/>
        </w:rPr>
      </w:pPr>
    </w:p>
    <w:p>
      <w:pPr>
        <w:ind w:left="280" w:right="580" w:firstLine="648"/>
        <w:spacing w:after="0" w:line="26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Recordation</w:t>
      </w:r>
      <w:r>
        <w:rPr>
          <w:rFonts w:ascii="Arial" w:cs="Arial" w:eastAsia="Arial" w:hAnsi="Arial"/>
          <w:sz w:val="20"/>
          <w:szCs w:val="20"/>
          <w:color w:val="auto"/>
        </w:rPr>
        <w:t>. The Grantor authorizes and requests that the Commissioner of Patents and Trademarks record this Agreement.</w:t>
      </w:r>
    </w:p>
    <w:p>
      <w:pPr>
        <w:spacing w:after="0" w:line="190" w:lineRule="exact"/>
        <w:rPr>
          <w:sz w:val="20"/>
          <w:szCs w:val="20"/>
          <w:color w:val="auto"/>
        </w:rPr>
      </w:pPr>
    </w:p>
    <w:p>
      <w:pPr>
        <w:ind w:left="280" w:right="60" w:firstLine="648"/>
        <w:spacing w:after="0" w:line="26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Governing Law</w:t>
      </w:r>
      <w:r>
        <w:rPr>
          <w:rFonts w:ascii="Arial" w:cs="Arial" w:eastAsia="Arial" w:hAnsi="Arial"/>
          <w:sz w:val="20"/>
          <w:szCs w:val="20"/>
          <w:color w:val="auto"/>
        </w:rPr>
        <w:t>. This Trademark Security Agreement shall be governed by and construed in accordance with the laws of the State of New York.</w:t>
      </w:r>
    </w:p>
    <w:p>
      <w:pPr>
        <w:spacing w:after="0" w:line="19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 page follows]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66" w:right="239" w:bottom="1440" w:gutter="0" w:footer="0" w:header="0"/>
        </w:sectPr>
      </w:pPr>
    </w:p>
    <w:bookmarkStart w:id="470" w:name="page471"/>
    <w:bookmarkEnd w:id="470"/>
    <w:p>
      <w:pPr>
        <w:ind w:left="280" w:firstLine="648"/>
        <w:spacing w:after="0" w:line="260" w:lineRule="auto"/>
        <w:rPr>
          <w:sz w:val="20"/>
          <w:szCs w:val="20"/>
          <w:color w:val="auto"/>
        </w:rPr>
      </w:pPr>
      <w:r>
        <w:rPr>
          <w:rFonts w:ascii="Arial" w:cs="Arial" w:eastAsia="Arial" w:hAnsi="Arial"/>
          <w:sz w:val="20"/>
          <w:szCs w:val="20"/>
          <w:color w:val="auto"/>
        </w:rPr>
        <w:t>IN WITNESS WHEREOF, the Grantor has caused this Trademark Security Agreement to be executed and delivered by its duly authorized officer as of the date first set forth above.</w:t>
      </w:r>
    </w:p>
    <w:p>
      <w:pPr>
        <w:spacing w:after="0" w:line="200" w:lineRule="exact"/>
        <w:rPr>
          <w:sz w:val="20"/>
          <w:szCs w:val="20"/>
          <w:color w:val="auto"/>
        </w:rPr>
      </w:pPr>
    </w:p>
    <w:p>
      <w:pPr>
        <w:spacing w:after="0" w:line="22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________________________</w:t>
      </w:r>
      <w:r>
        <w:rPr>
          <w:rFonts w:ascii="Arial" w:cs="Arial" w:eastAsia="Arial" w:hAnsi="Arial"/>
          <w:sz w:val="18"/>
          <w:szCs w:val="18"/>
          <w:color w:val="auto"/>
        </w:rPr>
        <w:t>], as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27305</wp:posOffset>
            </wp:positionV>
            <wp:extent cx="25812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47" w:lineRule="exact"/>
        <w:rPr>
          <w:sz w:val="20"/>
          <w:szCs w:val="20"/>
          <w:color w:val="auto"/>
        </w:rPr>
      </w:pPr>
    </w:p>
    <w:p>
      <w:pPr>
        <w:ind w:left="738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3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020"/>
          </w:cols>
          <w:pgMar w:left="240" w:top="433" w:right="639" w:bottom="1440" w:gutter="0" w:footer="0" w:header="0"/>
        </w:sectPr>
      </w:pPr>
    </w:p>
    <w:bookmarkStart w:id="471" w:name="page472"/>
    <w:bookmarkEnd w:id="471"/>
    <w:p>
      <w:pPr>
        <w:spacing w:after="0"/>
        <w:rPr>
          <w:sz w:val="20"/>
          <w:szCs w:val="20"/>
          <w:color w:val="auto"/>
        </w:rPr>
      </w:pPr>
      <w:r>
        <w:rPr>
          <w:rFonts w:ascii="Arial" w:cs="Arial" w:eastAsia="Arial" w:hAnsi="Arial"/>
          <w:sz w:val="20"/>
          <w:szCs w:val="20"/>
          <w:color w:val="auto"/>
        </w:rPr>
        <w:t>Accepted and Agreed:</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9"/>
          <w:szCs w:val="19"/>
          <w:color w:val="auto"/>
        </w:rPr>
        <w:t>WELLS FARGO BANK, NATIONAL ASSOCIATION,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 Grantee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27305</wp:posOffset>
            </wp:positionV>
            <wp:extent cx="32588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433" w:right="1440" w:bottom="1440" w:gutter="0" w:footer="0" w:header="0"/>
        </w:sectPr>
      </w:pPr>
    </w:p>
    <w:bookmarkStart w:id="472" w:name="page473"/>
    <w:bookmarkEnd w:id="472"/>
    <w:p>
      <w:pPr>
        <w:jc w:val="center"/>
        <w:ind w:left="1280"/>
        <w:spacing w:after="0"/>
        <w:rPr>
          <w:sz w:val="20"/>
          <w:szCs w:val="20"/>
          <w:color w:val="auto"/>
        </w:rPr>
      </w:pPr>
      <w:r>
        <w:rPr>
          <w:rFonts w:ascii="Arial" w:cs="Arial" w:eastAsia="Arial" w:hAnsi="Arial"/>
          <w:sz w:val="20"/>
          <w:szCs w:val="20"/>
          <w:b w:val="1"/>
          <w:bCs w:val="1"/>
          <w:color w:val="auto"/>
        </w:rPr>
        <w:t>SCHEDULE I</w:t>
      </w:r>
    </w:p>
    <w:p>
      <w:pPr>
        <w:spacing w:after="0" w:line="26" w:lineRule="exact"/>
        <w:rPr>
          <w:sz w:val="20"/>
          <w:szCs w:val="20"/>
          <w:color w:val="auto"/>
        </w:rPr>
      </w:pPr>
    </w:p>
    <w:p>
      <w:pPr>
        <w:jc w:val="center"/>
        <w:ind w:left="1280"/>
        <w:spacing w:after="0"/>
        <w:rPr>
          <w:sz w:val="20"/>
          <w:szCs w:val="20"/>
          <w:color w:val="auto"/>
        </w:rPr>
      </w:pPr>
      <w:r>
        <w:rPr>
          <w:rFonts w:ascii="Arial" w:cs="Arial" w:eastAsia="Arial" w:hAnsi="Arial"/>
          <w:sz w:val="20"/>
          <w:szCs w:val="20"/>
          <w:b w:val="1"/>
          <w:bCs w:val="1"/>
          <w:color w:val="auto"/>
        </w:rPr>
        <w:t>to</w:t>
      </w:r>
    </w:p>
    <w:p>
      <w:pPr>
        <w:spacing w:after="0" w:line="8" w:lineRule="exact"/>
        <w:rPr>
          <w:sz w:val="20"/>
          <w:szCs w:val="20"/>
          <w:color w:val="auto"/>
        </w:rPr>
      </w:pPr>
    </w:p>
    <w:p>
      <w:pPr>
        <w:ind w:left="1280" w:firstLine="1323"/>
        <w:spacing w:after="0" w:line="244" w:lineRule="auto"/>
        <w:rPr>
          <w:sz w:val="20"/>
          <w:szCs w:val="20"/>
          <w:color w:val="auto"/>
        </w:rPr>
      </w:pPr>
      <w:r>
        <w:rPr>
          <w:rFonts w:ascii="Arial" w:cs="Arial" w:eastAsia="Arial" w:hAnsi="Arial"/>
          <w:sz w:val="20"/>
          <w:szCs w:val="20"/>
          <w:b w:val="1"/>
          <w:bCs w:val="1"/>
          <w:color w:val="auto"/>
        </w:rPr>
        <w:t xml:space="preserve">TRADEMARK SECURITY AGREEMENT </w:t>
      </w:r>
      <w:r>
        <w:rPr>
          <w:rFonts w:ascii="Arial" w:cs="Arial" w:eastAsia="Arial" w:hAnsi="Arial"/>
          <w:sz w:val="20"/>
          <w:szCs w:val="20"/>
          <w:b w:val="1"/>
          <w:bCs w:val="1"/>
          <w:u w:val="single" w:color="auto"/>
          <w:color w:val="auto"/>
        </w:rPr>
        <w:t>TRADEMARK REGISTRATIONS AND TRADEMARK</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APPLICATIONS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UNITED STATES TRADEMARKS: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0" w:type="dxa"/>
            <w:vAlign w:val="bottom"/>
            <w:gridSpan w:val="4"/>
          </w:tcPr>
          <w:p>
            <w:pPr>
              <w:ind w:left="240"/>
              <w:spacing w:after="0"/>
              <w:rPr>
                <w:sz w:val="20"/>
                <w:szCs w:val="20"/>
                <w:color w:val="auto"/>
              </w:rPr>
            </w:pPr>
            <w:r>
              <w:rPr>
                <w:rFonts w:ascii="Arial" w:cs="Arial" w:eastAsia="Arial" w:hAnsi="Arial"/>
                <w:sz w:val="20"/>
                <w:szCs w:val="20"/>
                <w:i w:val="1"/>
                <w:iCs w:val="1"/>
                <w:color w:val="auto"/>
              </w:rPr>
              <w:t>U.S. Trademark Registrations</w:t>
            </w:r>
          </w:p>
        </w:tc>
      </w:tr>
      <w:tr>
        <w:trPr>
          <w:trHeight w:val="563"/>
        </w:trPr>
        <w:tc>
          <w:tcPr>
            <w:tcW w:w="4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Mark</w:t>
            </w:r>
          </w:p>
        </w:tc>
        <w:tc>
          <w:tcPr>
            <w:tcW w:w="184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6"/>
              </w:rPr>
              <w:t>Reg. Date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7"/>
              </w:rPr>
              <w:t>Reg. 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860" w:type="dxa"/>
            <w:vAlign w:val="bottom"/>
            <w:gridSpan w:val="4"/>
          </w:tcPr>
          <w:p>
            <w:pPr>
              <w:ind w:left="280"/>
              <w:spacing w:after="0"/>
              <w:rPr>
                <w:sz w:val="20"/>
                <w:szCs w:val="20"/>
                <w:color w:val="auto"/>
              </w:rPr>
            </w:pPr>
            <w:r>
              <w:rPr>
                <w:rFonts w:ascii="Arial" w:cs="Arial" w:eastAsia="Arial" w:hAnsi="Arial"/>
                <w:sz w:val="20"/>
                <w:szCs w:val="20"/>
                <w:i w:val="1"/>
                <w:iCs w:val="1"/>
                <w:color w:val="auto"/>
              </w:rPr>
              <w:t>U.S. Trademark Applications</w:t>
            </w:r>
          </w:p>
        </w:tc>
      </w:tr>
      <w:tr>
        <w:trPr>
          <w:trHeight w:val="563"/>
        </w:trPr>
        <w:tc>
          <w:tcPr>
            <w:tcW w:w="420" w:type="dxa"/>
            <w:vAlign w:val="bottom"/>
          </w:tcPr>
          <w:p>
            <w:pPr>
              <w:spacing w:after="0"/>
              <w:rPr>
                <w:sz w:val="20"/>
                <w:szCs w:val="20"/>
                <w:color w:val="auto"/>
              </w:rPr>
            </w:pPr>
            <w:r>
              <w:rPr>
                <w:rFonts w:ascii="Arial" w:cs="Arial" w:eastAsia="Arial" w:hAnsi="Arial"/>
                <w:sz w:val="20"/>
                <w:szCs w:val="20"/>
                <w:color w:val="auto"/>
                <w:w w:val="89"/>
              </w:rPr>
              <w:t>Mark</w:t>
            </w:r>
          </w:p>
        </w:tc>
        <w:tc>
          <w:tcPr>
            <w:tcW w:w="3560" w:type="dxa"/>
            <w:vAlign w:val="bottom"/>
            <w:gridSpan w:val="3"/>
          </w:tcPr>
          <w:p>
            <w:pPr>
              <w:ind w:left="1820"/>
              <w:spacing w:after="0"/>
              <w:rPr>
                <w:sz w:val="20"/>
                <w:szCs w:val="20"/>
                <w:color w:val="auto"/>
              </w:rPr>
            </w:pPr>
            <w:r>
              <w:rPr>
                <w:rFonts w:ascii="Arial" w:cs="Arial" w:eastAsia="Arial" w:hAnsi="Arial"/>
                <w:sz w:val="20"/>
                <w:szCs w:val="20"/>
                <w:color w:val="auto"/>
              </w:rPr>
              <w:t>Filing Date</w:t>
            </w:r>
          </w:p>
        </w:tc>
        <w:tc>
          <w:tcPr>
            <w:tcW w:w="2120" w:type="dxa"/>
            <w:vAlign w:val="bottom"/>
            <w:gridSpan w:val="2"/>
          </w:tcPr>
          <w:p>
            <w:pPr>
              <w:ind w:left="840"/>
              <w:spacing w:after="0"/>
              <w:rPr>
                <w:sz w:val="20"/>
                <w:szCs w:val="20"/>
                <w:color w:val="auto"/>
              </w:rPr>
            </w:pPr>
            <w:r>
              <w:rPr>
                <w:rFonts w:ascii="Arial" w:cs="Arial" w:eastAsia="Arial" w:hAnsi="Arial"/>
                <w:sz w:val="20"/>
                <w:szCs w:val="20"/>
                <w:color w:val="auto"/>
                <w:w w:val="93"/>
              </w:rPr>
              <w:t>Application No.</w:t>
            </w:r>
          </w:p>
        </w:tc>
      </w:tr>
      <w:tr>
        <w:trPr>
          <w:trHeight w:val="20"/>
        </w:trPr>
        <w:tc>
          <w:tcPr>
            <w:tcW w:w="4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240"/>
          </w:cols>
          <w:pgMar w:left="240" w:top="440" w:right="419" w:bottom="1440" w:gutter="0" w:footer="0" w:header="0"/>
        </w:sectPr>
      </w:pPr>
    </w:p>
    <w:bookmarkStart w:id="473" w:name="page474"/>
    <w:bookmarkEnd w:id="473"/>
    <w:p>
      <w:pPr>
        <w:ind w:left="7220"/>
        <w:spacing w:after="0"/>
        <w:rPr>
          <w:sz w:val="20"/>
          <w:szCs w:val="20"/>
          <w:color w:val="auto"/>
        </w:rPr>
      </w:pPr>
      <w:r>
        <w:rPr>
          <w:rFonts w:ascii="Arial" w:cs="Arial" w:eastAsia="Arial" w:hAnsi="Arial"/>
          <w:sz w:val="18"/>
          <w:szCs w:val="18"/>
          <w:color w:val="auto"/>
        </w:rPr>
        <w:t>EXHIBIT V to the Amended and Restated Security</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9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FORM OF PERFECTION CERTIFICATE</w:t>
      </w:r>
    </w:p>
    <w:p>
      <w:pPr>
        <w:spacing w:after="0" w:line="216" w:lineRule="exact"/>
        <w:rPr>
          <w:sz w:val="20"/>
          <w:szCs w:val="20"/>
          <w:color w:val="auto"/>
        </w:rPr>
      </w:pPr>
    </w:p>
    <w:p>
      <w:pPr>
        <w:jc w:val="both"/>
        <w:ind w:left="280" w:firstLine="648"/>
        <w:spacing w:after="0" w:line="259" w:lineRule="auto"/>
        <w:rPr>
          <w:sz w:val="20"/>
          <w:szCs w:val="20"/>
          <w:color w:val="auto"/>
        </w:rPr>
      </w:pPr>
      <w:r>
        <w:rPr>
          <w:rFonts w:ascii="Arial" w:cs="Arial" w:eastAsia="Arial" w:hAnsi="Arial"/>
          <w:sz w:val="19"/>
          <w:szCs w:val="19"/>
          <w:color w:val="auto"/>
        </w:rPr>
        <w:t>Reference is made to the Amended and Restated Credit Agreement dated as of November 30, 2017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OSI Restaurant Partners, LLC, a Delaware limited liability company (“</w:t>
      </w:r>
      <w:r>
        <w:rPr>
          <w:rFonts w:ascii="Arial" w:cs="Arial" w:eastAsia="Arial" w:hAnsi="Arial"/>
          <w:sz w:val="19"/>
          <w:szCs w:val="19"/>
          <w:u w:val="single" w:color="auto"/>
          <w:color w:val="auto"/>
        </w:rPr>
        <w:t>OSI</w:t>
      </w:r>
      <w:r>
        <w:rPr>
          <w:rFonts w:ascii="Arial" w:cs="Arial" w:eastAsia="Arial" w:hAnsi="Arial"/>
          <w:sz w:val="19"/>
          <w:szCs w:val="19"/>
          <w:color w:val="auto"/>
        </w:rPr>
        <w:t>”), Bloomin’ Brands,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together with OSI, the “</w:t>
      </w:r>
      <w:r>
        <w:rPr>
          <w:rFonts w:ascii="Arial" w:cs="Arial" w:eastAsia="Arial" w:hAnsi="Arial"/>
          <w:sz w:val="19"/>
          <w:szCs w:val="19"/>
          <w:u w:val="single" w:color="auto"/>
          <w:color w:val="auto"/>
        </w:rPr>
        <w:t>Borrowers</w:t>
      </w:r>
      <w:r>
        <w:rPr>
          <w:rFonts w:ascii="Arial" w:cs="Arial" w:eastAsia="Arial" w:hAnsi="Arial"/>
          <w:sz w:val="19"/>
          <w:szCs w:val="19"/>
          <w:color w:val="auto"/>
        </w:rPr>
        <w:t>”), each Lender (as defined in the Credit Agreement) from time to time party thereto and Wells Fargo Bank, National Association, as Administrative Agent, Swing Line Lender and an L/C Issuer. Capitalized terms used but not defined herein have the meanings assigned in the Credit Agreement or the Security Agreement or Guaranty referred to therein, as applicable.</w:t>
      </w:r>
    </w:p>
    <w:p>
      <w:pPr>
        <w:spacing w:after="0" w:line="17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The undersigned, a Responsible Officer of the Company, hereby certifies to the Administrative Agent and each other Secured Party as follows:</w:t>
      </w:r>
    </w:p>
    <w:p>
      <w:pPr>
        <w:spacing w:after="0" w:line="204" w:lineRule="exact"/>
        <w:rPr>
          <w:sz w:val="20"/>
          <w:szCs w:val="20"/>
          <w:color w:val="auto"/>
        </w:rPr>
      </w:pPr>
    </w:p>
    <w:p>
      <w:pPr>
        <w:ind w:left="1040" w:hanging="762"/>
        <w:spacing w:after="0"/>
        <w:tabs>
          <w:tab w:leader="none" w:pos="1040" w:val="left"/>
        </w:tabs>
        <w:numPr>
          <w:ilvl w:val="0"/>
          <w:numId w:val="375"/>
        </w:numPr>
        <w:rPr>
          <w:rFonts w:ascii="Arial" w:cs="Arial" w:eastAsia="Arial" w:hAnsi="Arial"/>
          <w:sz w:val="20"/>
          <w:szCs w:val="20"/>
          <w:color w:val="auto"/>
        </w:rPr>
      </w:pPr>
      <w:r>
        <w:rPr>
          <w:rFonts w:ascii="Arial" w:cs="Arial" w:eastAsia="Arial" w:hAnsi="Arial"/>
          <w:sz w:val="20"/>
          <w:szCs w:val="20"/>
          <w:u w:val="single" w:color="auto"/>
          <w:color w:val="auto"/>
        </w:rPr>
        <w:t>Names, Jurisdictions and Organizational and Federal Taxpayer Identification Numbers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280" w:firstLine="646"/>
        <w:spacing w:after="0" w:line="250" w:lineRule="auto"/>
        <w:tabs>
          <w:tab w:leader="none" w:pos="1422"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exact legal name of each Guarantor, as such name appears in its respective certificate of incorporation or formation, jurisdiction of organization, Organizational Identification Number, if any, issued by the jurisdiction of organization, and Federal Taxpayer Identification Number of each Guarantor are as follows:</w:t>
      </w:r>
    </w:p>
    <w:p>
      <w:pPr>
        <w:spacing w:after="0" w:line="199" w:lineRule="exact"/>
        <w:rPr>
          <w:rFonts w:ascii="Arial" w:cs="Arial" w:eastAsia="Arial" w:hAnsi="Arial"/>
          <w:sz w:val="20"/>
          <w:szCs w:val="20"/>
          <w:color w:val="auto"/>
        </w:rPr>
      </w:pPr>
    </w:p>
    <w:p>
      <w:pPr>
        <w:ind w:left="1380" w:hanging="454"/>
        <w:spacing w:after="0"/>
        <w:tabs>
          <w:tab w:leader="none" w:pos="13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Set forth below is each other legal name each Guarantor has had in the past five years, together with the date of the relevant</w:t>
      </w:r>
    </w:p>
    <w:p>
      <w:pPr>
        <w:spacing w:after="0" w:line="38"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20"/>
          <w:szCs w:val="20"/>
          <w:color w:val="auto"/>
        </w:rPr>
        <w:t>change:</w:t>
      </w:r>
    </w:p>
    <w:p>
      <w:pPr>
        <w:spacing w:after="0" w:line="213" w:lineRule="exact"/>
        <w:rPr>
          <w:rFonts w:ascii="Arial" w:cs="Arial" w:eastAsia="Arial" w:hAnsi="Arial"/>
          <w:sz w:val="18"/>
          <w:szCs w:val="18"/>
          <w:color w:val="auto"/>
        </w:rPr>
      </w:pPr>
    </w:p>
    <w:p>
      <w:pPr>
        <w:jc w:val="both"/>
        <w:ind w:left="280" w:firstLine="646"/>
        <w:spacing w:after="0" w:line="244" w:lineRule="auto"/>
        <w:tabs>
          <w:tab w:leader="none" w:pos="1341" w:val="left"/>
        </w:tabs>
        <w:numPr>
          <w:ilvl w:val="1"/>
          <w:numId w:val="375"/>
        </w:numPr>
        <w:rPr>
          <w:rFonts w:ascii="Arial" w:cs="Arial" w:eastAsia="Arial" w:hAnsi="Arial"/>
          <w:sz w:val="20"/>
          <w:szCs w:val="20"/>
          <w:color w:val="auto"/>
        </w:rPr>
      </w:pPr>
      <w:r>
        <w:rPr>
          <w:rFonts w:ascii="Arial" w:cs="Arial" w:eastAsia="Arial" w:hAnsi="Arial"/>
          <w:sz w:val="20"/>
          <w:szCs w:val="20"/>
          <w:color w:val="auto"/>
        </w:rPr>
        <w:t>Except as set forth in Schedule 1 hereto, to our knowledge, no Guarantor has changed its identity or corporate structure in any way within the past five years. Changes in identity or corporate structure would include mergers, consolidations and acquisitions, as well as any change in the form, nature or jurisdiction of organization. If any such change has occurred, include in Schedule 1 the information required by Sections 1 and 2 of this certificate as to each acquiree or constituent party to a merger or consolidation to the extent such information is available to the Company.</w:t>
      </w:r>
    </w:p>
    <w:p>
      <w:pPr>
        <w:spacing w:after="0" w:line="194" w:lineRule="exact"/>
        <w:rPr>
          <w:rFonts w:ascii="Arial" w:cs="Arial" w:eastAsia="Arial" w:hAnsi="Arial"/>
          <w:sz w:val="20"/>
          <w:szCs w:val="20"/>
          <w:color w:val="auto"/>
        </w:rPr>
      </w:pPr>
    </w:p>
    <w:p>
      <w:pPr>
        <w:jc w:val="both"/>
        <w:ind w:left="280" w:firstLine="646"/>
        <w:spacing w:after="0" w:line="250" w:lineRule="auto"/>
        <w:tabs>
          <w:tab w:leader="none" w:pos="1433"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To our knowledge, the following is a list of all other names (including trade names or similar appellations) used by each Guarantor or any of its divisions or other business units in connection with the conduct of its business or the ownership of its properties at any time during the past five years:</w:t>
      </w:r>
    </w:p>
    <w:p>
      <w:pPr>
        <w:spacing w:after="0" w:line="200"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u w:val="single" w:color="auto"/>
          <w:color w:val="auto"/>
        </w:rPr>
        <w:t>Current Locations</w:t>
      </w:r>
      <w:r>
        <w:rPr>
          <w:rFonts w:ascii="Arial" w:cs="Arial" w:eastAsia="Arial" w:hAnsi="Arial"/>
          <w:sz w:val="16"/>
          <w:szCs w:val="16"/>
          <w:color w:val="auto"/>
        </w:rPr>
        <w:t>. (a) The chief executive office of each Guarantor is located at the address set forth opposite its name below:</w:t>
      </w:r>
    </w:p>
    <w:p>
      <w:pPr>
        <w:spacing w:after="0" w:line="391" w:lineRule="exact"/>
        <w:rPr>
          <w:sz w:val="20"/>
          <w:szCs w:val="20"/>
          <w:color w:val="auto"/>
        </w:rPr>
      </w:pPr>
    </w:p>
    <w:p>
      <w:pPr>
        <w:ind w:left="280"/>
        <w:spacing w:after="0"/>
        <w:tabs>
          <w:tab w:leader="none" w:pos="1900" w:val="left"/>
          <w:tab w:leader="none" w:pos="4300" w:val="left"/>
          <w:tab w:leader="none" w:pos="6100" w:val="left"/>
        </w:tabs>
        <w:rPr>
          <w:sz w:val="20"/>
          <w:szCs w:val="20"/>
          <w:color w:val="auto"/>
        </w:rPr>
      </w:pPr>
      <w:r>
        <w:rPr>
          <w:rFonts w:ascii="Arial" w:cs="Arial" w:eastAsia="Arial" w:hAnsi="Arial"/>
          <w:sz w:val="20"/>
          <w:szCs w:val="20"/>
          <w:u w:val="single" w:color="auto"/>
          <w:color w:val="auto"/>
        </w:rPr>
        <w:t>Guarantor</w:t>
      </w:r>
      <w:r>
        <w:rPr>
          <w:sz w:val="20"/>
          <w:szCs w:val="20"/>
          <w:color w:val="auto"/>
        </w:rPr>
        <w:tab/>
      </w:r>
      <w:r>
        <w:rPr>
          <w:rFonts w:ascii="Arial" w:cs="Arial" w:eastAsia="Arial" w:hAnsi="Arial"/>
          <w:sz w:val="20"/>
          <w:szCs w:val="20"/>
          <w:u w:val="single" w:color="auto"/>
          <w:color w:val="auto"/>
        </w:rPr>
        <w:t>Mailing Address</w:t>
      </w:r>
      <w:r>
        <w:rPr>
          <w:sz w:val="20"/>
          <w:szCs w:val="20"/>
          <w:color w:val="auto"/>
        </w:rPr>
        <w:tab/>
      </w:r>
      <w:r>
        <w:rPr>
          <w:rFonts w:ascii="Arial" w:cs="Arial" w:eastAsia="Arial" w:hAnsi="Arial"/>
          <w:sz w:val="20"/>
          <w:szCs w:val="20"/>
          <w:u w:val="single" w:color="auto"/>
          <w:color w:val="auto"/>
        </w:rPr>
        <w:t>County</w:t>
      </w:r>
      <w:r>
        <w:rPr>
          <w:sz w:val="20"/>
          <w:szCs w:val="20"/>
          <w:color w:val="auto"/>
        </w:rPr>
        <w:tab/>
      </w:r>
      <w:r>
        <w:rPr>
          <w:rFonts w:ascii="Arial" w:cs="Arial" w:eastAsia="Arial" w:hAnsi="Arial"/>
          <w:sz w:val="16"/>
          <w:szCs w:val="16"/>
          <w:u w:val="single" w:color="auto"/>
          <w:color w:val="auto"/>
        </w:rPr>
        <w:t>State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33" w:right="239" w:bottom="1440" w:gutter="0" w:footer="0" w:header="0"/>
        </w:sectPr>
      </w:pPr>
    </w:p>
    <w:bookmarkStart w:id="474" w:name="page475"/>
    <w:bookmarkEnd w:id="474"/>
    <w:p>
      <w:pPr>
        <w:ind w:left="260" w:firstLine="639"/>
        <w:spacing w:after="0" w:line="289" w:lineRule="auto"/>
        <w:tabs>
          <w:tab w:leader="none" w:pos="1868" w:val="left"/>
        </w:tabs>
        <w:numPr>
          <w:ilvl w:val="0"/>
          <w:numId w:val="376"/>
        </w:numPr>
        <w:rPr>
          <w:rFonts w:ascii="Arial" w:cs="Arial" w:eastAsia="Arial" w:hAnsi="Arial"/>
          <w:sz w:val="20"/>
          <w:szCs w:val="20"/>
          <w:color w:val="auto"/>
        </w:rPr>
      </w:pPr>
      <w:r>
        <w:rPr>
          <w:rFonts w:ascii="Arial" w:cs="Arial" w:eastAsia="Arial" w:hAnsi="Arial"/>
          <w:sz w:val="20"/>
          <w:szCs w:val="20"/>
          <w:color w:val="auto"/>
        </w:rPr>
        <w:t>Set forth below opposite the name of each Guarantor are the names and addresses of all Persons other than such Guarantor that have possession of any material Collateral of such Guarantor:</w:t>
      </w:r>
    </w:p>
    <w:p>
      <w:pPr>
        <w:spacing w:after="0" w:line="324" w:lineRule="exact"/>
        <w:rPr>
          <w:sz w:val="20"/>
          <w:szCs w:val="20"/>
          <w:color w:val="auto"/>
        </w:rPr>
      </w:pPr>
    </w:p>
    <w:p>
      <w:pPr>
        <w:ind w:left="280"/>
        <w:spacing w:after="0"/>
        <w:tabs>
          <w:tab w:leader="none" w:pos="1740" w:val="left"/>
          <w:tab w:leader="none" w:pos="3680" w:val="left"/>
          <w:tab w:leader="none" w:pos="5400" w:val="left"/>
          <w:tab w:leader="none" w:pos="6800" w:val="left"/>
        </w:tabs>
        <w:rPr>
          <w:sz w:val="20"/>
          <w:szCs w:val="20"/>
          <w:color w:val="auto"/>
        </w:rPr>
      </w:pPr>
      <w:r>
        <w:rPr>
          <w:rFonts w:ascii="Arial" w:cs="Arial" w:eastAsia="Arial" w:hAnsi="Arial"/>
          <w:sz w:val="20"/>
          <w:szCs w:val="20"/>
          <w:u w:val="single" w:color="auto"/>
          <w:color w:val="auto"/>
        </w:rPr>
        <w:t>Guarantor</w:t>
      </w:r>
      <w:r>
        <w:rPr>
          <w:sz w:val="20"/>
          <w:szCs w:val="20"/>
          <w:color w:val="auto"/>
        </w:rPr>
        <w:tab/>
      </w:r>
      <w:r>
        <w:rPr>
          <w:rFonts w:ascii="Arial" w:cs="Arial" w:eastAsia="Arial" w:hAnsi="Arial"/>
          <w:sz w:val="20"/>
          <w:szCs w:val="20"/>
          <w:u w:val="single" w:color="auto"/>
          <w:color w:val="auto"/>
        </w:rPr>
        <w:t>Name of Person</w:t>
      </w:r>
      <w:r>
        <w:rPr>
          <w:sz w:val="20"/>
          <w:szCs w:val="20"/>
          <w:color w:val="auto"/>
        </w:rPr>
        <w:tab/>
      </w:r>
      <w:r>
        <w:rPr>
          <w:rFonts w:ascii="Arial" w:cs="Arial" w:eastAsia="Arial" w:hAnsi="Arial"/>
          <w:sz w:val="20"/>
          <w:szCs w:val="20"/>
          <w:u w:val="single" w:color="auto"/>
          <w:color w:val="auto"/>
        </w:rPr>
        <w:t>Mailing Address</w:t>
      </w:r>
      <w:r>
        <w:rPr>
          <w:sz w:val="20"/>
          <w:szCs w:val="20"/>
          <w:color w:val="auto"/>
        </w:rPr>
        <w:tab/>
      </w:r>
      <w:r>
        <w:rPr>
          <w:rFonts w:ascii="Arial" w:cs="Arial" w:eastAsia="Arial" w:hAnsi="Arial"/>
          <w:sz w:val="20"/>
          <w:szCs w:val="20"/>
          <w:u w:val="single" w:color="auto"/>
          <w:color w:val="auto"/>
        </w:rPr>
        <w:t>County</w:t>
      </w:r>
      <w:r>
        <w:rPr>
          <w:sz w:val="20"/>
          <w:szCs w:val="20"/>
          <w:color w:val="auto"/>
        </w:rPr>
        <w:tab/>
      </w:r>
      <w:r>
        <w:rPr>
          <w:rFonts w:ascii="Arial" w:cs="Arial" w:eastAsia="Arial" w:hAnsi="Arial"/>
          <w:sz w:val="16"/>
          <w:szCs w:val="16"/>
          <w:u w:val="single" w:color="auto"/>
          <w:color w:val="auto"/>
        </w:rPr>
        <w:t>State</w:t>
      </w:r>
    </w:p>
    <w:p>
      <w:pPr>
        <w:spacing w:after="0" w:line="256" w:lineRule="exact"/>
        <w:rPr>
          <w:sz w:val="20"/>
          <w:szCs w:val="20"/>
          <w:color w:val="auto"/>
        </w:rPr>
      </w:pPr>
    </w:p>
    <w:p>
      <w:pPr>
        <w:jc w:val="both"/>
        <w:ind w:left="280" w:firstLine="646"/>
        <w:spacing w:after="0" w:line="356" w:lineRule="auto"/>
        <w:tabs>
          <w:tab w:leader="none" w:pos="1796"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Set forth below is a list of all real property held by each Guarantor, with detail as to (i) whether owned or leased, (ii) the name of the Guarantor that owns or leases such real property, and (iii) the fair market value of any such owned or leased real property, to the extent an appraisal exists, with respect to any such owned or leased real property, or, in the absence of any such appraisal, the book value of any such owned real property or the current annual rent with respect to any such leased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real property that is Excluded Real Property shall be included in such list to provide only the information required by clause (i) and (ii) above:</w:t>
      </w:r>
    </w:p>
    <w:p>
      <w:pPr>
        <w:spacing w:after="0" w:line="25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84"/>
              </w:rPr>
              <w:t>Address</w:t>
            </w:r>
          </w:p>
        </w:tc>
        <w:tc>
          <w:tcPr>
            <w:tcW w:w="3360" w:type="dxa"/>
            <w:vAlign w:val="bottom"/>
            <w:gridSpan w:val="3"/>
          </w:tcPr>
          <w:p>
            <w:pPr>
              <w:ind w:left="940"/>
              <w:spacing w:after="0"/>
              <w:rPr>
                <w:sz w:val="20"/>
                <w:szCs w:val="20"/>
                <w:color w:val="auto"/>
              </w:rPr>
            </w:pPr>
            <w:r>
              <w:rPr>
                <w:rFonts w:ascii="Arial" w:cs="Arial" w:eastAsia="Arial" w:hAnsi="Arial"/>
                <w:sz w:val="20"/>
                <w:szCs w:val="20"/>
                <w:color w:val="auto"/>
              </w:rPr>
              <w:t>Owned/Leased</w:t>
            </w:r>
          </w:p>
        </w:tc>
        <w:tc>
          <w:tcPr>
            <w:tcW w:w="1960" w:type="dxa"/>
            <w:vAlign w:val="bottom"/>
            <w:gridSpan w:val="2"/>
          </w:tcPr>
          <w:p>
            <w:pPr>
              <w:spacing w:after="0"/>
              <w:rPr>
                <w:sz w:val="20"/>
                <w:szCs w:val="20"/>
                <w:color w:val="auto"/>
              </w:rPr>
            </w:pPr>
            <w:r>
              <w:rPr>
                <w:rFonts w:ascii="Arial" w:cs="Arial" w:eastAsia="Arial" w:hAnsi="Arial"/>
                <w:sz w:val="20"/>
                <w:szCs w:val="20"/>
                <w:color w:val="auto"/>
              </w:rPr>
              <w:t>Guarantor</w:t>
            </w:r>
          </w:p>
        </w:tc>
        <w:tc>
          <w:tcPr>
            <w:tcW w:w="1880" w:type="dxa"/>
            <w:vAlign w:val="bottom"/>
            <w:gridSpan w:val="2"/>
          </w:tcPr>
          <w:p>
            <w:pPr>
              <w:spacing w:after="0"/>
              <w:rPr>
                <w:sz w:val="20"/>
                <w:szCs w:val="20"/>
                <w:color w:val="auto"/>
              </w:rPr>
            </w:pPr>
            <w:r>
              <w:rPr>
                <w:rFonts w:ascii="Arial" w:cs="Arial" w:eastAsia="Arial" w:hAnsi="Arial"/>
                <w:sz w:val="20"/>
                <w:szCs w:val="20"/>
                <w:color w:val="auto"/>
                <w:w w:val="90"/>
              </w:rPr>
              <w:t>Book, Market or Rental</w:t>
            </w:r>
          </w:p>
        </w:tc>
      </w:tr>
      <w:tr>
        <w:trPr>
          <w:trHeight w:val="210"/>
        </w:trPr>
        <w:tc>
          <w:tcPr>
            <w:tcW w:w="64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5"/>
              </w:rPr>
              <w:t>Value</w:t>
            </w:r>
          </w:p>
        </w:tc>
        <w:tc>
          <w:tcPr>
            <w:tcW w:w="1420" w:type="dxa"/>
            <w:vAlign w:val="bottom"/>
            <w:tcBorders>
              <w:top w:val="single" w:sz="8" w:color="auto"/>
            </w:tcBorders>
          </w:tcPr>
          <w:p>
            <w:pPr>
              <w:spacing w:after="0"/>
              <w:rPr>
                <w:sz w:val="18"/>
                <w:szCs w:val="18"/>
                <w:color w:val="auto"/>
              </w:rPr>
            </w:pPr>
          </w:p>
        </w:tc>
      </w:tr>
    </w:tbl>
    <w:p>
      <w:pPr>
        <w:spacing w:after="0" w:line="280" w:lineRule="exact"/>
        <w:rPr>
          <w:sz w:val="20"/>
          <w:szCs w:val="20"/>
          <w:color w:val="auto"/>
        </w:rPr>
      </w:pPr>
    </w:p>
    <w:p>
      <w:pPr>
        <w:ind w:left="280" w:firstLine="646"/>
        <w:spacing w:after="0" w:line="347" w:lineRule="auto"/>
        <w:tabs>
          <w:tab w:leader="none" w:pos="180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Set forth below opposite the name of each Guarantor are all the locations where such Guarantor maintains any material Collateral and all the places of business where such Guarantor conducts any material business that are not identified above:</w:t>
      </w:r>
    </w:p>
    <w:p>
      <w:pPr>
        <w:spacing w:after="0" w:line="279" w:lineRule="exact"/>
        <w:rPr>
          <w:sz w:val="20"/>
          <w:szCs w:val="20"/>
          <w:color w:val="auto"/>
        </w:rPr>
      </w:pPr>
    </w:p>
    <w:p>
      <w:pPr>
        <w:ind w:left="280"/>
        <w:spacing w:after="0"/>
        <w:tabs>
          <w:tab w:leader="none" w:pos="2320" w:val="left"/>
          <w:tab w:leader="none" w:pos="5300" w:val="left"/>
          <w:tab w:leader="none" w:pos="7540" w:val="left"/>
        </w:tabs>
        <w:rPr>
          <w:sz w:val="20"/>
          <w:szCs w:val="20"/>
          <w:color w:val="auto"/>
        </w:rPr>
      </w:pPr>
      <w:r>
        <w:rPr>
          <w:rFonts w:ascii="Arial" w:cs="Arial" w:eastAsia="Arial" w:hAnsi="Arial"/>
          <w:sz w:val="20"/>
          <w:szCs w:val="20"/>
          <w:u w:val="single" w:color="auto"/>
          <w:color w:val="auto"/>
        </w:rPr>
        <w:t>Guarantor</w:t>
      </w:r>
      <w:r>
        <w:rPr>
          <w:sz w:val="20"/>
          <w:szCs w:val="20"/>
          <w:color w:val="auto"/>
        </w:rPr>
        <w:tab/>
      </w:r>
      <w:r>
        <w:rPr>
          <w:rFonts w:ascii="Arial" w:cs="Arial" w:eastAsia="Arial" w:hAnsi="Arial"/>
          <w:sz w:val="20"/>
          <w:szCs w:val="20"/>
          <w:u w:val="single" w:color="auto"/>
          <w:color w:val="auto"/>
        </w:rPr>
        <w:t>Mailing Address</w:t>
      </w:r>
      <w:r>
        <w:rPr>
          <w:sz w:val="20"/>
          <w:szCs w:val="20"/>
          <w:color w:val="auto"/>
        </w:rPr>
        <w:tab/>
      </w:r>
      <w:r>
        <w:rPr>
          <w:rFonts w:ascii="Arial" w:cs="Arial" w:eastAsia="Arial" w:hAnsi="Arial"/>
          <w:sz w:val="20"/>
          <w:szCs w:val="20"/>
          <w:u w:val="single" w:color="auto"/>
          <w:color w:val="auto"/>
        </w:rPr>
        <w:t>County</w:t>
      </w:r>
      <w:r>
        <w:rPr>
          <w:sz w:val="20"/>
          <w:szCs w:val="20"/>
          <w:color w:val="auto"/>
        </w:rPr>
        <w:tab/>
      </w:r>
      <w:r>
        <w:rPr>
          <w:rFonts w:ascii="Arial" w:cs="Arial" w:eastAsia="Arial" w:hAnsi="Arial"/>
          <w:sz w:val="16"/>
          <w:szCs w:val="16"/>
          <w:u w:val="single" w:color="auto"/>
          <w:color w:val="auto"/>
        </w:rPr>
        <w:t>State</w:t>
      </w:r>
    </w:p>
    <w:p>
      <w:pPr>
        <w:spacing w:after="0" w:line="270" w:lineRule="exact"/>
        <w:rPr>
          <w:sz w:val="20"/>
          <w:szCs w:val="20"/>
          <w:color w:val="auto"/>
        </w:rPr>
      </w:pPr>
    </w:p>
    <w:p>
      <w:pPr>
        <w:ind w:left="280" w:firstLine="646"/>
        <w:spacing w:after="0" w:line="316" w:lineRule="auto"/>
        <w:tabs>
          <w:tab w:leader="none" w:pos="1725"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Unusual Transactions</w:t>
      </w:r>
      <w:r>
        <w:rPr>
          <w:rFonts w:ascii="Arial" w:cs="Arial" w:eastAsia="Arial" w:hAnsi="Arial"/>
          <w:sz w:val="19"/>
          <w:szCs w:val="19"/>
          <w:color w:val="auto"/>
        </w:rPr>
        <w:t>. All Accounts have been originated by the Guarantors and all Inventory has been acquired by the Guarantors in the ordinary course of business (other than Accounts acquired in connection with a business acquisition).</w:t>
      </w:r>
    </w:p>
    <w:p>
      <w:pPr>
        <w:spacing w:after="0" w:line="153" w:lineRule="exact"/>
        <w:rPr>
          <w:rFonts w:ascii="Arial" w:cs="Arial" w:eastAsia="Arial" w:hAnsi="Arial"/>
          <w:sz w:val="19"/>
          <w:szCs w:val="19"/>
          <w:color w:val="auto"/>
        </w:rPr>
      </w:pPr>
    </w:p>
    <w:p>
      <w:pPr>
        <w:jc w:val="both"/>
        <w:ind w:left="280" w:firstLine="646"/>
        <w:spacing w:after="0" w:line="278" w:lineRule="auto"/>
        <w:tabs>
          <w:tab w:leader="none" w:pos="1725"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Schedule of Filings</w:t>
      </w:r>
      <w:r>
        <w:rPr>
          <w:rFonts w:ascii="Arial" w:cs="Arial" w:eastAsia="Arial" w:hAnsi="Arial"/>
          <w:sz w:val="20"/>
          <w:szCs w:val="20"/>
          <w:color w:val="auto"/>
        </w:rPr>
        <w:t>. Attached hereto as Schedule 4 is a schedule setting forth the proper Uniform Commercial Code filing office in the jurisdiction in which each Guarantor is located (as determined pursuant to Section 9-307 of the UCC) and, to the extent any of the Collateral is comprised of fixtures, in the proper local jurisdiction.</w:t>
      </w:r>
    </w:p>
    <w:p>
      <w:pPr>
        <w:spacing w:after="0" w:line="186" w:lineRule="exact"/>
        <w:rPr>
          <w:rFonts w:ascii="Arial" w:cs="Arial" w:eastAsia="Arial" w:hAnsi="Arial"/>
          <w:sz w:val="20"/>
          <w:szCs w:val="20"/>
          <w:color w:val="auto"/>
        </w:rPr>
      </w:pPr>
    </w:p>
    <w:p>
      <w:pPr>
        <w:jc w:val="both"/>
        <w:ind w:left="280" w:firstLine="646"/>
        <w:spacing w:after="0" w:line="274" w:lineRule="auto"/>
        <w:tabs>
          <w:tab w:leader="none" w:pos="1725"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Stock Ownership and other Equity Interests</w:t>
      </w:r>
      <w:r>
        <w:rPr>
          <w:rFonts w:ascii="Arial" w:cs="Arial" w:eastAsia="Arial" w:hAnsi="Arial"/>
          <w:sz w:val="20"/>
          <w:szCs w:val="20"/>
          <w:color w:val="auto"/>
        </w:rPr>
        <w:t>. Attached hereto as Schedule 5 is a true and correct list of all the issued and outstanding Equity Interests of the Company and each Subsidiary and the record and beneficial owners of such Equity Interests. Also set forth on Schedule 5 is each Investment of the Company or any Subsidiary that represents 50% or less of the Equity Interests of the Person in which such Investment was made.</w:t>
      </w:r>
    </w:p>
    <w:p>
      <w:pPr>
        <w:spacing w:after="0" w:line="205" w:lineRule="exact"/>
        <w:rPr>
          <w:rFonts w:ascii="Arial" w:cs="Arial" w:eastAsia="Arial" w:hAnsi="Arial"/>
          <w:sz w:val="20"/>
          <w:szCs w:val="20"/>
          <w:color w:val="auto"/>
        </w:rPr>
      </w:pPr>
    </w:p>
    <w:p>
      <w:pPr>
        <w:jc w:val="both"/>
        <w:ind w:left="280" w:firstLine="646"/>
        <w:spacing w:after="0" w:line="278" w:lineRule="auto"/>
        <w:tabs>
          <w:tab w:leader="none" w:pos="1725"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Debt Instruments</w:t>
      </w:r>
      <w:r>
        <w:rPr>
          <w:rFonts w:ascii="Arial" w:cs="Arial" w:eastAsia="Arial" w:hAnsi="Arial"/>
          <w:sz w:val="20"/>
          <w:szCs w:val="20"/>
          <w:color w:val="auto"/>
        </w:rPr>
        <w:t>. Attached hereto as Schedule 6 is a true and correct list of all promissory notes and other evidence of Indebtedness held by the Company and each other loan party having a principal amount in excess of $5,000,000 that are required to be pledged under the Security Agreement, including all intercompany notes between Loan Parties.</w:t>
      </w:r>
    </w:p>
    <w:p>
      <w:pPr>
        <w:spacing w:after="0" w:line="200" w:lineRule="exact"/>
        <w:rPr>
          <w:rFonts w:ascii="Arial" w:cs="Arial" w:eastAsia="Arial" w:hAnsi="Arial"/>
          <w:sz w:val="20"/>
          <w:szCs w:val="20"/>
          <w:color w:val="auto"/>
        </w:rPr>
      </w:pPr>
    </w:p>
    <w:p>
      <w:pPr>
        <w:jc w:val="both"/>
        <w:ind w:left="280" w:firstLine="646"/>
        <w:spacing w:after="0" w:line="314" w:lineRule="auto"/>
        <w:tabs>
          <w:tab w:leader="none" w:pos="1725"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Mortgage Filings</w:t>
      </w:r>
      <w:r>
        <w:rPr>
          <w:rFonts w:ascii="Arial" w:cs="Arial" w:eastAsia="Arial" w:hAnsi="Arial"/>
          <w:sz w:val="18"/>
          <w:szCs w:val="18"/>
          <w:color w:val="auto"/>
        </w:rPr>
        <w:t>. Attached hereto as Schedule 7 is a schedule setting forth, with respect to each Mortgaged Property, (a) the exact name of the Person that owns such property as such name appears in its certificate of incorporation or other organizational document, (b) if different from the name identified pursuant to clause (a), the exact name of the current mortgagor/grantor of such property reflected in the records of the filing office for such property identified pursuant to the following clause and (c) the filing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447" w:right="239" w:bottom="1440" w:gutter="0" w:footer="0" w:header="0"/>
        </w:sectPr>
      </w:pPr>
    </w:p>
    <w:bookmarkStart w:id="475" w:name="page476"/>
    <w:bookmarkEnd w:id="475"/>
    <w:p>
      <w:pPr>
        <w:ind w:left="280"/>
        <w:spacing w:after="0" w:line="289" w:lineRule="auto"/>
        <w:rPr>
          <w:sz w:val="20"/>
          <w:szCs w:val="20"/>
          <w:color w:val="auto"/>
        </w:rPr>
      </w:pPr>
      <w:r>
        <w:rPr>
          <w:rFonts w:ascii="Arial" w:cs="Arial" w:eastAsia="Arial" w:hAnsi="Arial"/>
          <w:sz w:val="20"/>
          <w:szCs w:val="20"/>
          <w:color w:val="auto"/>
        </w:rPr>
        <w:t>office in which a Mortgage with respect to such property must be filed or recorded in order for the Administrative Agent to obtain a perfected security interest therein.</w:t>
      </w:r>
    </w:p>
    <w:p>
      <w:pPr>
        <w:spacing w:after="0" w:line="27" w:lineRule="exact"/>
        <w:rPr>
          <w:sz w:val="20"/>
          <w:szCs w:val="20"/>
          <w:color w:val="auto"/>
        </w:rPr>
      </w:pPr>
    </w:p>
    <w:p>
      <w:pPr>
        <w:jc w:val="both"/>
        <w:ind w:left="280" w:firstLine="646"/>
        <w:spacing w:after="0" w:line="356" w:lineRule="auto"/>
        <w:tabs>
          <w:tab w:leader="none" w:pos="1725"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(a) Attached hereto as Schedule 8(a) in proper form for filing with the United States Patent and Trademark Office is a schedule setting forth all of each Guarantor’s: (i) Patents and Patent applications, including the name of the registered owner, type, registration or application number and the expiration date (if already registered) of each Patent and Patent application owned by any Guarantor; and (ii) Trademarks and Trademark applications, including the name of the registered owner, the registration or application number and the expiration date (if already registered) of each Trademark and Trademark application owned by any Guarantor.</w:t>
      </w:r>
    </w:p>
    <w:p>
      <w:pPr>
        <w:spacing w:after="0" w:line="148" w:lineRule="exact"/>
        <w:rPr>
          <w:sz w:val="20"/>
          <w:szCs w:val="20"/>
          <w:color w:val="auto"/>
        </w:rPr>
      </w:pPr>
    </w:p>
    <w:p>
      <w:pPr>
        <w:jc w:val="both"/>
        <w:ind w:left="280" w:firstLine="646"/>
        <w:spacing w:after="0" w:line="274" w:lineRule="auto"/>
        <w:tabs>
          <w:tab w:leader="none" w:pos="1807"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Attached hereto as Schedule 8(b) in proper form for filing with the United States Copyright Office is a schedule setting forth all of each Guarantor’s Copyrights and Copyright applications, including the name of the registered owner, title, the registration number or application number and the expiration date (if already registered) of each Copyright or Copyright application owned by any Guarantor.</w:t>
      </w:r>
    </w:p>
    <w:p>
      <w:pPr>
        <w:spacing w:after="0" w:line="192" w:lineRule="exact"/>
        <w:rPr>
          <w:rFonts w:ascii="Arial" w:cs="Arial" w:eastAsia="Arial" w:hAnsi="Arial"/>
          <w:sz w:val="20"/>
          <w:szCs w:val="20"/>
          <w:color w:val="auto"/>
        </w:rPr>
      </w:pPr>
    </w:p>
    <w:p>
      <w:pPr>
        <w:ind w:left="1800" w:hanging="874"/>
        <w:spacing w:after="0"/>
        <w:tabs>
          <w:tab w:leader="none" w:pos="18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Attached hereto as Schedule 8(c) is a list of any Domain Names registered to any Guarantor and the expiry date of each</w:t>
      </w:r>
    </w:p>
    <w:p>
      <w:pPr>
        <w:spacing w:after="0" w:line="4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20"/>
          <w:szCs w:val="20"/>
          <w:color w:val="auto"/>
        </w:rPr>
        <w:t>Domain Name.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1420"/>
          </w:cols>
          <w:pgMar w:left="240" w:top="379" w:right="239" w:bottom="1440" w:gutter="0" w:footer="0" w:header="0"/>
        </w:sectPr>
      </w:pPr>
    </w:p>
    <w:bookmarkStart w:id="476" w:name="page477"/>
    <w:bookmarkEnd w:id="476"/>
    <w:p>
      <w:pPr>
        <w:ind w:left="920"/>
        <w:spacing w:after="0"/>
        <w:tabs>
          <w:tab w:leader="none" w:pos="7960" w:val="left"/>
          <w:tab w:leader="none" w:pos="8940" w:val="left"/>
        </w:tabs>
        <w:rPr>
          <w:sz w:val="20"/>
          <w:szCs w:val="20"/>
          <w:color w:val="auto"/>
        </w:rPr>
      </w:pPr>
      <w:r>
        <w:rPr>
          <w:rFonts w:ascii="Arial" w:cs="Arial" w:eastAsia="Arial" w:hAnsi="Arial"/>
          <w:sz w:val="20"/>
          <w:szCs w:val="20"/>
          <w:color w:val="auto"/>
        </w:rPr>
        <w:t>IN WITNESS WHEREOF, the undersigned has duly executed this certificate on this [</w:t>
        <w:tab/>
        <w:t>] day of [</w:t>
      </w:r>
      <w:r>
        <w:rPr>
          <w:sz w:val="20"/>
          <w:szCs w:val="20"/>
          <w:color w:val="auto"/>
        </w:rPr>
        <w:tab/>
      </w:r>
      <w:r>
        <w:rPr>
          <w:rFonts w:ascii="Arial" w:cs="Arial" w:eastAsia="Arial" w:hAnsi="Arial"/>
          <w:sz w:val="19"/>
          <w:szCs w:val="19"/>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4909820</wp:posOffset>
            </wp:positionH>
            <wp:positionV relativeFrom="paragraph">
              <wp:posOffset>-14605</wp:posOffset>
            </wp:positionV>
            <wp:extent cx="1568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5530850</wp:posOffset>
            </wp:positionH>
            <wp:positionV relativeFrom="paragraph">
              <wp:posOffset>-14605</wp:posOffset>
            </wp:positionV>
            <wp:extent cx="1568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371" w:lineRule="exact"/>
        <w:rPr>
          <w:sz w:val="20"/>
          <w:szCs w:val="20"/>
          <w:color w:val="auto"/>
        </w:rPr>
      </w:pPr>
    </w:p>
    <w:p>
      <w:pPr>
        <w:ind w:left="40"/>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27305</wp:posOffset>
            </wp:positionV>
            <wp:extent cx="32588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42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Title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95959845_3</w:t>
      </w:r>
    </w:p>
    <w:p>
      <w:pPr>
        <w:sectPr>
          <w:pgSz w:w="11900" w:h="16838" w:orient="portrait"/>
          <w:cols w:equalWidth="0" w:num="1">
            <w:col w:w="10219"/>
          </w:cols>
          <w:pgMar w:left="240" w:top="433" w:right="1440" w:bottom="1440" w:gutter="0" w:footer="0" w:header="0"/>
        </w:sectPr>
      </w:pPr>
    </w:p>
    <w:bookmarkStart w:id="477" w:name="page478"/>
    <w:bookmarkEnd w:id="477"/>
    <w:p>
      <w:pPr>
        <w:jc w:val="right"/>
        <w:spacing w:after="0"/>
        <w:rPr>
          <w:sz w:val="20"/>
          <w:szCs w:val="20"/>
          <w:color w:val="auto"/>
        </w:rPr>
      </w:pPr>
      <w:r>
        <w:rPr>
          <w:rFonts w:ascii="Arial" w:cs="Arial" w:eastAsia="Arial" w:hAnsi="Arial"/>
          <w:sz w:val="20"/>
          <w:szCs w:val="20"/>
          <w:u w:val="single" w:color="auto"/>
          <w:color w:val="auto"/>
        </w:rPr>
        <w:t>EXHIBIT H</w:t>
      </w:r>
    </w:p>
    <w:p>
      <w:pPr>
        <w:spacing w:after="0" w:line="331" w:lineRule="exact"/>
        <w:rPr>
          <w:sz w:val="20"/>
          <w:szCs w:val="20"/>
          <w:color w:val="auto"/>
        </w:rPr>
      </w:pPr>
    </w:p>
    <w:p>
      <w:pPr>
        <w:ind w:left="5700"/>
        <w:spacing w:after="0"/>
        <w:rPr>
          <w:sz w:val="20"/>
          <w:szCs w:val="20"/>
          <w:color w:val="auto"/>
        </w:rPr>
      </w:pPr>
      <w:r>
        <w:rPr>
          <w:rFonts w:ascii="Arial" w:cs="Arial" w:eastAsia="Arial" w:hAnsi="Arial"/>
          <w:sz w:val="20"/>
          <w:szCs w:val="20"/>
          <w:b w:val="1"/>
          <w:bCs w:val="1"/>
          <w:color w:val="auto"/>
        </w:rPr>
        <w:t xml:space="preserve">[FORM OF] </w:t>
      </w:r>
      <w:r>
        <w:rPr>
          <w:rFonts w:ascii="Arial" w:cs="Arial" w:eastAsia="Arial" w:hAnsi="Arial"/>
          <w:sz w:val="20"/>
          <w:szCs w:val="20"/>
          <w:b w:val="1"/>
          <w:bCs w:val="1"/>
          <w:u w:val="single" w:color="auto"/>
          <w:color w:val="auto"/>
        </w:rPr>
        <w:t>INTERCOMPANY NOTE</w:t>
      </w:r>
    </w:p>
    <w:p>
      <w:pPr>
        <w:spacing w:after="0" w:line="127" w:lineRule="exact"/>
        <w:rPr>
          <w:sz w:val="20"/>
          <w:szCs w:val="20"/>
          <w:color w:val="auto"/>
        </w:rPr>
      </w:pPr>
    </w:p>
    <w:p>
      <w:pPr>
        <w:ind w:left="9700"/>
        <w:spacing w:after="0"/>
        <w:rPr>
          <w:sz w:val="20"/>
          <w:szCs w:val="20"/>
          <w:color w:val="auto"/>
        </w:rPr>
      </w:pPr>
      <w:r>
        <w:rPr>
          <w:rFonts w:ascii="Arial" w:cs="Arial" w:eastAsia="Arial" w:hAnsi="Arial"/>
          <w:sz w:val="18"/>
          <w:szCs w:val="18"/>
          <w:color w:val="auto"/>
        </w:rPr>
        <w:t>New York, New York</w:t>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[_____], 20[_]</w:t>
      </w:r>
    </w:p>
    <w:p>
      <w:pPr>
        <w:spacing w:after="0" w:line="230" w:lineRule="exact"/>
        <w:rPr>
          <w:sz w:val="20"/>
          <w:szCs w:val="20"/>
          <w:color w:val="auto"/>
        </w:rPr>
      </w:pPr>
    </w:p>
    <w:p>
      <w:pPr>
        <w:jc w:val="both"/>
        <w:ind w:left="280" w:firstLine="648"/>
        <w:spacing w:after="0" w:line="258" w:lineRule="auto"/>
        <w:rPr>
          <w:sz w:val="20"/>
          <w:szCs w:val="20"/>
          <w:color w:val="auto"/>
        </w:rPr>
      </w:pPr>
      <w:r>
        <w:rPr>
          <w:rFonts w:ascii="Arial" w:cs="Arial" w:eastAsia="Arial" w:hAnsi="Arial"/>
          <w:sz w:val="19"/>
          <w:szCs w:val="19"/>
          <w:color w:val="auto"/>
        </w:rPr>
        <w:t>FOR VALUE RECEIVED, each of the undersigned, to the extent a borrower from time to time from any other entity listed on the signature page hereto (each, in such capacity, a “</w:t>
      </w:r>
      <w:r>
        <w:rPr>
          <w:rFonts w:ascii="Arial" w:cs="Arial" w:eastAsia="Arial" w:hAnsi="Arial"/>
          <w:sz w:val="19"/>
          <w:szCs w:val="19"/>
          <w:u w:val="single" w:color="auto"/>
          <w:color w:val="auto"/>
        </w:rPr>
        <w:t>Payor</w:t>
      </w:r>
      <w:r>
        <w:rPr>
          <w:rFonts w:ascii="Arial" w:cs="Arial" w:eastAsia="Arial" w:hAnsi="Arial"/>
          <w:sz w:val="19"/>
          <w:szCs w:val="19"/>
          <w:color w:val="auto"/>
        </w:rPr>
        <w:t>”), hereby promises to pay on demand to the order of such other entity listed below (each, in such capacity, a “</w:t>
      </w:r>
      <w:r>
        <w:rPr>
          <w:rFonts w:ascii="Arial" w:cs="Arial" w:eastAsia="Arial" w:hAnsi="Arial"/>
          <w:sz w:val="19"/>
          <w:szCs w:val="19"/>
          <w:u w:val="single" w:color="auto"/>
          <w:color w:val="auto"/>
        </w:rPr>
        <w:t>Payee</w:t>
      </w:r>
      <w:r>
        <w:rPr>
          <w:rFonts w:ascii="Arial" w:cs="Arial" w:eastAsia="Arial" w:hAnsi="Arial"/>
          <w:sz w:val="19"/>
          <w:szCs w:val="19"/>
          <w:color w:val="auto"/>
        </w:rPr>
        <w:t>”), in lawful money of the United States of America in immediately available funds, at such location in the United States of America as a Payee shall from time to time designate, the unpaid principal amount of all loans and advances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spacing w:after="0" w:line="193"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This note (“</w:t>
      </w:r>
      <w:r>
        <w:rPr>
          <w:rFonts w:ascii="Arial" w:cs="Arial" w:eastAsia="Arial" w:hAnsi="Arial"/>
          <w:sz w:val="19"/>
          <w:szCs w:val="19"/>
          <w:u w:val="single" w:color="auto"/>
          <w:color w:val="auto"/>
        </w:rPr>
        <w:t>Note</w:t>
      </w:r>
      <w:r>
        <w:rPr>
          <w:rFonts w:ascii="Arial" w:cs="Arial" w:eastAsia="Arial" w:hAnsi="Arial"/>
          <w:sz w:val="19"/>
          <w:szCs w:val="19"/>
          <w:color w:val="auto"/>
        </w:rPr>
        <w:t>”) is the Intercompany Note referred to in the Amended and Restated Credit Agreement dated as of November 30, 2017 (as amended, supplemented, restated and/or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OSI Restaurant Partners, LLC (“</w:t>
      </w:r>
      <w:r>
        <w:rPr>
          <w:rFonts w:ascii="Arial" w:cs="Arial" w:eastAsia="Arial" w:hAnsi="Arial"/>
          <w:sz w:val="19"/>
          <w:szCs w:val="19"/>
          <w:u w:val="single" w:color="auto"/>
          <w:color w:val="auto"/>
        </w:rPr>
        <w:t>OSI</w:t>
      </w:r>
      <w:r>
        <w:rPr>
          <w:rFonts w:ascii="Arial" w:cs="Arial" w:eastAsia="Arial" w:hAnsi="Arial"/>
          <w:sz w:val="19"/>
          <w:szCs w:val="19"/>
          <w:color w:val="auto"/>
        </w:rPr>
        <w:t>”), Bloomin’ Brands,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together with OSI, the “</w:t>
      </w:r>
      <w:r>
        <w:rPr>
          <w:rFonts w:ascii="Arial" w:cs="Arial" w:eastAsia="Arial" w:hAnsi="Arial"/>
          <w:sz w:val="19"/>
          <w:szCs w:val="19"/>
          <w:u w:val="single" w:color="auto"/>
          <w:color w:val="auto"/>
        </w:rPr>
        <w:t>Borrowers</w:t>
      </w:r>
      <w:r>
        <w:rPr>
          <w:rFonts w:ascii="Arial" w:cs="Arial" w:eastAsia="Arial" w:hAnsi="Arial"/>
          <w:sz w:val="19"/>
          <w:szCs w:val="19"/>
          <w:color w:val="auto"/>
        </w:rPr>
        <w:t>”), the lenders from time to time party thereto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and Wells Fargo Bank, National Association,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Swing Line Lender and an L/C Issuer. Unless otherwise specified, capitalized terms used but not defined herein shall have the meanings assigned to such terms in the Credit Agreement. Each Payee hereby acknowledges and agrees that the Administrative Agent and the Collateral Agent may exercise all rights provided in the Credit Agreement and the Collateral Documents with respect to this Note.</w:t>
      </w:r>
    </w:p>
    <w:p>
      <w:pPr>
        <w:spacing w:after="0" w:line="181" w:lineRule="exact"/>
        <w:rPr>
          <w:sz w:val="20"/>
          <w:szCs w:val="20"/>
          <w:color w:val="auto"/>
        </w:rPr>
      </w:pPr>
    </w:p>
    <w:p>
      <w:pPr>
        <w:jc w:val="both"/>
        <w:ind w:left="280" w:firstLine="648"/>
        <w:spacing w:after="0" w:line="242" w:lineRule="auto"/>
        <w:rPr>
          <w:sz w:val="20"/>
          <w:szCs w:val="20"/>
          <w:color w:val="auto"/>
        </w:rPr>
      </w:pPr>
      <w:r>
        <w:rPr>
          <w:rFonts w:ascii="Arial" w:cs="Arial" w:eastAsia="Arial" w:hAnsi="Arial"/>
          <w:sz w:val="20"/>
          <w:szCs w:val="20"/>
          <w:color w:val="auto"/>
        </w:rPr>
        <w:t>Anything in this Note to the contrary notwithstanding, the indebtedness evidenced by this Note owed by any Payor that is (i) a Guarantor to any Payee (other than a Loan Party) or (ii) the Borrowers to any Payee, shall, in each case, be subordinate and junior in right of payment, to the extent and in the manner hereinafter set forth, to all Obligations, including, without limitation, where applicable, under such Payor’s guarantee of the Guaranteed Obligations under (and as defined in) the Guaranty (such Obligations and other indebtedness and obligations in connection with any renewal, refunding, restructuring or refinancing thereof, including interest thereon accruing after the commencement of any proceedings referred to in clause (i) below at the rate provided for in the respective documentation for such Obligations, whether or not such interest is an allowed claim in such proceeding, being hereinafter collectively referred to as “</w:t>
      </w:r>
      <w:r>
        <w:rPr>
          <w:rFonts w:ascii="Arial" w:cs="Arial" w:eastAsia="Arial" w:hAnsi="Arial"/>
          <w:sz w:val="20"/>
          <w:szCs w:val="20"/>
          <w:u w:val="single" w:color="auto"/>
          <w:color w:val="auto"/>
        </w:rPr>
        <w:t>Senior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Indebtedness</w:t>
      </w:r>
      <w:r>
        <w:rPr>
          <w:rFonts w:ascii="Arial" w:cs="Arial" w:eastAsia="Arial" w:hAnsi="Arial"/>
          <w:sz w:val="20"/>
          <w:szCs w:val="20"/>
          <w:color w:val="auto"/>
        </w:rPr>
        <w:t>”):</w:t>
      </w:r>
    </w:p>
    <w:p>
      <w:pPr>
        <w:spacing w:after="0" w:line="211" w:lineRule="exact"/>
        <w:rPr>
          <w:sz w:val="20"/>
          <w:szCs w:val="20"/>
          <w:color w:val="auto"/>
        </w:rPr>
      </w:pPr>
    </w:p>
    <w:p>
      <w:pPr>
        <w:jc w:val="both"/>
        <w:ind w:left="920" w:firstLine="655"/>
        <w:spacing w:after="0" w:line="297" w:lineRule="auto"/>
        <w:tabs>
          <w:tab w:leader="none" w:pos="2403"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In the event of any insolvency or bankruptcy proceedings, and any receivership, liquidation, reorganization or other similar proceedings in connection therewith, relative to any Payor or to its creditors, as such, or to its property, and in the event of any proceedings for voluntary liquidation, dissolution or other winding up of such Payor, whether or not involving insolvency or bankruptcy, then (x) the holders of Senior Indebtedness shall be paid in full in cash in respect of all amounts constituting Senior Indebtedness before any Payee is entitled to receive (whether directly or indirectly), or make any demands for, any payment or distribution of any kind or character on account of this Note (whether in cash, property, securities or otherwise) and</w:t>
      </w:r>
    </w:p>
    <w:p>
      <w:pPr>
        <w:spacing w:after="0" w:line="2" w:lineRule="exact"/>
        <w:rPr>
          <w:rFonts w:ascii="Arial" w:cs="Arial" w:eastAsia="Arial" w:hAnsi="Arial"/>
          <w:sz w:val="18"/>
          <w:szCs w:val="18"/>
          <w:color w:val="auto"/>
        </w:rPr>
      </w:pPr>
    </w:p>
    <w:p>
      <w:pPr>
        <w:jc w:val="both"/>
        <w:ind w:left="920" w:firstLine="6"/>
        <w:spacing w:after="0" w:line="278" w:lineRule="auto"/>
        <w:tabs>
          <w:tab w:leader="none" w:pos="1211" w:val="left"/>
        </w:tabs>
        <w:numPr>
          <w:ilvl w:val="0"/>
          <w:numId w:val="383"/>
        </w:numPr>
        <w:rPr>
          <w:rFonts w:ascii="Arial" w:cs="Arial" w:eastAsia="Arial" w:hAnsi="Arial"/>
          <w:sz w:val="20"/>
          <w:szCs w:val="20"/>
          <w:color w:val="auto"/>
        </w:rPr>
      </w:pPr>
      <w:r>
        <w:rPr>
          <w:rFonts w:ascii="Arial" w:cs="Arial" w:eastAsia="Arial" w:hAnsi="Arial"/>
          <w:sz w:val="20"/>
          <w:szCs w:val="20"/>
          <w:color w:val="auto"/>
        </w:rPr>
        <w:t>until the holders of Senior Indebtedness are paid in full in cash in respect of all amounts constituting Senior Indebtedness, any payment or distribution of any kind or character to which such Payee would otherwise be entitled shall be made to the holders of Senior Indebtedness.</w:t>
      </w:r>
    </w:p>
    <w:p>
      <w:pPr>
        <w:spacing w:after="0" w:line="375" w:lineRule="exact"/>
        <w:rPr>
          <w:rFonts w:ascii="Arial" w:cs="Arial" w:eastAsia="Arial" w:hAnsi="Arial"/>
          <w:sz w:val="20"/>
          <w:szCs w:val="20"/>
          <w:color w:val="auto"/>
        </w:rPr>
      </w:pPr>
    </w:p>
    <w:p>
      <w:pPr>
        <w:ind w:left="920" w:firstLine="655"/>
        <w:spacing w:after="0" w:line="289" w:lineRule="auto"/>
        <w:tabs>
          <w:tab w:leader="none" w:pos="2458" w:val="left"/>
        </w:tabs>
        <w:numPr>
          <w:ilvl w:val="1"/>
          <w:numId w:val="383"/>
        </w:numPr>
        <w:rPr>
          <w:rFonts w:ascii="Arial" w:cs="Arial" w:eastAsia="Arial" w:hAnsi="Arial"/>
          <w:sz w:val="20"/>
          <w:szCs w:val="20"/>
          <w:color w:val="auto"/>
        </w:rPr>
      </w:pPr>
      <w:r>
        <w:rPr>
          <w:rFonts w:ascii="Arial" w:cs="Arial" w:eastAsia="Arial" w:hAnsi="Arial"/>
          <w:sz w:val="20"/>
          <w:szCs w:val="20"/>
          <w:color w:val="auto"/>
        </w:rPr>
        <w:t>In the event that any Event of Default then exists or would result therefrom, no payment by any Payor, or demand by any Payee, shall be made on account of any amount owing in respect of</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478" w:name="page479"/>
    <w:bookmarkEnd w:id="478"/>
    <w:p>
      <w:pPr>
        <w:jc w:val="right"/>
        <w:spacing w:after="0"/>
        <w:rPr>
          <w:sz w:val="20"/>
          <w:szCs w:val="20"/>
          <w:color w:val="auto"/>
        </w:rPr>
      </w:pPr>
      <w:r>
        <w:rPr>
          <w:rFonts w:ascii="Arial" w:cs="Arial" w:eastAsia="Arial" w:hAnsi="Arial"/>
          <w:sz w:val="20"/>
          <w:szCs w:val="20"/>
          <w:color w:val="auto"/>
        </w:rPr>
        <w:t>Exhibit H</w:t>
      </w:r>
    </w:p>
    <w:p>
      <w:pPr>
        <w:jc w:val="right"/>
        <w:spacing w:after="0"/>
        <w:rPr>
          <w:sz w:val="20"/>
          <w:szCs w:val="20"/>
          <w:color w:val="auto"/>
        </w:rPr>
      </w:pPr>
      <w:r>
        <w:rPr>
          <w:rFonts w:ascii="Arial" w:cs="Arial" w:eastAsia="Arial" w:hAnsi="Arial"/>
          <w:sz w:val="20"/>
          <w:szCs w:val="20"/>
          <w:color w:val="auto"/>
        </w:rPr>
        <w:t>Page 2</w:t>
      </w:r>
    </w:p>
    <w:p>
      <w:pPr>
        <w:spacing w:after="0" w:line="213" w:lineRule="exact"/>
        <w:rPr>
          <w:sz w:val="20"/>
          <w:szCs w:val="20"/>
          <w:color w:val="auto"/>
        </w:rPr>
      </w:pPr>
    </w:p>
    <w:p>
      <w:pPr>
        <w:ind w:left="900"/>
        <w:spacing w:after="0"/>
        <w:rPr>
          <w:sz w:val="20"/>
          <w:szCs w:val="20"/>
          <w:color w:val="auto"/>
        </w:rPr>
      </w:pPr>
      <w:r>
        <w:rPr>
          <w:rFonts w:ascii="Arial" w:cs="Arial" w:eastAsia="Arial" w:hAnsi="Arial"/>
          <w:sz w:val="20"/>
          <w:szCs w:val="20"/>
          <w:color w:val="auto"/>
        </w:rPr>
        <w:t xml:space="preserve">the Note (including, without limitation, any payment pursuant to </w:t>
      </w:r>
      <w:r>
        <w:rPr>
          <w:rFonts w:ascii="Arial" w:cs="Arial" w:eastAsia="Arial" w:hAnsi="Arial"/>
          <w:sz w:val="20"/>
          <w:szCs w:val="20"/>
          <w:u w:val="single" w:color="auto"/>
          <w:color w:val="auto"/>
        </w:rPr>
        <w:t>Section 7.12(a)</w:t>
      </w:r>
      <w:r>
        <w:rPr>
          <w:rFonts w:ascii="Arial" w:cs="Arial" w:eastAsia="Arial" w:hAnsi="Arial"/>
          <w:sz w:val="20"/>
          <w:szCs w:val="20"/>
          <w:color w:val="auto"/>
        </w:rPr>
        <w:t xml:space="preserve"> of the Credit Agreement).</w:t>
      </w:r>
    </w:p>
    <w:p>
      <w:pPr>
        <w:spacing w:after="0" w:line="243" w:lineRule="exact"/>
        <w:rPr>
          <w:sz w:val="20"/>
          <w:szCs w:val="20"/>
          <w:color w:val="auto"/>
        </w:rPr>
      </w:pPr>
    </w:p>
    <w:p>
      <w:pPr>
        <w:jc w:val="both"/>
        <w:ind w:left="900" w:firstLine="655"/>
        <w:spacing w:after="0" w:line="272" w:lineRule="auto"/>
        <w:tabs>
          <w:tab w:leader="none" w:pos="2493" w:val="left"/>
        </w:tabs>
        <w:numPr>
          <w:ilvl w:val="0"/>
          <w:numId w:val="384"/>
        </w:numPr>
        <w:rPr>
          <w:rFonts w:ascii="Arial" w:cs="Arial" w:eastAsia="Arial" w:hAnsi="Arial"/>
          <w:sz w:val="20"/>
          <w:szCs w:val="20"/>
          <w:color w:val="auto"/>
        </w:rPr>
      </w:pPr>
      <w:r>
        <w:rPr>
          <w:rFonts w:ascii="Arial" w:cs="Arial" w:eastAsia="Arial" w:hAnsi="Arial"/>
          <w:sz w:val="20"/>
          <w:szCs w:val="20"/>
          <w:color w:val="auto"/>
        </w:rPr>
        <w:t>If any payment or distribution of any kind or character (whether in cash, securities or other property) in respect of this Note shall (despite these subordination provisions) be received by any Payee in violation of clause (i) or (ii) above before all Senior Indebtedness shall have been paid in full in cash, such payment or distribution shall be held in trust for the benefit of, and shall be paid over or delivered to, the holders of Senior Indebtedness (or their representatives), ratably according to the respective aggregate amounts remaining unpaid thereon, to the extent necessary to pay all Senior Indebtedness of the relevant Payor in full in cash.</w:t>
      </w:r>
    </w:p>
    <w:p>
      <w:pPr>
        <w:spacing w:after="0" w:line="192" w:lineRule="exact"/>
        <w:rPr>
          <w:sz w:val="20"/>
          <w:szCs w:val="20"/>
          <w:color w:val="auto"/>
        </w:rPr>
      </w:pPr>
    </w:p>
    <w:p>
      <w:pPr>
        <w:jc w:val="both"/>
        <w:ind w:left="260" w:firstLine="648"/>
        <w:spacing w:after="0" w:line="259" w:lineRule="auto"/>
        <w:rPr>
          <w:sz w:val="20"/>
          <w:szCs w:val="20"/>
          <w:color w:val="auto"/>
        </w:rPr>
      </w:pPr>
      <w:r>
        <w:rPr>
          <w:rFonts w:ascii="Arial" w:cs="Arial" w:eastAsia="Arial" w:hAnsi="Arial"/>
          <w:sz w:val="19"/>
          <w:szCs w:val="19"/>
          <w:color w:val="auto"/>
        </w:rPr>
        <w:t>To the fullest extent permitted by law, no present or future holder of Senior Indebtedness shall be prejudiced in its right to enforce the subordination of this Note by any act or failure to act on the part of any Payor or by any act or failure to act on the part of such holder or any trustee or agent for such holder. Each Payee and each Payor hereby agrees that the subordination of this Note is for the benefit of the Collateral Agent and the other Secured Parties, the Collateral Agent and the other Secured Parties are obligees under this Note to the same extent as if their names were written herein as such and the Administrative Agent and/or the Collateral Agent may, on behalf of itself and the other Secured Parties, proceed to enforce the subordination provisions herein.</w:t>
      </w:r>
    </w:p>
    <w:p>
      <w:pPr>
        <w:spacing w:after="0" w:line="179" w:lineRule="exact"/>
        <w:rPr>
          <w:sz w:val="20"/>
          <w:szCs w:val="20"/>
          <w:color w:val="auto"/>
        </w:rPr>
      </w:pPr>
    </w:p>
    <w:p>
      <w:pPr>
        <w:jc w:val="both"/>
        <w:ind w:left="260" w:right="20" w:firstLine="648"/>
        <w:spacing w:after="0" w:line="291" w:lineRule="auto"/>
        <w:rPr>
          <w:sz w:val="20"/>
          <w:szCs w:val="20"/>
          <w:color w:val="auto"/>
        </w:rPr>
      </w:pPr>
      <w:r>
        <w:rPr>
          <w:rFonts w:ascii="Arial" w:cs="Arial" w:eastAsia="Arial" w:hAnsi="Arial"/>
          <w:sz w:val="18"/>
          <w:szCs w:val="18"/>
          <w:color w:val="auto"/>
        </w:rPr>
        <w:t>If a Payee does not file a proper claim or proof of debt in the form required in any proceeding or other action referred to in clause (i) of the second preceding paragraph prior to 30 days before the expiration of the time to file such claim or claims, then any of the holders of the Senior Indebtedness (or their representative) is hereby authorized to file an appropriate claim for and on behalf of such Payee.</w:t>
      </w:r>
    </w:p>
    <w:p>
      <w:pPr>
        <w:spacing w:after="0" w:line="165" w:lineRule="exact"/>
        <w:rPr>
          <w:sz w:val="20"/>
          <w:szCs w:val="20"/>
          <w:color w:val="auto"/>
        </w:rPr>
      </w:pPr>
    </w:p>
    <w:p>
      <w:pPr>
        <w:jc w:val="both"/>
        <w:ind w:left="260" w:firstLine="648"/>
        <w:spacing w:after="0" w:line="276" w:lineRule="auto"/>
        <w:rPr>
          <w:sz w:val="20"/>
          <w:szCs w:val="20"/>
          <w:color w:val="auto"/>
        </w:rPr>
      </w:pPr>
      <w:r>
        <w:rPr>
          <w:rFonts w:ascii="Arial" w:cs="Arial" w:eastAsia="Arial" w:hAnsi="Arial"/>
          <w:sz w:val="18"/>
          <w:szCs w:val="18"/>
          <w:color w:val="auto"/>
        </w:rPr>
        <w:t>Subject to the prior payment in full in cash of all Senior Indebtedness, each Payee shall be subrogated to the rights of the holders of Senior Indebtedness to receive payments or distributions of assets of the respective Payor applicable to the Senior Indebtedness until all amounts owing on the Note shall be paid in full, and for the purpose of such subrogation no payments or distributions to the holders of the Senior Indebtedness by or on behalf of a Payor or by or on behalf of the holder of the Note which otherwise would have been made to the holder of the Note shall, as between such Payor, its creditors other than the holders of Senior Indebtedness, and the holder of the Note, be deemed to be payment by such Payor to or on account of the Senior Indebtedness.</w:t>
      </w:r>
    </w:p>
    <w:p>
      <w:pPr>
        <w:spacing w:after="0" w:line="165" w:lineRule="exact"/>
        <w:rPr>
          <w:sz w:val="20"/>
          <w:szCs w:val="20"/>
          <w:color w:val="auto"/>
        </w:rPr>
      </w:pPr>
    </w:p>
    <w:p>
      <w:pPr>
        <w:jc w:val="both"/>
        <w:ind w:left="260" w:firstLine="648"/>
        <w:spacing w:after="0" w:line="259" w:lineRule="auto"/>
        <w:rPr>
          <w:sz w:val="20"/>
          <w:szCs w:val="20"/>
          <w:color w:val="auto"/>
        </w:rPr>
      </w:pPr>
      <w:r>
        <w:rPr>
          <w:rFonts w:ascii="Arial" w:cs="Arial" w:eastAsia="Arial" w:hAnsi="Arial"/>
          <w:sz w:val="19"/>
          <w:szCs w:val="19"/>
          <w:color w:val="auto"/>
        </w:rPr>
        <w:t>The holders of the Senior Indebtedness may, without in any way affecting the obligations of any Payee with respect thereto, at any time or from time to time and in their absolute discretion, change the manner, place or terms of payment of, change or extend the time of payment of, or renew or alter, any Senior Indebtedness, or amend, modify or supplement any agreement or instrument governing or evidencing such Senior Indebtedness or any other document referred to therein, or exercise or refrain from exercising any other of their rights under the Senior Indebtedness including, without limitation, the waiver of default thereunder and the release of any collateral securing such Senior Indebtedness, all without notice to or assent from any Payee.</w:t>
      </w:r>
    </w:p>
    <w:p>
      <w:pPr>
        <w:spacing w:after="0" w:line="192"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If any Payee shall acquire by indemnification, subrogation or otherwise, any lien, estate, right or other interest in any of the assets or properties of any Payor, that lien, estate, right or other interest shall be subordinate in right of payment to the Senior Indebtedness and the lien of the Senior Indebtedness as provided herein, and each Payee hereby waives any and all rights it may acquire by subrogation or otherwise to any lien of the Senior Indebtedness or any portion thereof until such time as all Senior Indebtedness has been indefeasibly repaid in full in cash.</w:t>
      </w:r>
    </w:p>
    <w:p>
      <w:pPr>
        <w:spacing w:after="0" w:line="195"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If, at any time, all or part of any payment with respect to Senior Indebtedness theretofore made (whether by any other Loan Party or any other Person or enforcement of any right of setoff or otherwise) is rescinded or must otherwise be returned by the holders of Senior Indebtedness for any reason whatsoever (including, without limitation, the insolvency, bankruptcy or reorganization of any other Loan Party or such other Persons), the subordination provisions set forth herein shall continue to be effective or be reinstated, as the case may be, all as though such payment had not been made.</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151" w:right="239" w:bottom="1440" w:gutter="0" w:footer="0" w:header="0"/>
        </w:sectPr>
      </w:pPr>
    </w:p>
    <w:bookmarkStart w:id="479" w:name="page480"/>
    <w:bookmarkEnd w:id="479"/>
    <w:p>
      <w:pPr>
        <w:jc w:val="right"/>
        <w:spacing w:after="0"/>
        <w:rPr>
          <w:sz w:val="20"/>
          <w:szCs w:val="20"/>
          <w:color w:val="auto"/>
        </w:rPr>
      </w:pPr>
      <w:r>
        <w:rPr>
          <w:rFonts w:ascii="Arial" w:cs="Arial" w:eastAsia="Arial" w:hAnsi="Arial"/>
          <w:sz w:val="20"/>
          <w:szCs w:val="20"/>
          <w:color w:val="auto"/>
        </w:rPr>
        <w:t>Exhibit H</w:t>
      </w:r>
    </w:p>
    <w:p>
      <w:pPr>
        <w:jc w:val="right"/>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16" w:lineRule="exact"/>
        <w:rPr>
          <w:sz w:val="20"/>
          <w:szCs w:val="20"/>
          <w:color w:val="auto"/>
        </w:rPr>
      </w:pPr>
    </w:p>
    <w:p>
      <w:pPr>
        <w:jc w:val="both"/>
        <w:ind w:left="260" w:right="20" w:firstLine="648"/>
        <w:spacing w:after="0" w:line="260" w:lineRule="auto"/>
        <w:rPr>
          <w:sz w:val="20"/>
          <w:szCs w:val="20"/>
          <w:color w:val="auto"/>
        </w:rPr>
      </w:pPr>
      <w:r>
        <w:rPr>
          <w:rFonts w:ascii="Arial" w:cs="Arial" w:eastAsia="Arial" w:hAnsi="Arial"/>
          <w:sz w:val="20"/>
          <w:szCs w:val="20"/>
          <w:color w:val="auto"/>
        </w:rPr>
        <w:t xml:space="preserve">The indebtedness evidenced by this Note owed by any Payor that is neither a Guarantor nor a Borrower shall not be subordinated to, and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right of payment with, any other obligation of such Payor.</w:t>
      </w:r>
    </w:p>
    <w:p>
      <w:pPr>
        <w:spacing w:after="0" w:line="177"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spacing w:after="0" w:line="205"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 xml:space="preserve">Each Payee is hereby authorized (but not required) to record all loans and advances made by it to any Payor (all of which shall be evidenced by this Note), and all repayments or prepayments thereof, in its books and records, such books and records constituting </w:t>
      </w:r>
      <w:r>
        <w:rPr>
          <w:rFonts w:ascii="Arial" w:cs="Arial" w:eastAsia="Arial" w:hAnsi="Arial"/>
          <w:sz w:val="20"/>
          <w:szCs w:val="20"/>
          <w:i w:val="1"/>
          <w:iCs w:val="1"/>
          <w:color w:val="auto"/>
        </w:rPr>
        <w:t>prima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facie </w:t>
      </w:r>
      <w:r>
        <w:rPr>
          <w:rFonts w:ascii="Arial" w:cs="Arial" w:eastAsia="Arial" w:hAnsi="Arial"/>
          <w:sz w:val="20"/>
          <w:szCs w:val="20"/>
          <w:color w:val="auto"/>
        </w:rPr>
        <w:t>evidence of the accuracy of the information contained therein.</w:t>
      </w:r>
    </w:p>
    <w:p>
      <w:pPr>
        <w:spacing w:after="0" w:line="186"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Each Payor hereby waives presentment, demand, protest or notice of any kind in connection with this Note. All payments under this Note shall be made without offset, counterclaim or deduction of any kind.</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152" w:right="239" w:bottom="1440" w:gutter="0" w:footer="0" w:header="0"/>
        </w:sectPr>
      </w:pPr>
    </w:p>
    <w:bookmarkStart w:id="480" w:name="page481"/>
    <w:bookmarkEnd w:id="480"/>
    <w:p>
      <w:pPr>
        <w:jc w:val="right"/>
        <w:spacing w:after="0"/>
        <w:rPr>
          <w:sz w:val="20"/>
          <w:szCs w:val="20"/>
          <w:color w:val="auto"/>
        </w:rPr>
      </w:pPr>
      <w:r>
        <w:rPr>
          <w:rFonts w:ascii="Arial" w:cs="Arial" w:eastAsia="Arial" w:hAnsi="Arial"/>
          <w:sz w:val="20"/>
          <w:szCs w:val="20"/>
          <w:color w:val="auto"/>
        </w:rPr>
        <w:t>Exhibit H</w:t>
      </w:r>
    </w:p>
    <w:p>
      <w:pPr>
        <w:jc w:val="right"/>
        <w:spacing w:after="0"/>
        <w:rPr>
          <w:sz w:val="20"/>
          <w:szCs w:val="20"/>
          <w:color w:val="auto"/>
        </w:rPr>
      </w:pPr>
      <w:r>
        <w:rPr>
          <w:rFonts w:ascii="Arial" w:cs="Arial" w:eastAsia="Arial" w:hAnsi="Arial"/>
          <w:sz w:val="20"/>
          <w:szCs w:val="20"/>
          <w:color w:val="auto"/>
        </w:rPr>
        <w:t>Page 4</w:t>
      </w:r>
    </w:p>
    <w:p>
      <w:pPr>
        <w:spacing w:after="0" w:line="281" w:lineRule="exact"/>
        <w:rPr>
          <w:sz w:val="20"/>
          <w:szCs w:val="20"/>
          <w:color w:val="auto"/>
        </w:rPr>
      </w:pPr>
    </w:p>
    <w:p>
      <w:pPr>
        <w:ind w:left="260" w:right="420" w:firstLine="648"/>
        <w:spacing w:after="0" w:line="260" w:lineRule="auto"/>
        <w:rPr>
          <w:sz w:val="20"/>
          <w:szCs w:val="20"/>
          <w:color w:val="auto"/>
        </w:rPr>
      </w:pPr>
      <w:r>
        <w:rPr>
          <w:rFonts w:ascii="Arial" w:cs="Arial" w:eastAsia="Arial" w:hAnsi="Arial"/>
          <w:sz w:val="20"/>
          <w:szCs w:val="20"/>
          <w:color w:val="auto"/>
        </w:rPr>
        <w:t>THIS NOTE SHALL BE GOVERNED BY, AND CONSTRUED IN ACCORDANCE WITH, THE LAW OF THE STATE OF NEW YORK.</w:t>
      </w:r>
    </w:p>
    <w:p>
      <w:pPr>
        <w:spacing w:after="0" w:line="353"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[Name of each Loan Party],</w:t>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as Payee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27305</wp:posOffset>
            </wp:positionV>
            <wp:extent cx="2735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7" w:lineRule="exact"/>
        <w:rPr>
          <w:sz w:val="20"/>
          <w:szCs w:val="20"/>
          <w:color w:val="auto"/>
        </w:rPr>
      </w:pPr>
    </w:p>
    <w:p>
      <w:pPr>
        <w:ind w:left="712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 of each Loan Party],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Payor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32588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40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152"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20"/>
          <w:szCs w:val="20"/>
          <w:u w:val="single" w:color="auto"/>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FIRST LIEN INTERCREDITOR AGREEMENT</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OSI RESTAURANT PARTNERS, LLC,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jc w:val="center"/>
        <w:ind w:right="20"/>
        <w:spacing w:after="0"/>
        <w:rPr>
          <w:sz w:val="20"/>
          <w:szCs w:val="20"/>
          <w:color w:val="auto"/>
        </w:rPr>
      </w:pPr>
      <w:r>
        <w:rPr>
          <w:rFonts w:ascii="Arial" w:cs="Arial" w:eastAsia="Arial" w:hAnsi="Arial"/>
          <w:sz w:val="20"/>
          <w:szCs w:val="20"/>
          <w:color w:val="auto"/>
        </w:rPr>
        <w:t>BLOOMIN’ BRANDS, INC.,</w:t>
      </w:r>
    </w:p>
    <w:p>
      <w:pPr>
        <w:jc w:val="center"/>
        <w:ind w:right="20"/>
        <w:spacing w:after="0"/>
        <w:rPr>
          <w:sz w:val="20"/>
          <w:szCs w:val="20"/>
          <w:color w:val="auto"/>
        </w:rPr>
      </w:pPr>
      <w:r>
        <w:rPr>
          <w:rFonts w:ascii="Arial" w:cs="Arial" w:eastAsia="Arial" w:hAnsi="Arial"/>
          <w:sz w:val="20"/>
          <w:szCs w:val="20"/>
          <w:color w:val="auto"/>
        </w:rPr>
        <w:t>as Borrowers,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THE OTHER GRANTORS PARTY HERETO,</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Credit Agreement Collateral Agent for the Credit Agreement Secured Parties,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Authorized Representative for the Credit Agreement Secured Parties,</w:t>
      </w: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[_________________________],</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as the Initial Additional Authorized Representative,</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each additional Authorized Representative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dated as of [________________________], 201[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482" w:name="page483"/>
    <w:bookmarkEnd w:id="482"/>
    <w:p>
      <w:pPr>
        <w:ind w:left="900"/>
        <w:spacing w:after="0"/>
        <w:tabs>
          <w:tab w:leader="none" w:pos="6120" w:val="left"/>
        </w:tabs>
        <w:rPr>
          <w:sz w:val="20"/>
          <w:szCs w:val="20"/>
          <w:color w:val="auto"/>
        </w:rPr>
      </w:pPr>
      <w:r>
        <w:rPr>
          <w:rFonts w:ascii="Arial" w:cs="Arial" w:eastAsia="Arial" w:hAnsi="Arial"/>
          <w:sz w:val="20"/>
          <w:szCs w:val="20"/>
          <w:color w:val="auto"/>
        </w:rPr>
        <w:t>FIRST LIEN INTERCREDITOR AGREEMENT, dated as of [</w:t>
      </w:r>
      <w:r>
        <w:rPr>
          <w:sz w:val="20"/>
          <w:szCs w:val="20"/>
          <w:color w:val="auto"/>
        </w:rPr>
        <w:tab/>
      </w:r>
      <w:r>
        <w:rPr>
          <w:rFonts w:ascii="Arial" w:cs="Arial" w:eastAsia="Arial" w:hAnsi="Arial"/>
          <w:sz w:val="18"/>
          <w:szCs w:val="18"/>
          <w:color w:val="auto"/>
        </w:rPr>
        <w:t>], 201[ ]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-14605</wp:posOffset>
            </wp:positionV>
            <wp:extent cx="1568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jc w:val="both"/>
        <w:ind w:left="260"/>
        <w:spacing w:after="0" w:line="254" w:lineRule="auto"/>
        <w:rPr>
          <w:sz w:val="20"/>
          <w:szCs w:val="20"/>
          <w:color w:val="auto"/>
        </w:rPr>
      </w:pPr>
      <w:r>
        <w:rPr>
          <w:rFonts w:ascii="Arial" w:cs="Arial" w:eastAsia="Arial" w:hAnsi="Arial"/>
          <w:sz w:val="19"/>
          <w:szCs w:val="19"/>
          <w:color w:val="auto"/>
        </w:rPr>
        <w:t>amended, restated, amended and restated, extended, supplemented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OSI RESTAURANT PARTNERS, LLC, a Delaware limited liability company (“</w:t>
      </w:r>
      <w:r>
        <w:rPr>
          <w:rFonts w:ascii="Arial" w:cs="Arial" w:eastAsia="Arial" w:hAnsi="Arial"/>
          <w:sz w:val="19"/>
          <w:szCs w:val="19"/>
          <w:u w:val="single" w:color="auto"/>
          <w:color w:val="auto"/>
        </w:rPr>
        <w:t>OSI</w:t>
      </w:r>
      <w:r>
        <w:rPr>
          <w:rFonts w:ascii="Arial" w:cs="Arial" w:eastAsia="Arial" w:hAnsi="Arial"/>
          <w:sz w:val="19"/>
          <w:szCs w:val="19"/>
          <w:color w:val="auto"/>
        </w:rPr>
        <w:t>”), BLOOMIN’BRANDS,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together with OSI,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Grantors (as defined below) from time to time party hereto, WELLS FARGO BANK, NATIONAL ASSOCIATION, as administrative agent for the Credit Agreement Secured Parties (as defined below) (in such capacity and together with its successors in such capacity, the “</w:t>
      </w:r>
      <w:r>
        <w:rPr>
          <w:rFonts w:ascii="Arial" w:cs="Arial" w:eastAsia="Arial" w:hAnsi="Arial"/>
          <w:sz w:val="19"/>
          <w:szCs w:val="19"/>
          <w:u w:val="single" w:color="auto"/>
          <w:color w:val="auto"/>
        </w:rPr>
        <w:t>Credit Agreement Collateral Agent</w:t>
      </w:r>
      <w:r>
        <w:rPr>
          <w:rFonts w:ascii="Arial" w:cs="Arial" w:eastAsia="Arial" w:hAnsi="Arial"/>
          <w:sz w:val="19"/>
          <w:szCs w:val="19"/>
          <w:color w:val="auto"/>
        </w:rPr>
        <w:t>”), WELLS FARGO BANK, NATIONAL ASSOCIATION, as Authorized Representative for the Credit Agreement Secured Parties (as each such term is defined below), the Additional Collateral Agent (as defined below), the Authorized Representative for the Initial Additional First-Lien Secured Parties (as defined below) (in such capacity and together with its successors in such capacity, the “</w:t>
      </w:r>
      <w:r>
        <w:rPr>
          <w:rFonts w:ascii="Arial" w:cs="Arial" w:eastAsia="Arial" w:hAnsi="Arial"/>
          <w:sz w:val="19"/>
          <w:szCs w:val="19"/>
          <w:u w:val="single" w:color="auto"/>
          <w:color w:val="auto"/>
        </w:rPr>
        <w:t>Initial Additional Authorized Representative</w:t>
      </w:r>
      <w:r>
        <w:rPr>
          <w:rFonts w:ascii="Arial" w:cs="Arial" w:eastAsia="Arial" w:hAnsi="Arial"/>
          <w:sz w:val="19"/>
          <w:szCs w:val="19"/>
          <w:color w:val="auto"/>
        </w:rPr>
        <w:t>”) and each additional Authorized Representative from time to time party hereto for the other Additional First-Lien Secured Parties of the Series (as defined below) with respect to which it is acting in such capacity.</w:t>
      </w:r>
    </w:p>
    <w:p>
      <w:pPr>
        <w:spacing w:after="0" w:line="197"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In consideration of the mutual agreements herein contained and other good and valuable consideration, the receipt and sufficiency of which are hereby acknowledged, the Administrative Agent, the Credit Agreement Collateral Agent (for itself and on behalf of the Credit Agreement Secured Parties), the Initial Additional Authorized Representative (for itself and on behalf of the Initial Additional First-Lien Secured Parties) and each additional Authorized Representative (for itself and on behalf of the Additional First-Lien Secured Parties of the applicable Series) agree as follows:</w:t>
      </w:r>
    </w:p>
    <w:p>
      <w:pPr>
        <w:spacing w:after="0" w:line="19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Definitions</w:t>
      </w:r>
    </w:p>
    <w:p>
      <w:pPr>
        <w:spacing w:after="0" w:line="200" w:lineRule="exact"/>
        <w:rPr>
          <w:sz w:val="20"/>
          <w:szCs w:val="20"/>
          <w:color w:val="auto"/>
        </w:rPr>
      </w:pPr>
    </w:p>
    <w:p>
      <w:pPr>
        <w:spacing w:after="0" w:line="232"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Certain Defined Terms</w:t>
      </w:r>
      <w:r>
        <w:rPr>
          <w:rFonts w:ascii="Arial" w:cs="Arial" w:eastAsia="Arial" w:hAnsi="Arial"/>
          <w:sz w:val="20"/>
          <w:szCs w:val="20"/>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Administrative Agent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202" w:lineRule="exact"/>
        <w:rPr>
          <w:sz w:val="20"/>
          <w:szCs w:val="20"/>
          <w:color w:val="auto"/>
        </w:rPr>
      </w:pPr>
    </w:p>
    <w:p>
      <w:pPr>
        <w:jc w:val="both"/>
        <w:ind w:left="26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Collateral Agent</w:t>
      </w:r>
      <w:r>
        <w:rPr>
          <w:rFonts w:ascii="Arial" w:cs="Arial" w:eastAsia="Arial" w:hAnsi="Arial"/>
          <w:sz w:val="18"/>
          <w:szCs w:val="18"/>
          <w:color w:val="auto"/>
        </w:rPr>
        <w:t>” means (a) prior to the Discharge of the Initial Additional First-Lien Obligations, [ ] and (b) after the Discharge of the Initial Additional First-Lien Obligations, the Authorized Representative for the Series of Additional First-Lien Obligations that constitutes the largest outstanding principal amount of any then outstanding Series of Additional First-Lien Obligations.</w:t>
      </w:r>
    </w:p>
    <w:p>
      <w:pPr>
        <w:spacing w:after="0" w:line="165"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First-Lien Documents</w:t>
      </w:r>
      <w:r>
        <w:rPr>
          <w:rFonts w:ascii="Arial" w:cs="Arial" w:eastAsia="Arial" w:hAnsi="Arial"/>
          <w:sz w:val="20"/>
          <w:szCs w:val="20"/>
          <w:color w:val="auto"/>
        </w:rPr>
        <w:t>” means, with respect to the Initial Additional First-Lien Obligations or any other Additional First-Lien Obligations, the credit agreements, notes, indentures, security documents or other operative agreements evidencing or governing such Indebtedness and the Liens securing such Indebtedness, including the Initial Additional First-Lien Documents and the Additional First-Lien Security Documents and each other agreement entered into for the purpose of securing the Initial Additional First-Lien Obligations or any other Additional First-Lien Obligations.</w:t>
      </w:r>
    </w:p>
    <w:p>
      <w:pPr>
        <w:spacing w:after="0" w:line="195"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First-Lien Obligations</w:t>
      </w:r>
      <w:r>
        <w:rPr>
          <w:rFonts w:ascii="Arial" w:cs="Arial" w:eastAsia="Arial" w:hAnsi="Arial"/>
          <w:sz w:val="19"/>
          <w:szCs w:val="19"/>
          <w:color w:val="auto"/>
        </w:rPr>
        <w:t xml:space="preserve">” means collectively (1) the Initial Additional First-Lien Obligations and (2) all amounts owing pursuant to the terms of any Series of Additional Senior Class Debt designated as Additional First-Lien Obligations pursuant to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hereof after the date hereof, including, without limitation, the obligation (including guarantee obligations) to pay principal, interest (including interest that accrues after the commencement of a Bankruptcy Case, regardless of whether such interest is an allowed claim under such Bankruptcy Case), letter of credit commissions, reimbursement</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46" w:right="239" w:bottom="1440" w:gutter="0" w:footer="0" w:header="0"/>
        </w:sectPr>
      </w:pPr>
    </w:p>
    <w:bookmarkStart w:id="483" w:name="page484"/>
    <w:bookmarkEnd w:id="483"/>
    <w:p>
      <w:pPr>
        <w:ind w:left="280" w:right="240"/>
        <w:spacing w:after="0" w:line="260" w:lineRule="auto"/>
        <w:rPr>
          <w:sz w:val="20"/>
          <w:szCs w:val="20"/>
          <w:color w:val="auto"/>
        </w:rPr>
      </w:pPr>
      <w:r>
        <w:rPr>
          <w:rFonts w:ascii="Arial" w:cs="Arial" w:eastAsia="Arial" w:hAnsi="Arial"/>
          <w:sz w:val="20"/>
          <w:szCs w:val="20"/>
          <w:color w:val="auto"/>
        </w:rPr>
        <w:t>obligations, charges, expenses, fees, attorneys costs, indemnities and other amounts payable by a Grantor under any Additional First-Lien Document.</w:t>
      </w:r>
    </w:p>
    <w:p>
      <w:pPr>
        <w:spacing w:after="0" w:line="19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First-Lien Secured Party</w:t>
      </w:r>
      <w:r>
        <w:rPr>
          <w:rFonts w:ascii="Arial" w:cs="Arial" w:eastAsia="Arial" w:hAnsi="Arial"/>
          <w:sz w:val="20"/>
          <w:szCs w:val="20"/>
          <w:color w:val="auto"/>
        </w:rPr>
        <w:t>” means the holders of any Additional First-Lien Obligations and any Authorized Representative with respect thereto, and shall include the Initial Additional First-Lien Secured Parties.</w:t>
      </w:r>
    </w:p>
    <w:p>
      <w:pPr>
        <w:spacing w:after="0" w:line="177"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First-Lien Security Document</w:t>
      </w:r>
      <w:r>
        <w:rPr>
          <w:rFonts w:ascii="Arial" w:cs="Arial" w:eastAsia="Arial" w:hAnsi="Arial"/>
          <w:sz w:val="20"/>
          <w:szCs w:val="20"/>
          <w:color w:val="auto"/>
        </w:rPr>
        <w:t>” means any collateral agreement, security agreement or any other document now existing or entered into after the date hereof that creates Liens on any assets or properties of any Grantor to secure the Additional First-Lien Obligations.</w:t>
      </w:r>
    </w:p>
    <w:p>
      <w:pPr>
        <w:spacing w:after="0" w:line="20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Senior Class Debt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“Additional Senior Class Debt Parties” has the meaning assigned to such term in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Senior Class Debt Representative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5.13</w:t>
      </w:r>
      <w:r>
        <w:rPr>
          <w:rFonts w:ascii="Arial" w:cs="Arial" w:eastAsia="Arial" w:hAnsi="Arial"/>
          <w:sz w:val="20"/>
          <w:szCs w:val="20"/>
          <w:color w:val="auto"/>
        </w:rPr>
        <w:t>.</w:t>
      </w:r>
    </w:p>
    <w:p>
      <w:pPr>
        <w:spacing w:after="0" w:line="208"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has the meaning assigned to such term in the definition of “Credit Agreement” and shall include any successor administrative agent (including as a result of any Refinancing or other modification of the Credit Agreement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2.07</w:t>
      </w:r>
      <w:r>
        <w:rPr>
          <w:rFonts w:ascii="Arial" w:cs="Arial" w:eastAsia="Arial" w:hAnsi="Arial"/>
          <w:sz w:val="20"/>
          <w:szCs w:val="20"/>
          <w:color w:val="auto"/>
        </w:rPr>
        <w:t>).</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introductory paragraph of this Agreement.</w:t>
      </w:r>
    </w:p>
    <w:p>
      <w:pPr>
        <w:spacing w:after="0" w:line="229"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Authorized Representative</w:t>
      </w:r>
      <w:r>
        <w:rPr>
          <w:rFonts w:ascii="Arial" w:cs="Arial" w:eastAsia="Arial" w:hAnsi="Arial"/>
          <w:sz w:val="20"/>
          <w:szCs w:val="20"/>
          <w:color w:val="auto"/>
        </w:rPr>
        <w:t>” means, with respect to any Shared Collateral, (i) until the earlier of (x) the Discharge of Credit Agreement Obligations and (y) the Non-Controlling Authorized Representative Enforcement Date, the Administrative Agent, and (ii) from and after the earlier of (x) the Discharge of Credit Agreement Obligations and (y) the Non-Controlling Authorized Representative Enforcement Date, the Major Non-Controlling Authorized Representative.</w:t>
      </w:r>
    </w:p>
    <w:p>
      <w:pPr>
        <w:spacing w:after="0" w:line="205"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Authorized Representative</w:t>
      </w:r>
      <w:r>
        <w:rPr>
          <w:rFonts w:ascii="Arial" w:cs="Arial" w:eastAsia="Arial" w:hAnsi="Arial"/>
          <w:sz w:val="20"/>
          <w:szCs w:val="20"/>
          <w:color w:val="auto"/>
        </w:rPr>
        <w:t>” means, at any time, (i) in the case of any Credit Agreement Obligations or the Credit Agreement Secured Parties, the Administrative Agent, (ii) in the case of the Initial Additional First-Lien Obligations or the Initial Additional First-Lien Secured Parties, the Initial Additional Authorized Representative, and (iii) in the case of any other Series of Additional First-Lien Obligations or Additional First-Lien Secured Parties that become subject to this Agreement after the date hereof, the collateral agent named as authorized representative for such Series in the applicable Joinder Agreement.</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Case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Code</w:t>
      </w:r>
      <w:r>
        <w:rPr>
          <w:rFonts w:ascii="Arial" w:cs="Arial" w:eastAsia="Arial" w:hAnsi="Arial"/>
          <w:sz w:val="19"/>
          <w:szCs w:val="19"/>
          <w:color w:val="auto"/>
        </w:rPr>
        <w:t>” means Title 11 of the United States Code, as amended, or any similar federal or state law for the relief of</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20"/>
          <w:szCs w:val="20"/>
          <w:color w:val="auto"/>
        </w:rPr>
        <w:t>debtors.</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Law</w:t>
      </w:r>
      <w:r>
        <w:rPr>
          <w:rFonts w:ascii="Arial" w:cs="Arial" w:eastAsia="Arial" w:hAnsi="Arial"/>
          <w:sz w:val="20"/>
          <w:szCs w:val="20"/>
          <w:color w:val="auto"/>
        </w:rPr>
        <w:t>” means the Bankruptcy Code and any similar federal, state or foreign law for the relief of debtors.</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assigned to such term in the introductory paragraph of this Agreement.</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assets and properties subject to Liens created pursuant to any First-Lien Security Document to secure one or more Series of First-Lien Obligations.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484" w:name="page485"/>
    <w:bookmarkEnd w:id="484"/>
    <w:p>
      <w:pPr>
        <w:jc w:val="both"/>
        <w:ind w:left="28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(i) in the case of any Credit Agreement Obligations, the Credit Agreement Collateral Agent, (ii) in the case of the Initial Additional First-Lien Obligations, the Additional Collateral Agent and (iii) in the case of any other Series of Additional First-Lien Obligations, the collateral agent named as Authorized Representative for such Series in the applicable Joinder Agreement.</w:t>
      </w:r>
    </w:p>
    <w:p>
      <w:pPr>
        <w:spacing w:after="0" w:line="165"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Controlling Collateral Agent</w:t>
      </w:r>
      <w:r>
        <w:rPr>
          <w:rFonts w:ascii="Arial" w:cs="Arial" w:eastAsia="Arial" w:hAnsi="Arial"/>
          <w:sz w:val="20"/>
          <w:szCs w:val="20"/>
          <w:color w:val="auto"/>
        </w:rPr>
        <w:t>” means (i) until the earlier of (x) the Discharge of Credit Agreement Obligations and (y) the Non-Controlling Authorized Representative Enforcement Date, the Credit Agreement Collateral Agent and (ii) from and after the earlier of (x) the Discharge of Credit Agreement Obligations and (y) the Non-Controlling Authorized Representative Enforcement Date, the Additional Collateral Agent (acting on the instructions of the Applicable Authorized Representative).</w:t>
      </w:r>
    </w:p>
    <w:p>
      <w:pPr>
        <w:spacing w:after="0" w:line="205"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Controlling Secured Parties</w:t>
      </w:r>
      <w:r>
        <w:rPr>
          <w:rFonts w:ascii="Arial" w:cs="Arial" w:eastAsia="Arial" w:hAnsi="Arial"/>
          <w:sz w:val="19"/>
          <w:szCs w:val="19"/>
          <w:color w:val="auto"/>
        </w:rPr>
        <w:t>” means, with respect to any Shared Collateral, (i) at any time when the Credit Agreement Collateral Agent is the Controlling Collateral Agent, the Credit Agreement Secured Parties and (ii) at any other time, the Series of First-Lien Secured Parties whose Authorized Representative is the Applicable Authorized Representative for such Shared Collateral.</w:t>
      </w:r>
    </w:p>
    <w:p>
      <w:pPr>
        <w:spacing w:after="0" w:line="170"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means that certain Amended and Restated Credit Agreement, dated as of November 30, 2017, among the Borrowers, the lenders from time to time party thereto and Wells Fargo Bank, National Association,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Swing Line Lender and an L/C Issuer, as amended, restated, amended and restated, extended, supplemented or otherwise modified from time to time.</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 Collateral Agent</w:t>
      </w:r>
      <w:r>
        <w:rPr>
          <w:rFonts w:ascii="Arial" w:cs="Arial" w:eastAsia="Arial" w:hAnsi="Arial"/>
          <w:sz w:val="19"/>
          <w:szCs w:val="19"/>
          <w:color w:val="auto"/>
        </w:rPr>
        <w:t>” has the meaning assigned to such term in the introductory paragraph of this Agreement.</w:t>
      </w:r>
    </w:p>
    <w:p>
      <w:pPr>
        <w:spacing w:after="0" w:line="241"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 Collateral Documents</w:t>
      </w:r>
      <w:r>
        <w:rPr>
          <w:rFonts w:ascii="Arial" w:cs="Arial" w:eastAsia="Arial" w:hAnsi="Arial"/>
          <w:sz w:val="20"/>
          <w:szCs w:val="20"/>
          <w:color w:val="auto"/>
        </w:rPr>
        <w:t>” means the Security Agreement, the other Collateral Documents (as defined in the Credit Agreement) and each other agreement entered into in favor of the Credit Agreement Collateral Agent for the purpose of securing any Credit Agreement Obligations.</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 Obligations</w:t>
      </w:r>
      <w:r>
        <w:rPr>
          <w:rFonts w:ascii="Arial" w:cs="Arial" w:eastAsia="Arial" w:hAnsi="Arial"/>
          <w:sz w:val="20"/>
          <w:szCs w:val="20"/>
          <w:color w:val="auto"/>
        </w:rPr>
        <w:t>” means all “Obligations” as defined in the Credit Agreement.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 Secured Parties</w:t>
      </w:r>
      <w:r>
        <w:rPr>
          <w:rFonts w:ascii="Arial" w:cs="Arial" w:eastAsia="Arial" w:hAnsi="Arial"/>
          <w:sz w:val="20"/>
          <w:szCs w:val="20"/>
          <w:color w:val="auto"/>
        </w:rPr>
        <w:t>” means the “Secured Parties” as defined in the Credit Agreement.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Financing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Financing Liens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DIP Lenders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2.05(b)</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w:t>
      </w:r>
      <w:r>
        <w:rPr>
          <w:rFonts w:ascii="Arial" w:cs="Arial" w:eastAsia="Arial" w:hAnsi="Arial"/>
          <w:sz w:val="18"/>
          <w:szCs w:val="18"/>
          <w:color w:val="auto"/>
        </w:rPr>
        <w:t>” means, with respect to any Shared Collateral and any Series of First-Lien Obligations, the date on which such Series of First-Lien Obligations is no longer secured by such Shared Collateral. The term “</w:t>
      </w:r>
      <w:r>
        <w:rPr>
          <w:rFonts w:ascii="Arial" w:cs="Arial" w:eastAsia="Arial" w:hAnsi="Arial"/>
          <w:sz w:val="18"/>
          <w:szCs w:val="18"/>
          <w:u w:val="single" w:color="auto"/>
          <w:color w:val="auto"/>
        </w:rPr>
        <w:t>Discharged</w:t>
      </w:r>
      <w:r>
        <w:rPr>
          <w:rFonts w:ascii="Arial" w:cs="Arial" w:eastAsia="Arial" w:hAnsi="Arial"/>
          <w:sz w:val="18"/>
          <w:szCs w:val="18"/>
          <w:color w:val="auto"/>
        </w:rPr>
        <w:t>” shall have a corresponding meaning.</w:t>
      </w:r>
    </w:p>
    <w:p>
      <w:pPr>
        <w:spacing w:after="0" w:line="130"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Discharge of Credit Agreement Obligations</w:t>
      </w:r>
      <w:r>
        <w:rPr>
          <w:rFonts w:ascii="Arial" w:cs="Arial" w:eastAsia="Arial" w:hAnsi="Arial"/>
          <w:sz w:val="20"/>
          <w:szCs w:val="20"/>
          <w:color w:val="auto"/>
        </w:rPr>
        <w:t xml:space="preserve">” means, with respect to any Shared Collateral, the Discharge of the Credit Agreement Obligations with respect to such Shared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Discharge of Credit Agreement Obligations shall not be deemed to have occurred in connection with a Refinancing of such Credit Agreement Obligations with additional First-Lien Obligations secured by such Shared Collateral under an Additional First-Lien Document which has been designated in writing by the Administrative Agent (under the Credit Agreement so Refinanced) to the Additional Collateral Agent and each other Authorized Representative as the “Credit Agreement” for purposes of this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4" w:right="239" w:bottom="1440" w:gutter="0" w:footer="0" w:header="0"/>
        </w:sectPr>
      </w:pPr>
    </w:p>
    <w:bookmarkStart w:id="485" w:name="page486"/>
    <w:bookmarkEnd w:id="485"/>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means an “Event of Default” (or similarly defined term) as defined in any Secured Credit Document.</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L/C Issuer</w:t>
      </w:r>
      <w:r>
        <w:rPr>
          <w:rFonts w:ascii="Arial" w:cs="Arial" w:eastAsia="Arial" w:hAnsi="Arial"/>
          <w:sz w:val="20"/>
          <w:szCs w:val="20"/>
          <w:color w:val="auto"/>
        </w:rPr>
        <w:t>” means (i) each L/C Issuer (as defined in the Credit Agreement with respect to each Letter of Credit issued thereunder) and (ii) each other issuing bank in respect of a First Lien Letter of Credit.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Letter of Credit</w:t>
      </w:r>
      <w:r>
        <w:rPr>
          <w:rFonts w:ascii="Arial" w:cs="Arial" w:eastAsia="Arial" w:hAnsi="Arial"/>
          <w:sz w:val="18"/>
          <w:szCs w:val="18"/>
          <w:color w:val="auto"/>
        </w:rPr>
        <w:t>” means any letter of credit issued under the Credit Agreement or any Additional First Lien Document.</w:t>
      </w:r>
    </w:p>
    <w:p>
      <w:pPr>
        <w:spacing w:after="0" w:line="252"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First-Lien Obligations</w:t>
      </w:r>
      <w:r>
        <w:rPr>
          <w:rFonts w:ascii="Arial" w:cs="Arial" w:eastAsia="Arial" w:hAnsi="Arial"/>
          <w:sz w:val="20"/>
          <w:szCs w:val="20"/>
          <w:color w:val="auto"/>
        </w:rPr>
        <w:t>” means, collectively, (i) the Credit Agreement Obligations and (ii) each Series of Additional First-Lien Obligations.</w:t>
      </w:r>
    </w:p>
    <w:p>
      <w:pPr>
        <w:spacing w:after="0" w:line="19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First-Lien Secured Parties</w:t>
      </w:r>
      <w:r>
        <w:rPr>
          <w:rFonts w:ascii="Arial" w:cs="Arial" w:eastAsia="Arial" w:hAnsi="Arial"/>
          <w:sz w:val="20"/>
          <w:szCs w:val="20"/>
          <w:color w:val="auto"/>
        </w:rPr>
        <w:t>” means (i) the Credit Agreement Secured Parties and (ii) the Additional First-Lien Secured Parties with respect to each Series of Additional First-Lien Obligations.</w:t>
      </w:r>
    </w:p>
    <w:p>
      <w:pPr>
        <w:spacing w:after="0" w:line="177"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First-Lien Security Documents</w:t>
      </w:r>
      <w:r>
        <w:rPr>
          <w:rFonts w:ascii="Arial" w:cs="Arial" w:eastAsia="Arial" w:hAnsi="Arial"/>
          <w:sz w:val="20"/>
          <w:szCs w:val="20"/>
          <w:color w:val="auto"/>
        </w:rPr>
        <w:t>” means, collectively, (i) the Credit Agreement Collateral Documents and (ii) the Additional First-Lien Security Documents.</w:t>
      </w:r>
    </w:p>
    <w:p>
      <w:pPr>
        <w:spacing w:after="0" w:line="19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Grantors</w:t>
      </w:r>
      <w:r>
        <w:rPr>
          <w:rFonts w:ascii="Arial" w:cs="Arial" w:eastAsia="Arial" w:hAnsi="Arial"/>
          <w:sz w:val="20"/>
          <w:szCs w:val="20"/>
          <w:color w:val="auto"/>
        </w:rPr>
        <w:t xml:space="preserve">” means the Borrowers and each of the Guarantors (as defined in the Credit Agreement) which has granted a security interest pursuant to any First-Lien Security Document to secure any Series of First-Lien Obligations. The Grantors existing on the date hereof are set forth in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hereto.</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Impairment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Authorized Representative</w:t>
      </w:r>
      <w:r>
        <w:rPr>
          <w:rFonts w:ascii="Arial" w:cs="Arial" w:eastAsia="Arial" w:hAnsi="Arial"/>
          <w:sz w:val="20"/>
          <w:szCs w:val="20"/>
          <w:color w:val="auto"/>
        </w:rPr>
        <w:t>” has the meaning assigned to such term in the introductory paragraph of this Agreement.</w:t>
      </w:r>
    </w:p>
    <w:p>
      <w:pPr>
        <w:spacing w:after="0" w:line="19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First-Lien Agreement</w:t>
      </w:r>
      <w:r>
        <w:rPr>
          <w:rFonts w:ascii="Arial" w:cs="Arial" w:eastAsia="Arial" w:hAnsi="Arial"/>
          <w:sz w:val="20"/>
          <w:szCs w:val="20"/>
          <w:color w:val="auto"/>
        </w:rPr>
        <w:t>” mean that certain [Credit Agreement] [Indenture] [Other Agreement], dated as of [ ], among the Borrowers, [the Guarantors identified therein,] and [ ], as [administrative agent] [trustee], as amended, restated, amended and restated, extended,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6979920</wp:posOffset>
            </wp:positionH>
            <wp:positionV relativeFrom="paragraph">
              <wp:posOffset>-325120</wp:posOffset>
            </wp:positionV>
            <wp:extent cx="1911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191135"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-179070</wp:posOffset>
            </wp:positionV>
            <wp:extent cx="1739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173990" cy="8890"/>
                    </a:xfrm>
                    <a:prstGeom prst="rect">
                      <a:avLst/>
                    </a:prstGeom>
                    <a:noFill/>
                  </pic:spPr>
                </pic:pic>
              </a:graphicData>
            </a:graphic>
          </wp:anchor>
        </w:drawing>
      </w:r>
    </w:p>
    <w:p>
      <w:pPr>
        <w:spacing w:after="0" w:line="16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First-Lien Documents</w:t>
      </w:r>
      <w:r>
        <w:rPr>
          <w:rFonts w:ascii="Arial" w:cs="Arial" w:eastAsia="Arial" w:hAnsi="Arial"/>
          <w:sz w:val="20"/>
          <w:szCs w:val="20"/>
          <w:color w:val="auto"/>
        </w:rPr>
        <w:t>” means the Initial Additional First-Lien Agreement, the [loans made] [debt securities issued] thereunder, the Initial Additional First-Lien Security Agreement and any security documents and other operative agreements evidencing or governing the Indebtedness thereunder, and the Liens securing such Indebtedness.</w:t>
      </w:r>
    </w:p>
    <w:p>
      <w:pPr>
        <w:spacing w:after="0" w:line="200" w:lineRule="exact"/>
        <w:rPr>
          <w:sz w:val="20"/>
          <w:szCs w:val="20"/>
          <w:color w:val="auto"/>
        </w:rPr>
      </w:pPr>
    </w:p>
    <w:p>
      <w:pPr>
        <w:jc w:val="both"/>
        <w:ind w:left="28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First-Lien Obligations</w:t>
      </w:r>
      <w:r>
        <w:rPr>
          <w:rFonts w:ascii="Arial" w:cs="Arial" w:eastAsia="Arial" w:hAnsi="Arial"/>
          <w:sz w:val="20"/>
          <w:szCs w:val="20"/>
          <w:color w:val="auto"/>
        </w:rPr>
        <w:t>” means the [Obligations] as such term is defined in the Initial Additional First-Lien Security Agreement.</w:t>
      </w:r>
    </w:p>
    <w:p>
      <w:pPr>
        <w:spacing w:after="0" w:line="19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First-Lien Secured Parties</w:t>
      </w:r>
      <w:r>
        <w:rPr>
          <w:rFonts w:ascii="Arial" w:cs="Arial" w:eastAsia="Arial" w:hAnsi="Arial"/>
          <w:sz w:val="20"/>
          <w:szCs w:val="20"/>
          <w:color w:val="auto"/>
        </w:rPr>
        <w:t>” means the Additional Collateral Agent, the Initial Additional Authorized Representative and the holders of the Initial Additional First-Lien Obligations issued pursuant to the Initial Additional First-Lien Agreement.</w:t>
      </w:r>
    </w:p>
    <w:p>
      <w:pPr>
        <w:spacing w:after="0" w:line="18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Additional First-Lien Security Agreement</w:t>
      </w:r>
      <w:r>
        <w:rPr>
          <w:rFonts w:ascii="Arial" w:cs="Arial" w:eastAsia="Arial" w:hAnsi="Arial"/>
          <w:sz w:val="20"/>
          <w:szCs w:val="20"/>
          <w:color w:val="auto"/>
        </w:rPr>
        <w:t>” means the security agreement, dated as of the date hereof, among the Borrowers, the Additional Collateral Agent and the other parties thereto, as amended, restated, amended and restated, extended, supplemented or otherwise modified from time to time.</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or Liquidation Proceeding</w:t>
      </w:r>
      <w:r>
        <w:rPr>
          <w:rFonts w:ascii="Arial" w:cs="Arial" w:eastAsia="Arial" w:hAnsi="Arial"/>
          <w:sz w:val="20"/>
          <w:szCs w:val="20"/>
          <w:color w:val="auto"/>
        </w:rPr>
        <w:t>” means: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486" w:name="page487"/>
    <w:bookmarkEnd w:id="486"/>
    <w:p>
      <w:pPr>
        <w:jc w:val="both"/>
        <w:ind w:left="920" w:firstLine="655"/>
        <w:spacing w:after="0" w:line="273" w:lineRule="auto"/>
        <w:tabs>
          <w:tab w:leader="none" w:pos="2447" w:val="left"/>
        </w:tabs>
        <w:numPr>
          <w:ilvl w:val="0"/>
          <w:numId w:val="385"/>
        </w:numPr>
        <w:rPr>
          <w:rFonts w:ascii="Arial" w:cs="Arial" w:eastAsia="Arial" w:hAnsi="Arial"/>
          <w:sz w:val="20"/>
          <w:szCs w:val="20"/>
          <w:color w:val="auto"/>
        </w:rPr>
      </w:pPr>
      <w:r>
        <w:rPr>
          <w:rFonts w:ascii="Arial" w:cs="Arial" w:eastAsia="Arial" w:hAnsi="Arial"/>
          <w:sz w:val="20"/>
          <w:szCs w:val="20"/>
          <w:color w:val="auto"/>
        </w:rPr>
        <w:t>any case commenced by or against any Borrower or any other Grantor under any Bankruptcy Law, any other proceeding for the reorganization, recapitalization or adjustment or marshalling of the assets or liabilities of any Borrower or any other Grantor, any receivership or assignment for the benefit of creditors relating to any Borrower or any other Grantor or any similar case or proceeding relative to any Borrower or any other Grantor or its creditors, as such, in each case whether or not voluntary;</w:t>
      </w:r>
    </w:p>
    <w:p>
      <w:pPr>
        <w:spacing w:after="0" w:line="191" w:lineRule="exact"/>
        <w:rPr>
          <w:rFonts w:ascii="Arial" w:cs="Arial" w:eastAsia="Arial" w:hAnsi="Arial"/>
          <w:sz w:val="20"/>
          <w:szCs w:val="20"/>
          <w:color w:val="auto"/>
        </w:rPr>
      </w:pPr>
    </w:p>
    <w:p>
      <w:pPr>
        <w:ind w:left="920" w:firstLine="655"/>
        <w:spacing w:after="0" w:line="347" w:lineRule="auto"/>
        <w:tabs>
          <w:tab w:leader="none" w:pos="244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any liquidation, dissolution, marshalling of assets or liabilities or other winding up of or relating to any Borrower or any other Grantor, in each case whether or not voluntary and whether or not involving bankruptcy or insolvency; or</w:t>
      </w:r>
    </w:p>
    <w:p>
      <w:pPr>
        <w:spacing w:after="0" w:line="130" w:lineRule="exact"/>
        <w:rPr>
          <w:rFonts w:ascii="Arial" w:cs="Arial" w:eastAsia="Arial" w:hAnsi="Arial"/>
          <w:sz w:val="18"/>
          <w:szCs w:val="18"/>
          <w:color w:val="auto"/>
        </w:rPr>
      </w:pPr>
    </w:p>
    <w:p>
      <w:pPr>
        <w:ind w:left="920" w:right="20" w:firstLine="655"/>
        <w:spacing w:after="0" w:line="316" w:lineRule="auto"/>
        <w:tabs>
          <w:tab w:leader="none" w:pos="2447" w:val="left"/>
        </w:tabs>
        <w:numPr>
          <w:ilvl w:val="0"/>
          <w:numId w:val="385"/>
        </w:numPr>
        <w:rPr>
          <w:rFonts w:ascii="Arial" w:cs="Arial" w:eastAsia="Arial" w:hAnsi="Arial"/>
          <w:sz w:val="19"/>
          <w:szCs w:val="19"/>
          <w:color w:val="auto"/>
        </w:rPr>
      </w:pPr>
      <w:r>
        <w:rPr>
          <w:rFonts w:ascii="Arial" w:cs="Arial" w:eastAsia="Arial" w:hAnsi="Arial"/>
          <w:sz w:val="19"/>
          <w:szCs w:val="19"/>
          <w:color w:val="auto"/>
        </w:rPr>
        <w:t>any other proceeding of any type or nature in which substantially all claims of creditors of any Borrower or any other Grantor are determined and any payment or distribution is or may be made on account of such claims.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Intervening Creditor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to this Agreement substantially in the form of </w:t>
      </w:r>
      <w:r>
        <w:rPr>
          <w:rFonts w:ascii="Arial" w:cs="Arial" w:eastAsia="Arial" w:hAnsi="Arial"/>
          <w:sz w:val="20"/>
          <w:szCs w:val="20"/>
          <w:u w:val="single" w:color="auto"/>
          <w:color w:val="auto"/>
        </w:rPr>
        <w:t>Annex II</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hereto.</w:t>
      </w:r>
    </w:p>
    <w:p>
      <w:pPr>
        <w:spacing w:after="0" w:line="186"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 operating lease in and of itself be deemed a Lien.</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 Non-Controlling Authorized Representative</w:t>
      </w:r>
      <w:r>
        <w:rPr>
          <w:rFonts w:ascii="Arial" w:cs="Arial" w:eastAsia="Arial" w:hAnsi="Arial"/>
          <w:sz w:val="20"/>
          <w:szCs w:val="20"/>
          <w:color w:val="auto"/>
        </w:rPr>
        <w:t>” means, with respect to any Shared Collateral,</w:t>
      </w:r>
    </w:p>
    <w:p>
      <w:pPr>
        <w:spacing w:after="0" w:line="16" w:lineRule="exact"/>
        <w:rPr>
          <w:sz w:val="20"/>
          <w:szCs w:val="20"/>
          <w:color w:val="auto"/>
        </w:rPr>
      </w:pPr>
    </w:p>
    <w:p>
      <w:pPr>
        <w:jc w:val="both"/>
        <w:ind w:left="280" w:hanging="2"/>
        <w:spacing w:after="0"/>
        <w:tabs>
          <w:tab w:leader="none" w:pos="52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at any time when the Credit Agreement Collateral Agent is the Controlling Collateral Agent, the Authorized Representative of the Series of Additional First-Lien Obligations, if any, that constitutes the largest outstanding principal amount of any then outstanding Series of First-Lien Obligations (including the Credit Agreement Obligations) and (ii) at any time when the Additional Collateral Agent is the Controlling Collateral Agent, the Authorized Representative of the Series of Additional First-Lien Obligations that constitutes the largest outstanding principal amount of any then outstanding Series of First- Lien Obligations (other than Credit Agreement Obligations) with respect to such Shared Collateral.</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York UCC</w:t>
      </w:r>
      <w:r>
        <w:rPr>
          <w:rFonts w:ascii="Arial" w:cs="Arial" w:eastAsia="Arial" w:hAnsi="Arial"/>
          <w:sz w:val="20"/>
          <w:szCs w:val="20"/>
          <w:color w:val="auto"/>
        </w:rPr>
        <w:t>” means the Uniform Commercial Code as from time to time in effect in the State of New York.</w:t>
      </w:r>
    </w:p>
    <w:p>
      <w:pPr>
        <w:spacing w:after="0" w:line="22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Authorized Representative</w:t>
      </w:r>
      <w:r>
        <w:rPr>
          <w:rFonts w:ascii="Arial" w:cs="Arial" w:eastAsia="Arial" w:hAnsi="Arial"/>
          <w:sz w:val="20"/>
          <w:szCs w:val="20"/>
          <w:color w:val="auto"/>
        </w:rPr>
        <w:t>” means, at any time with respect to any Shared Collateral, any Authorized Representative that is not the Applicable Authorized Representative at such time with respect to such Shared Collateral.</w:t>
      </w:r>
    </w:p>
    <w:p>
      <w:pPr>
        <w:spacing w:after="0" w:line="177" w:lineRule="exact"/>
        <w:rPr>
          <w:sz w:val="20"/>
          <w:szCs w:val="20"/>
          <w:color w:val="auto"/>
        </w:rPr>
      </w:pPr>
    </w:p>
    <w:p>
      <w:pPr>
        <w:jc w:val="both"/>
        <w:ind w:left="280"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Authorized Representative Enforcement Date</w:t>
      </w:r>
      <w:r>
        <w:rPr>
          <w:rFonts w:ascii="Arial" w:cs="Arial" w:eastAsia="Arial" w:hAnsi="Arial"/>
          <w:sz w:val="20"/>
          <w:szCs w:val="20"/>
          <w:color w:val="auto"/>
        </w:rPr>
        <w:t>” means, with respect to any Non- Controlling Authorized Representative, the date which is 180 days (throughout which 180 day period such Non-Controlling Authorized Representative was the Major Non-Controlling Authorized Representative) after the occurrence of both (i) an Event of Default (under and as defined in the Additional First-Lien Document under which such Non-Controlling Authorized Representative is the Authorized Representative) and (ii) each Collateral Agent’s and each other Authorized Representative’s receipt of written notice from such Non-Controlling Authorized Representative certifying that (x) such Non-Controlling Authorized Representative is the Major Non-Controlling Authorized Representative and that an Event of Default (under and as defined in the Additional First-Lien Document under which such Non-Controlling Authorized Representative is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676" w:right="239" w:bottom="1440" w:gutter="0" w:footer="0" w:header="0"/>
        </w:sectPr>
      </w:pPr>
    </w:p>
    <w:bookmarkStart w:id="487" w:name="page488"/>
    <w:bookmarkEnd w:id="487"/>
    <w:p>
      <w:pPr>
        <w:jc w:val="both"/>
        <w:ind w:left="280"/>
        <w:spacing w:after="0" w:line="242" w:lineRule="auto"/>
        <w:rPr>
          <w:sz w:val="20"/>
          <w:szCs w:val="20"/>
          <w:color w:val="auto"/>
        </w:rPr>
      </w:pPr>
      <w:r>
        <w:rPr>
          <w:rFonts w:ascii="Arial" w:cs="Arial" w:eastAsia="Arial" w:hAnsi="Arial"/>
          <w:sz w:val="20"/>
          <w:szCs w:val="20"/>
          <w:color w:val="auto"/>
        </w:rPr>
        <w:t xml:space="preserve">Authorized Representative) has occurred and is continuing and (y) the Additional First-Lien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First-Lien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Non-Controlling Authorized Representative Enforcement Date shall be stayed and shall not occur and shall be deemed not to have occurred with respect to any Shared Collateral (1) at any time the Administrative Agent or the Credit Agreement Collateral Agent has commenced and is diligently pursuing any enforcement action with respect to such Shared Collateral or (2) at any time the Grantor which has granted a security interest in such Shared Collateral is then a debtor under or with respect to (or otherwise subject to) any Insolvency or Liquidation Proceeding.</w:t>
      </w:r>
    </w:p>
    <w:p>
      <w:pPr>
        <w:spacing w:after="0" w:line="198"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Non-Controlling Secured Parties</w:t>
      </w:r>
      <w:r>
        <w:rPr>
          <w:rFonts w:ascii="Arial" w:cs="Arial" w:eastAsia="Arial" w:hAnsi="Arial"/>
          <w:sz w:val="20"/>
          <w:szCs w:val="20"/>
          <w:color w:val="auto"/>
        </w:rPr>
        <w:t>” means, with respect to any Shared Collateral, the First-Lien Secured Parties which are not Controlling Secured Parties with respect to such Shared Collateral.</w:t>
      </w:r>
    </w:p>
    <w:p>
      <w:pPr>
        <w:spacing w:after="0" w:line="190"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Possessory Collateral</w:t>
      </w:r>
      <w:r>
        <w:rPr>
          <w:rFonts w:ascii="Arial" w:cs="Arial" w:eastAsia="Arial" w:hAnsi="Arial"/>
          <w:sz w:val="19"/>
          <w:szCs w:val="19"/>
          <w:color w:val="auto"/>
        </w:rPr>
        <w:t>” means any Shared Collateral in the possession of a Collateral Agent (or its agents or bailees), to the extent that possession thereof perfects a Lien thereon under the Uniform Commercial Code of any jurisdiction. Possessory Collateral includes, without limitation, any Certificated Securities, Promissory Notes, Instruments, and Chattel Paper, in each case, delivered to or in the possession of the Collateral Agent under the terms of the First-Lien Security Documents.</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means, in respect of any indebtedness, to refinance, extend, renew, defease, amend, increase, modify, supplement, restructure, refund, replace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Arial" w:cs="Arial" w:eastAsia="Arial" w:hAnsi="Arial"/>
          <w:sz w:val="20"/>
          <w:szCs w:val="20"/>
          <w:u w:val="single" w:color="auto"/>
          <w:color w:val="auto"/>
        </w:rPr>
        <w:t>Refinanced</w:t>
      </w:r>
      <w:r>
        <w:rPr>
          <w:rFonts w:ascii="Arial" w:cs="Arial" w:eastAsia="Arial" w:hAnsi="Arial"/>
          <w:sz w:val="20"/>
          <w:szCs w:val="20"/>
          <w:color w:val="auto"/>
        </w:rPr>
        <w:t>” and “</w:t>
      </w:r>
      <w:r>
        <w:rPr>
          <w:rFonts w:ascii="Arial" w:cs="Arial" w:eastAsia="Arial" w:hAnsi="Arial"/>
          <w:sz w:val="20"/>
          <w:szCs w:val="20"/>
          <w:u w:val="single" w:color="auto"/>
          <w:color w:val="auto"/>
        </w:rPr>
        <w:t>Refinancing</w:t>
      </w:r>
      <w:r>
        <w:rPr>
          <w:rFonts w:ascii="Arial" w:cs="Arial" w:eastAsia="Arial" w:hAnsi="Arial"/>
          <w:sz w:val="20"/>
          <w:szCs w:val="20"/>
          <w:color w:val="auto"/>
        </w:rPr>
        <w:t>” have correlative meanings.</w:t>
      </w:r>
    </w:p>
    <w:p>
      <w:pPr>
        <w:spacing w:after="0" w:line="19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Credit Document</w:t>
      </w:r>
      <w:r>
        <w:rPr>
          <w:rFonts w:ascii="Arial" w:cs="Arial" w:eastAsia="Arial" w:hAnsi="Arial"/>
          <w:sz w:val="20"/>
          <w:szCs w:val="20"/>
          <w:color w:val="auto"/>
        </w:rPr>
        <w:t>” means (i) the Credit Agreement and each Loan Document (as defined in the Credit Agreement), (ii) each Initial Additional First-Lien Document, and (iii) each Additional First- Lien Document for Additional First-Lien Obligations incurred after the date hereof.</w:t>
      </w:r>
    </w:p>
    <w:p>
      <w:pPr>
        <w:spacing w:after="0" w:line="186"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“Amended and Restated Security Agreement,” dated as of November 30, 2017, among the Borrowers, the other Grantors party thereto and the Administrative Agent, as amended, restated, amended and restated, extended, supplemented or otherwise modified from time to time.</w:t>
      </w:r>
    </w:p>
    <w:p>
      <w:pPr>
        <w:spacing w:after="0" w:line="186" w:lineRule="exact"/>
        <w:rPr>
          <w:sz w:val="20"/>
          <w:szCs w:val="20"/>
          <w:color w:val="auto"/>
        </w:rPr>
      </w:pPr>
    </w:p>
    <w:p>
      <w:pPr>
        <w:jc w:val="both"/>
        <w:ind w:left="280"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means (a) with respect to the First-Lien Secured Parties, each of (i) the Credit Agreement Secured Parties (in their capacities as such), (ii) the Initial Additional First-Lien Secured Parties (in their capacities as such), and (iii) the Additional First-Lien Secured Parties (in their capacities as such) that become subject to this Agreement after the date hereof that are represented by a common Authorized Representative (in its capacity as such for such Additional First-Lien Secured Parties) and (b) with respect to any First-Lien Obligations, each of (i) the Credit Agreement Obligations, (ii) the Initial Additional First- Lien Obligations, and (iii) the Additional First-Lien Obligations incurred after the date hereof pursuant to any Additional First-Lien Document, which pursuant to any Joinder Agreement, are to be represented hereunder by a common Authorized Representative (in its capacity as such for such Additional First-Lien Obligations).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65" w:right="239" w:bottom="1440" w:gutter="0" w:footer="0" w:header="0"/>
        </w:sectPr>
      </w:pPr>
    </w:p>
    <w:bookmarkStart w:id="488" w:name="page489"/>
    <w:bookmarkEnd w:id="488"/>
    <w:p>
      <w:pPr>
        <w:jc w:val="both"/>
        <w:ind w:left="280"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Collateral</w:t>
      </w:r>
      <w:r>
        <w:rPr>
          <w:rFonts w:ascii="Arial" w:cs="Arial" w:eastAsia="Arial" w:hAnsi="Arial"/>
          <w:sz w:val="20"/>
          <w:szCs w:val="20"/>
          <w:color w:val="auto"/>
        </w:rPr>
        <w:t>” means, at any time, Collateral in which the holders of two or more Series of First-Lien Obligations hold a valid and perfected security interest at such time. If more than two Series of First-Lien Obligations are outstanding at any time and the holders of less than all Series of First-Lien Obligations hold a valid and perfected security interest in any Collateral at such time, then such Collateral shall constitute Shared Collateral for those Series of First-Lien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Trustee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202" w:lineRule="exact"/>
        <w:rPr>
          <w:sz w:val="20"/>
          <w:szCs w:val="20"/>
          <w:color w:val="auto"/>
        </w:rPr>
      </w:pPr>
    </w:p>
    <w:p>
      <w:pPr>
        <w:jc w:val="both"/>
        <w:ind w:left="280" w:firstLine="648"/>
        <w:spacing w:after="0" w:line="270"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90" w:lineRule="exact"/>
        <w:rPr>
          <w:sz w:val="20"/>
          <w:szCs w:val="20"/>
          <w:color w:val="auto"/>
        </w:rPr>
      </w:pPr>
    </w:p>
    <w:p>
      <w:pPr>
        <w:jc w:val="both"/>
        <w:ind w:left="280" w:firstLine="648"/>
        <w:spacing w:after="0" w:line="268"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Impairments</w:t>
      </w:r>
      <w:r>
        <w:rPr>
          <w:rFonts w:ascii="Arial" w:cs="Arial" w:eastAsia="Arial" w:hAnsi="Arial"/>
          <w:sz w:val="18"/>
          <w:szCs w:val="18"/>
          <w:color w:val="auto"/>
        </w:rPr>
        <w:t>. It is the intention of the First-Lien Secured Parties of each Series that the holders of First-Lien Obligations of such Series (and not the First-Lien Secured Parties of any other Series) bear the risk of (i) any determination by a court of competent jurisdiction that (x) any of the First- Lien Obligations of such Series are unenforceable under applicable law or are subordinated to any other obligations (other than another Series of First-Lien Obligations), (y) any of the First-Lien Obligations of such Series do not have an enforceable security interest in any of the Collateral securing any other Series of First-Lien Obligations and/or (z) any intervening security interest exists securing any other obligations (other than another Series of First-Lien Obligations) on a basis ranking prior to the security interest of such Series of First-Lien Obligations but junior to the security interest of any other Series of First-Lien Obligations or</w:t>
      </w:r>
    </w:p>
    <w:p>
      <w:pPr>
        <w:spacing w:after="0" w:line="5" w:lineRule="exact"/>
        <w:rPr>
          <w:sz w:val="20"/>
          <w:szCs w:val="20"/>
          <w:color w:val="auto"/>
        </w:rPr>
      </w:pPr>
    </w:p>
    <w:p>
      <w:pPr>
        <w:jc w:val="both"/>
        <w:ind w:left="280" w:hanging="2"/>
        <w:spacing w:after="0" w:line="269" w:lineRule="auto"/>
        <w:tabs>
          <w:tab w:leader="none" w:pos="57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existence of any Collateral for any other Series of First-Lien Obligations that is not Shared Collateral (any such condition referred to in the foregoing clauses (i) or (ii) with respect to any Series of First-Lien Obligations, an “</w:t>
      </w:r>
      <w:r>
        <w:rPr>
          <w:rFonts w:ascii="Arial" w:cs="Arial" w:eastAsia="Arial" w:hAnsi="Arial"/>
          <w:sz w:val="18"/>
          <w:szCs w:val="18"/>
          <w:u w:val="single" w:color="auto"/>
          <w:color w:val="auto"/>
        </w:rPr>
        <w:t>Impairment</w:t>
      </w:r>
      <w:r>
        <w:rPr>
          <w:rFonts w:ascii="Arial" w:cs="Arial" w:eastAsia="Arial" w:hAnsi="Arial"/>
          <w:sz w:val="18"/>
          <w:szCs w:val="18"/>
          <w:color w:val="auto"/>
        </w:rPr>
        <w:t xml:space="preserve">”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existence of a maximum claim with respect to any Material Real Property (as defined in the Credit Agreement) subject to a mortgage that applies to all First-Lien Obligations shall not be deemed to be an Impairment of any Series of First-Lien Obligations. In the event of any Impairment with respect to any Series of First-Lien Obligations, the results of such Impairment shall be borne solely by the holders of such Series of First-Lien Obligations, and the rights of the holders of such Series of First-Lien Obligations (including, without limitation, the right to receive distributions in respect of such Series of First-Lien Obligations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set forth herein shall be modified to the extent necessary so that the effects of such Impairment are borne solely by the holders of the Series of such First-Lien Obligations subject to such Impairment. Additionally, in the event the First-Lien Obligations of any Series are modified pursuant to applicable law (including, without limitation, pursuant to Section 1129 of the Bankruptcy Code), any reference to such First-Lien Obligations or the First-Lien Security Documents governing such First-Lien Obligations shall refer to such obligations or such documents as so modified.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4" w:right="239" w:bottom="1440" w:gutter="0" w:footer="0" w:header="0"/>
        </w:sectPr>
      </w:pPr>
    </w:p>
    <w:bookmarkStart w:id="489" w:name="page490"/>
    <w:bookmarkEnd w:id="489"/>
    <w:p>
      <w:pPr>
        <w:ind w:left="3980"/>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Priorities and Agreements with Respect to Shared Collateral</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Priority of Claims</w:t>
      </w:r>
      <w:r>
        <w:rPr>
          <w:rFonts w:ascii="Arial" w:cs="Arial" w:eastAsia="Arial" w:hAnsi="Arial"/>
          <w:sz w:val="20"/>
          <w:szCs w:val="20"/>
          <w:color w:val="auto"/>
        </w:rPr>
        <w:t>.</w:t>
      </w:r>
    </w:p>
    <w:p>
      <w:pPr>
        <w:spacing w:after="0" w:line="243" w:lineRule="exact"/>
        <w:rPr>
          <w:sz w:val="20"/>
          <w:szCs w:val="20"/>
          <w:color w:val="auto"/>
        </w:rPr>
      </w:pPr>
    </w:p>
    <w:p>
      <w:pPr>
        <w:jc w:val="both"/>
        <w:ind w:left="280" w:firstLine="646"/>
        <w:spacing w:after="0" w:line="299" w:lineRule="auto"/>
        <w:tabs>
          <w:tab w:leader="none" w:pos="179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Anything contained herein or in any of the Secured Credit Documents to the contrary notwithstanding (but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if an Event of Default has occurred and is continuing, and the Controlling Collateral Agent or any First-Lien Secured Party is taking action to enforce rights in respect of any Shared Collateral, or any distribution is made in respect of any Shared Collateral in any Bankruptcy Case of any Borrower or any other Grantor or any First-Lien Secured Party receives any payment pursuant to any intercreditor agreement (other than this Agreement) with respect to any Shared Collateral, the proceeds of any sale, collection or other liquidation of any such Collateral by the Controlling Collateral Agent or any First-Lien Secured Party on account of such enforcement of rights or remedies or received by the Controlling Collateral Agent or any First-Lien Secured Party pursuant to any such intercreditor agreement with respect to such Shared Collateral and proceeds of any such distribution (subject, in the case of any such distribution, to the sentence immediately following) to which the First-Lien Obligations are entitled under any intercreditor agreement (other than this Agreement) (all proceeds of any sale, collection or other liquidation of any Collateral and all proceeds of any such distribution being collectively referred to as “</w:t>
      </w:r>
      <w:r>
        <w:rPr>
          <w:rFonts w:ascii="Arial" w:cs="Arial" w:eastAsia="Arial" w:hAnsi="Arial"/>
          <w:sz w:val="18"/>
          <w:szCs w:val="18"/>
          <w:u w:val="single" w:color="auto"/>
          <w:color w:val="auto"/>
        </w:rPr>
        <w:t>Proceeds</w:t>
      </w:r>
      <w:r>
        <w:rPr>
          <w:rFonts w:ascii="Arial" w:cs="Arial" w:eastAsia="Arial" w:hAnsi="Arial"/>
          <w:sz w:val="18"/>
          <w:szCs w:val="18"/>
          <w:color w:val="auto"/>
        </w:rPr>
        <w:t xml:space="preserve">”), shall be applied (i) FIRST, to the payment of all amounts owing to each Collateral Agent (in its capacity as such) pursuant to the terms of any Secured Credit Document, (ii) SECOND,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to the payment in full of the First-Lien Obligations of each Series on a ratable basis, with such Proceeds to be applied to the First-Lien Obligations of a given Series in accordance with the terms of the applicable Secured Credit Documents and (iii) THIRD, after (A) payment in full of all First-Lien Obligations, (B) cancellation of, or entry into arrangements reasonably satisfactory to the relevant First Lien L/C Issuer with respect to, all First Lien Letters of Credit and (C) termination or expiration of all commitments to lend and all obligations to issue letters of credit under the Credit Agreement and any Additional First Lien Documents, to the Borrowers and the other Grantors or their successors or assigns, as their interests may appear, or to whomsoever may be lawfully entitled to receive the same, or as a court of competent jurisdiction may direct. Notwithstanding the foregoing, with respect to any Shared Collateral for which a third party (other than a First-Lien Secured Party) has a lien or security interest that is junior in priority to the security interest of any Series of First-Lien Obligations but senior (as determined by appropriate legal proceedings in the case of any dispute) to the security interest of any other Series of First-Lien Obligations (such third party, an “</w:t>
      </w:r>
      <w:r>
        <w:rPr>
          <w:rFonts w:ascii="Arial" w:cs="Arial" w:eastAsia="Arial" w:hAnsi="Arial"/>
          <w:sz w:val="18"/>
          <w:szCs w:val="18"/>
          <w:u w:val="single" w:color="auto"/>
          <w:color w:val="auto"/>
        </w:rPr>
        <w:t>Intervening Creditor</w:t>
      </w:r>
      <w:r>
        <w:rPr>
          <w:rFonts w:ascii="Arial" w:cs="Arial" w:eastAsia="Arial" w:hAnsi="Arial"/>
          <w:sz w:val="18"/>
          <w:szCs w:val="18"/>
          <w:color w:val="auto"/>
        </w:rPr>
        <w:t>”), the value of any Shared Collateral or Proceeds allocated to such Intervening Creditor shall be deducted on a ratable basis solely from the Shared Collateral or Proceeds to be distributed in respect of the Series of First-Lien Obligations with respect to which such Impairment exists.</w:t>
      </w:r>
    </w:p>
    <w:p>
      <w:pPr>
        <w:spacing w:after="0" w:line="186" w:lineRule="exact"/>
        <w:rPr>
          <w:rFonts w:ascii="Arial" w:cs="Arial" w:eastAsia="Arial" w:hAnsi="Arial"/>
          <w:sz w:val="18"/>
          <w:szCs w:val="18"/>
          <w:color w:val="auto"/>
        </w:rPr>
      </w:pPr>
    </w:p>
    <w:p>
      <w:pPr>
        <w:jc w:val="both"/>
        <w:ind w:left="280" w:firstLine="646"/>
        <w:spacing w:after="0" w:line="310" w:lineRule="auto"/>
        <w:tabs>
          <w:tab w:leader="none" w:pos="180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Notwithstanding the date, time, method, manner or order of grant, attachment or perfection of any Liens securing any Series of First-Lien Obligations granted on the Shared Collateral and notwithstanding any provision of the Uniform Commercial Code of any jurisdiction, or any other applicable law or the Secured Credit Documents or any defect or deficiencies in the Liens securing the First-Lien Obligations of any Series or any other circumstance whatsoever (but, in each case,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each First-Lien Secured Party hereby agrees that the Liens securing each Series of First-Lien Obligations on any Shared Collateral shall be of equal priority.</w:t>
      </w:r>
    </w:p>
    <w:p>
      <w:pPr>
        <w:spacing w:after="0" w:line="175" w:lineRule="exact"/>
        <w:rPr>
          <w:rFonts w:ascii="Arial" w:cs="Arial" w:eastAsia="Arial" w:hAnsi="Arial"/>
          <w:sz w:val="18"/>
          <w:szCs w:val="18"/>
          <w:color w:val="auto"/>
        </w:rPr>
      </w:pPr>
    </w:p>
    <w:p>
      <w:pPr>
        <w:jc w:val="both"/>
        <w:ind w:left="280" w:firstLine="646"/>
        <w:spacing w:after="0" w:line="274" w:lineRule="auto"/>
        <w:tabs>
          <w:tab w:leader="none" w:pos="1796" w:val="left"/>
        </w:tabs>
        <w:numPr>
          <w:ilvl w:val="0"/>
          <w:numId w:val="388"/>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or any other First-Lien Security Documents to the contrary, Collateral consisting of cash and cash equivalents pledged to secure Credit Agreement Obligations consisting of reimbursement obligations in respect of Letters of Credit or otherwise held by the Credit Agreement Collateral Agent pursuant to </w:t>
      </w:r>
      <w:r>
        <w:rPr>
          <w:rFonts w:ascii="Arial" w:cs="Arial" w:eastAsia="Arial" w:hAnsi="Arial"/>
          <w:sz w:val="20"/>
          <w:szCs w:val="20"/>
          <w:u w:val="single" w:color="auto"/>
          <w:color w:val="auto"/>
        </w:rPr>
        <w:t>Section 2.03(g)</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2.05(b)(iv)</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of the Credit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490" w:name="page491"/>
    <w:bookmarkEnd w:id="490"/>
    <w:p>
      <w:pPr>
        <w:ind w:left="280"/>
        <w:spacing w:after="0" w:line="289" w:lineRule="auto"/>
        <w:rPr>
          <w:sz w:val="20"/>
          <w:szCs w:val="20"/>
          <w:color w:val="auto"/>
        </w:rPr>
      </w:pPr>
      <w:r>
        <w:rPr>
          <w:rFonts w:ascii="Arial" w:cs="Arial" w:eastAsia="Arial" w:hAnsi="Arial"/>
          <w:sz w:val="20"/>
          <w:szCs w:val="20"/>
          <w:color w:val="auto"/>
        </w:rPr>
        <w:t>Agreement (or any equivalent successor provision) shall be applied as specified in the Credit Agreement and will not constitute Shared Collateral.</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Actions with Respect to Shared Collateral; Prohibition on Contesting Liens</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6"/>
        <w:spacing w:after="0" w:line="303" w:lineRule="auto"/>
        <w:tabs>
          <w:tab w:leader="none" w:pos="17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Only the Controlling Collateral Agent shall act or refrain from acting with respect to any Shared Collateral (including with respect to any intercreditor agreement with respect to any Shared Collateral). At any time when the Credit Agreement Collateral Agent is the Controlling Collateral Agent, no Additional First-Lien Secured Party shall or shall instruct any Collateral Agent to, and neither the Additional Collateral Agent nor any other Collateral Agent that is not the Controlling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First-Lien Security Document, applicable law or otherwise, it being agreed that only the Credit Agreement Collateral Agent, acting in accordance with the Credit Agreement Collateral Documents, shall be entitled to take any such actions or exercise any such remedies with respect to Shared Collateral at such time.</w:t>
      </w:r>
    </w:p>
    <w:p>
      <w:pPr>
        <w:spacing w:after="0" w:line="182" w:lineRule="exact"/>
        <w:rPr>
          <w:rFonts w:ascii="Arial" w:cs="Arial" w:eastAsia="Arial" w:hAnsi="Arial"/>
          <w:sz w:val="18"/>
          <w:szCs w:val="18"/>
          <w:color w:val="auto"/>
        </w:rPr>
      </w:pPr>
    </w:p>
    <w:p>
      <w:pPr>
        <w:jc w:val="both"/>
        <w:ind w:left="280" w:firstLine="646"/>
        <w:spacing w:after="0" w:line="301" w:lineRule="auto"/>
        <w:tabs>
          <w:tab w:leader="none" w:pos="180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With respect to any Shared Collateral at any time when the Additional Collateral Agent is the Controlling Collateral Agent, (i) the Controlling Collateral Agent shall act only on the instructions of the Applicable Authorized Representative, (ii) the Controlling Collateral Agent shall not follow any instructions with respect to such Shared Collateral (including with respect to any intercreditor agreement with respect to any Shared Collateral) from any Non-Controlling Authorized Representative (or any other First-Lien Secured Party other than the Applicable Authorized Representative) and (iii) no Non-Controlling Authorized Representative or other First-Lien Secured Party (other than the Applicable Authorized Representative) shall or shall instruct the Controlling Collateral Agent to, commence any judicial or non- 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First-Lien Security Document, applicable law or otherwise, it being agreed that only the Controlling Collateral Agent, acting on the instructions of the Applicable Authorized Representative and in accordance with the applicable Additional First-Lien Security Documents, shall be entitled to take any such actions or exercise any such remedies with respect to Shared Collateral.</w:t>
      </w:r>
    </w:p>
    <w:p>
      <w:pPr>
        <w:spacing w:after="0" w:line="177" w:lineRule="exact"/>
        <w:rPr>
          <w:rFonts w:ascii="Arial" w:cs="Arial" w:eastAsia="Arial" w:hAnsi="Arial"/>
          <w:sz w:val="18"/>
          <w:szCs w:val="18"/>
          <w:color w:val="auto"/>
        </w:rPr>
      </w:pPr>
    </w:p>
    <w:p>
      <w:pPr>
        <w:jc w:val="both"/>
        <w:ind w:left="280" w:firstLine="646"/>
        <w:spacing w:after="0" w:line="304" w:lineRule="auto"/>
        <w:tabs>
          <w:tab w:leader="none" w:pos="179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Notwithstanding the equal priority of the Liens securing each Series of First-Lien Obligations, the Controlling Collateral Agent may deal with the Shared Collateral as if such Controlling Collateral Agent had a senior Lien on such Collateral. No Non-Controlling Authorized Representative or Non-Controlling Secured Party will contest, protest or object (or support the challenge of any other Person) to any foreclosure proceeding or action brought by the Controlling Collateral Agent, the Applicable Authorized Representative or the Controlling Secured Party or any other exercise by the Controlling Collateral Agent, the Applicable Authorized Representative or the Controlling Secured Party of any rights and remedies relating to the Shared Collateral, or to cause the Controlling Collateral Agent to do so. The foregoing shall not be construed to limit the rights and priorities of any First-Lien Secured Party, the Controlling Collateral Agent or any Authorized Representative with respect to any Collateral not constituting Shared Collateral.</w:t>
      </w:r>
    </w:p>
    <w:p>
      <w:pPr>
        <w:spacing w:after="0" w:line="22" w:lineRule="exact"/>
        <w:rPr>
          <w:rFonts w:ascii="Arial" w:cs="Arial" w:eastAsia="Arial" w:hAnsi="Arial"/>
          <w:sz w:val="18"/>
          <w:szCs w:val="18"/>
          <w:color w:val="auto"/>
        </w:rPr>
      </w:pPr>
    </w:p>
    <w:p>
      <w:pPr>
        <w:jc w:val="both"/>
        <w:ind w:left="280" w:firstLine="646"/>
        <w:spacing w:after="0" w:line="278" w:lineRule="auto"/>
        <w:tabs>
          <w:tab w:leader="none" w:pos="1807" w:val="left"/>
        </w:tabs>
        <w:numPr>
          <w:ilvl w:val="0"/>
          <w:numId w:val="389"/>
        </w:numPr>
        <w:rPr>
          <w:rFonts w:ascii="Arial" w:cs="Arial" w:eastAsia="Arial" w:hAnsi="Arial"/>
          <w:sz w:val="20"/>
          <w:szCs w:val="20"/>
          <w:color w:val="auto"/>
        </w:rPr>
      </w:pPr>
      <w:r>
        <w:rPr>
          <w:rFonts w:ascii="Arial" w:cs="Arial" w:eastAsia="Arial" w:hAnsi="Arial"/>
          <w:sz w:val="20"/>
          <w:szCs w:val="20"/>
          <w:color w:val="auto"/>
        </w:rPr>
        <w:t>Each of the First-Lien Secured Parties (and each Authorized Representative) agrees that it will not (and hereby waives any right to) question or contest or support any other Person in contesting, in any proceeding (including any Insolvency or Liquidation Proceeding), the perfection, priority, validity,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79" w:right="239" w:bottom="1440" w:gutter="0" w:footer="0" w:header="0"/>
        </w:sectPr>
      </w:pPr>
    </w:p>
    <w:bookmarkStart w:id="491" w:name="page492"/>
    <w:bookmarkEnd w:id="491"/>
    <w:p>
      <w:pPr>
        <w:jc w:val="both"/>
        <w:ind w:left="280"/>
        <w:spacing w:after="0" w:line="278" w:lineRule="auto"/>
        <w:rPr>
          <w:sz w:val="20"/>
          <w:szCs w:val="20"/>
          <w:color w:val="auto"/>
        </w:rPr>
      </w:pPr>
      <w:r>
        <w:rPr>
          <w:rFonts w:ascii="Arial" w:cs="Arial" w:eastAsia="Arial" w:hAnsi="Arial"/>
          <w:sz w:val="20"/>
          <w:szCs w:val="20"/>
          <w:color w:val="auto"/>
        </w:rPr>
        <w:t xml:space="preserve">attachment or enforceability of a Lien held by or on behalf of any of the First-Lien Secured Parties in all or any part of the Collateral, or the provisions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in this Agreement shall be construed to prevent or impair the rights of any Collateral Agent or any Authorized Representative to enforce this Agreement.</w:t>
      </w:r>
    </w:p>
    <w:p>
      <w:pPr>
        <w:spacing w:after="0" w:line="200" w:lineRule="exact"/>
        <w:rPr>
          <w:sz w:val="20"/>
          <w:szCs w:val="20"/>
          <w:color w:val="auto"/>
        </w:rPr>
      </w:pPr>
    </w:p>
    <w:p>
      <w:pPr>
        <w:jc w:val="both"/>
        <w:ind w:left="280" w:firstLine="646"/>
        <w:spacing w:after="0" w:line="307" w:lineRule="auto"/>
        <w:tabs>
          <w:tab w:leader="none" w:pos="179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xml:space="preserve">Each of the Authorized Representatives agrees that it will not accept any Lien on any collateral for the benefit of any Series of First-Lien Obligations (other than funds deposited for the discharge or defeasance of any Additional First-Lien Document, to the extent permitted by the applicable Secured Credit Documents) other than pursuant to the First-Lien Security Documents to which it is a party and pursuant to </w:t>
      </w:r>
      <w:r>
        <w:rPr>
          <w:rFonts w:ascii="Arial" w:cs="Arial" w:eastAsia="Arial" w:hAnsi="Arial"/>
          <w:sz w:val="18"/>
          <w:szCs w:val="18"/>
          <w:u w:val="single" w:color="auto"/>
          <w:color w:val="auto"/>
        </w:rPr>
        <w:t>Section 2.03(g)</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2.05(b)(iv)</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 similar provisions) of the Credit Agreement, and by executing this Agreement (or a Joinder Agreement), each Authorized Representative and the Series of First-Lien Secured Parties for which it is acting hereunder agree to be bound by the provisions of this Agreement and the other First-Lien Security Documents applicable to it.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No Interference; Payment Over</w:t>
      </w:r>
      <w:r>
        <w:rPr>
          <w:rFonts w:ascii="Arial" w:cs="Arial" w:eastAsia="Arial" w:hAnsi="Arial"/>
          <w:sz w:val="20"/>
          <w:szCs w:val="20"/>
          <w:color w:val="auto"/>
        </w:rPr>
        <w:t>.</w:t>
      </w:r>
    </w:p>
    <w:p>
      <w:pPr>
        <w:spacing w:after="0" w:line="229" w:lineRule="exact"/>
        <w:rPr>
          <w:sz w:val="20"/>
          <w:szCs w:val="20"/>
          <w:color w:val="auto"/>
        </w:rPr>
      </w:pPr>
    </w:p>
    <w:p>
      <w:pPr>
        <w:jc w:val="both"/>
        <w:ind w:left="280" w:firstLine="646"/>
        <w:spacing w:after="0" w:line="300" w:lineRule="auto"/>
        <w:tabs>
          <w:tab w:leader="none" w:pos="179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Each First-Lien Secured Party agrees that (i) it will not challenge or question in any proceeding the validity or enforceability of any First-Lien Obligations of any Series or any First-Lien Security Document or the validity, attachment, perfection or priority of any Lien under any First-Lien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Controlling Collateral Agent, (iii) except as provided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it shall have no right to (A) direct the Controlling Collateral Agent or any other First-Lien Secured Party to exercise, and shall not exercise, any right, remedy or power with respect to any Shared Collateral (including pursuant to any intercreditor agreement) or (B) consent to the exercise by the Controlling Collateral Agent or any other First-Lien Secured Party of any right, remedy or power with respect to any Shared Collateral, (iv) it will not institute any suit or assert in any suit, bankruptcy, insolvency or other proceeding any claim against the Controlling Collateral Agent or any other First-Lien Secured Party seeking damages from or other relief by way of specific performance, instructions or otherwise with respect to any Shared Collateral, and none of the Controlling Collateral Agent, any Applicable Authorized Representative or any other First-Lien Secured Party shall be liable for any action taken or omitted to be taken by the Controlling Collateral Agent, such Applicable Authorized Representative or other First-Lien Secured Party with respect to any Shared Collateral in accordance with the provisions of this Agreement, (v) it will not seek, and hereby waives any right, to have any Shared Collateral or any part thereof marshaled upon any foreclosure or other disposition of such Collateral and (vi) it will not attempt, directly or indirectly, whether by judicial proceedings or otherwise, to challenge the enforceability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be construed to prevent or impair the rights of any of the Controlling Collateral Agent or any other First-Lien Secured Party to enforce this Agreement.</w:t>
      </w:r>
    </w:p>
    <w:p>
      <w:pPr>
        <w:spacing w:after="0" w:line="177" w:lineRule="exact"/>
        <w:rPr>
          <w:rFonts w:ascii="Arial" w:cs="Arial" w:eastAsia="Arial" w:hAnsi="Arial"/>
          <w:sz w:val="18"/>
          <w:szCs w:val="18"/>
          <w:color w:val="auto"/>
        </w:rPr>
      </w:pPr>
    </w:p>
    <w:p>
      <w:pPr>
        <w:jc w:val="both"/>
        <w:ind w:left="280" w:firstLine="646"/>
        <w:spacing w:after="0" w:line="270" w:lineRule="auto"/>
        <w:tabs>
          <w:tab w:leader="none" w:pos="1807" w:val="left"/>
        </w:tabs>
        <w:numPr>
          <w:ilvl w:val="0"/>
          <w:numId w:val="391"/>
        </w:numPr>
        <w:rPr>
          <w:rFonts w:ascii="Arial" w:cs="Arial" w:eastAsia="Arial" w:hAnsi="Arial"/>
          <w:sz w:val="20"/>
          <w:szCs w:val="20"/>
          <w:color w:val="auto"/>
        </w:rPr>
      </w:pPr>
      <w:r>
        <w:rPr>
          <w:rFonts w:ascii="Arial" w:cs="Arial" w:eastAsia="Arial" w:hAnsi="Arial"/>
          <w:sz w:val="20"/>
          <w:szCs w:val="20"/>
          <w:color w:val="auto"/>
        </w:rPr>
        <w:t xml:space="preserve">Each First-Lien Secured Party hereby agrees that if it shall obtain possession of any Shared Collateral or shall realize any proceeds or payment in respect of any such Shared Collateral, pursuant to any First-Lien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First-Lien Obligations, then it shall hold such Shared Collateral, proceeds or payment in trust for the other First-Lien Secured Parties and promptly transfer such Shared Collateral, proceeds or payment, as the case may be, to the Controlling Collateral Agent in the same form as received, with any necessary endorsements or as a court of competent jurisdiction may otherwise direct, to be distributed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2.01</w:t>
      </w:r>
      <w:r>
        <w:rPr>
          <w:rFonts w:ascii="Arial" w:cs="Arial" w:eastAsia="Arial" w:hAnsi="Arial"/>
          <w:sz w:val="20"/>
          <w:szCs w:val="20"/>
          <w:color w:val="auto"/>
        </w:rPr>
        <w:t xml:space="preserve"> hereof.</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Automatic Release of Liens</w:t>
      </w:r>
      <w:r>
        <w:rPr>
          <w:rFonts w:ascii="Arial" w:cs="Arial" w:eastAsia="Arial" w:hAnsi="Arial"/>
          <w:sz w:val="20"/>
          <w:szCs w:val="20"/>
          <w:color w:val="auto"/>
        </w:rPr>
        <w: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47" w:right="239" w:bottom="1440" w:gutter="0" w:footer="0" w:header="0"/>
        </w:sectPr>
      </w:pPr>
    </w:p>
    <w:bookmarkStart w:id="492" w:name="page493"/>
    <w:bookmarkEnd w:id="492"/>
    <w:p>
      <w:pPr>
        <w:jc w:val="both"/>
        <w:ind w:left="280" w:firstLine="646"/>
        <w:spacing w:after="0" w:line="272" w:lineRule="auto"/>
        <w:tabs>
          <w:tab w:leader="none" w:pos="1796" w:val="left"/>
        </w:tabs>
        <w:numPr>
          <w:ilvl w:val="0"/>
          <w:numId w:val="392"/>
        </w:numPr>
        <w:rPr>
          <w:rFonts w:ascii="Arial" w:cs="Arial" w:eastAsia="Arial" w:hAnsi="Arial"/>
          <w:sz w:val="20"/>
          <w:szCs w:val="20"/>
          <w:color w:val="auto"/>
        </w:rPr>
      </w:pPr>
      <w:r>
        <w:rPr>
          <w:rFonts w:ascii="Arial" w:cs="Arial" w:eastAsia="Arial" w:hAnsi="Arial"/>
          <w:sz w:val="20"/>
          <w:szCs w:val="20"/>
          <w:color w:val="auto"/>
        </w:rPr>
        <w:t xml:space="preserve">If, at any time the Controlling Collateral Agent forecloses upon or otherwise exercises remedies against any Shared Collateral resulting in a sale or disposition thereof, then (whether or not any Insolvency or Liquidation Proceeding is pending at the time) the Liens in favor of each other Collateral Agent for the benefit of each Series of First-Lien Secured Parties upon such Shared Collateral will automatically, unconditionally and simultaneously be released and discharged as and when, but only to the extent, such Liens of the Controlling Collateral Agent on such Shared Collateral are released and discharged;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proceeds of any Shared Collateral realized therefrom shall be applied pursuant to Section 2.01.</w:t>
      </w:r>
    </w:p>
    <w:p>
      <w:pPr>
        <w:spacing w:after="0" w:line="191" w:lineRule="exact"/>
        <w:rPr>
          <w:rFonts w:ascii="Arial" w:cs="Arial" w:eastAsia="Arial" w:hAnsi="Arial"/>
          <w:sz w:val="20"/>
          <w:szCs w:val="20"/>
          <w:color w:val="auto"/>
        </w:rPr>
      </w:pPr>
    </w:p>
    <w:p>
      <w:pPr>
        <w:jc w:val="both"/>
        <w:ind w:left="280" w:firstLine="646"/>
        <w:spacing w:after="0" w:line="278" w:lineRule="auto"/>
        <w:tabs>
          <w:tab w:leader="none" w:pos="1807" w:val="left"/>
        </w:tabs>
        <w:numPr>
          <w:ilvl w:val="0"/>
          <w:numId w:val="392"/>
        </w:numPr>
        <w:rPr>
          <w:rFonts w:ascii="Arial" w:cs="Arial" w:eastAsia="Arial" w:hAnsi="Arial"/>
          <w:sz w:val="20"/>
          <w:szCs w:val="20"/>
          <w:color w:val="auto"/>
        </w:rPr>
      </w:pPr>
      <w:r>
        <w:rPr>
          <w:rFonts w:ascii="Arial" w:cs="Arial" w:eastAsia="Arial" w:hAnsi="Arial"/>
          <w:sz w:val="20"/>
          <w:szCs w:val="20"/>
          <w:color w:val="auto"/>
        </w:rPr>
        <w:t>Each Collateral Agent and Authorized Representative agrees to execute and deliver all such authorizations and other instruments as shall reasonably be requested by the Controlling Collateral Agent to evidence and confirm any release of Shared Collateral provided for in this Section.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Certain Agreements with Respect to Bankruptcy or Insolvency Proceedings.</w:t>
      </w:r>
    </w:p>
    <w:p>
      <w:pPr>
        <w:spacing w:after="0" w:line="216" w:lineRule="exact"/>
        <w:rPr>
          <w:sz w:val="20"/>
          <w:szCs w:val="20"/>
          <w:color w:val="auto"/>
        </w:rPr>
      </w:pPr>
    </w:p>
    <w:p>
      <w:pPr>
        <w:jc w:val="both"/>
        <w:ind w:left="280" w:firstLine="646"/>
        <w:spacing w:after="0" w:line="278" w:lineRule="auto"/>
        <w:tabs>
          <w:tab w:leader="none" w:pos="1796" w:val="left"/>
        </w:tabs>
        <w:numPr>
          <w:ilvl w:val="0"/>
          <w:numId w:val="393"/>
        </w:numPr>
        <w:rPr>
          <w:rFonts w:ascii="Arial" w:cs="Arial" w:eastAsia="Arial" w:hAnsi="Arial"/>
          <w:sz w:val="20"/>
          <w:szCs w:val="20"/>
          <w:color w:val="auto"/>
        </w:rPr>
      </w:pPr>
      <w:r>
        <w:rPr>
          <w:rFonts w:ascii="Arial" w:cs="Arial" w:eastAsia="Arial" w:hAnsi="Arial"/>
          <w:sz w:val="20"/>
          <w:szCs w:val="20"/>
          <w:color w:val="auto"/>
        </w:rPr>
        <w:t>This Agreement shall continue in full force and effect notwithstanding the commencement of any Insolvency or Liquidation Proceeding. The parties hereto acknowledge that the provisions of this Agreement are intended to be enforceable as contemplated by Section 510(a) of the Bankruptcy Code.</w:t>
      </w:r>
    </w:p>
    <w:p>
      <w:pPr>
        <w:spacing w:after="0" w:line="186" w:lineRule="exact"/>
        <w:rPr>
          <w:rFonts w:ascii="Arial" w:cs="Arial" w:eastAsia="Arial" w:hAnsi="Arial"/>
          <w:sz w:val="20"/>
          <w:szCs w:val="20"/>
          <w:color w:val="auto"/>
        </w:rPr>
      </w:pPr>
    </w:p>
    <w:p>
      <w:pPr>
        <w:jc w:val="both"/>
        <w:ind w:left="280" w:firstLine="646"/>
        <w:spacing w:after="0" w:line="299" w:lineRule="auto"/>
        <w:tabs>
          <w:tab w:leader="none" w:pos="1807"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any Borrower and/or any other Grantor shall become subject to a case (a “</w:t>
      </w:r>
      <w:r>
        <w:rPr>
          <w:rFonts w:ascii="Arial" w:cs="Arial" w:eastAsia="Arial" w:hAnsi="Arial"/>
          <w:sz w:val="18"/>
          <w:szCs w:val="18"/>
          <w:u w:val="single" w:color="auto"/>
          <w:color w:val="auto"/>
        </w:rPr>
        <w:t>Bankruptcy Case</w:t>
      </w:r>
      <w:r>
        <w:rPr>
          <w:rFonts w:ascii="Arial" w:cs="Arial" w:eastAsia="Arial" w:hAnsi="Arial"/>
          <w:sz w:val="18"/>
          <w:szCs w:val="18"/>
          <w:color w:val="auto"/>
        </w:rPr>
        <w:t>”) under the Bankruptcy Code and shall, as debtor(s)-in-possession, move for approval of financing (“</w:t>
      </w:r>
      <w:r>
        <w:rPr>
          <w:rFonts w:ascii="Arial" w:cs="Arial" w:eastAsia="Arial" w:hAnsi="Arial"/>
          <w:sz w:val="18"/>
          <w:szCs w:val="18"/>
          <w:u w:val="single" w:color="auto"/>
          <w:color w:val="auto"/>
        </w:rPr>
        <w:t>DIP Financing</w:t>
      </w:r>
      <w:r>
        <w:rPr>
          <w:rFonts w:ascii="Arial" w:cs="Arial" w:eastAsia="Arial" w:hAnsi="Arial"/>
          <w:sz w:val="18"/>
          <w:szCs w:val="18"/>
          <w:color w:val="auto"/>
        </w:rPr>
        <w:t>”) to be provided by one or more lenders (the “</w:t>
      </w:r>
      <w:r>
        <w:rPr>
          <w:rFonts w:ascii="Arial" w:cs="Arial" w:eastAsia="Arial" w:hAnsi="Arial"/>
          <w:sz w:val="18"/>
          <w:szCs w:val="18"/>
          <w:u w:val="single" w:color="auto"/>
          <w:color w:val="auto"/>
        </w:rPr>
        <w:t>DIP Lenders</w:t>
      </w:r>
      <w:r>
        <w:rPr>
          <w:rFonts w:ascii="Arial" w:cs="Arial" w:eastAsia="Arial" w:hAnsi="Arial"/>
          <w:sz w:val="18"/>
          <w:szCs w:val="18"/>
          <w:color w:val="auto"/>
        </w:rPr>
        <w:t>”) under Section 364 of the Bankruptcy Code or any equivalent provision of any other Bankruptcy Law or the use of cash collateral under Section 363 of the Bankruptcy Code or any equivalent provision of any other Bankruptcy Law, each First-Lien Secured Party (other than any Controlling Secured Party or the Authorized Representative of any Controlling Secured Party) agrees that it will raise no objection to any such financing or to the Liens on the Shared Collateral securing the same (“</w:t>
      </w:r>
      <w:r>
        <w:rPr>
          <w:rFonts w:ascii="Arial" w:cs="Arial" w:eastAsia="Arial" w:hAnsi="Arial"/>
          <w:sz w:val="18"/>
          <w:szCs w:val="18"/>
          <w:u w:val="single" w:color="auto"/>
          <w:color w:val="auto"/>
        </w:rPr>
        <w:t>DIP Financing Liens</w:t>
      </w:r>
      <w:r>
        <w:rPr>
          <w:rFonts w:ascii="Arial" w:cs="Arial" w:eastAsia="Arial" w:hAnsi="Arial"/>
          <w:sz w:val="18"/>
          <w:szCs w:val="18"/>
          <w:color w:val="auto"/>
        </w:rPr>
        <w:t xml:space="preserve">”) or to any use of cash collateral that constitutes Shared Collateral, unless the Controlling Collateral Agent (in the case of the Additional Collateral Agent, acting on the instructions of the Applicable Authorized Representative) shall then oppose or object to such DIP Financing or 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First-Lien Secured Parties constituting DIP Financing Liens) are subordinated thereto, and (ii) to the extent that such DIP Financing Liens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on any such Shared Collateral granted to secure the First-Lien Obligations of the Controlling Secured Parties, each Non-Controlling Secured Party will confirm the priorities with respect to such Shared Collateral as set forth herein), in each case so long as (A) the First-Lien Secured Parties of each Series retain the benefit of their Liens on all such Shared Collateral pledged to the DIP Lenders, including proceeds thereof arising after the commencement of such proceeding, with the same priority vis-à-vis all the other First-Lien Secured Parties (other than any Liens of the First-Lien Secured Parties constituting DIP Financing Liens) as existed prior to the commencement of the Bankruptcy Case, (B) the First-Lien Secured Parties of each Series are granted Liens on any additional collateral pledged to any First-Lien Secured Parties as adequate protection or otherwise in connection with such DIP Financing or use of cash collateral, with the same priority vis-à-vis the First-Lien Secured Parties as set forth in this Agreement, (C) if any amount of such DIP Financing or cash collateral is applied to repay any of the First-Lien Obligations, such amount is applied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(D) if any First-Lien Secured Parties are granted adequate protection, including in the form of periodic payments, in connection with such DIP Financing or use of cash collateral, the proceeds of such adequate protection are applied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Agreement shall not limit the right of the First-Lien Secured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581" w:right="239" w:bottom="1440" w:gutter="0" w:footer="0" w:header="0"/>
        </w:sectPr>
      </w:pPr>
    </w:p>
    <w:bookmarkStart w:id="493" w:name="page494"/>
    <w:bookmarkEnd w:id="493"/>
    <w:p>
      <w:pPr>
        <w:jc w:val="both"/>
        <w:ind w:left="280"/>
        <w:spacing w:after="0" w:line="273" w:lineRule="auto"/>
        <w:rPr>
          <w:sz w:val="20"/>
          <w:szCs w:val="20"/>
          <w:color w:val="auto"/>
        </w:rPr>
      </w:pPr>
      <w:r>
        <w:rPr>
          <w:rFonts w:ascii="Arial" w:cs="Arial" w:eastAsia="Arial" w:hAnsi="Arial"/>
          <w:sz w:val="20"/>
          <w:szCs w:val="20"/>
          <w:color w:val="auto"/>
        </w:rPr>
        <w:t xml:space="preserve">Parties of each Series to object to the grant of a Lien to secure the DIP Financing over any Collateral subject to Liens in favor of the First-Lien Secured Parties of such Series or its Authorized Representative that shall not constitute Shared Collateral;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First-Lien Secured Parties receiving adequate protection shall not object to any other First-Lien Secured Party receiving adequate protection comparable to any adequate protection granted to such First-Lien Secured Parties in connection with a DIP Financing or use of cash collateral.</w:t>
      </w:r>
    </w:p>
    <w:p>
      <w:pPr>
        <w:spacing w:after="0" w:line="191"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Reinstatement</w:t>
      </w:r>
      <w:r>
        <w:rPr>
          <w:rFonts w:ascii="Arial" w:cs="Arial" w:eastAsia="Arial" w:hAnsi="Arial"/>
          <w:sz w:val="20"/>
          <w:szCs w:val="20"/>
          <w:color w:val="auto"/>
        </w:rPr>
        <w:t xml:space="preserve">. In the event that any of the First-Lien Obligations shall be paid in full and such payment or any part thereof shall subsequently, for whatever reason (including an order or judgment for disgorgement of a preference under the Bankruptcy Code, or any similar law, or the settlement of any claim in respect thereof), be required to be returned or repaid, the terms and conditions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shall be fully applicable thereto until all such First-Lien Obligations shall again have been paid in full in cash.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2.06</w:t>
      </w:r>
      <w:r>
        <w:rPr>
          <w:rFonts w:ascii="Arial" w:cs="Arial" w:eastAsia="Arial" w:hAnsi="Arial"/>
          <w:sz w:val="20"/>
          <w:szCs w:val="20"/>
          <w:color w:val="auto"/>
        </w:rPr>
        <w:t xml:space="preserve"> shall survive the termination of this Agreement.</w:t>
      </w:r>
    </w:p>
    <w:p>
      <w:pPr>
        <w:spacing w:after="0" w:line="195"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Insurance</w:t>
      </w:r>
      <w:r>
        <w:rPr>
          <w:rFonts w:ascii="Arial" w:cs="Arial" w:eastAsia="Arial" w:hAnsi="Arial"/>
          <w:sz w:val="20"/>
          <w:szCs w:val="20"/>
          <w:color w:val="auto"/>
        </w:rPr>
        <w:t>. As between the First-Lien Secured Parties, the Controlling Collateral Agent shall have the right to adjust or settle any insurance policy or claim covering or constituting Shared Collateral in the event of any loss thereunder and to approve any award granted in any condemnation or similar proceeding affecting the Shared Collateral.</w:t>
      </w:r>
    </w:p>
    <w:p>
      <w:pPr>
        <w:spacing w:after="0" w:line="200" w:lineRule="exact"/>
        <w:rPr>
          <w:sz w:val="20"/>
          <w:szCs w:val="20"/>
          <w:color w:val="auto"/>
        </w:rPr>
      </w:pPr>
    </w:p>
    <w:p>
      <w:pPr>
        <w:jc w:val="both"/>
        <w:ind w:left="280" w:firstLine="648"/>
        <w:spacing w:after="0" w:line="258"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Refinancings, etc</w:t>
      </w:r>
      <w:r>
        <w:rPr>
          <w:rFonts w:ascii="Arial" w:cs="Arial" w:eastAsia="Arial" w:hAnsi="Arial"/>
          <w:sz w:val="19"/>
          <w:szCs w:val="19"/>
          <w:color w:val="auto"/>
        </w:rPr>
        <w:t xml:space="preserve">. The First-Lien Obligations of any Series may, subject to the limitations set forth in the then extant Secured Credit Documents, be increased, extended, renewed, replaced, restated, supplemented, restructured, repaid, refunded, Refinanced (in whole or in part) or otherwise amended or modified from time to time, in each case, without notice to, or the consent (except to the extent a consent is otherwise required to permit the Refinancing transaction under any Secured Credit Document) of any First-Lien Secured Party of any other Series, all without affecting the priorities provided for herein or the other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Authorized Representative of the holders of any such Refinancing indebtedness shall have executed a Joinder Agreement on behalf of the holders of such Refinancing indebtedness.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Possessory Collateral Agent as Gratuitous Bailee for Perfection</w:t>
      </w:r>
      <w:r>
        <w:rPr>
          <w:rFonts w:ascii="Arial" w:cs="Arial" w:eastAsia="Arial" w:hAnsi="Arial"/>
          <w:sz w:val="20"/>
          <w:szCs w:val="20"/>
          <w:color w:val="auto"/>
        </w:rPr>
        <w:t>.</w:t>
      </w:r>
    </w:p>
    <w:p>
      <w:pPr>
        <w:spacing w:after="0" w:line="229" w:lineRule="exact"/>
        <w:rPr>
          <w:sz w:val="20"/>
          <w:szCs w:val="20"/>
          <w:color w:val="auto"/>
        </w:rPr>
      </w:pPr>
    </w:p>
    <w:p>
      <w:pPr>
        <w:jc w:val="both"/>
        <w:ind w:left="280" w:firstLine="646"/>
        <w:spacing w:after="0" w:line="284" w:lineRule="auto"/>
        <w:tabs>
          <w:tab w:leader="none" w:pos="1796" w:val="left"/>
        </w:tabs>
        <w:numPr>
          <w:ilvl w:val="0"/>
          <w:numId w:val="394"/>
        </w:numPr>
        <w:rPr>
          <w:rFonts w:ascii="Arial" w:cs="Arial" w:eastAsia="Arial" w:hAnsi="Arial"/>
          <w:sz w:val="19"/>
          <w:szCs w:val="19"/>
          <w:color w:val="auto"/>
        </w:rPr>
      </w:pPr>
      <w:r>
        <w:rPr>
          <w:rFonts w:ascii="Arial" w:cs="Arial" w:eastAsia="Arial" w:hAnsi="Arial"/>
          <w:sz w:val="19"/>
          <w:szCs w:val="19"/>
          <w:color w:val="auto"/>
        </w:rPr>
        <w:t xml:space="preserve">The Possessory Collateral shall be delivered to the Credit Agreement Collateral Agent and the Credit Agreement Collateral Agent agrees to hold (and, pending delivery of the Possessory Collateral to the Credit Agreement Collateral Agent, each other Collateral Agent agrees to hold) any Shared Collateral constituting Possessory Collateral that is part of the Collateral in its possession or control (or in the possession or control of its agents or bailees) as gratuitous bailee for the benefit of each other First-Lien Secured Party and any assignee solely for the purpose of perfecting the security interest granted in such Possessory Collateral, if any, pursuant to the applicable First-Lien Security Documents, in each case, subject to the terms and conditions of this </w:t>
      </w:r>
      <w:r>
        <w:rPr>
          <w:rFonts w:ascii="Arial" w:cs="Arial" w:eastAsia="Arial" w:hAnsi="Arial"/>
          <w:sz w:val="19"/>
          <w:szCs w:val="19"/>
          <w:u w:val="single" w:color="auto"/>
          <w:color w:val="auto"/>
        </w:rPr>
        <w:t>Section 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the Credit Agreement Collateral Agent is not the Controlling Collateral Agent, the Credit Agreement Collateral Agent shall, at the request of the Additional Collateral Agent, promptly deliver all Possessory Collateral to the Additional Collateral Agent together with any necessary endorsements (or otherwise allow the Additional Collateral Agent to obtain control of such Possessory Collateral). The Borrowers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gross negligence or bad faith (as determined by a court of competent jurisdiction in a final, non-appealable judgment).</w:t>
      </w:r>
    </w:p>
    <w:p>
      <w:pPr>
        <w:spacing w:after="0" w:line="42" w:lineRule="exact"/>
        <w:rPr>
          <w:rFonts w:ascii="Arial" w:cs="Arial" w:eastAsia="Arial" w:hAnsi="Arial"/>
          <w:sz w:val="19"/>
          <w:szCs w:val="19"/>
          <w:color w:val="auto"/>
        </w:rPr>
      </w:pPr>
    </w:p>
    <w:p>
      <w:pPr>
        <w:jc w:val="both"/>
        <w:ind w:left="280" w:firstLine="646"/>
        <w:spacing w:after="0" w:line="278" w:lineRule="auto"/>
        <w:tabs>
          <w:tab w:leader="none" w:pos="1807" w:val="left"/>
        </w:tabs>
        <w:numPr>
          <w:ilvl w:val="0"/>
          <w:numId w:val="394"/>
        </w:numPr>
        <w:rPr>
          <w:rFonts w:ascii="Arial" w:cs="Arial" w:eastAsia="Arial" w:hAnsi="Arial"/>
          <w:sz w:val="20"/>
          <w:szCs w:val="20"/>
          <w:color w:val="auto"/>
        </w:rPr>
      </w:pPr>
      <w:r>
        <w:rPr>
          <w:rFonts w:ascii="Arial" w:cs="Arial" w:eastAsia="Arial" w:hAnsi="Arial"/>
          <w:sz w:val="20"/>
          <w:szCs w:val="20"/>
          <w:color w:val="auto"/>
        </w:rPr>
        <w:t>Pending delivery of the Possessory Collateral to the Additional Collateral Agent, the Controlling Collateral Agent agrees to hold any Shared Collateral constituting Possessory Collateral, from time to time in its possession, as gratuitous bailee for the benefit of each other First-Lien Secured Party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79" w:right="239" w:bottom="1440" w:gutter="0" w:footer="0" w:header="0"/>
        </w:sectPr>
      </w:pPr>
    </w:p>
    <w:bookmarkStart w:id="494" w:name="page495"/>
    <w:bookmarkEnd w:id="494"/>
    <w:p>
      <w:pPr>
        <w:ind w:left="280"/>
        <w:spacing w:after="0" w:line="289" w:lineRule="auto"/>
        <w:rPr>
          <w:sz w:val="20"/>
          <w:szCs w:val="20"/>
          <w:color w:val="auto"/>
        </w:rPr>
      </w:pPr>
      <w:r>
        <w:rPr>
          <w:rFonts w:ascii="Arial" w:cs="Arial" w:eastAsia="Arial" w:hAnsi="Arial"/>
          <w:sz w:val="20"/>
          <w:szCs w:val="20"/>
          <w:color w:val="auto"/>
        </w:rPr>
        <w:t xml:space="preserve">any assignee, solely for the purpose of perfecting the security interest granted in such Possessory Collateral, if any, pursuant to the applicable First-Lien Security Documents, in each case, subject to the terms and conditions of this </w:t>
      </w:r>
      <w:r>
        <w:rPr>
          <w:rFonts w:ascii="Arial" w:cs="Arial" w:eastAsia="Arial" w:hAnsi="Arial"/>
          <w:sz w:val="20"/>
          <w:szCs w:val="20"/>
          <w:u w:val="single" w:color="auto"/>
          <w:color w:val="auto"/>
        </w:rPr>
        <w:t>Section 2.09</w:t>
      </w:r>
      <w:r>
        <w:rPr>
          <w:rFonts w:ascii="Arial" w:cs="Arial" w:eastAsia="Arial" w:hAnsi="Arial"/>
          <w:sz w:val="20"/>
          <w:szCs w:val="20"/>
          <w:color w:val="auto"/>
        </w:rPr>
        <w:t>.</w:t>
      </w:r>
    </w:p>
    <w:p>
      <w:pPr>
        <w:spacing w:after="0" w:line="162" w:lineRule="exact"/>
        <w:rPr>
          <w:sz w:val="20"/>
          <w:szCs w:val="20"/>
          <w:color w:val="auto"/>
        </w:rPr>
      </w:pPr>
    </w:p>
    <w:p>
      <w:pPr>
        <w:jc w:val="both"/>
        <w:ind w:left="280" w:firstLine="646"/>
        <w:spacing w:after="0" w:line="278" w:lineRule="auto"/>
        <w:tabs>
          <w:tab w:leader="none" w:pos="1796" w:val="left"/>
        </w:tabs>
        <w:numPr>
          <w:ilvl w:val="0"/>
          <w:numId w:val="395"/>
        </w:numPr>
        <w:rPr>
          <w:rFonts w:ascii="Arial" w:cs="Arial" w:eastAsia="Arial" w:hAnsi="Arial"/>
          <w:sz w:val="20"/>
          <w:szCs w:val="20"/>
          <w:color w:val="auto"/>
        </w:rPr>
      </w:pPr>
      <w:r>
        <w:rPr>
          <w:rFonts w:ascii="Arial" w:cs="Arial" w:eastAsia="Arial" w:hAnsi="Arial"/>
          <w:sz w:val="20"/>
          <w:szCs w:val="20"/>
          <w:color w:val="auto"/>
        </w:rPr>
        <w:t xml:space="preserve">The duties or responsibilities of each Collateral Agent under this </w:t>
      </w:r>
      <w:r>
        <w:rPr>
          <w:rFonts w:ascii="Arial" w:cs="Arial" w:eastAsia="Arial" w:hAnsi="Arial"/>
          <w:sz w:val="20"/>
          <w:szCs w:val="20"/>
          <w:u w:val="single" w:color="auto"/>
          <w:color w:val="auto"/>
        </w:rPr>
        <w:t>Section 2.09</w:t>
      </w:r>
      <w:r>
        <w:rPr>
          <w:rFonts w:ascii="Arial" w:cs="Arial" w:eastAsia="Arial" w:hAnsi="Arial"/>
          <w:sz w:val="20"/>
          <w:szCs w:val="20"/>
          <w:color w:val="auto"/>
        </w:rPr>
        <w:t xml:space="preserve"> shall be limited solely to holding any Shared Collateral constituting Possessory Collateral as gratuitous bailee for the benefit of each other First-Lien Secured Party for purposes of perfecting the Lien held by such First- Lien Secured Parties thereon.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Amendments to Security Documents</w:t>
      </w:r>
      <w:r>
        <w:rPr>
          <w:rFonts w:ascii="Arial" w:cs="Arial" w:eastAsia="Arial" w:hAnsi="Arial"/>
          <w:sz w:val="20"/>
          <w:szCs w:val="20"/>
          <w:color w:val="auto"/>
        </w:rPr>
        <w:t>.</w:t>
      </w:r>
    </w:p>
    <w:p>
      <w:pPr>
        <w:spacing w:after="0" w:line="216" w:lineRule="exact"/>
        <w:rPr>
          <w:sz w:val="20"/>
          <w:szCs w:val="20"/>
          <w:color w:val="auto"/>
        </w:rPr>
      </w:pPr>
    </w:p>
    <w:p>
      <w:pPr>
        <w:jc w:val="both"/>
        <w:ind w:left="280" w:firstLine="646"/>
        <w:spacing w:after="0" w:line="273" w:lineRule="auto"/>
        <w:tabs>
          <w:tab w:leader="none" w:pos="1796" w:val="left"/>
        </w:tabs>
        <w:numPr>
          <w:ilvl w:val="0"/>
          <w:numId w:val="396"/>
        </w:numPr>
        <w:rPr>
          <w:rFonts w:ascii="Arial" w:cs="Arial" w:eastAsia="Arial" w:hAnsi="Arial"/>
          <w:sz w:val="20"/>
          <w:szCs w:val="20"/>
          <w:color w:val="auto"/>
        </w:rPr>
      </w:pPr>
      <w:r>
        <w:rPr>
          <w:rFonts w:ascii="Arial" w:cs="Arial" w:eastAsia="Arial" w:hAnsi="Arial"/>
          <w:sz w:val="20"/>
          <w:szCs w:val="20"/>
          <w:color w:val="auto"/>
        </w:rPr>
        <w:t>Without the prior written consent of the Credit Agreement Collateral Agent, each Additional First-Lien Secured Party agrees that no Additional First-Lien Security Document may be amended, supplemented or otherwise modified or entered into to the extent such amendment, supplement or modification, or the terms of any new Additional First-Lien Security Document would be prohibited by, or would require any Grantor to act or refrain from acting in a manner that would violate, any of the terms of this Agreement or any Secured Credit Document.</w:t>
      </w:r>
    </w:p>
    <w:p>
      <w:pPr>
        <w:spacing w:after="0" w:line="204" w:lineRule="exact"/>
        <w:rPr>
          <w:rFonts w:ascii="Arial" w:cs="Arial" w:eastAsia="Arial" w:hAnsi="Arial"/>
          <w:sz w:val="20"/>
          <w:szCs w:val="20"/>
          <w:color w:val="auto"/>
        </w:rPr>
      </w:pPr>
    </w:p>
    <w:p>
      <w:pPr>
        <w:jc w:val="both"/>
        <w:ind w:left="280" w:firstLine="646"/>
        <w:spacing w:after="0" w:line="273" w:lineRule="auto"/>
        <w:tabs>
          <w:tab w:leader="none" w:pos="1807" w:val="left"/>
        </w:tabs>
        <w:numPr>
          <w:ilvl w:val="0"/>
          <w:numId w:val="396"/>
        </w:numPr>
        <w:rPr>
          <w:rFonts w:ascii="Arial" w:cs="Arial" w:eastAsia="Arial" w:hAnsi="Arial"/>
          <w:sz w:val="20"/>
          <w:szCs w:val="20"/>
          <w:color w:val="auto"/>
        </w:rPr>
      </w:pPr>
      <w:r>
        <w:rPr>
          <w:rFonts w:ascii="Arial" w:cs="Arial" w:eastAsia="Arial" w:hAnsi="Arial"/>
          <w:sz w:val="20"/>
          <w:szCs w:val="20"/>
          <w:color w:val="auto"/>
        </w:rPr>
        <w:t>Without the prior written consent of the Additional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 or any Secured Credit Document.</w:t>
      </w:r>
    </w:p>
    <w:p>
      <w:pPr>
        <w:spacing w:after="0" w:line="191" w:lineRule="exact"/>
        <w:rPr>
          <w:rFonts w:ascii="Arial" w:cs="Arial" w:eastAsia="Arial" w:hAnsi="Arial"/>
          <w:sz w:val="20"/>
          <w:szCs w:val="20"/>
          <w:color w:val="auto"/>
        </w:rPr>
      </w:pPr>
    </w:p>
    <w:p>
      <w:pPr>
        <w:ind w:left="280" w:right="20" w:firstLine="646"/>
        <w:spacing w:after="0" w:line="347" w:lineRule="auto"/>
        <w:tabs>
          <w:tab w:leader="none" w:pos="179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In making determinations required by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each Collateral Agent may conclusively rely on a certificate of an authorized officer of the Company stating that such amendment is permitted by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the case may be.</w:t>
      </w:r>
    </w:p>
    <w:p>
      <w:pPr>
        <w:spacing w:after="0" w:line="117"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Existence and Amounts of Liens and Obligations</w:t>
      </w:r>
    </w:p>
    <w:p>
      <w:pPr>
        <w:spacing w:after="0" w:line="229" w:lineRule="exact"/>
        <w:rPr>
          <w:sz w:val="20"/>
          <w:szCs w:val="20"/>
          <w:color w:val="auto"/>
        </w:rPr>
      </w:pPr>
    </w:p>
    <w:p>
      <w:pPr>
        <w:jc w:val="both"/>
        <w:ind w:left="280" w:firstLine="648"/>
        <w:spacing w:after="0" w:line="271"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Determinations with Respect to Amounts of Liens and Obligations</w:t>
      </w:r>
      <w:r>
        <w:rPr>
          <w:rFonts w:ascii="Arial" w:cs="Arial" w:eastAsia="Arial" w:hAnsi="Arial"/>
          <w:sz w:val="18"/>
          <w:szCs w:val="18"/>
          <w:color w:val="auto"/>
        </w:rPr>
        <w:t xml:space="preserve">. Whenever a Collateral Agent or any Authorized Representative shall be required, in connection with the exercise of its rights or the performance of its obligations hereunder, to determine the existence or amount of any First- Lien Obligations of any Series, or the Shared Collateral subject to any Lien securing the First-Lien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First-Lien Secured Party or any other person as a result of such determination.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47" w:right="239" w:bottom="1440" w:gutter="0" w:footer="0" w:header="0"/>
        </w:sectPr>
      </w:pPr>
    </w:p>
    <w:bookmarkStart w:id="495" w:name="page496"/>
    <w:bookmarkEnd w:id="495"/>
    <w:p>
      <w:pPr>
        <w:jc w:val="center"/>
        <w:ind w:left="128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The Controlling Collateral Agent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Authority</w:t>
      </w:r>
      <w:r>
        <w:rPr>
          <w:rFonts w:ascii="Arial" w:cs="Arial" w:eastAsia="Arial" w:hAnsi="Arial"/>
          <w:sz w:val="20"/>
          <w:szCs w:val="20"/>
          <w:color w:val="auto"/>
        </w:rPr>
        <w:t>.</w:t>
      </w:r>
    </w:p>
    <w:p>
      <w:pPr>
        <w:spacing w:after="0" w:line="229" w:lineRule="exact"/>
        <w:rPr>
          <w:sz w:val="20"/>
          <w:szCs w:val="20"/>
          <w:color w:val="auto"/>
        </w:rPr>
      </w:pPr>
    </w:p>
    <w:p>
      <w:pPr>
        <w:jc w:val="both"/>
        <w:ind w:left="280" w:firstLine="646"/>
        <w:spacing w:after="0" w:line="299" w:lineRule="auto"/>
        <w:tabs>
          <w:tab w:leader="none" w:pos="179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In furtherance of the foregoing, each Non-Controlling Secured Party acknowledges and agrees that the Controlling Collateral Agent shall be entitled, for the benefit of the First-Lien Secured Parties, to sell, transfer or otherwise dispose of or deal with any Shared Collateral as provided herein and in the First-Lien Security Documents, as applicable, pursuant to which the Controlling Collateral Agent is the collateral agent for such Shared Collateral, without regard to any rights to which the Non-Controlling Secured Parties would otherwise be entitled as a result of the First-Lien Obligations held by such Non- Controlling Secured Parties. Without limiting the foregoing, each Non-Controlling Secured Party agrees that none of the Controlling Collateral Agent, the Applicable Authorized Representative or any other First- Lien Secured Party shall have any duty or obligation first to marshal or realize upon any type of Shared Collateral (or any other Collateral securing any of the First-Lien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Except with respect to any actions expressly prohibited or required to be taken by this Agreement, each of the First-Lien Secured Parties waives any claim it may now or hereafter have against any Collateral Agent or the Authorized Representative of any other Series of First-Lien Obligations or any other First-Lien Secured Party of any other Series arising out of (i) any actions which any Collateral Agent, Authorized Representative or the First-Lien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First-Lien Obligations from any account debtor, guarantor or any other party) in accordance with the First-Lien Security Documents or any other agreement related thereto or to the collection of the First-Lien Obligations or the valuation, use, protection or release of any security for the First-Lien Obligations, (ii) any election by any Applicable Authorized Representative or any holders of First-Lien Obligations, in any proceeding instituted under the Bankruptcy Code, of the application of Section 1111(b) of the Bankruptcy Code or (iii) subject to </w:t>
      </w:r>
      <w:r>
        <w:rPr>
          <w:rFonts w:ascii="Arial" w:cs="Arial" w:eastAsia="Arial" w:hAnsi="Arial"/>
          <w:sz w:val="18"/>
          <w:szCs w:val="18"/>
          <w:u w:val="single" w:color="auto"/>
          <w:color w:val="auto"/>
        </w:rPr>
        <w:t>Section 2.05</w:t>
      </w:r>
      <w:r>
        <w:rPr>
          <w:rFonts w:ascii="Arial" w:cs="Arial" w:eastAsia="Arial" w:hAnsi="Arial"/>
          <w:sz w:val="18"/>
          <w:szCs w:val="18"/>
          <w:color w:val="auto"/>
        </w:rPr>
        <w:t>, any borrowing by, or grant of a security interest or administrative expense priority under Section 364 of the Bankruptcy Code or any equivalent provision of any other Bankruptcy Law, by any Borrower or any of its Subsidiaries, as debtor-in-possession. Notwithstanding any other provision of this Agreement, the Controlling Collateral Agent shall not accept any Shared Collateral in full or partial satisfaction of any First-Lien Obligations pursuant to Section 9-620 of the Uniform Commercial Code of any jurisdiction, without the consent of each Authorized Representative representing holders of First-Lien Obligations for whom such Collateral constitutes Shared Collateral.</w:t>
      </w:r>
    </w:p>
    <w:p>
      <w:pPr>
        <w:spacing w:after="0" w:line="170"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Rights as a First-Lien Secured Party</w:t>
      </w:r>
      <w:r>
        <w:rPr>
          <w:rFonts w:ascii="Arial" w:cs="Arial" w:eastAsia="Arial" w:hAnsi="Arial"/>
          <w:sz w:val="18"/>
          <w:szCs w:val="18"/>
          <w:color w:val="auto"/>
        </w:rPr>
        <w:t>. (a) The Person serving as the Controlling Collateral Agent hereunder shall have the same rights and powers in its capacity as a First-Lien Secured Party under any Series of First-Lien Obligations that it holds as any other First-Lien Secured Party of such Series and may exercise the same as though it were not the Collateral Agent and the term “First-Lien Secured Party” or “First-Lien Secured Parties” or (as applicable) “Credit Agreement Secured Party”, “Credit Agreement Secured Parties”, “Additional First-Lien Secured Party”, “Additional First-Lien Secured Parties”, “Initial Additional First-Lien Secured Party” or “Initial Additional First-Lien Secured Parties” shall, unless otherwise expressly indicated or unless the context otherwise requires, include the Person serving as the Controlling Collateral Agent hereunder in its individual capacity. Such Person and its Affiliates may accept deposits from, lend money to, act as the financial advisor or in any other advisory capacity for and generally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3" w:right="239" w:bottom="1440" w:gutter="0" w:footer="0" w:header="0"/>
        </w:sectPr>
      </w:pPr>
    </w:p>
    <w:bookmarkStart w:id="496" w:name="page497"/>
    <w:bookmarkEnd w:id="496"/>
    <w:p>
      <w:pPr>
        <w:jc w:val="both"/>
        <w:ind w:left="280"/>
        <w:spacing w:after="0" w:line="260" w:lineRule="auto"/>
        <w:rPr>
          <w:sz w:val="20"/>
          <w:szCs w:val="20"/>
          <w:color w:val="auto"/>
        </w:rPr>
      </w:pPr>
      <w:r>
        <w:rPr>
          <w:rFonts w:ascii="Arial" w:cs="Arial" w:eastAsia="Arial" w:hAnsi="Arial"/>
          <w:sz w:val="20"/>
          <w:szCs w:val="20"/>
          <w:color w:val="auto"/>
        </w:rPr>
        <w:t>engage in any kind of business with any Borrower or any Subsidiary or other Affiliate thereof as if such Person were not the Controlling Collateral Agent hereunder and without any duty to account therefor to any other First-Lien Secured Party.</w:t>
      </w:r>
    </w:p>
    <w:p>
      <w:pPr>
        <w:spacing w:after="0" w:line="177"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(a) The Controlling Collateral Agent shall not have any duties or obligations except those expressly set forth herein and in the other First-Lien Security Documents. Without limiting the generality of the foregoing, the Controlling Collateral Agent:</w:t>
      </w:r>
    </w:p>
    <w:p>
      <w:pPr>
        <w:spacing w:after="0" w:line="200" w:lineRule="exact"/>
        <w:rPr>
          <w:sz w:val="20"/>
          <w:szCs w:val="20"/>
          <w:color w:val="auto"/>
        </w:rPr>
      </w:pPr>
    </w:p>
    <w:p>
      <w:pPr>
        <w:ind w:left="920" w:firstLine="655"/>
        <w:spacing w:after="0" w:line="289" w:lineRule="auto"/>
        <w:tabs>
          <w:tab w:leader="none" w:pos="2403" w:val="left"/>
        </w:tabs>
        <w:numPr>
          <w:ilvl w:val="0"/>
          <w:numId w:val="398"/>
        </w:numPr>
        <w:rPr>
          <w:rFonts w:ascii="Arial" w:cs="Arial" w:eastAsia="Arial" w:hAnsi="Arial"/>
          <w:sz w:val="20"/>
          <w:szCs w:val="20"/>
          <w:color w:val="auto"/>
        </w:rPr>
      </w:pPr>
      <w:r>
        <w:rPr>
          <w:rFonts w:ascii="Arial" w:cs="Arial" w:eastAsia="Arial" w:hAnsi="Arial"/>
          <w:sz w:val="20"/>
          <w:szCs w:val="20"/>
          <w:color w:val="auto"/>
        </w:rPr>
        <w:t>shall not be subject to any fiduciary or other implied duties of any kind or nature to any Person, regardless of whether an Event of Default has occurred and is continuing;</w:t>
      </w:r>
    </w:p>
    <w:p>
      <w:pPr>
        <w:spacing w:after="0" w:line="188" w:lineRule="exact"/>
        <w:rPr>
          <w:rFonts w:ascii="Arial" w:cs="Arial" w:eastAsia="Arial" w:hAnsi="Arial"/>
          <w:sz w:val="20"/>
          <w:szCs w:val="20"/>
          <w:color w:val="auto"/>
        </w:rPr>
      </w:pPr>
    </w:p>
    <w:p>
      <w:pPr>
        <w:jc w:val="both"/>
        <w:ind w:left="920" w:firstLine="655"/>
        <w:spacing w:after="0" w:line="310" w:lineRule="auto"/>
        <w:tabs>
          <w:tab w:leader="none" w:pos="245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First-Lien Security Documents that the Controlling Collateral Agent is required to exercise as directed in writing by the Applicable Authorized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Controlling Collateral Agent shall not be required to take any action that, in its opinion or the opinion of its counsel, may expose the Collateral Agent to liability or that is contrary to any First- Lien Security Document or applicable law;</w:t>
      </w:r>
    </w:p>
    <w:p>
      <w:pPr>
        <w:spacing w:after="0" w:line="175" w:lineRule="exact"/>
        <w:rPr>
          <w:rFonts w:ascii="Arial" w:cs="Arial" w:eastAsia="Arial" w:hAnsi="Arial"/>
          <w:sz w:val="18"/>
          <w:szCs w:val="18"/>
          <w:color w:val="auto"/>
        </w:rPr>
      </w:pPr>
    </w:p>
    <w:p>
      <w:pPr>
        <w:jc w:val="both"/>
        <w:ind w:left="920" w:firstLine="655"/>
        <w:spacing w:after="0" w:line="322" w:lineRule="auto"/>
        <w:tabs>
          <w:tab w:leader="none" w:pos="251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First-Lien Security Documents, have any duty to disclose, and shall not be liable for the failure to disclose, any information relating to the Company or any of its Affiliates that is communicated to or obtained by the Person serving as the Controlling Collateral Agent or any of its Affiliates in any capacity;</w:t>
      </w:r>
    </w:p>
    <w:p>
      <w:pPr>
        <w:spacing w:after="0" w:line="166" w:lineRule="exact"/>
        <w:rPr>
          <w:rFonts w:ascii="Arial" w:cs="Arial" w:eastAsia="Arial" w:hAnsi="Arial"/>
          <w:sz w:val="18"/>
          <w:szCs w:val="18"/>
          <w:color w:val="auto"/>
        </w:rPr>
      </w:pPr>
    </w:p>
    <w:p>
      <w:pPr>
        <w:jc w:val="both"/>
        <w:ind w:left="920" w:firstLine="655"/>
        <w:spacing w:after="0" w:line="287" w:lineRule="auto"/>
        <w:tabs>
          <w:tab w:leader="none" w:pos="2502" w:val="left"/>
        </w:tabs>
        <w:numPr>
          <w:ilvl w:val="0"/>
          <w:numId w:val="398"/>
        </w:numPr>
        <w:rPr>
          <w:rFonts w:ascii="Arial" w:cs="Arial" w:eastAsia="Arial" w:hAnsi="Arial"/>
          <w:sz w:val="19"/>
          <w:szCs w:val="19"/>
          <w:color w:val="auto"/>
        </w:rPr>
      </w:pPr>
      <w:r>
        <w:rPr>
          <w:rFonts w:ascii="Arial" w:cs="Arial" w:eastAsia="Arial" w:hAnsi="Arial"/>
          <w:sz w:val="19"/>
          <w:szCs w:val="19"/>
          <w:color w:val="auto"/>
        </w:rPr>
        <w:t>shall not be liable for any action taken or not taken by it (i) with the consent or at the request of the Applicable Authorized Representative or (ii) in the absence of its own gross negligence, willful misconduct or bad faith (as determined by a court of competent jurisdiction in a final, non-appealable judgment) or (iii) in reliance on a certificate of an authorized officer of the Company stating that such action is permitted by the terms of this Agreement (it being understood and agreed that the Controlling Collateral Agent shall be deemed not to have knowledge of any Event of Default under any Series of First-Lien Obligations unless and until notice describing such Event Default is given to the Controlling Collateral Agent by the Authorized Representative of such First-Lien Obligations or the Company);</w:t>
      </w:r>
    </w:p>
    <w:p>
      <w:pPr>
        <w:spacing w:after="0" w:line="183" w:lineRule="exact"/>
        <w:rPr>
          <w:rFonts w:ascii="Arial" w:cs="Arial" w:eastAsia="Arial" w:hAnsi="Arial"/>
          <w:sz w:val="19"/>
          <w:szCs w:val="19"/>
          <w:color w:val="auto"/>
        </w:rPr>
      </w:pPr>
    </w:p>
    <w:p>
      <w:pPr>
        <w:jc w:val="both"/>
        <w:ind w:left="920" w:firstLine="655"/>
        <w:spacing w:after="0" w:line="286" w:lineRule="auto"/>
        <w:tabs>
          <w:tab w:leader="none" w:pos="2447" w:val="left"/>
        </w:tabs>
        <w:numPr>
          <w:ilvl w:val="0"/>
          <w:numId w:val="398"/>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inquire into (i) any statement, warranty or representation made in or in connection with this Agreement or any other First-Lien Security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First-Lien Security Document or any other agreement, instrument or document, or the creation, perfection or priority of any Lien purported to be created by the First-Lien Security Documents, (v) the value or the sufficiency of any Collateral for any Series of First-Lien Obligations, or (vi) the satisfaction of any condition set forth in any Secured Credit Document, other than to confirm receipt of items expressly required to be delivered to the Controlling Collateral Agent;</w:t>
      </w:r>
    </w:p>
    <w:p>
      <w:pPr>
        <w:spacing w:after="0" w:line="182" w:lineRule="exact"/>
        <w:rPr>
          <w:rFonts w:ascii="Arial" w:cs="Arial" w:eastAsia="Arial" w:hAnsi="Arial"/>
          <w:sz w:val="19"/>
          <w:szCs w:val="19"/>
          <w:color w:val="auto"/>
        </w:rPr>
      </w:pPr>
    </w:p>
    <w:p>
      <w:pPr>
        <w:ind w:left="920" w:firstLine="655"/>
        <w:spacing w:after="0" w:line="289" w:lineRule="auto"/>
        <w:tabs>
          <w:tab w:leader="none" w:pos="2502" w:val="left"/>
        </w:tabs>
        <w:numPr>
          <w:ilvl w:val="0"/>
          <w:numId w:val="398"/>
        </w:numPr>
        <w:rPr>
          <w:rFonts w:ascii="Arial" w:cs="Arial" w:eastAsia="Arial" w:hAnsi="Arial"/>
          <w:sz w:val="20"/>
          <w:szCs w:val="20"/>
          <w:color w:val="auto"/>
        </w:rPr>
      </w:pPr>
      <w:r>
        <w:rPr>
          <w:rFonts w:ascii="Arial" w:cs="Arial" w:eastAsia="Arial" w:hAnsi="Arial"/>
          <w:sz w:val="20"/>
          <w:szCs w:val="20"/>
          <w:color w:val="auto"/>
        </w:rPr>
        <w:t>shall not have any fiduciary duties of any kind or nature under any Additional First- Lien Document (but shall be entitled to all protections provided to the Collateral Agent therein);</w:t>
      </w:r>
    </w:p>
    <w:p>
      <w:pPr>
        <w:spacing w:after="0" w:line="26" w:lineRule="exact"/>
        <w:rPr>
          <w:rFonts w:ascii="Arial" w:cs="Arial" w:eastAsia="Arial" w:hAnsi="Arial"/>
          <w:sz w:val="20"/>
          <w:szCs w:val="20"/>
          <w:color w:val="auto"/>
        </w:rPr>
      </w:pPr>
    </w:p>
    <w:p>
      <w:pPr>
        <w:ind w:left="920" w:firstLine="655"/>
        <w:spacing w:after="0" w:line="289" w:lineRule="auto"/>
        <w:tabs>
          <w:tab w:leader="none" w:pos="2557" w:val="left"/>
        </w:tabs>
        <w:numPr>
          <w:ilvl w:val="0"/>
          <w:numId w:val="398"/>
        </w:numPr>
        <w:rPr>
          <w:rFonts w:ascii="Arial" w:cs="Arial" w:eastAsia="Arial" w:hAnsi="Arial"/>
          <w:sz w:val="20"/>
          <w:szCs w:val="20"/>
          <w:color w:val="auto"/>
        </w:rPr>
      </w:pPr>
      <w:r>
        <w:rPr>
          <w:rFonts w:ascii="Arial" w:cs="Arial" w:eastAsia="Arial" w:hAnsi="Arial"/>
          <w:sz w:val="20"/>
          <w:szCs w:val="20"/>
          <w:color w:val="auto"/>
        </w:rPr>
        <w:t>with respect to the Credit Agreement or any Additional First-Lien Document, may conclusively assume that the Grantors have complied with all of their obligations thereunder unless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65" w:right="239" w:bottom="1440" w:gutter="0" w:footer="0" w:header="0"/>
        </w:sectPr>
      </w:pPr>
    </w:p>
    <w:bookmarkStart w:id="497" w:name="page498"/>
    <w:bookmarkEnd w:id="497"/>
    <w:p>
      <w:pPr>
        <w:ind w:left="920"/>
        <w:spacing w:after="0"/>
        <w:rPr>
          <w:sz w:val="20"/>
          <w:szCs w:val="20"/>
          <w:color w:val="auto"/>
        </w:rPr>
      </w:pPr>
      <w:r>
        <w:rPr>
          <w:rFonts w:ascii="Arial" w:cs="Arial" w:eastAsia="Arial" w:hAnsi="Arial"/>
          <w:sz w:val="18"/>
          <w:szCs w:val="18"/>
          <w:color w:val="auto"/>
        </w:rPr>
        <w:t>advised in writing by the Authorized Representative thereunder to the contrary specifically setting forth the alleged violation; and</w:t>
      </w:r>
    </w:p>
    <w:p>
      <w:pPr>
        <w:spacing w:after="0" w:line="279" w:lineRule="exact"/>
        <w:rPr>
          <w:sz w:val="20"/>
          <w:szCs w:val="20"/>
          <w:color w:val="auto"/>
        </w:rPr>
      </w:pPr>
    </w:p>
    <w:p>
      <w:pPr>
        <w:ind w:left="2620" w:hanging="1045"/>
        <w:spacing w:after="0"/>
        <w:tabs>
          <w:tab w:leader="none" w:pos="262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 xml:space="preserve">may conclusively rely on any certificate of an officer of the Company provided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280" w:firstLine="646"/>
        <w:spacing w:after="0" w:line="310" w:lineRule="auto"/>
        <w:tabs>
          <w:tab w:leader="none" w:pos="180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First-Lien Secured Party acknowledges that, in addition to acting as the initial Controlling Collateral Agent, Wells Fargo Bank, National Association also serves as Administrative Agent and Collateral Agent (under, and as defined in, the Credit Agreement), and each First-Lien Secured Party hereby waives any right to make any objection or claim against Wells Fargo Bank, National Association (or any successor Controlling Collateral Agent or any of their respective counsel) based on any alleged conflict of interest or breach of duties arising from the Controlling Collateral Agent also serving as the Administrative Agent and Collateral Agent.</w:t>
      </w:r>
    </w:p>
    <w:p>
      <w:pPr>
        <w:spacing w:after="0" w:line="162"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Reliance by Controlling Collateral Agent</w:t>
      </w:r>
      <w:r>
        <w:rPr>
          <w:rFonts w:ascii="Arial" w:cs="Arial" w:eastAsia="Arial" w:hAnsi="Arial"/>
          <w:sz w:val="18"/>
          <w:szCs w:val="18"/>
          <w:color w:val="auto"/>
        </w:rPr>
        <w:t>. The Controlling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Controlling Collateral Agent also may rely upon any statement made to it orally or by telephone and believed by it to have been made by the proper Person, and shall not incur any liability for relying thereon. The Controlling Collateral Agent may consult with legal counsel (who may include, but shall not be limited to, counsel for the Borrowers or counsel for the Administrative Agent), independent accountants and other experts selected by it, and shall not be liable for any action taken or not taken by it in accordance with the advice of any such counsel, accountants or experts.</w:t>
      </w:r>
    </w:p>
    <w:p>
      <w:pPr>
        <w:spacing w:after="0" w:line="169"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Controlling Collateral Agent may perform any and all of its duties and exercise its rights and powers hereunder or under any other First-Lien Security Document by or through any one or more sub agents appointed by the Controlling Collateral Agent. The Controlling Collateral Agent and any such sub agent may perform any and all of its duties and exercise its rights and powers by or through their respective Affiliates. The exculpatory provisions of this Article shall apply to any such sub agent and to the Affiliates of the Controlling Collateral Agent and any such sub agent.</w:t>
      </w:r>
    </w:p>
    <w:p>
      <w:pPr>
        <w:spacing w:after="0" w:line="194" w:lineRule="exact"/>
        <w:rPr>
          <w:sz w:val="20"/>
          <w:szCs w:val="20"/>
          <w:color w:val="auto"/>
        </w:rPr>
      </w:pPr>
    </w:p>
    <w:p>
      <w:pPr>
        <w:jc w:val="both"/>
        <w:ind w:left="280" w:firstLine="648"/>
        <w:spacing w:after="0" w:line="26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Resignation of Controlling Collateral Agent</w:t>
      </w:r>
      <w:r>
        <w:rPr>
          <w:rFonts w:ascii="Arial" w:cs="Arial" w:eastAsia="Arial" w:hAnsi="Arial"/>
          <w:sz w:val="18"/>
          <w:szCs w:val="18"/>
          <w:color w:val="auto"/>
        </w:rPr>
        <w:t xml:space="preserve">. The Controlling Collateral Agent may at any time give notice of its resignation as Controlling Collateral Agent under this Agreement and the other First-Lien Security Documents to each Authorized Representative and the Company. Upon receipt of any such notice of resignation, the Applicable Authorized Representative shall have the right, in consultation with the Company, to appoint a successor, which shall be a bank or trust company with an office in the United States, or an Affiliate of any such bank or trust company with an office in the United States, in each case, with a combined capital and surplus of at least $1,000,000,000. If no such successor shall have been so appointed by the Applicable Authorized Representative and shall have accepted such appointment within 10 days after the retiring Controlling Collateral Agent gives notice of its resignation, then the retiring Controlling Collateral Agent may, on behalf of the First-Lien Secured Parties, appoint a successor Controlling Collateral Agent meeting the qualifications set forth above (but without the consent of any, but after consulting with the other First-Lien Secured Party or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Controlling Collateral Agent shall notify the Company and each Authorized Representative that no qualifying Person has accepted such appointment, then such resignation shall nonetheless become effective in accordance with such notice and (a) the retiring Controlling Collateral Agent shall be discharged from its duties and obligations hereunder and under the First-Lien Security Documents (except that in the case of any collateral security held by the Controlling Collateral Agent on behalf of the First-Lien Secured Parties under any of the First-Lien Security Documents, the retiring Controlling Collateral Agent shall continue to hold such collateral security solely for purposes of maintaining the perfection of the security interests of the First-Lien Secured Parties therein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46" w:right="239" w:bottom="1440" w:gutter="0" w:footer="0" w:header="0"/>
        </w:sectPr>
      </w:pPr>
    </w:p>
    <w:bookmarkStart w:id="498" w:name="page499"/>
    <w:bookmarkEnd w:id="498"/>
    <w:p>
      <w:pPr>
        <w:jc w:val="both"/>
        <w:ind w:left="280"/>
        <w:spacing w:after="0" w:line="269" w:lineRule="auto"/>
        <w:rPr>
          <w:sz w:val="20"/>
          <w:szCs w:val="20"/>
          <w:color w:val="auto"/>
        </w:rPr>
      </w:pPr>
      <w:r>
        <w:rPr>
          <w:rFonts w:ascii="Arial" w:cs="Arial" w:eastAsia="Arial" w:hAnsi="Arial"/>
          <w:sz w:val="18"/>
          <w:szCs w:val="18"/>
          <w:color w:val="auto"/>
        </w:rPr>
        <w:t xml:space="preserve">until such time as a successor Controlling Collateral Agent is appointed but with no obligation to take any further action at the request of the Applicable Authorized Representative, any other First-Lien Secured Parties or any Grantor) and (b) all payments, communications and determinations provided to be made by, to or through the Controlling Collateral Agent shall instead be made by or to each Authorized Representative directly, until such time as the Applicable Authorized Representative appoints a successor Controlling Collateral Agent as provided for above in this </w:t>
      </w:r>
      <w:r>
        <w:rPr>
          <w:rFonts w:ascii="Arial" w:cs="Arial" w:eastAsia="Arial" w:hAnsi="Arial"/>
          <w:sz w:val="18"/>
          <w:szCs w:val="18"/>
          <w:u w:val="single" w:color="auto"/>
          <w:color w:val="auto"/>
        </w:rPr>
        <w:t>Section 4.06</w:t>
      </w:r>
      <w:r>
        <w:rPr>
          <w:rFonts w:ascii="Arial" w:cs="Arial" w:eastAsia="Arial" w:hAnsi="Arial"/>
          <w:sz w:val="18"/>
          <w:szCs w:val="18"/>
          <w:color w:val="auto"/>
        </w:rPr>
        <w:t xml:space="preserve">. Upon the acceptance of a successor’s appointment as Controlling Collateral Agent hereunder and under the First-Lien Security Documents, such successor shall succeed to and become vested with all of the rights, powers, privileges and duties of the retiring (or retired) Controlling Collateral Agent, and the retiring Controlling Collateral Agent shall be discharged from all of its duties and obligations hereunder or under the other First-Lien Security Documents (if not already discharged therefrom as provided above in this Section). After the retiring Controlling Collateral Agent’s resignation hereunder and under the other Loan Documents,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Credit Agreement and the equivalent provisions of any Additional First-Lien Agreement shall continue in effect for the benefit of such retiring Controlling Collateral Agent, its sub agents and their respective Affiliates in respect of any actions taken or omitted to be taken by any of them while the retiring Collateral Agent was acting as Controlling Collateral Agent. Upon any notice of resignation of the Controlling Collateral Agent hereunder and under the First-Lien Security Documents, the Borrowers agree to use commercially reasonable efforts to transfer (and maintain the validity and priority of) the Liens in favor of the retiring Controlling Collateral Agent under the First-Lien Security Documents to the successor Controlling Collateral Agent.</w:t>
      </w:r>
    </w:p>
    <w:p>
      <w:pPr>
        <w:spacing w:after="0" w:line="180" w:lineRule="exact"/>
        <w:rPr>
          <w:sz w:val="20"/>
          <w:szCs w:val="20"/>
          <w:color w:val="auto"/>
        </w:rPr>
      </w:pPr>
    </w:p>
    <w:p>
      <w:pPr>
        <w:jc w:val="both"/>
        <w:ind w:left="280" w:firstLine="648"/>
        <w:spacing w:after="0" w:line="256"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Non Reliance on Controlling Collateral Agent and Other First-Lien Secured Parties</w:t>
      </w:r>
      <w:r>
        <w:rPr>
          <w:rFonts w:ascii="Arial" w:cs="Arial" w:eastAsia="Arial" w:hAnsi="Arial"/>
          <w:sz w:val="19"/>
          <w:szCs w:val="19"/>
          <w:color w:val="auto"/>
        </w:rPr>
        <w:t>. Each First-Lien Secured Party (other than the Initial Additional Authorized Representative) acknowledges that it has, independently and without reliance upon the Controlling Collateral Agent, any Authorized Representative or any other First-Lien Secured Party or any of their Affiliates and based on such documents and information as it has deemed appropriate, made its own credit analysis and decision to enter into this Agreement and the other Secured Credit Documents. Each First-Lien Secured Party also acknowledges that it will, independently and without reliance upon the Controlling Collateral Agent, any Authorized Representative or any other First-Lien Secured Party or any of their Affiliates and based on such documents and information as it shall from time to time deem appropriate, continue to make its own decisions in taking or not taking action under or based upon this Agreement, any other Secured Credit Document or any related agreement or any document furnished hereunder or thereunder.</w:t>
      </w:r>
    </w:p>
    <w:p>
      <w:pPr>
        <w:spacing w:after="0" w:line="185"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u w:val="single" w:color="auto"/>
          <w:color w:val="auto"/>
        </w:rPr>
        <w:t>Collateral and Guaranty Matters</w:t>
      </w:r>
      <w:r>
        <w:rPr>
          <w:rFonts w:ascii="Arial" w:cs="Arial" w:eastAsia="Arial" w:hAnsi="Arial"/>
          <w:sz w:val="20"/>
          <w:szCs w:val="20"/>
          <w:color w:val="auto"/>
        </w:rPr>
        <w:t>. Each of the First-Lien Secured Parties irrevocably authorizes the Controlling Collateral Agent, at its option and in its discretion:</w:t>
      </w:r>
    </w:p>
    <w:p>
      <w:pPr>
        <w:spacing w:after="0" w:line="204" w:lineRule="exact"/>
        <w:rPr>
          <w:sz w:val="20"/>
          <w:szCs w:val="20"/>
          <w:color w:val="auto"/>
        </w:rPr>
      </w:pPr>
    </w:p>
    <w:p>
      <w:pPr>
        <w:jc w:val="both"/>
        <w:ind w:left="920" w:firstLine="655"/>
        <w:spacing w:after="0" w:line="299" w:lineRule="auto"/>
        <w:tabs>
          <w:tab w:leader="none" w:pos="2403" w:val="left"/>
        </w:tabs>
        <w:numPr>
          <w:ilvl w:val="0"/>
          <w:numId w:val="401"/>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Controlling Collateral Agent under any First-Lien Security Document in accordance with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or upon receipt of a certificate of an officer of the Company stating that the releases of such Lien is permitted by the terms of each then extant Secured Credit Document; and</w:t>
      </w:r>
    </w:p>
    <w:p>
      <w:pPr>
        <w:spacing w:after="0" w:line="182" w:lineRule="exact"/>
        <w:rPr>
          <w:rFonts w:ascii="Arial" w:cs="Arial" w:eastAsia="Arial" w:hAnsi="Arial"/>
          <w:sz w:val="19"/>
          <w:szCs w:val="19"/>
          <w:color w:val="auto"/>
        </w:rPr>
      </w:pPr>
    </w:p>
    <w:p>
      <w:pPr>
        <w:ind w:left="920" w:firstLine="655"/>
        <w:spacing w:after="0" w:line="347" w:lineRule="auto"/>
        <w:tabs>
          <w:tab w:leader="none" w:pos="245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to release any Grantor from its obligations under the First-Lien Security Documents upon receipt of a certificate of an officer of the Company stating that such release is permitted by the terms of each then extant Secured Credit Document.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66" w:right="239" w:bottom="1440" w:gutter="0" w:footer="0" w:header="0"/>
        </w:sectPr>
      </w:pPr>
    </w:p>
    <w:bookmarkStart w:id="499" w:name="page500"/>
    <w:bookmarkEnd w:id="499"/>
    <w:p>
      <w:pPr>
        <w:ind w:left="396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ind w:left="280" w:firstLine="648"/>
        <w:spacing w:after="0" w:line="260"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and other communications provided for herein shall be in writing and shall be delivered by hand or overnight courier service, mailed by certified or registered mail or sent by telecopy, as follows:</w:t>
      </w:r>
    </w:p>
    <w:p>
      <w:pPr>
        <w:spacing w:after="0" w:line="166"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20"/>
                <w:szCs w:val="20"/>
                <w:color w:val="auto"/>
              </w:rPr>
              <w:t>(a)</w:t>
            </w:r>
          </w:p>
        </w:tc>
        <w:tc>
          <w:tcPr>
            <w:tcW w:w="7160" w:type="dxa"/>
            <w:vAlign w:val="bottom"/>
            <w:gridSpan w:val="8"/>
          </w:tcPr>
          <w:p>
            <w:pPr>
              <w:ind w:left="300"/>
              <w:spacing w:after="0"/>
              <w:rPr>
                <w:sz w:val="20"/>
                <w:szCs w:val="20"/>
                <w:color w:val="auto"/>
              </w:rPr>
            </w:pPr>
            <w:r>
              <w:rPr>
                <w:rFonts w:ascii="Arial" w:cs="Arial" w:eastAsia="Arial" w:hAnsi="Arial"/>
                <w:sz w:val="20"/>
                <w:szCs w:val="20"/>
                <w:color w:val="auto"/>
                <w:w w:val="95"/>
              </w:rPr>
              <w:t>if to the Credit Agreement Collateral Agent, to it at [   ], Attention of [   ] (Fax No. [</w:t>
            </w:r>
          </w:p>
        </w:tc>
        <w:tc>
          <w:tcPr>
            <w:tcW w:w="940" w:type="dxa"/>
            <w:vAlign w:val="bottom"/>
            <w:gridSpan w:val="2"/>
          </w:tcPr>
          <w:p>
            <w:pPr>
              <w:jc w:val="right"/>
              <w:ind w:right="5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540" w:type="dxa"/>
            <w:vAlign w:val="bottom"/>
          </w:tcPr>
          <w:p>
            <w:pPr>
              <w:spacing w:after="0"/>
              <w:rPr>
                <w:sz w:val="20"/>
                <w:szCs w:val="20"/>
                <w:color w:val="auto"/>
              </w:rPr>
            </w:pPr>
            <w:r>
              <w:rPr>
                <w:rFonts w:ascii="Arial" w:cs="Arial" w:eastAsia="Arial" w:hAnsi="Arial"/>
                <w:sz w:val="20"/>
                <w:szCs w:val="20"/>
                <w:color w:val="auto"/>
              </w:rPr>
              <w:t>(b)</w:t>
            </w:r>
          </w:p>
        </w:tc>
        <w:tc>
          <w:tcPr>
            <w:tcW w:w="7160" w:type="dxa"/>
            <w:vAlign w:val="bottom"/>
            <w:gridSpan w:val="8"/>
          </w:tcPr>
          <w:p>
            <w:pPr>
              <w:ind w:left="300"/>
              <w:spacing w:after="0"/>
              <w:rPr>
                <w:sz w:val="20"/>
                <w:szCs w:val="20"/>
                <w:color w:val="auto"/>
              </w:rPr>
            </w:pPr>
            <w:r>
              <w:rPr>
                <w:rFonts w:ascii="Arial" w:cs="Arial" w:eastAsia="Arial" w:hAnsi="Arial"/>
                <w:sz w:val="20"/>
                <w:szCs w:val="20"/>
                <w:color w:val="auto"/>
              </w:rPr>
              <w:t>if to the Initial Additional Authorized Representative, to it at [   ], Attention of [</w:t>
            </w:r>
          </w:p>
        </w:tc>
        <w:tc>
          <w:tcPr>
            <w:tcW w:w="1360" w:type="dxa"/>
            <w:vAlign w:val="bottom"/>
            <w:gridSpan w:val="4"/>
          </w:tcPr>
          <w:p>
            <w:pPr>
              <w:spacing w:after="0"/>
              <w:rPr>
                <w:sz w:val="20"/>
                <w:szCs w:val="20"/>
                <w:color w:val="auto"/>
              </w:rPr>
            </w:pPr>
            <w:r>
              <w:rPr>
                <w:rFonts w:ascii="Arial" w:cs="Arial" w:eastAsia="Arial" w:hAnsi="Arial"/>
                <w:sz w:val="20"/>
                <w:szCs w:val="20"/>
                <w:color w:val="auto"/>
              </w:rPr>
              <w:t>] (Fax No. [   ]);</w:t>
            </w:r>
          </w:p>
        </w:tc>
      </w:tr>
      <w:tr>
        <w:trPr>
          <w:trHeight w:val="20"/>
        </w:trPr>
        <w:tc>
          <w:tcPr>
            <w:tcW w:w="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3" w:lineRule="exact"/>
        <w:rPr>
          <w:sz w:val="20"/>
          <w:szCs w:val="20"/>
          <w:color w:val="auto"/>
        </w:rPr>
      </w:pPr>
    </w:p>
    <w:p>
      <w:pPr>
        <w:ind w:left="2420" w:hanging="845"/>
        <w:spacing w:after="0"/>
        <w:tabs>
          <w:tab w:leader="none" w:pos="2420" w:val="left"/>
        </w:tabs>
        <w:numPr>
          <w:ilvl w:val="0"/>
          <w:numId w:val="402"/>
        </w:numPr>
        <w:rPr>
          <w:rFonts w:ascii="Arial" w:cs="Arial" w:eastAsia="Arial" w:hAnsi="Arial"/>
          <w:sz w:val="19"/>
          <w:szCs w:val="19"/>
          <w:color w:val="auto"/>
        </w:rPr>
      </w:pPr>
      <w:r>
        <w:rPr>
          <w:rFonts w:ascii="Arial" w:cs="Arial" w:eastAsia="Arial" w:hAnsi="Arial"/>
          <w:sz w:val="19"/>
          <w:szCs w:val="19"/>
          <w:color w:val="auto"/>
        </w:rPr>
        <w:t>if to any other Additional Authorized Representative, to it at the address set forth in the applicable Joinder</w:t>
      </w:r>
    </w:p>
    <w:p>
      <w:pPr>
        <w:spacing w:after="0" w:line="38" w:lineRule="exact"/>
        <w:rPr>
          <w:rFonts w:ascii="Arial" w:cs="Arial" w:eastAsia="Arial" w:hAnsi="Arial"/>
          <w:sz w:val="19"/>
          <w:szCs w:val="19"/>
          <w:color w:val="auto"/>
        </w:rPr>
      </w:pPr>
    </w:p>
    <w:p>
      <w:pPr>
        <w:ind w:left="920"/>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243" w:lineRule="exact"/>
        <w:rPr>
          <w:sz w:val="20"/>
          <w:szCs w:val="20"/>
          <w:color w:val="auto"/>
        </w:rPr>
      </w:pPr>
    </w:p>
    <w:p>
      <w:pPr>
        <w:jc w:val="both"/>
        <w:ind w:left="280" w:firstLine="648"/>
        <w:spacing w:after="0" w:line="321" w:lineRule="auto"/>
        <w:rPr>
          <w:sz w:val="20"/>
          <w:szCs w:val="20"/>
          <w:color w:val="auto"/>
        </w:rPr>
      </w:pPr>
      <w:r>
        <w:rPr>
          <w:rFonts w:ascii="Arial" w:cs="Arial" w:eastAsia="Arial" w:hAnsi="Arial"/>
          <w:sz w:val="16"/>
          <w:szCs w:val="16"/>
          <w:color w:val="auto"/>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Waivers; Amendment; Joinder Agreements</w:t>
      </w:r>
      <w:r>
        <w:rPr>
          <w:rFonts w:ascii="Arial" w:cs="Arial" w:eastAsia="Arial" w:hAnsi="Arial"/>
          <w:sz w:val="20"/>
          <w:szCs w:val="20"/>
          <w:color w:val="auto"/>
        </w:rPr>
        <w:t>.</w:t>
      </w:r>
    </w:p>
    <w:p>
      <w:pPr>
        <w:spacing w:after="0" w:line="229" w:lineRule="exact"/>
        <w:rPr>
          <w:sz w:val="20"/>
          <w:szCs w:val="20"/>
          <w:color w:val="auto"/>
        </w:rPr>
      </w:pPr>
    </w:p>
    <w:p>
      <w:pPr>
        <w:jc w:val="both"/>
        <w:ind w:left="280" w:firstLine="646"/>
        <w:spacing w:after="0" w:line="270" w:lineRule="auto"/>
        <w:tabs>
          <w:tab w:leader="none" w:pos="1796" w:val="left"/>
        </w:tabs>
        <w:numPr>
          <w:ilvl w:val="0"/>
          <w:numId w:val="403"/>
        </w:numPr>
        <w:rPr>
          <w:rFonts w:ascii="Arial" w:cs="Arial" w:eastAsia="Arial" w:hAnsi="Arial"/>
          <w:sz w:val="20"/>
          <w:szCs w:val="20"/>
          <w:color w:val="auto"/>
        </w:rPr>
      </w:pPr>
      <w:r>
        <w:rPr>
          <w:rFonts w:ascii="Arial" w:cs="Arial" w:eastAsia="Arial" w:hAnsi="Arial"/>
          <w:sz w:val="20"/>
          <w:szCs w:val="20"/>
          <w:color w:val="auto"/>
        </w:rPr>
        <w:t xml:space="preserve">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w:t>
      </w:r>
      <w:r>
        <w:rPr>
          <w:rFonts w:ascii="Arial" w:cs="Arial" w:eastAsia="Arial" w:hAnsi="Arial"/>
          <w:sz w:val="20"/>
          <w:szCs w:val="20"/>
          <w:u w:val="single" w:color="auto"/>
          <w:color w:val="auto"/>
        </w:rPr>
        <w:t>Section 5.02(b)</w:t>
      </w:r>
      <w:r>
        <w:rPr>
          <w:rFonts w:ascii="Arial" w:cs="Arial" w:eastAsia="Arial" w:hAnsi="Arial"/>
          <w:sz w:val="20"/>
          <w:szCs w:val="20"/>
          <w:color w:val="auto"/>
        </w:rPr>
        <w:t>,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212" w:lineRule="exact"/>
        <w:rPr>
          <w:rFonts w:ascii="Arial" w:cs="Arial" w:eastAsia="Arial" w:hAnsi="Arial"/>
          <w:sz w:val="20"/>
          <w:szCs w:val="20"/>
          <w:color w:val="auto"/>
        </w:rPr>
      </w:pPr>
    </w:p>
    <w:p>
      <w:pPr>
        <w:jc w:val="both"/>
        <w:ind w:left="280" w:firstLine="646"/>
        <w:spacing w:after="0" w:line="290" w:lineRule="auto"/>
        <w:tabs>
          <w:tab w:leader="none" w:pos="1807" w:val="left"/>
        </w:tabs>
        <w:numPr>
          <w:ilvl w:val="0"/>
          <w:numId w:val="403"/>
        </w:numPr>
        <w:rPr>
          <w:rFonts w:ascii="Arial" w:cs="Arial" w:eastAsia="Arial" w:hAnsi="Arial"/>
          <w:sz w:val="19"/>
          <w:szCs w:val="19"/>
          <w:color w:val="auto"/>
        </w:rPr>
      </w:pPr>
      <w:r>
        <w:rPr>
          <w:rFonts w:ascii="Arial" w:cs="Arial" w:eastAsia="Arial" w:hAnsi="Arial"/>
          <w:sz w:val="19"/>
          <w:szCs w:val="19"/>
          <w:color w:val="auto"/>
        </w:rPr>
        <w:t>Neither this Agreement nor any provision hereof may be terminated, waived, amended or modified (other than pursuant to any Joinder Agreement) except pursuant to an agreement or agreements in writing entered into by each Authorized Representative and each Collateral Agent (and with respect to any such termination, waiver, amendment or modification which by the terms of this Agreement requires the Borrowers’ consent or which directly and adversely affects the rights, interests, liabilities or privileges of, or impose additional duties and obligations on, any Borrower or any other Grantor, with the consent of the Borrowers).</w:t>
      </w:r>
    </w:p>
    <w:p>
      <w:pPr>
        <w:spacing w:after="0" w:line="192" w:lineRule="exact"/>
        <w:rPr>
          <w:rFonts w:ascii="Arial" w:cs="Arial" w:eastAsia="Arial" w:hAnsi="Arial"/>
          <w:sz w:val="19"/>
          <w:szCs w:val="19"/>
          <w:color w:val="auto"/>
        </w:rPr>
      </w:pPr>
    </w:p>
    <w:p>
      <w:pPr>
        <w:jc w:val="both"/>
        <w:ind w:left="280" w:right="20" w:firstLine="646"/>
        <w:spacing w:after="0" w:line="314" w:lineRule="auto"/>
        <w:tabs>
          <w:tab w:leader="none" w:pos="179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Notwithstanding the foregoing, without the consent of any First-Lien Secured Party (and with respect to any termination, waiver, amendment or modification which by the terms of this Agreement requires the Borrowers’ consent or which directly and adversely affects the rights, interests, liabilities or privileges of, or impose additional duties and obligations on, any Borrower or any other Grantor, with the consent of the Borrowers), any Authorized Representative may become a party hereto by execution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434" w:right="239" w:bottom="1440" w:gutter="0" w:footer="0" w:header="0"/>
        </w:sectPr>
      </w:pPr>
    </w:p>
    <w:bookmarkStart w:id="500" w:name="page501"/>
    <w:bookmarkEnd w:id="500"/>
    <w:p>
      <w:pPr>
        <w:jc w:val="both"/>
        <w:ind w:left="280"/>
        <w:spacing w:after="0" w:line="278" w:lineRule="auto"/>
        <w:rPr>
          <w:sz w:val="20"/>
          <w:szCs w:val="20"/>
          <w:color w:val="auto"/>
        </w:rPr>
      </w:pPr>
      <w:r>
        <w:rPr>
          <w:rFonts w:ascii="Arial" w:cs="Arial" w:eastAsia="Arial" w:hAnsi="Arial"/>
          <w:sz w:val="20"/>
          <w:szCs w:val="20"/>
          <w:color w:val="auto"/>
        </w:rPr>
        <w:t xml:space="preserve">delivery of a Joinder Agreement in accordance with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and upon such execution and delivery, such Authorized Representative and the Additional First-Lien Secured Parties and Additional First-Lien Obligations of the Series for which such Authorized Representative is acting shall be subject to the terms hereof.</w:t>
      </w:r>
    </w:p>
    <w:p>
      <w:pPr>
        <w:spacing w:after="0" w:line="200" w:lineRule="exact"/>
        <w:rPr>
          <w:sz w:val="20"/>
          <w:szCs w:val="20"/>
          <w:color w:val="auto"/>
        </w:rPr>
      </w:pPr>
    </w:p>
    <w:p>
      <w:pPr>
        <w:jc w:val="both"/>
        <w:ind w:left="280" w:firstLine="646"/>
        <w:spacing w:after="0" w:line="304" w:lineRule="auto"/>
        <w:tabs>
          <w:tab w:leader="none" w:pos="180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Notwithstanding the foregoing, in connection with any Refinancing of First-Lien Obligations of any Series, or the incurrence of Additional First-Lien Obligations of any Series, the Collateral Agents and the Authorized Representatives then party hereto shall enter (and are hereby authorized to enter without the consent of any other First-Lien Secured Party or any Loan Party), at the request of any Collateral Agent, any Authorized Representative or the Borrowers, into such amendments or modifications of this Agreement as are reasonably necessary to reflect such Refinancing or such incurrence and are reasonably satisfactory to each such Collateral Agent and each such Authorized Representative, provided that any Collateral Agent or Authorized Representative may condition its execution and delivery of any such amendment or modification on a receipt of a certificate from an authorized officer of the Borrowers to the effect that such Refinancing or incurrence is permitted by the then existing Secured Credit Documents.</w:t>
      </w:r>
    </w:p>
    <w:p>
      <w:pPr>
        <w:spacing w:after="0" w:line="158"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Parties in Interest</w:t>
      </w:r>
      <w:r>
        <w:rPr>
          <w:rFonts w:ascii="Arial" w:cs="Arial" w:eastAsia="Arial" w:hAnsi="Arial"/>
          <w:sz w:val="20"/>
          <w:szCs w:val="20"/>
          <w:color w:val="auto"/>
        </w:rPr>
        <w:t>. This Agreement shall be binding upon and inure to the benefit of the parties hereto and their respective successors and assigns, as well as the other First-Lien Secured Parties, all of whom are intended to be bound by, and to be third party beneficiaries of, this Agreement.</w:t>
      </w:r>
    </w:p>
    <w:p>
      <w:pPr>
        <w:spacing w:after="0" w:line="200"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Survival of Agreement</w:t>
      </w:r>
      <w:r>
        <w:rPr>
          <w:rFonts w:ascii="Arial" w:cs="Arial" w:eastAsia="Arial" w:hAnsi="Arial"/>
          <w:sz w:val="20"/>
          <w:szCs w:val="20"/>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86" w:lineRule="exact"/>
        <w:rPr>
          <w:sz w:val="20"/>
          <w:szCs w:val="20"/>
          <w:color w:val="auto"/>
        </w:rPr>
      </w:pPr>
    </w:p>
    <w:p>
      <w:pPr>
        <w:jc w:val="both"/>
        <w:ind w:left="280" w:firstLine="648"/>
        <w:spacing w:after="0" w:line="246"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205" w:lineRule="exact"/>
        <w:rPr>
          <w:sz w:val="20"/>
          <w:szCs w:val="20"/>
          <w:color w:val="auto"/>
        </w:rPr>
      </w:pPr>
    </w:p>
    <w:p>
      <w:pPr>
        <w:jc w:val="both"/>
        <w:ind w:left="280" w:firstLine="648"/>
        <w:spacing w:after="0" w:line="27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65"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UNDER THIS AGREEMENT SHALL BE GOVERNED BY, AND CONSTRUED IN ACCORDANCE WITH, THE LAW OF THE STATE OF NEW YORK.</w:t>
      </w:r>
    </w:p>
    <w:p>
      <w:pPr>
        <w:spacing w:after="0" w:line="186"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Submission to Jurisdiction Waivers; Consent to Service of Process</w:t>
      </w:r>
      <w:r>
        <w:rPr>
          <w:rFonts w:ascii="Arial" w:cs="Arial" w:eastAsia="Arial" w:hAnsi="Arial"/>
          <w:sz w:val="18"/>
          <w:szCs w:val="18"/>
          <w:color w:val="auto"/>
        </w:rPr>
        <w:t>. Each Collateral Agent and each Authorized Representative, on behalf of itself and the First-Lien Secured Parties of the Series for whom it is acting, irrevocably and unconditionally:</w:t>
      </w:r>
    </w:p>
    <w:p>
      <w:pPr>
        <w:spacing w:after="0" w:line="157" w:lineRule="exact"/>
        <w:rPr>
          <w:sz w:val="20"/>
          <w:szCs w:val="20"/>
          <w:color w:val="auto"/>
        </w:rPr>
      </w:pPr>
    </w:p>
    <w:p>
      <w:pPr>
        <w:jc w:val="both"/>
        <w:ind w:left="920" w:firstLine="655"/>
        <w:spacing w:after="0" w:line="293" w:lineRule="auto"/>
        <w:tabs>
          <w:tab w:leader="none" w:pos="2436" w:val="left"/>
        </w:tabs>
        <w:numPr>
          <w:ilvl w:val="0"/>
          <w:numId w:val="405"/>
        </w:numPr>
        <w:rPr>
          <w:rFonts w:ascii="Arial" w:cs="Arial" w:eastAsia="Arial" w:hAnsi="Arial"/>
          <w:sz w:val="19"/>
          <w:szCs w:val="19"/>
          <w:color w:val="auto"/>
        </w:rPr>
      </w:pPr>
      <w:r>
        <w:rPr>
          <w:rFonts w:ascii="Arial" w:cs="Arial" w:eastAsia="Arial" w:hAnsi="Arial"/>
          <w:sz w:val="19"/>
          <w:szCs w:val="19"/>
          <w:color w:val="auto"/>
        </w:rPr>
        <w:t xml:space="preserve">submits for itself and its property in any legal action or proceeding relating to this Agreement and the First-Lien Security Documents, or for recognition and enforcement of any judgment in respect thereof, to the exclusive jurisdiction of the courts the State of New York located in the Borough of Manhattan, the courts of the United States for the Southern District of New York, and appellate courts from any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final judgment on any such action or proceeding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79" w:right="239" w:bottom="1440" w:gutter="0" w:footer="0" w:header="0"/>
        </w:sectPr>
      </w:pPr>
    </w:p>
    <w:bookmarkStart w:id="501" w:name="page502"/>
    <w:bookmarkEnd w:id="501"/>
    <w:p>
      <w:pPr>
        <w:ind w:left="920"/>
        <w:spacing w:after="0"/>
        <w:rPr>
          <w:sz w:val="20"/>
          <w:szCs w:val="20"/>
          <w:color w:val="auto"/>
        </w:rPr>
      </w:pPr>
      <w:r>
        <w:rPr>
          <w:rFonts w:ascii="Arial" w:cs="Arial" w:eastAsia="Arial" w:hAnsi="Arial"/>
          <w:sz w:val="18"/>
          <w:szCs w:val="18"/>
          <w:color w:val="auto"/>
        </w:rPr>
        <w:t>shall be conclusive and may be enforced in other jurisdictions by suit on the judgment or in any other manner provided by law;</w:t>
      </w:r>
    </w:p>
    <w:p>
      <w:pPr>
        <w:spacing w:after="0" w:line="266" w:lineRule="exact"/>
        <w:rPr>
          <w:sz w:val="20"/>
          <w:szCs w:val="20"/>
          <w:color w:val="auto"/>
        </w:rPr>
      </w:pPr>
    </w:p>
    <w:p>
      <w:pPr>
        <w:jc w:val="both"/>
        <w:ind w:left="920" w:firstLine="655"/>
        <w:spacing w:after="0" w:line="278" w:lineRule="auto"/>
        <w:tabs>
          <w:tab w:leader="none" w:pos="2447" w:val="left"/>
        </w:tabs>
        <w:numPr>
          <w:ilvl w:val="0"/>
          <w:numId w:val="406"/>
        </w:numPr>
        <w:rPr>
          <w:rFonts w:ascii="Arial" w:cs="Arial" w:eastAsia="Arial" w:hAnsi="Arial"/>
          <w:sz w:val="20"/>
          <w:szCs w:val="20"/>
          <w:color w:val="auto"/>
        </w:rPr>
      </w:pPr>
      <w:r>
        <w:rPr>
          <w:rFonts w:ascii="Arial" w:cs="Arial" w:eastAsia="Arial" w:hAnsi="Arial"/>
          <w:sz w:val="20"/>
          <w:szCs w:val="20"/>
          <w:color w:val="auto"/>
        </w:rPr>
        <w:t>consents and 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00" w:lineRule="exact"/>
        <w:rPr>
          <w:rFonts w:ascii="Arial" w:cs="Arial" w:eastAsia="Arial" w:hAnsi="Arial"/>
          <w:sz w:val="20"/>
          <w:szCs w:val="20"/>
          <w:color w:val="auto"/>
        </w:rPr>
      </w:pPr>
    </w:p>
    <w:p>
      <w:pPr>
        <w:jc w:val="both"/>
        <w:ind w:left="920" w:firstLine="655"/>
        <w:spacing w:after="0" w:line="278" w:lineRule="auto"/>
        <w:tabs>
          <w:tab w:leader="none" w:pos="2436" w:val="left"/>
        </w:tabs>
        <w:numPr>
          <w:ilvl w:val="0"/>
          <w:numId w:val="406"/>
        </w:numPr>
        <w:rPr>
          <w:rFonts w:ascii="Arial" w:cs="Arial" w:eastAsia="Arial" w:hAnsi="Arial"/>
          <w:sz w:val="20"/>
          <w:szCs w:val="20"/>
          <w:color w:val="auto"/>
        </w:rPr>
      </w:pPr>
      <w:r>
        <w:rPr>
          <w:rFonts w:ascii="Arial" w:cs="Arial" w:eastAsia="Arial" w:hAnsi="Arial"/>
          <w:sz w:val="20"/>
          <w:szCs w:val="20"/>
          <w:color w:val="auto"/>
        </w:rPr>
        <w:t xml:space="preserve">agrees that service of process in any such action or proceeding may be effected by mailing a copy thereof by registered or certified mail (or any substantially similar form of mail), postage prepaid, to such Person (or its Authorized Representative) at the address set forth in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73" w:lineRule="exact"/>
        <w:rPr>
          <w:rFonts w:ascii="Arial" w:cs="Arial" w:eastAsia="Arial" w:hAnsi="Arial"/>
          <w:sz w:val="20"/>
          <w:szCs w:val="20"/>
          <w:color w:val="auto"/>
        </w:rPr>
      </w:pPr>
    </w:p>
    <w:p>
      <w:pPr>
        <w:ind w:left="920" w:firstLine="655"/>
        <w:spacing w:after="0" w:line="289" w:lineRule="auto"/>
        <w:tabs>
          <w:tab w:leader="none" w:pos="2447"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of any other party hereto (or any First-Lien Secured Party) to effect service of process in any other manner permitted by law; and</w:t>
      </w:r>
    </w:p>
    <w:p>
      <w:pPr>
        <w:spacing w:after="0" w:line="188" w:lineRule="exact"/>
        <w:rPr>
          <w:rFonts w:ascii="Arial" w:cs="Arial" w:eastAsia="Arial" w:hAnsi="Arial"/>
          <w:sz w:val="20"/>
          <w:szCs w:val="20"/>
          <w:color w:val="auto"/>
        </w:rPr>
      </w:pPr>
    </w:p>
    <w:p>
      <w:pPr>
        <w:ind w:left="920" w:firstLine="655"/>
        <w:spacing w:after="0" w:line="289" w:lineRule="auto"/>
        <w:tabs>
          <w:tab w:leader="none" w:pos="2436" w:val="left"/>
        </w:tabs>
        <w:numPr>
          <w:ilvl w:val="0"/>
          <w:numId w:val="406"/>
        </w:numPr>
        <w:rPr>
          <w:rFonts w:ascii="Arial" w:cs="Arial" w:eastAsia="Arial" w:hAnsi="Arial"/>
          <w:sz w:val="20"/>
          <w:szCs w:val="20"/>
          <w:color w:val="auto"/>
        </w:rPr>
      </w:pPr>
      <w:r>
        <w:rPr>
          <w:rFonts w:ascii="Arial" w:cs="Arial" w:eastAsia="Arial" w:hAnsi="Arial"/>
          <w:sz w:val="20"/>
          <w:szCs w:val="20"/>
          <w:color w:val="auto"/>
        </w:rPr>
        <w:t xml:space="preserve">waives, to the maximum extent not prohibited by law, any right it may have to claim or recover in any legal action or proceeding referred to in this </w:t>
      </w:r>
      <w:r>
        <w:rPr>
          <w:rFonts w:ascii="Arial" w:cs="Arial" w:eastAsia="Arial" w:hAnsi="Arial"/>
          <w:sz w:val="20"/>
          <w:szCs w:val="20"/>
          <w:u w:val="single" w:color="auto"/>
          <w:color w:val="auto"/>
        </w:rPr>
        <w:t>Section 5.08</w:t>
      </w:r>
      <w:r>
        <w:rPr>
          <w:rFonts w:ascii="Arial" w:cs="Arial" w:eastAsia="Arial" w:hAnsi="Arial"/>
          <w:sz w:val="20"/>
          <w:szCs w:val="20"/>
          <w:color w:val="auto"/>
        </w:rPr>
        <w:t xml:space="preserve"> any special, exemplary, punitive or consequential damages.</w:t>
      </w:r>
    </w:p>
    <w:p>
      <w:pPr>
        <w:spacing w:after="0" w:line="162" w:lineRule="exact"/>
        <w:rPr>
          <w:sz w:val="20"/>
          <w:szCs w:val="20"/>
          <w:color w:val="auto"/>
        </w:rPr>
      </w:pPr>
    </w:p>
    <w:p>
      <w:pPr>
        <w:jc w:val="both"/>
        <w:ind w:left="280" w:firstLine="648"/>
        <w:spacing w:after="0" w:line="250"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AND UNCONDITIONALLY WAIVES TRIAL BY JURY IN ANY LEGAL ACTION OR PROCEEDING RELATING TO THIS AGREEMENT OR FOR ANY COUNTERCLAIM THEREIN.</w:t>
      </w:r>
    </w:p>
    <w:p>
      <w:pPr>
        <w:spacing w:after="0" w:line="200" w:lineRule="exact"/>
        <w:rPr>
          <w:sz w:val="20"/>
          <w:szCs w:val="20"/>
          <w:color w:val="auto"/>
        </w:rPr>
      </w:pPr>
    </w:p>
    <w:p>
      <w:pPr>
        <w:jc w:val="both"/>
        <w:ind w:left="280" w:firstLine="648"/>
        <w:spacing w:after="0" w:line="287" w:lineRule="auto"/>
        <w:rPr>
          <w:sz w:val="20"/>
          <w:szCs w:val="20"/>
          <w:color w:val="auto"/>
        </w:rPr>
      </w:pPr>
      <w:r>
        <w:rPr>
          <w:rFonts w:ascii="Arial" w:cs="Arial" w:eastAsia="Arial" w:hAnsi="Arial"/>
          <w:sz w:val="19"/>
          <w:szCs w:val="19"/>
          <w:color w:val="auto"/>
        </w:rPr>
        <w:t xml:space="preserve">SECTION 5.10 </w:t>
      </w:r>
      <w:r>
        <w:rPr>
          <w:rFonts w:ascii="Arial" w:cs="Arial" w:eastAsia="Arial" w:hAnsi="Arial"/>
          <w:sz w:val="19"/>
          <w:szCs w:val="19"/>
          <w:u w:val="single" w:color="auto"/>
          <w:color w:val="auto"/>
        </w:rPr>
        <w:t>Headings</w:t>
      </w:r>
      <w:r>
        <w:rPr>
          <w:rFonts w:ascii="Arial" w:cs="Arial" w:eastAsia="Arial" w:hAnsi="Arial"/>
          <w:sz w:val="19"/>
          <w:szCs w:val="19"/>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53" w:lineRule="exact"/>
        <w:rPr>
          <w:sz w:val="20"/>
          <w:szCs w:val="20"/>
          <w:color w:val="auto"/>
        </w:rPr>
      </w:pPr>
    </w:p>
    <w:p>
      <w:pPr>
        <w:jc w:val="both"/>
        <w:ind w:left="280" w:firstLine="648"/>
        <w:spacing w:after="0" w:line="31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or inconsistency between the provisions of this Agreement and the provisions of any of the First-Lien Security Documents or any of the other Secured Credit Documents, the provisions of this Agreement shall control.</w:t>
      </w:r>
    </w:p>
    <w:p>
      <w:pPr>
        <w:spacing w:after="0" w:line="130" w:lineRule="exact"/>
        <w:rPr>
          <w:sz w:val="20"/>
          <w:szCs w:val="20"/>
          <w:color w:val="auto"/>
        </w:rPr>
      </w:pPr>
    </w:p>
    <w:p>
      <w:pPr>
        <w:jc w:val="both"/>
        <w:ind w:left="280" w:firstLine="648"/>
        <w:spacing w:after="0" w:line="257"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Provisions Solely to Define Relative Rights</w:t>
      </w:r>
      <w:r>
        <w:rPr>
          <w:rFonts w:ascii="Arial" w:cs="Arial" w:eastAsia="Arial" w:hAnsi="Arial"/>
          <w:sz w:val="19"/>
          <w:szCs w:val="19"/>
          <w:color w:val="auto"/>
        </w:rPr>
        <w:t>. The provisions of this Agreement are and are intended solely for the purpose of defining the relative rights of the First-Lien Secured Parties in relation to one another. None of the Borrowers, any other Grantor or any other creditor thereof shall have any rights or obligations hereunder, except as expressly provided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Agreement (other than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intended to or will amend, waive or otherwise modify the provisions of the Credit Agreement or any Additional First-Lien Documents), and none of the Borrowers or any other Grantor may rely on the terms hereof (other than </w:t>
      </w:r>
      <w:r>
        <w:rPr>
          <w:rFonts w:ascii="Arial" w:cs="Arial" w:eastAsia="Arial" w:hAnsi="Arial"/>
          <w:sz w:val="19"/>
          <w:szCs w:val="19"/>
          <w:u w:val="single" w:color="auto"/>
          <w:color w:val="auto"/>
        </w:rPr>
        <w:t>Sections 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w:t>
      </w:r>
      <w:r>
        <w:rPr>
          <w:rFonts w:ascii="Arial" w:cs="Arial" w:eastAsia="Arial" w:hAnsi="Arial"/>
          <w:sz w:val="19"/>
          <w:szCs w:val="19"/>
          <w:color w:val="auto"/>
        </w:rPr>
        <w:t>). Nothing in this Agreement is intended to or shall impair the obligations of any Grantor, which are absolute and unconditional, to pay the First-Lien Obligations as and when the same shall become due and payable in accordance with their terms.</w:t>
      </w:r>
    </w:p>
    <w:p>
      <w:pPr>
        <w:spacing w:after="0" w:line="181"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Additional Senior Debt</w:t>
      </w:r>
      <w:r>
        <w:rPr>
          <w:rFonts w:ascii="Arial" w:cs="Arial" w:eastAsia="Arial" w:hAnsi="Arial"/>
          <w:sz w:val="20"/>
          <w:szCs w:val="20"/>
          <w:color w:val="auto"/>
        </w:rPr>
        <w:t>. To the extent, but only to the extent permitted by the provisions of the then extant Secured Credit Documents, the Borrowers may incur additional indebtedness after the date hereof that is secured on an equal and ratable basis by the Liens securing the First-Lien Obligations (such indebtedness referred to as “</w:t>
      </w:r>
      <w:r>
        <w:rPr>
          <w:rFonts w:ascii="Arial" w:cs="Arial" w:eastAsia="Arial" w:hAnsi="Arial"/>
          <w:sz w:val="20"/>
          <w:szCs w:val="20"/>
          <w:u w:val="single" w:color="auto"/>
          <w:color w:val="auto"/>
        </w:rPr>
        <w:t>Additional Senior Class Debt</w:t>
      </w:r>
      <w:r>
        <w:rPr>
          <w:rFonts w:ascii="Arial" w:cs="Arial" w:eastAsia="Arial" w:hAnsi="Arial"/>
          <w:sz w:val="20"/>
          <w:szCs w:val="20"/>
          <w:color w:val="auto"/>
        </w:rPr>
        <w:t>”). Any such Additional Senior Class Debt may be secured by a Lien and may be Guaranteed by the Grantors on a senior basis, in each case under and pursuant to the Additional First-Lien Documents, if and subject to the condition that the Authorized Representative of any such Additional Senior Class Debt (each, an “</w:t>
      </w:r>
      <w:r>
        <w:rPr>
          <w:rFonts w:ascii="Arial" w:cs="Arial" w:eastAsia="Arial" w:hAnsi="Arial"/>
          <w:sz w:val="20"/>
          <w:szCs w:val="20"/>
          <w:u w:val="single" w:color="auto"/>
          <w:color w:val="auto"/>
        </w:rPr>
        <w:t>Additional Senior Class Debt Representative</w:t>
      </w:r>
      <w:r>
        <w:rPr>
          <w:rFonts w:ascii="Arial" w:cs="Arial" w:eastAsia="Arial" w:hAnsi="Arial"/>
          <w:sz w:val="20"/>
          <w:szCs w:val="20"/>
          <w:color w:val="auto"/>
        </w:rPr>
        <w:t>”), acting on behalf of the holders of such Additional Senior Class Debt (such Authorized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79" w:right="239" w:bottom="1440" w:gutter="0" w:footer="0" w:header="0"/>
        </w:sectPr>
      </w:pPr>
    </w:p>
    <w:bookmarkStart w:id="502" w:name="page503"/>
    <w:bookmarkEnd w:id="502"/>
    <w:p>
      <w:pPr>
        <w:jc w:val="both"/>
        <w:ind w:left="280" w:right="20"/>
        <w:spacing w:after="0" w:line="250" w:lineRule="auto"/>
        <w:rPr>
          <w:sz w:val="20"/>
          <w:szCs w:val="20"/>
          <w:color w:val="auto"/>
        </w:rPr>
      </w:pPr>
      <w:r>
        <w:rPr>
          <w:rFonts w:ascii="Arial" w:cs="Arial" w:eastAsia="Arial" w:hAnsi="Arial"/>
          <w:sz w:val="20"/>
          <w:szCs w:val="20"/>
          <w:color w:val="auto"/>
        </w:rPr>
        <w:t>Representative and holders in respect of any Additional Senior Class Debt being referred to as the “</w:t>
      </w:r>
      <w:r>
        <w:rPr>
          <w:rFonts w:ascii="Arial" w:cs="Arial" w:eastAsia="Arial" w:hAnsi="Arial"/>
          <w:sz w:val="20"/>
          <w:szCs w:val="20"/>
          <w:u w:val="single" w:color="auto"/>
          <w:color w:val="auto"/>
        </w:rPr>
        <w:t>Additional Senior Class Debt Parties</w:t>
      </w:r>
      <w:r>
        <w:rPr>
          <w:rFonts w:ascii="Arial" w:cs="Arial" w:eastAsia="Arial" w:hAnsi="Arial"/>
          <w:sz w:val="20"/>
          <w:szCs w:val="20"/>
          <w:color w:val="auto"/>
        </w:rPr>
        <w:t>”), becomes a party to this Agreement as an Authorized Representative by satisfying the conditions set forth in clauses (i) through (iv) of the immediately succeeding paragraph.</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for an Additional Senior Class Debt Representative to become a party to this Agreement as an Authorized Representative,</w:t>
      </w:r>
    </w:p>
    <w:p>
      <w:pPr>
        <w:spacing w:after="0" w:line="266" w:lineRule="exact"/>
        <w:rPr>
          <w:sz w:val="20"/>
          <w:szCs w:val="20"/>
          <w:color w:val="auto"/>
        </w:rPr>
      </w:pPr>
    </w:p>
    <w:p>
      <w:pPr>
        <w:jc w:val="both"/>
        <w:ind w:left="920" w:firstLine="655"/>
        <w:spacing w:after="0" w:line="307" w:lineRule="auto"/>
        <w:tabs>
          <w:tab w:leader="none" w:pos="2403"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such Additional Senior Class Debt Representative, each Collateral Agent, each Authorized Representative and each Grantor shall have executed and delivered a Joinder Agreement (with such changes as may be reasonably approved by such Collateral Agent and Additional Senior Class Debt Representative) pursuant to which such Additional Senior Class Debt Representative becomes an Authorized Representative hereunder, and the Additional Senior Class Debt in respect of which such Additional Senior Class Debt Representative is the Authorized Representative constitutes Additional First-Lien Obligations and the related Additional Senior Class Debt Parties become subject hereto and bound hereby as Additional First-Lien Secured Parties;</w:t>
      </w:r>
    </w:p>
    <w:p>
      <w:pPr>
        <w:spacing w:after="0" w:line="180" w:lineRule="exact"/>
        <w:rPr>
          <w:rFonts w:ascii="Arial" w:cs="Arial" w:eastAsia="Arial" w:hAnsi="Arial"/>
          <w:sz w:val="18"/>
          <w:szCs w:val="18"/>
          <w:color w:val="auto"/>
        </w:rPr>
      </w:pPr>
    </w:p>
    <w:p>
      <w:pPr>
        <w:jc w:val="both"/>
        <w:ind w:left="920" w:firstLine="655"/>
        <w:spacing w:after="0" w:line="272" w:lineRule="auto"/>
        <w:tabs>
          <w:tab w:leader="none" w:pos="2458" w:val="left"/>
        </w:tabs>
        <w:numPr>
          <w:ilvl w:val="0"/>
          <w:numId w:val="407"/>
        </w:numPr>
        <w:rPr>
          <w:rFonts w:ascii="Arial" w:cs="Arial" w:eastAsia="Arial" w:hAnsi="Arial"/>
          <w:sz w:val="20"/>
          <w:szCs w:val="20"/>
          <w:color w:val="auto"/>
        </w:rPr>
      </w:pPr>
      <w:r>
        <w:rPr>
          <w:rFonts w:ascii="Arial" w:cs="Arial" w:eastAsia="Arial" w:hAnsi="Arial"/>
          <w:sz w:val="20"/>
          <w:szCs w:val="20"/>
          <w:color w:val="auto"/>
        </w:rPr>
        <w:t xml:space="preserve">the Borrowers shall have (x) delivered to each Collateral Agent true and complete copies of each of the Additional First-Lien Documents relating to such Additional Senior Class Debt, certified as being true and correct by an authorized officer of the Borrowers and (y) identified in a certificate of an authorized officer the obligations to be designated as Additional First-Lien Obligations and the initial aggregate principal amount or face amount thereof and certified that such obligations are permitted to be incurred and secured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with the then extant First-Lien Obligations and by the terms of the then extant Secured Credit Documents;</w:t>
      </w:r>
    </w:p>
    <w:p>
      <w:pPr>
        <w:spacing w:after="0" w:line="191" w:lineRule="exact"/>
        <w:rPr>
          <w:rFonts w:ascii="Arial" w:cs="Arial" w:eastAsia="Arial" w:hAnsi="Arial"/>
          <w:sz w:val="20"/>
          <w:szCs w:val="20"/>
          <w:color w:val="auto"/>
        </w:rPr>
      </w:pPr>
    </w:p>
    <w:p>
      <w:pPr>
        <w:jc w:val="both"/>
        <w:ind w:left="920" w:firstLine="655"/>
        <w:spacing w:after="0" w:line="307" w:lineRule="auto"/>
        <w:tabs>
          <w:tab w:leader="none" w:pos="248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all filings, recordations and/or amendments or supplements to the First-Lien Security Documents necessary or desirable in the reasonable judgment of the Additional Collateral Agent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the Additional Collateral Agent), and all fees and taxes in connection therewith shall have been paid (or acceptable provisions to make such payments have been taken in the reasonable judgment of the Additional Collateral Agent); and</w:t>
      </w:r>
    </w:p>
    <w:p>
      <w:pPr>
        <w:spacing w:after="0" w:line="180" w:lineRule="exact"/>
        <w:rPr>
          <w:rFonts w:ascii="Arial" w:cs="Arial" w:eastAsia="Arial" w:hAnsi="Arial"/>
          <w:sz w:val="18"/>
          <w:szCs w:val="18"/>
          <w:color w:val="auto"/>
        </w:rPr>
      </w:pPr>
    </w:p>
    <w:p>
      <w:pPr>
        <w:jc w:val="both"/>
        <w:ind w:left="920" w:firstLine="655"/>
        <w:spacing w:after="0" w:line="274" w:lineRule="auto"/>
        <w:tabs>
          <w:tab w:leader="none" w:pos="2502"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the Additional First-Lien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w:t>
      </w:r>
    </w:p>
    <w:p>
      <w:pPr>
        <w:spacing w:after="0" w:line="179" w:lineRule="exact"/>
        <w:rPr>
          <w:sz w:val="20"/>
          <w:szCs w:val="20"/>
          <w:color w:val="auto"/>
        </w:rPr>
      </w:pPr>
    </w:p>
    <w:p>
      <w:pPr>
        <w:jc w:val="both"/>
        <w:ind w:left="280" w:firstLine="648"/>
        <w:spacing w:after="0" w:line="263" w:lineRule="auto"/>
        <w:rPr>
          <w:sz w:val="20"/>
          <w:szCs w:val="20"/>
          <w:color w:val="auto"/>
        </w:rPr>
      </w:pPr>
      <w:r>
        <w:rPr>
          <w:rFonts w:ascii="Arial" w:cs="Arial" w:eastAsia="Arial" w:hAnsi="Arial"/>
          <w:sz w:val="19"/>
          <w:szCs w:val="19"/>
          <w:color w:val="auto"/>
        </w:rPr>
        <w:t xml:space="preserve">Each Authorized Representative acknowledges and agrees that upon execution and delivery of a Joinder Agreement substantially in the form of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by an Additional Senior Class Debt Representative and each Grantor in accordance with this </w:t>
      </w:r>
      <w:r>
        <w:rPr>
          <w:rFonts w:ascii="Arial" w:cs="Arial" w:eastAsia="Arial" w:hAnsi="Arial"/>
          <w:sz w:val="19"/>
          <w:szCs w:val="19"/>
          <w:u w:val="single" w:color="auto"/>
          <w:color w:val="auto"/>
        </w:rPr>
        <w:t>Section 5.13</w:t>
      </w:r>
      <w:r>
        <w:rPr>
          <w:rFonts w:ascii="Arial" w:cs="Arial" w:eastAsia="Arial" w:hAnsi="Arial"/>
          <w:sz w:val="19"/>
          <w:szCs w:val="19"/>
          <w:color w:val="auto"/>
        </w:rPr>
        <w:t>, the Additional Collateral Agent will continue to act in its capacity as Additional Collateral Agent in respect of the then existing Authorized Representatives (other than the Administrative Agent) and such additional Authorized Representative.</w:t>
      </w:r>
    </w:p>
    <w:p>
      <w:pPr>
        <w:spacing w:after="0" w:line="190" w:lineRule="exact"/>
        <w:rPr>
          <w:sz w:val="20"/>
          <w:szCs w:val="20"/>
          <w:color w:val="auto"/>
        </w:rPr>
      </w:pPr>
    </w:p>
    <w:p>
      <w:pPr>
        <w:jc w:val="both"/>
        <w:ind w:left="280" w:firstLine="648"/>
        <w:spacing w:after="0" w:line="260" w:lineRule="auto"/>
        <w:rPr>
          <w:sz w:val="20"/>
          <w:szCs w:val="20"/>
          <w:color w:val="auto"/>
        </w:rPr>
      </w:pPr>
      <w:r>
        <w:rPr>
          <w:rFonts w:ascii="Arial" w:cs="Arial" w:eastAsia="Arial" w:hAnsi="Arial"/>
          <w:sz w:val="19"/>
          <w:szCs w:val="19"/>
          <w:color w:val="auto"/>
        </w:rPr>
        <w:t xml:space="preserve">SECTION 5.14 </w:t>
      </w:r>
      <w:r>
        <w:rPr>
          <w:rFonts w:ascii="Arial" w:cs="Arial" w:eastAsia="Arial" w:hAnsi="Arial"/>
          <w:sz w:val="19"/>
          <w:szCs w:val="19"/>
          <w:u w:val="single" w:color="auto"/>
          <w:color w:val="auto"/>
        </w:rPr>
        <w:t>Agent Capacities</w:t>
      </w:r>
      <w:r>
        <w:rPr>
          <w:rFonts w:ascii="Arial" w:cs="Arial" w:eastAsia="Arial" w:hAnsi="Arial"/>
          <w:sz w:val="19"/>
          <w:szCs w:val="19"/>
          <w:color w:val="auto"/>
        </w:rPr>
        <w:t>. Except as expressly provided herein or in the Credit Agreement Collateral Documents, Wells Fargo Bank, National Association is acting in the capacities of Administrative Agent and Credit Agreement Collateral Agent solely for the Credit Agreement Secured Parties. Except as expressly provided herein or in the Additional First-Lien Security Documents, [ ] is acting in the capacity of Additional Collateral Agent solely for the Additional First-Lien Secured Parties. Except as expressly set forth herein, none of the Administrative Agent, the Credit Agreement Collateral Agent or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66" w:right="239" w:bottom="1440" w:gutter="0" w:footer="0" w:header="0"/>
        </w:sectPr>
      </w:pPr>
    </w:p>
    <w:bookmarkStart w:id="503" w:name="page504"/>
    <w:bookmarkEnd w:id="503"/>
    <w:p>
      <w:pPr>
        <w:jc w:val="both"/>
        <w:ind w:left="280"/>
        <w:spacing w:after="0" w:line="260" w:lineRule="auto"/>
        <w:rPr>
          <w:sz w:val="20"/>
          <w:szCs w:val="20"/>
          <w:color w:val="auto"/>
        </w:rPr>
      </w:pPr>
      <w:r>
        <w:rPr>
          <w:rFonts w:ascii="Arial" w:cs="Arial" w:eastAsia="Arial" w:hAnsi="Arial"/>
          <w:sz w:val="20"/>
          <w:szCs w:val="20"/>
          <w:color w:val="auto"/>
        </w:rPr>
        <w:t>Additional Collateral Agent shall have any duties or obligations in respect of any of the Collateral, all of such duties and obligations, if any, being subject to and governed by the applicable Secured Credit Documents.</w:t>
      </w:r>
    </w:p>
    <w:p>
      <w:pPr>
        <w:spacing w:after="0" w:line="177" w:lineRule="exact"/>
        <w:rPr>
          <w:sz w:val="20"/>
          <w:szCs w:val="20"/>
          <w:color w:val="auto"/>
        </w:rPr>
      </w:pPr>
    </w:p>
    <w:p>
      <w:pPr>
        <w:jc w:val="both"/>
        <w:ind w:left="280" w:firstLine="648"/>
        <w:spacing w:after="0" w:line="244"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together with the other Secured Credit Documents and the First-Lien Security Documents represents the agreement of each of the Grantors and the First-Lien Secured Parties with respect to the subject matter hereof and there are no promises, undertakings, representations or warranties by any Grantor, the Credit Agreement Collateral Agent, or any other First- Lien Secured Party relative to the subject matter hereof not expressly set forth or referred to herein or in the other Secured Credit Documents.</w:t>
      </w:r>
    </w:p>
    <w:p>
      <w:pPr>
        <w:spacing w:after="0" w:line="195" w:lineRule="exact"/>
        <w:rPr>
          <w:sz w:val="20"/>
          <w:szCs w:val="20"/>
          <w:color w:val="auto"/>
        </w:rPr>
      </w:pPr>
    </w:p>
    <w:p>
      <w:pPr>
        <w:jc w:val="both"/>
        <w:ind w:left="280" w:firstLine="648"/>
        <w:spacing w:after="0" w:line="243"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u w:val="single" w:color="auto"/>
          <w:color w:val="auto"/>
        </w:rPr>
        <w:t>Additional Grantors</w:t>
      </w:r>
      <w:r>
        <w:rPr>
          <w:rFonts w:ascii="Arial" w:cs="Arial" w:eastAsia="Arial" w:hAnsi="Arial"/>
          <w:sz w:val="20"/>
          <w:szCs w:val="20"/>
          <w:color w:val="auto"/>
        </w:rPr>
        <w:t xml:space="preserve">. The Borrowers agree that, if any Subsidiary shall become a Grantor after the date hereof, it will promptly cause such Subsidiary to become party hereto by executing and delivering an instrument in the form of </w:t>
      </w:r>
      <w:r>
        <w:rPr>
          <w:rFonts w:ascii="Arial" w:cs="Arial" w:eastAsia="Arial" w:hAnsi="Arial"/>
          <w:sz w:val="20"/>
          <w:szCs w:val="20"/>
          <w:u w:val="single" w:color="auto"/>
          <w:color w:val="auto"/>
        </w:rPr>
        <w:t>Annex III</w:t>
      </w:r>
      <w:r>
        <w:rPr>
          <w:rFonts w:ascii="Arial" w:cs="Arial" w:eastAsia="Arial" w:hAnsi="Arial"/>
          <w:sz w:val="20"/>
          <w:szCs w:val="20"/>
          <w:color w:val="auto"/>
        </w:rPr>
        <w:t>.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Administrative Agent, the Initial Additional Authorized Representative and each additional Authorized Representative. The rights and obligations of each Grantor hereunder shall remain in full force and effect notwithstanding the addition of any new Grantor as a party to this Agreement.</w:t>
      </w:r>
    </w:p>
    <w:p>
      <w:pPr>
        <w:spacing w:after="0" w:line="207" w:lineRule="exact"/>
        <w:rPr>
          <w:sz w:val="20"/>
          <w:szCs w:val="20"/>
          <w:color w:val="auto"/>
        </w:rPr>
      </w:pPr>
    </w:p>
    <w:p>
      <w:pPr>
        <w:jc w:val="both"/>
        <w:ind w:left="280" w:firstLine="648"/>
        <w:spacing w:after="0" w:line="272"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Administrative Agent and Representative</w:t>
      </w:r>
      <w:r>
        <w:rPr>
          <w:rFonts w:ascii="Arial" w:cs="Arial" w:eastAsia="Arial" w:hAnsi="Arial"/>
          <w:sz w:val="18"/>
          <w:szCs w:val="18"/>
          <w:color w:val="auto"/>
        </w:rPr>
        <w:t xml:space="preserve">. It is understood and agreed that (a) the Administrative Agent is entering into this Agreement in its capacity as administrative agent and collateral agent under the Credit Agreement and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the Credit Agreement applicable to the Agents (as defined therein) thereunder shall also apply to the Administrative Agent hereunder and</w:t>
      </w:r>
    </w:p>
    <w:p>
      <w:pPr>
        <w:spacing w:after="0" w:line="1" w:lineRule="exact"/>
        <w:rPr>
          <w:sz w:val="20"/>
          <w:szCs w:val="20"/>
          <w:color w:val="auto"/>
        </w:rPr>
      </w:pPr>
    </w:p>
    <w:p>
      <w:pPr>
        <w:jc w:val="both"/>
        <w:ind w:left="280" w:hanging="2"/>
        <w:spacing w:after="0" w:line="241" w:lineRule="auto"/>
        <w:tabs>
          <w:tab w:leader="none" w:pos="605" w:val="left"/>
        </w:tabs>
        <w:numPr>
          <w:ilvl w:val="0"/>
          <w:numId w:val="408"/>
        </w:numPr>
        <w:rPr>
          <w:rFonts w:ascii="Arial" w:cs="Arial" w:eastAsia="Arial" w:hAnsi="Arial"/>
          <w:sz w:val="20"/>
          <w:szCs w:val="20"/>
          <w:color w:val="auto"/>
        </w:rPr>
      </w:pPr>
      <w:r>
        <w:rPr>
          <w:rFonts w:ascii="Arial" w:cs="Arial" w:eastAsia="Arial" w:hAnsi="Arial"/>
          <w:sz w:val="20"/>
          <w:szCs w:val="20"/>
          <w:color w:val="auto"/>
        </w:rPr>
        <w:t>[ ] is entering into this Agreement in its capacity as [Administrative Agent] [Trustee] under [credit agreement] [indenture] (the [“</w:t>
      </w:r>
      <w:r>
        <w:rPr>
          <w:rFonts w:ascii="Arial" w:cs="Arial" w:eastAsia="Arial" w:hAnsi="Arial"/>
          <w:sz w:val="20"/>
          <w:szCs w:val="20"/>
          <w:u w:val="single" w:color="auto"/>
          <w:color w:val="auto"/>
        </w:rPr>
        <w:t>Additional Administrative Agent</w:t>
      </w:r>
      <w:r>
        <w:rPr>
          <w:rFonts w:ascii="Arial" w:cs="Arial" w:eastAsia="Arial" w:hAnsi="Arial"/>
          <w:sz w:val="20"/>
          <w:szCs w:val="20"/>
          <w:color w:val="auto"/>
        </w:rPr>
        <w:t>”] [“</w:t>
      </w:r>
      <w:r>
        <w:rPr>
          <w:rFonts w:ascii="Arial" w:cs="Arial" w:eastAsia="Arial" w:hAnsi="Arial"/>
          <w:sz w:val="20"/>
          <w:szCs w:val="20"/>
          <w:u w:val="single" w:color="auto"/>
          <w:color w:val="auto"/>
        </w:rPr>
        <w:t>Trustee</w:t>
      </w:r>
      <w:r>
        <w:rPr>
          <w:rFonts w:ascii="Arial" w:cs="Arial" w:eastAsia="Arial" w:hAnsi="Arial"/>
          <w:sz w:val="20"/>
          <w:szCs w:val="20"/>
          <w:color w:val="auto"/>
        </w:rPr>
        <w:t xml:space="preserve">”]) and the provisions of </w:t>
      </w:r>
      <w:r>
        <w:rPr>
          <w:rFonts w:ascii="Arial" w:cs="Arial" w:eastAsia="Arial" w:hAnsi="Arial"/>
          <w:sz w:val="20"/>
          <w:szCs w:val="20"/>
          <w:u w:val="single" w:color="auto"/>
          <w:color w:val="auto"/>
        </w:rPr>
        <w:t>Article [ ]</w:t>
      </w:r>
      <w:r>
        <w:rPr>
          <w:rFonts w:ascii="Arial" w:cs="Arial" w:eastAsia="Arial" w:hAnsi="Arial"/>
          <w:sz w:val="20"/>
          <w:szCs w:val="20"/>
          <w:color w:val="auto"/>
        </w:rPr>
        <w:t xml:space="preserve"> of such indenture applicable to the Trustee thereunder shall also apply to the [Additional Administrative Agent] [Trustee] hereunder.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20"/>
          </w:cols>
          <w:pgMar w:left="240" w:top="366" w:right="239" w:bottom="1440" w:gutter="0" w:footer="0" w:header="0"/>
        </w:sectPr>
      </w:pPr>
    </w:p>
    <w:bookmarkStart w:id="504" w:name="page505"/>
    <w:bookmarkEnd w:id="504"/>
    <w:p>
      <w:pPr>
        <w:ind w:left="260"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13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as Credit Agreement Collateral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27305</wp:posOffset>
            </wp:positionV>
            <wp:extent cx="32588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30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Title</w:t>
      </w:r>
    </w:p>
    <w:p>
      <w:pPr>
        <w:spacing w:after="0" w:line="202"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9"/>
          <w:szCs w:val="19"/>
          <w:color w:val="auto"/>
        </w:rPr>
        <w:t>as Authorized Representative for the Credit Agreement Secured</w:t>
      </w:r>
    </w:p>
    <w:p>
      <w:pPr>
        <w:spacing w:after="0" w:line="1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27305</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30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 ], as Additional Collateral Agent and as Initial Additional</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27305</wp:posOffset>
            </wp:positionV>
            <wp:extent cx="32588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30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3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505" w:name="page506"/>
    <w:bookmarkEnd w:id="505"/>
    <w:p>
      <w:pPr>
        <w:jc w:val="right"/>
        <w:ind w:right="1139"/>
        <w:spacing w:after="0"/>
        <w:rPr>
          <w:sz w:val="20"/>
          <w:szCs w:val="20"/>
          <w:color w:val="auto"/>
        </w:rPr>
      </w:pPr>
      <w:r>
        <w:rPr>
          <w:rFonts w:ascii="Arial" w:cs="Arial" w:eastAsia="Arial" w:hAnsi="Arial"/>
          <w:sz w:val="20"/>
          <w:szCs w:val="20"/>
          <w:color w:val="auto"/>
        </w:rPr>
        <w:t>OSI RESTAURANT PARTNERS, LLC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31750</wp:posOffset>
            </wp:positionV>
            <wp:extent cx="32588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371"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31750</wp:posOffset>
            </wp:positionV>
            <wp:extent cx="32588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358"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[GRANTORS]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31750</wp:posOffset>
            </wp:positionV>
            <wp:extent cx="32588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0199"/>
          </w:cols>
          <w:pgMar w:left="260" w:top="595" w:right="1440" w:bottom="1440" w:gutter="0" w:footer="0" w:header="0"/>
        </w:sectPr>
      </w:pPr>
    </w:p>
    <w:bookmarkStart w:id="506" w:name="page507"/>
    <w:bookmarkEnd w:id="506"/>
    <w:p>
      <w:pPr>
        <w:jc w:val="right"/>
        <w:spacing w:after="0"/>
        <w:rPr>
          <w:sz w:val="20"/>
          <w:szCs w:val="20"/>
          <w:color w:val="auto"/>
        </w:rPr>
      </w:pPr>
      <w:r>
        <w:rPr>
          <w:rFonts w:ascii="Arial" w:cs="Arial" w:eastAsia="Arial" w:hAnsi="Arial"/>
          <w:sz w:val="20"/>
          <w:szCs w:val="20"/>
          <w:u w:val="single" w:color="auto"/>
          <w:color w:val="auto"/>
        </w:rPr>
        <w:t>ANNEX I</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Grantors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Schedule 1</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I-1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07" w:name="page508"/>
    <w:bookmarkEnd w:id="507"/>
    <w:p>
      <w:pPr>
        <w:jc w:val="right"/>
        <w:spacing w:after="0"/>
        <w:rPr>
          <w:sz w:val="20"/>
          <w:szCs w:val="20"/>
          <w:color w:val="auto"/>
        </w:rPr>
      </w:pPr>
      <w:r>
        <w:rPr>
          <w:rFonts w:ascii="Arial" w:cs="Arial" w:eastAsia="Arial" w:hAnsi="Arial"/>
          <w:sz w:val="20"/>
          <w:szCs w:val="20"/>
          <w:u w:val="single" w:color="auto"/>
          <w:color w:val="auto"/>
        </w:rPr>
        <w:t>ANNEX II</w:t>
      </w:r>
    </w:p>
    <w:p>
      <w:pPr>
        <w:spacing w:after="0" w:line="200" w:lineRule="exact"/>
        <w:rPr>
          <w:sz w:val="20"/>
          <w:szCs w:val="20"/>
          <w:color w:val="auto"/>
        </w:rPr>
      </w:pPr>
    </w:p>
    <w:p>
      <w:pPr>
        <w:spacing w:after="0" w:line="232" w:lineRule="exact"/>
        <w:rPr>
          <w:sz w:val="20"/>
          <w:szCs w:val="20"/>
          <w:color w:val="auto"/>
        </w:rPr>
      </w:pPr>
    </w:p>
    <w:p>
      <w:pPr>
        <w:ind w:left="900"/>
        <w:spacing w:after="0"/>
        <w:tabs>
          <w:tab w:leader="none" w:pos="4800" w:val="left"/>
        </w:tabs>
        <w:rPr>
          <w:sz w:val="20"/>
          <w:szCs w:val="20"/>
          <w:color w:val="auto"/>
        </w:rPr>
      </w:pPr>
      <w:r>
        <w:rPr>
          <w:rFonts w:ascii="Arial" w:cs="Arial" w:eastAsia="Arial" w:hAnsi="Arial"/>
          <w:sz w:val="20"/>
          <w:szCs w:val="20"/>
          <w:color w:val="auto"/>
        </w:rPr>
        <w:t>[FORM OF] JOINDER NO. [ ] dated as of [</w:t>
      </w:r>
      <w:r>
        <w:rPr>
          <w:sz w:val="20"/>
          <w:szCs w:val="20"/>
          <w:color w:val="auto"/>
        </w:rPr>
        <w:tab/>
      </w:r>
      <w:r>
        <w:rPr>
          <w:rFonts w:ascii="Arial" w:cs="Arial" w:eastAsia="Arial" w:hAnsi="Arial"/>
          <w:sz w:val="19"/>
          <w:szCs w:val="19"/>
          <w:color w:val="auto"/>
        </w:rPr>
        <w:t>], 201[ ] (this “</w:t>
      </w:r>
      <w:r>
        <w:rPr>
          <w:rFonts w:ascii="Arial" w:cs="Arial" w:eastAsia="Arial" w:hAnsi="Arial"/>
          <w:sz w:val="19"/>
          <w:szCs w:val="19"/>
          <w:u w:val="single" w:color="auto"/>
          <w:color w:val="auto"/>
        </w:rPr>
        <w:t>Joinder</w:t>
      </w:r>
      <w:r>
        <w:rPr>
          <w:rFonts w:ascii="Arial" w:cs="Arial" w:eastAsia="Arial" w:hAnsi="Arial"/>
          <w:sz w:val="19"/>
          <w:szCs w:val="19"/>
          <w:color w:val="auto"/>
        </w:rPr>
        <w:t>”), to the FIRST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-14605</wp:posOffset>
            </wp:positionV>
            <wp:extent cx="311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31115" cy="8890"/>
                    </a:xfrm>
                    <a:prstGeom prst="rect">
                      <a:avLst/>
                    </a:prstGeom>
                    <a:noFill/>
                  </pic:spPr>
                </pic:pic>
              </a:graphicData>
            </a:graphic>
          </wp:anchor>
        </w:drawing>
        <w:drawing>
          <wp:anchor simplePos="0" relativeHeight="251657728" behindDoc="1" locked="0" layoutInCell="0" allowOverlap="1">
            <wp:simplePos x="0" y="0"/>
            <wp:positionH relativeFrom="column">
              <wp:posOffset>2862580</wp:posOffset>
            </wp:positionH>
            <wp:positionV relativeFrom="paragraph">
              <wp:posOffset>-14605</wp:posOffset>
            </wp:positionV>
            <wp:extent cx="2000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jc w:val="both"/>
        <w:ind w:left="260"/>
        <w:spacing w:after="0"/>
        <w:rPr>
          <w:sz w:val="20"/>
          <w:szCs w:val="20"/>
          <w:color w:val="auto"/>
        </w:rPr>
      </w:pPr>
      <w:r>
        <w:rPr>
          <w:rFonts w:ascii="Arial" w:cs="Arial" w:eastAsia="Arial" w:hAnsi="Arial"/>
          <w:sz w:val="20"/>
          <w:szCs w:val="20"/>
          <w:color w:val="auto"/>
        </w:rPr>
        <w:t>dated as of [ ], 201[ ] (the “</w:t>
      </w:r>
      <w:r>
        <w:rPr>
          <w:rFonts w:ascii="Arial" w:cs="Arial" w:eastAsia="Arial" w:hAnsi="Arial"/>
          <w:sz w:val="20"/>
          <w:szCs w:val="20"/>
          <w:u w:val="single" w:color="auto"/>
          <w:color w:val="auto"/>
        </w:rPr>
        <w:t>First Lien Intercreditor Agreement</w:t>
      </w:r>
      <w:r>
        <w:rPr>
          <w:rFonts w:ascii="Arial" w:cs="Arial" w:eastAsia="Arial" w:hAnsi="Arial"/>
          <w:sz w:val="20"/>
          <w:szCs w:val="20"/>
          <w:color w:val="auto"/>
        </w:rPr>
        <w:t>”), among OSI RESTAURANT PARTNERS, LLC, a Delaware corporation (“</w:t>
      </w:r>
      <w:r>
        <w:rPr>
          <w:rFonts w:ascii="Arial" w:cs="Arial" w:eastAsia="Arial" w:hAnsi="Arial"/>
          <w:sz w:val="20"/>
          <w:szCs w:val="20"/>
          <w:u w:val="single" w:color="auto"/>
          <w:color w:val="auto"/>
        </w:rPr>
        <w:t>OSI</w:t>
      </w:r>
      <w:r>
        <w:rPr>
          <w:rFonts w:ascii="Arial" w:cs="Arial" w:eastAsia="Arial" w:hAnsi="Arial"/>
          <w:sz w:val="20"/>
          <w:szCs w:val="20"/>
          <w:color w:val="auto"/>
        </w:rPr>
        <w:t>”), BLOOMIN’ BRANDS,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together with OSI, the “</w:t>
      </w:r>
      <w:r>
        <w:rPr>
          <w:rFonts w:ascii="Arial" w:cs="Arial" w:eastAsia="Arial" w:hAnsi="Arial"/>
          <w:sz w:val="20"/>
          <w:szCs w:val="20"/>
          <w:u w:val="single" w:color="auto"/>
          <w:color w:val="auto"/>
        </w:rPr>
        <w:t>Borrowers</w:t>
      </w:r>
      <w:r>
        <w:rPr>
          <w:rFonts w:ascii="Arial" w:cs="Arial" w:eastAsia="Arial" w:hAnsi="Arial"/>
          <w:sz w:val="20"/>
          <w:szCs w:val="20"/>
          <w:color w:val="auto"/>
        </w:rPr>
        <w:t>”), and certain subsidiaries and affiliates of the Company (each, a “</w:t>
      </w:r>
      <w:r>
        <w:rPr>
          <w:rFonts w:ascii="Arial" w:cs="Arial" w:eastAsia="Arial" w:hAnsi="Arial"/>
          <w:sz w:val="20"/>
          <w:szCs w:val="20"/>
          <w:u w:val="single" w:color="auto"/>
          <w:color w:val="auto"/>
        </w:rPr>
        <w:t>Grantor</w:t>
      </w:r>
      <w:r>
        <w:rPr>
          <w:rFonts w:ascii="Arial" w:cs="Arial" w:eastAsia="Arial" w:hAnsi="Arial"/>
          <w:sz w:val="20"/>
          <w:szCs w:val="20"/>
          <w:color w:val="auto"/>
        </w:rPr>
        <w:t>”), WELLS FARGO BANK, NATIONAL ASSOCIATION, as Credit Agreement Collateral Agent for the Credit Agreement Secured Parties under the First-Lien Security Documents (in such capacity, the “</w:t>
      </w:r>
      <w:r>
        <w:rPr>
          <w:rFonts w:ascii="Arial" w:cs="Arial" w:eastAsia="Arial" w:hAnsi="Arial"/>
          <w:sz w:val="20"/>
          <w:szCs w:val="20"/>
          <w:u w:val="single" w:color="auto"/>
          <w:color w:val="auto"/>
        </w:rPr>
        <w:t>Credit Agreement Collateral Agent</w:t>
      </w:r>
      <w:r>
        <w:rPr>
          <w:rFonts w:ascii="Arial" w:cs="Arial" w:eastAsia="Arial" w:hAnsi="Arial"/>
          <w:sz w:val="20"/>
          <w:szCs w:val="20"/>
          <w:color w:val="auto"/>
        </w:rPr>
        <w:t>”), WELLS FARGO BANK, NATIONAL ASSOCIATION, as Authorized Representative for the Credit Agreement Secured Parties, [ ] as Initial Additional Authorized Representative, and the additional Authorized Representatives from time to time a party thereto.</w:t>
      </w:r>
      <w:r>
        <w:rPr>
          <w:rFonts w:ascii="Arial" w:cs="Arial" w:eastAsia="Arial" w:hAnsi="Arial"/>
          <w:sz w:val="20"/>
          <w:szCs w:val="20"/>
          <w:u w:val="single" w:color="auto"/>
          <w:color w:val="0000E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-901065</wp:posOffset>
            </wp:positionV>
            <wp:extent cx="4629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91" w:lineRule="exact"/>
        <w:rPr>
          <w:sz w:val="20"/>
          <w:szCs w:val="20"/>
          <w:color w:val="auto"/>
        </w:rPr>
      </w:pPr>
    </w:p>
    <w:p>
      <w:pPr>
        <w:ind w:left="260" w:firstLine="646"/>
        <w:spacing w:after="0" w:line="289" w:lineRule="auto"/>
        <w:tabs>
          <w:tab w:leader="none" w:pos="1749" w:val="left"/>
        </w:tabs>
        <w:numPr>
          <w:ilvl w:val="0"/>
          <w:numId w:val="409"/>
        </w:numPr>
        <w:rPr>
          <w:rFonts w:ascii="Arial" w:cs="Arial" w:eastAsia="Arial" w:hAnsi="Arial"/>
          <w:sz w:val="20"/>
          <w:szCs w:val="20"/>
          <w:color w:val="auto"/>
        </w:rPr>
      </w:pPr>
      <w:r>
        <w:rPr>
          <w:rFonts w:ascii="Arial" w:cs="Arial" w:eastAsia="Arial" w:hAnsi="Arial"/>
          <w:sz w:val="20"/>
          <w:szCs w:val="20"/>
          <w:color w:val="auto"/>
        </w:rPr>
        <w:t>Capitalized terms used herein but not otherwise defined herein shall have the meanings assigned to such terms in the First Lien Intercreditor Agreement.</w:t>
      </w:r>
    </w:p>
    <w:p>
      <w:pPr>
        <w:spacing w:after="0" w:line="188" w:lineRule="exact"/>
        <w:rPr>
          <w:rFonts w:ascii="Arial" w:cs="Arial" w:eastAsia="Arial" w:hAnsi="Arial"/>
          <w:sz w:val="20"/>
          <w:szCs w:val="20"/>
          <w:color w:val="auto"/>
        </w:rPr>
      </w:pPr>
    </w:p>
    <w:p>
      <w:pPr>
        <w:jc w:val="both"/>
        <w:ind w:left="260" w:firstLine="646"/>
        <w:spacing w:after="0" w:line="302" w:lineRule="auto"/>
        <w:tabs>
          <w:tab w:leader="none" w:pos="1738"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As a condition to the ability of the Borrowers to incur Additional First-Lien Obligations and to secure such Additional Senior Class Debt with the liens and security interests created by the Additional First-Lien Security Documents relating thereto, the Additional Senior Class Debt Representative in respect of such Additional Senior Class Debt is required to become an Authorized Representative, and such Additional Senior Class Debt and the Additional Senior Class Debt Parties in respect thereof are required to become subject to and bound by, the First Lien Intercreditor Agreement.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of the First Lien Intercreditor Agreement provides that such Additional Senior Class Debt Representative may become an Authorized Representative, and such Additional Senior Class Debt and such Additional Senior Class Debt Parties may become subject to and bound by the First Lien Intercreditor Agreement as Additional First-Lien Obligations and Additional First-Lien Secured Parties, respectively, upon the execution and delivery by the Senior Debt Class Representative of an instrument in the form of this Joinder and the satisfaction of the other conditions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of the First Lien Intercreditor Agreement. The undersigned Additional Senior Class Debt Representative (the “</w:t>
      </w:r>
      <w:r>
        <w:rPr>
          <w:rFonts w:ascii="Arial" w:cs="Arial" w:eastAsia="Arial" w:hAnsi="Arial"/>
          <w:sz w:val="18"/>
          <w:szCs w:val="18"/>
          <w:u w:val="single" w:color="auto"/>
          <w:color w:val="auto"/>
        </w:rPr>
        <w:t>New Representative</w:t>
      </w:r>
      <w:r>
        <w:rPr>
          <w:rFonts w:ascii="Arial" w:cs="Arial" w:eastAsia="Arial" w:hAnsi="Arial"/>
          <w:sz w:val="18"/>
          <w:szCs w:val="18"/>
          <w:color w:val="auto"/>
        </w:rPr>
        <w:t>”) is executing this Joinder in accordance with the requirements of the First Lien Intercreditor Agreement and the First-Lien Security Documents.</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Accordingly, each Collateral Agent, each Authorized Representative and the New Representative agree as follows:</w:t>
      </w:r>
    </w:p>
    <w:p>
      <w:pPr>
        <w:spacing w:after="0" w:line="229" w:lineRule="exact"/>
        <w:rPr>
          <w:sz w:val="20"/>
          <w:szCs w:val="20"/>
          <w:color w:val="auto"/>
        </w:rPr>
      </w:pPr>
    </w:p>
    <w:p>
      <w:pPr>
        <w:jc w:val="both"/>
        <w:ind w:left="260" w:firstLine="648"/>
        <w:spacing w:after="0" w:line="256" w:lineRule="auto"/>
        <w:rPr>
          <w:sz w:val="20"/>
          <w:szCs w:val="20"/>
          <w:color w:val="auto"/>
        </w:rPr>
      </w:pPr>
      <w:r>
        <w:rPr>
          <w:rFonts w:ascii="Arial" w:cs="Arial" w:eastAsia="Arial" w:hAnsi="Arial"/>
          <w:sz w:val="19"/>
          <w:szCs w:val="19"/>
          <w:color w:val="auto"/>
        </w:rPr>
        <w:t xml:space="preserve">SECTION 1. In accordance with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of the First Lien Intercreditor Agreement, the New Representative by its signature below becomes an Authorized Representative under, and the related Additional Senior Class Debt and Additional Senior Class Debt Parties become subject to and bound by, the First Lien Intercreditor Agreement as Additional First-Lien Obligations and Additional First-Lien Secured Parties, with the same force and effect as if the New Representative had originally been named therein as an Authorized Representative and the New Representative, on its behalf and on behalf of such Additional Senior Class Debt Parties, hereby agrees to all the terms and provisions of the First Lien Intercreditor Agreement applicable to it as Authorized Representative and to the Additional Senior Class Debt Parties that it represents as Additional First-Lien Secured Parties. Each reference to an “Authorized Representative” in the First Lien Intercreditor Agreement shall be deemed to include the New Representative. The First Lien Intercreditor Agreement is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153670</wp:posOffset>
            </wp:positionV>
            <wp:extent cx="1406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45" w:lineRule="exact"/>
        <w:rPr>
          <w:sz w:val="20"/>
          <w:szCs w:val="20"/>
          <w:color w:val="auto"/>
        </w:rPr>
      </w:pPr>
    </w:p>
    <w:p>
      <w:pPr>
        <w:ind w:left="360" w:hanging="102"/>
        <w:spacing w:after="0"/>
        <w:tabs>
          <w:tab w:leader="none" w:pos="360" w:val="left"/>
        </w:tabs>
        <w:numPr>
          <w:ilvl w:val="0"/>
          <w:numId w:val="410"/>
        </w:numPr>
        <w:rPr>
          <w:rFonts w:ascii="Arial" w:cs="Arial" w:eastAsia="Arial" w:hAnsi="Arial"/>
          <w:sz w:val="25"/>
          <w:szCs w:val="25"/>
          <w:color w:val="auto"/>
          <w:vertAlign w:val="superscript"/>
        </w:rPr>
      </w:pPr>
      <w:r>
        <w:rPr>
          <w:rFonts w:ascii="Arial" w:cs="Arial" w:eastAsia="Arial" w:hAnsi="Arial"/>
          <w:sz w:val="18"/>
          <w:szCs w:val="18"/>
          <w:color w:val="auto"/>
        </w:rPr>
        <w:t>In the event of the Refinancing of the Credit Agreement Obligations, revise to reflect joinder by a new Credit Agreement Collateral Agent.</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II-1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08" w:name="page509"/>
    <w:bookmarkEnd w:id="508"/>
    <w:p>
      <w:pPr>
        <w:jc w:val="both"/>
        <w:ind w:left="260" w:firstLine="648"/>
        <w:spacing w:after="0" w:line="246" w:lineRule="auto"/>
        <w:rPr>
          <w:sz w:val="20"/>
          <w:szCs w:val="20"/>
          <w:color w:val="auto"/>
        </w:rPr>
      </w:pPr>
      <w:r>
        <w:rPr>
          <w:rFonts w:ascii="Arial" w:cs="Arial" w:eastAsia="Arial" w:hAnsi="Arial"/>
          <w:sz w:val="20"/>
          <w:szCs w:val="20"/>
          <w:color w:val="auto"/>
        </w:rPr>
        <w:t>SECTION 2. The New Representative represents and warrants to each Collateral Agent, each Authorized Representative and the other First-Lien Secured Parties, individually, that (i) it has full power and authority to enter into this Joinder, in its capacity as [trustee/administrative agent and] collateral agent,</w:t>
      </w:r>
    </w:p>
    <w:p>
      <w:pPr>
        <w:spacing w:after="0" w:line="2" w:lineRule="exact"/>
        <w:rPr>
          <w:sz w:val="20"/>
          <w:szCs w:val="20"/>
          <w:color w:val="auto"/>
        </w:rPr>
      </w:pPr>
    </w:p>
    <w:p>
      <w:pPr>
        <w:jc w:val="both"/>
        <w:ind w:left="260" w:hanging="2"/>
        <w:spacing w:after="0" w:line="287" w:lineRule="auto"/>
        <w:tabs>
          <w:tab w:leader="none" w:pos="785" w:val="left"/>
        </w:tabs>
        <w:numPr>
          <w:ilvl w:val="0"/>
          <w:numId w:val="411"/>
        </w:numPr>
        <w:rPr>
          <w:rFonts w:ascii="Arial" w:cs="Arial" w:eastAsia="Arial" w:hAnsi="Arial"/>
          <w:sz w:val="19"/>
          <w:szCs w:val="19"/>
          <w:color w:val="auto"/>
        </w:rPr>
      </w:pPr>
      <w:r>
        <w:rPr>
          <w:rFonts w:ascii="Arial" w:cs="Arial" w:eastAsia="Arial" w:hAnsi="Arial"/>
          <w:sz w:val="19"/>
          <w:szCs w:val="19"/>
          <w:color w:val="auto"/>
        </w:rPr>
        <w:t>this Joinder has been duly authorized, executed and delivered by it and constitutes its legal, valid and binding obligation, enforceable against it in accordance with its terms, except as enforceability may be limited by applicable bankruptcy, insolvency or similar laws affecting the enforcement of creditors’ rights generally or by equitable principles relating to enforceability and (iii) the Additional First-Lien Documents relating to such Additional Senior Class Debt provide that, upon the New Representative’s entry into this Agreement, the Additional Senior Class Debt Parties in respect of such Additional Senior Class Debt will be subject to and bound by the provisions of the First Lien Intercreditor Agreement as Additional First- Lien Secured Parties.</w:t>
      </w:r>
    </w:p>
    <w:p>
      <w:pPr>
        <w:spacing w:after="0" w:line="167" w:lineRule="exact"/>
        <w:rPr>
          <w:sz w:val="20"/>
          <w:szCs w:val="20"/>
          <w:color w:val="auto"/>
        </w:rPr>
      </w:pPr>
    </w:p>
    <w:p>
      <w:pPr>
        <w:jc w:val="both"/>
        <w:ind w:left="260" w:firstLine="648"/>
        <w:spacing w:after="0" w:line="263" w:lineRule="auto"/>
        <w:rPr>
          <w:sz w:val="20"/>
          <w:szCs w:val="20"/>
          <w:color w:val="auto"/>
        </w:rPr>
      </w:pPr>
      <w:r>
        <w:rPr>
          <w:rFonts w:ascii="Arial" w:cs="Arial" w:eastAsia="Arial" w:hAnsi="Arial"/>
          <w:sz w:val="19"/>
          <w:szCs w:val="19"/>
          <w:color w:val="auto"/>
        </w:rPr>
        <w:t>SECTION 3. This Joinder may be executed in counterparts, each of which shall constitute an original, but all of which when taken together shall constitute a single contract. This Joinder shall become effective when each Collateral Agent shall have received a counterpart of this Joinder that bears the signatures of the New Representative. Delivery of an executed signature page to this Joinder by facsimile transmission shall be effective as delivery of a manually signed counterpart of this Joinder.</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4. Except as expressly supplemented hereby, the First Lien Intercreditor Agreement shall remain in full force and effect.</w:t>
      </w:r>
    </w:p>
    <w:p>
      <w:pPr>
        <w:spacing w:after="0" w:line="239"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SECTION 5. THIS JOINDER AND THE RIGHTS AND OBLIGATIONS OF THE PARTIES HEREUNDER SHALL BE GOVERNED BY, AND CONSTRUED IN ACCORDANCE WITH, THE LAW OF THE STATE OF NEW YORK.</w:t>
      </w:r>
    </w:p>
    <w:p>
      <w:pPr>
        <w:spacing w:after="0" w:line="177" w:lineRule="exact"/>
        <w:rPr>
          <w:sz w:val="20"/>
          <w:szCs w:val="20"/>
          <w:color w:val="auto"/>
        </w:rPr>
      </w:pPr>
    </w:p>
    <w:p>
      <w:pPr>
        <w:jc w:val="both"/>
        <w:ind w:left="260" w:firstLine="648"/>
        <w:spacing w:after="0" w:line="243" w:lineRule="auto"/>
        <w:rPr>
          <w:sz w:val="20"/>
          <w:szCs w:val="20"/>
          <w:color w:val="auto"/>
        </w:rPr>
      </w:pPr>
      <w:r>
        <w:rPr>
          <w:rFonts w:ascii="Arial" w:cs="Arial" w:eastAsia="Arial" w:hAnsi="Arial"/>
          <w:sz w:val="20"/>
          <w:szCs w:val="20"/>
          <w:color w:val="auto"/>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97"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 xml:space="preserve">SECTION 7. All communications and notices hereunder shall be in writing and given as provided in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of the First Lien Intercreditor Agreement. All communications and notices hereunder to the New Representative shall be given to it at its address set forth below its signature hereto.</w:t>
      </w:r>
    </w:p>
    <w:p>
      <w:pPr>
        <w:spacing w:after="0" w:line="186"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SECTION 8. The Borrowers agree to reimburse each Collateral Agent and each Authorized Representative for its reasonable out-of-pocket expenses in connection with this Joinder, including the reasonable fees, other charges and disbursements of counsel, in each case as required by the applicable Secured Credit Documents.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II-2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09" w:name="page510"/>
    <w:bookmarkEnd w:id="509"/>
    <w:p>
      <w:pPr>
        <w:ind w:left="260" w:firstLine="648"/>
        <w:spacing w:after="0" w:line="260" w:lineRule="auto"/>
        <w:rPr>
          <w:sz w:val="20"/>
          <w:szCs w:val="20"/>
          <w:color w:val="auto"/>
        </w:rPr>
      </w:pPr>
      <w:r>
        <w:rPr>
          <w:rFonts w:ascii="Arial" w:cs="Arial" w:eastAsia="Arial" w:hAnsi="Arial"/>
          <w:sz w:val="20"/>
          <w:szCs w:val="20"/>
          <w:color w:val="auto"/>
        </w:rPr>
        <w:t>IN WITNESS WHEREOF, the New Representative has duly executed this Joinder to the First Lien Intercreditor Agreement as of the day and year first above written.</w:t>
      </w:r>
    </w:p>
    <w:p>
      <w:pPr>
        <w:spacing w:after="0" w:line="35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OF NEW REPRESENTATIVE], as [______]</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as collateral agent for the holders of [______],</w:t>
      </w:r>
    </w:p>
    <w:p>
      <w:pPr>
        <w:spacing w:after="0" w:line="37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31750</wp:posOffset>
            </wp:positionV>
            <wp:extent cx="32588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87"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Address for notices: 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859155</wp:posOffset>
            </wp:positionV>
            <wp:extent cx="35077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645160</wp:posOffset>
            </wp:positionV>
            <wp:extent cx="35077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27305</wp:posOffset>
            </wp:positionV>
            <wp:extent cx="28213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27305</wp:posOffset>
            </wp:positionV>
            <wp:extent cx="282130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ANNEX II-3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160"/>
          </w:cols>
          <w:pgMar w:left="260" w:top="433" w:right="479" w:bottom="1440" w:gutter="0" w:footer="0" w:header="0"/>
        </w:sectPr>
      </w:pPr>
    </w:p>
    <w:bookmarkStart w:id="510" w:name="page511"/>
    <w:bookmarkEnd w:id="510"/>
    <w:p>
      <w:pPr>
        <w:ind w:left="20"/>
        <w:spacing w:after="0"/>
        <w:rPr>
          <w:sz w:val="20"/>
          <w:szCs w:val="20"/>
          <w:color w:val="auto"/>
        </w:rPr>
      </w:pPr>
      <w:r>
        <w:rPr>
          <w:rFonts w:ascii="Arial" w:cs="Arial" w:eastAsia="Arial" w:hAnsi="Arial"/>
          <w:sz w:val="20"/>
          <w:szCs w:val="20"/>
          <w:color w:val="auto"/>
        </w:rPr>
        <w:t>Acknowledged by: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WELLS FARGO BANK, NATIONAL ASSOCIATION,</w:t>
      </w:r>
    </w:p>
    <w:p>
      <w:pPr>
        <w:ind w:left="20"/>
        <w:spacing w:after="0"/>
        <w:rPr>
          <w:sz w:val="20"/>
          <w:szCs w:val="20"/>
          <w:color w:val="auto"/>
        </w:rPr>
      </w:pPr>
      <w:r>
        <w:rPr>
          <w:rFonts w:ascii="Arial" w:cs="Arial" w:eastAsia="Arial" w:hAnsi="Arial"/>
          <w:sz w:val="20"/>
          <w:szCs w:val="20"/>
          <w:color w:val="auto"/>
        </w:rPr>
        <w:t>as the Credit Agreement Collateral Agent and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31750</wp:posOffset>
            </wp:positionV>
            <wp:extent cx="24872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____________________</w:t>
      </w:r>
      <w:r>
        <w:rPr>
          <w:rFonts w:ascii="Arial" w:cs="Arial" w:eastAsia="Arial" w:hAnsi="Arial"/>
          <w:sz w:val="20"/>
          <w:szCs w:val="20"/>
          <w:color w:val="auto"/>
        </w:rPr>
        <w: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the Initial Additional Authorized Representative [and the Additional Collateral Agent],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31750</wp:posOffset>
            </wp:positionV>
            <wp:extent cx="24872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20"/>
          <w:szCs w:val="20"/>
          <w:color w:val="auto"/>
        </w:rPr>
        <w:t>[OTHER AUTHORIZED REPRESENTATIVES]</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OSI RESTAURANT PARTNERS, LLC,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31750</wp:posOffset>
            </wp:positionV>
            <wp:extent cx="24872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20"/>
          <w:szCs w:val="20"/>
          <w:color w:val="auto"/>
        </w:rPr>
        <w:t>BLOOMIN’ BRANDS,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as a Borrower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31750</wp:posOffset>
            </wp:positionV>
            <wp:extent cx="24872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37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OTHER GRANTORS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auto"/>
        </w:rPr>
        <w:t>LISTED ON SCHEDULE I HERETO,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31750</wp:posOffset>
            </wp:positionV>
            <wp:extent cx="24872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ANNEX II-4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0199"/>
          </w:cols>
          <w:pgMar w:left="260" w:top="595" w:right="1440" w:bottom="1440" w:gutter="0" w:footer="0" w:header="0"/>
        </w:sectPr>
      </w:pPr>
    </w:p>
    <w:bookmarkStart w:id="511" w:name="page512"/>
    <w:bookmarkEnd w:id="511"/>
    <w:p>
      <w:pPr>
        <w:jc w:val="right"/>
        <w:spacing w:after="0"/>
        <w:rPr>
          <w:sz w:val="20"/>
          <w:szCs w:val="20"/>
          <w:color w:val="auto"/>
        </w:rPr>
      </w:pPr>
      <w:r>
        <w:rPr>
          <w:rFonts w:ascii="Arial" w:cs="Arial" w:eastAsia="Arial" w:hAnsi="Arial"/>
          <w:sz w:val="20"/>
          <w:szCs w:val="20"/>
          <w:color w:val="auto"/>
        </w:rPr>
        <w:t>Schedule I to the Joinder to the</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First Lien Intercreditor Agreement</w:t>
      </w:r>
    </w:p>
    <w:p>
      <w:pPr>
        <w:spacing w:after="0" w:line="200" w:lineRule="exact"/>
        <w:rPr>
          <w:sz w:val="20"/>
          <w:szCs w:val="20"/>
          <w:color w:val="auto"/>
        </w:rPr>
      </w:pPr>
    </w:p>
    <w:p>
      <w:pPr>
        <w:spacing w:after="0" w:line="216"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Grantors</w:t>
      </w: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Schedule I 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12" w:name="page513"/>
    <w:bookmarkEnd w:id="512"/>
    <w:p>
      <w:pPr>
        <w:ind w:left="7740"/>
        <w:spacing w:after="0"/>
        <w:rPr>
          <w:sz w:val="20"/>
          <w:szCs w:val="20"/>
          <w:color w:val="auto"/>
        </w:rPr>
      </w:pPr>
      <w:r>
        <w:rPr>
          <w:rFonts w:ascii="Arial" w:cs="Arial" w:eastAsia="Arial" w:hAnsi="Arial"/>
          <w:sz w:val="20"/>
          <w:szCs w:val="20"/>
          <w:color w:val="auto"/>
        </w:rPr>
        <w:t>ANNEX III</w:t>
      </w:r>
    </w:p>
    <w:p>
      <w:pPr>
        <w:spacing w:after="0" w:line="200" w:lineRule="exact"/>
        <w:rPr>
          <w:sz w:val="20"/>
          <w:szCs w:val="20"/>
          <w:color w:val="auto"/>
        </w:rPr>
      </w:pPr>
    </w:p>
    <w:p>
      <w:pPr>
        <w:spacing w:after="0" w:line="232" w:lineRule="exact"/>
        <w:rPr>
          <w:sz w:val="20"/>
          <w:szCs w:val="20"/>
          <w:color w:val="auto"/>
        </w:rPr>
      </w:pPr>
    </w:p>
    <w:p>
      <w:pPr>
        <w:ind w:left="900"/>
        <w:spacing w:after="0"/>
        <w:tabs>
          <w:tab w:leader="none" w:pos="4060" w:val="left"/>
        </w:tabs>
        <w:rPr>
          <w:sz w:val="20"/>
          <w:szCs w:val="20"/>
          <w:color w:val="auto"/>
        </w:rPr>
      </w:pPr>
      <w:r>
        <w:rPr>
          <w:rFonts w:ascii="Arial" w:cs="Arial" w:eastAsia="Arial" w:hAnsi="Arial"/>
          <w:sz w:val="20"/>
          <w:szCs w:val="20"/>
          <w:color w:val="auto"/>
        </w:rPr>
        <w:t>SUPPLEMENT NO. [ ] dated as of [</w:t>
      </w:r>
      <w:r>
        <w:rPr>
          <w:sz w:val="20"/>
          <w:szCs w:val="20"/>
          <w:color w:val="auto"/>
        </w:rPr>
        <w:tab/>
      </w:r>
      <w:r>
        <w:rPr>
          <w:rFonts w:ascii="Arial" w:cs="Arial" w:eastAsia="Arial" w:hAnsi="Arial"/>
          <w:sz w:val="18"/>
          <w:szCs w:val="18"/>
          <w:color w:val="auto"/>
        </w:rPr>
        <w:t>], 201[ ] (this “</w:t>
      </w:r>
      <w:r>
        <w:rPr>
          <w:rFonts w:ascii="Arial" w:cs="Arial" w:eastAsia="Arial" w:hAnsi="Arial"/>
          <w:sz w:val="18"/>
          <w:szCs w:val="18"/>
          <w:u w:val="single" w:color="auto"/>
          <w:color w:val="auto"/>
        </w:rPr>
        <w:t>Supplement</w:t>
      </w:r>
      <w:r>
        <w:rPr>
          <w:rFonts w:ascii="Arial" w:cs="Arial" w:eastAsia="Arial" w:hAnsi="Arial"/>
          <w:sz w:val="18"/>
          <w:szCs w:val="18"/>
          <w:color w:val="auto"/>
        </w:rPr>
        <w:t>”), to the FIRST LIEN INTERCREDITOR AGREEMENT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-14605</wp:posOffset>
            </wp:positionV>
            <wp:extent cx="1657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jc w:val="both"/>
        <w:ind w:left="260"/>
        <w:spacing w:after="0" w:line="266" w:lineRule="auto"/>
        <w:rPr>
          <w:sz w:val="20"/>
          <w:szCs w:val="20"/>
          <w:color w:val="auto"/>
        </w:rPr>
      </w:pPr>
      <w:r>
        <w:rPr>
          <w:rFonts w:ascii="Arial" w:cs="Arial" w:eastAsia="Arial" w:hAnsi="Arial"/>
          <w:sz w:val="18"/>
          <w:szCs w:val="18"/>
          <w:color w:val="auto"/>
        </w:rPr>
        <w:t>as of [ ], 201[ ] (the “</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among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and certain subsidiaries and affiliates of the Company (each, a “</w:t>
      </w:r>
      <w:r>
        <w:rPr>
          <w:rFonts w:ascii="Arial" w:cs="Arial" w:eastAsia="Arial" w:hAnsi="Arial"/>
          <w:sz w:val="18"/>
          <w:szCs w:val="18"/>
          <w:u w:val="single" w:color="auto"/>
          <w:color w:val="auto"/>
        </w:rPr>
        <w:t>Grantor</w:t>
      </w:r>
      <w:r>
        <w:rPr>
          <w:rFonts w:ascii="Arial" w:cs="Arial" w:eastAsia="Arial" w:hAnsi="Arial"/>
          <w:sz w:val="18"/>
          <w:szCs w:val="18"/>
          <w:color w:val="auto"/>
        </w:rPr>
        <w:t>”), WELLS FARGO BANK, NATIONAL ASSOCIATION as Credit Agreement Collateral Agent for the Credit Agreement Secured Parties under the First-Lien Security Documents (in such capacity, the “</w:t>
      </w:r>
      <w:r>
        <w:rPr>
          <w:rFonts w:ascii="Arial" w:cs="Arial" w:eastAsia="Arial" w:hAnsi="Arial"/>
          <w:sz w:val="18"/>
          <w:szCs w:val="18"/>
          <w:u w:val="single" w:color="auto"/>
          <w:color w:val="auto"/>
        </w:rPr>
        <w:t>Credit Agreement Collateral Agent</w:t>
      </w:r>
      <w:r>
        <w:rPr>
          <w:rFonts w:ascii="Arial" w:cs="Arial" w:eastAsia="Arial" w:hAnsi="Arial"/>
          <w:sz w:val="18"/>
          <w:szCs w:val="18"/>
          <w:color w:val="auto"/>
        </w:rPr>
        <w:t>”), [WELLS FARGO BANK, NATIONAL ASSOCIATION], as Authorized Representative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-607060</wp:posOffset>
            </wp:positionV>
            <wp:extent cx="2914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jc w:val="both"/>
        <w:ind w:left="260"/>
        <w:spacing w:after="0" w:line="244" w:lineRule="auto"/>
        <w:rPr>
          <w:sz w:val="20"/>
          <w:szCs w:val="20"/>
          <w:color w:val="auto"/>
        </w:rPr>
      </w:pPr>
      <w:r>
        <w:rPr>
          <w:rFonts w:ascii="Arial" w:cs="Arial" w:eastAsia="Arial" w:hAnsi="Arial"/>
          <w:sz w:val="20"/>
          <w:szCs w:val="20"/>
          <w:color w:val="auto"/>
        </w:rPr>
        <w:t>Credit Agreement Secured Parties, [ ] as Initial Additional Authorized Representative, and the additional Authorized Representatives from time to time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-175895</wp:posOffset>
            </wp:positionV>
            <wp:extent cx="33401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185" w:lineRule="exact"/>
        <w:rPr>
          <w:sz w:val="20"/>
          <w:szCs w:val="20"/>
          <w:color w:val="auto"/>
        </w:rPr>
      </w:pPr>
    </w:p>
    <w:p>
      <w:pPr>
        <w:ind w:left="260" w:firstLine="646"/>
        <w:spacing w:after="0" w:line="289" w:lineRule="auto"/>
        <w:tabs>
          <w:tab w:leader="none" w:pos="1749" w:val="left"/>
        </w:tabs>
        <w:numPr>
          <w:ilvl w:val="0"/>
          <w:numId w:val="412"/>
        </w:numPr>
        <w:rPr>
          <w:rFonts w:ascii="Arial" w:cs="Arial" w:eastAsia="Arial" w:hAnsi="Arial"/>
          <w:sz w:val="20"/>
          <w:szCs w:val="20"/>
          <w:color w:val="auto"/>
        </w:rPr>
      </w:pPr>
      <w:r>
        <w:rPr>
          <w:rFonts w:ascii="Arial" w:cs="Arial" w:eastAsia="Arial" w:hAnsi="Arial"/>
          <w:sz w:val="20"/>
          <w:szCs w:val="20"/>
          <w:color w:val="auto"/>
        </w:rPr>
        <w:t>Capitalized terms used herein and not otherwise defined herein shall have the meanings assigned to such terms in the First Lien Intercreditor Agreement.</w:t>
      </w:r>
    </w:p>
    <w:p>
      <w:pPr>
        <w:spacing w:after="0" w:line="188" w:lineRule="exact"/>
        <w:rPr>
          <w:rFonts w:ascii="Arial" w:cs="Arial" w:eastAsia="Arial" w:hAnsi="Arial"/>
          <w:sz w:val="20"/>
          <w:szCs w:val="20"/>
          <w:color w:val="auto"/>
        </w:rPr>
      </w:pPr>
    </w:p>
    <w:p>
      <w:pPr>
        <w:jc w:val="both"/>
        <w:ind w:left="260" w:firstLine="646"/>
        <w:spacing w:after="0" w:line="272" w:lineRule="auto"/>
        <w:tabs>
          <w:tab w:leader="none" w:pos="1738" w:val="left"/>
        </w:tabs>
        <w:numPr>
          <w:ilvl w:val="0"/>
          <w:numId w:val="412"/>
        </w:numPr>
        <w:rPr>
          <w:rFonts w:ascii="Arial" w:cs="Arial" w:eastAsia="Arial" w:hAnsi="Arial"/>
          <w:sz w:val="20"/>
          <w:szCs w:val="20"/>
          <w:color w:val="auto"/>
        </w:rPr>
      </w:pPr>
      <w:r>
        <w:rPr>
          <w:rFonts w:ascii="Arial" w:cs="Arial" w:eastAsia="Arial" w:hAnsi="Arial"/>
          <w:sz w:val="20"/>
          <w:szCs w:val="20"/>
          <w:color w:val="auto"/>
        </w:rPr>
        <w:t xml:space="preserve">The Grantors have entered into the First Lien Intercreditor Agreement. Pursuant to the Credit Agreement and certain Additional First-Lien Documents, certain newly acquired or organized Subsidiaries of the Company are required to enter into the First Lien Intercreditor Agreement. </w:t>
      </w:r>
      <w:r>
        <w:rPr>
          <w:rFonts w:ascii="Arial" w:cs="Arial" w:eastAsia="Arial" w:hAnsi="Arial"/>
          <w:sz w:val="20"/>
          <w:szCs w:val="20"/>
          <w:u w:val="single" w:color="auto"/>
          <w:color w:val="auto"/>
        </w:rPr>
        <w:t>Section 5.16</w:t>
      </w:r>
      <w:r>
        <w:rPr>
          <w:rFonts w:ascii="Arial" w:cs="Arial" w:eastAsia="Arial" w:hAnsi="Arial"/>
          <w:sz w:val="20"/>
          <w:szCs w:val="20"/>
          <w:color w:val="auto"/>
        </w:rPr>
        <w:t xml:space="preserve"> of the First Lien Intercreditor Agreement provides that such Subsidiaries may become party to the First Lien Intercreditor Agreement by execution and delivery of an instrument in the form of this Supplement. The undersigned Subsidiary (the “</w:t>
      </w:r>
      <w:r>
        <w:rPr>
          <w:rFonts w:ascii="Arial" w:cs="Arial" w:eastAsia="Arial" w:hAnsi="Arial"/>
          <w:sz w:val="20"/>
          <w:szCs w:val="20"/>
          <w:u w:val="single" w:color="auto"/>
          <w:color w:val="auto"/>
        </w:rPr>
        <w:t>New Grantor</w:t>
      </w:r>
      <w:r>
        <w:rPr>
          <w:rFonts w:ascii="Arial" w:cs="Arial" w:eastAsia="Arial" w:hAnsi="Arial"/>
          <w:sz w:val="20"/>
          <w:szCs w:val="20"/>
          <w:color w:val="auto"/>
        </w:rPr>
        <w:t>”) is executing this Supplement in accordance with the requirements of the Credit Agreement and the Additional First-Lien Documents.</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Accordingly, each Authorized Representative and the New Subsidiary Grantor agree as follows: SECTION 1. In accordance with</w:t>
      </w:r>
    </w:p>
    <w:p>
      <w:pPr>
        <w:spacing w:after="0" w:line="279"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Section 5.16</w:t>
      </w:r>
      <w:r>
        <w:rPr>
          <w:rFonts w:ascii="Arial" w:cs="Arial" w:eastAsia="Arial" w:hAnsi="Arial"/>
          <w:sz w:val="20"/>
          <w:szCs w:val="20"/>
          <w:color w:val="auto"/>
        </w:rPr>
        <w:t xml:space="preserve"> of the First Lien Intercreditor Agreement, the New</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Grantor by its signature below becomes a Grantor under the First Lien Intercreditor Agreement with the</w:t>
      </w:r>
    </w:p>
    <w:p>
      <w:pPr>
        <w:jc w:val="both"/>
        <w:ind w:left="260"/>
        <w:spacing w:after="0" w:line="282" w:lineRule="auto"/>
        <w:rPr>
          <w:sz w:val="20"/>
          <w:szCs w:val="20"/>
          <w:color w:val="auto"/>
        </w:rPr>
      </w:pPr>
      <w:r>
        <w:rPr>
          <w:rFonts w:ascii="Arial" w:cs="Arial" w:eastAsia="Arial" w:hAnsi="Arial"/>
          <w:sz w:val="18"/>
          <w:szCs w:val="18"/>
          <w:color w:val="auto"/>
        </w:rPr>
        <w:t>same force and effect as if originally named therein as a Grantor, and the New Grantor hereby agrees to all the terms and provisions of the First Lien Intercreditor Agreement applicable to it as a Grantor thereunder. Each reference to a “Grantor” in the First Lien Intercreditor Agreement shall be deemed to include the New Grantor. The First Lien Intercreditor Agreement is hereby incorporated herein by reference.</w:t>
      </w:r>
    </w:p>
    <w:p>
      <w:pPr>
        <w:spacing w:after="0" w:line="173" w:lineRule="exact"/>
        <w:rPr>
          <w:sz w:val="20"/>
          <w:szCs w:val="20"/>
          <w:color w:val="auto"/>
        </w:rPr>
      </w:pPr>
    </w:p>
    <w:p>
      <w:pPr>
        <w:jc w:val="both"/>
        <w:ind w:left="260" w:firstLine="648"/>
        <w:spacing w:after="0" w:line="263" w:lineRule="auto"/>
        <w:rPr>
          <w:sz w:val="20"/>
          <w:szCs w:val="20"/>
          <w:color w:val="auto"/>
        </w:rPr>
      </w:pPr>
      <w:r>
        <w:rPr>
          <w:rFonts w:ascii="Arial" w:cs="Arial" w:eastAsia="Arial" w:hAnsi="Arial"/>
          <w:sz w:val="19"/>
          <w:szCs w:val="19"/>
          <w:color w:val="auto"/>
        </w:rPr>
        <w:t>SECTION 2. The New Grantor represents and warrants to each Authorized Representative and the other Secured Parties that (i) it has the full power and authority to enter into this Supplement and (ii) this Supplement has been duly authorized, executed and delivered by it and constitutes its legal, valid and binding obligation, enforceable against it in accordance with its terms, except as such enforceability may be limited by Bankruptcy Law and by general principles of equity.</w:t>
      </w:r>
    </w:p>
    <w:p>
      <w:pPr>
        <w:spacing w:after="0" w:line="177"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SECTION 3. This Supplement may be executed in counterparts, each of which shall constitute an original, but all of which when taken together shall constitute a single contract. This Supplement shall become effective when each Authorized Representative shall have received a counterpart of this Supplement that bears the signature of the New Grantor. Delivery of an executed signature page to this Supplement by facsimile transmission or other electronic method shall be as effective as delivery of a manually signed counterpart of this Supplement.</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4. Except as expressly supplemented hereby, the First Lien Intercreditor Agreement shall remain in full force and effect.</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III-1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13" w:name="page514"/>
    <w:bookmarkEnd w:id="513"/>
    <w:p>
      <w:pPr>
        <w:jc w:val="both"/>
        <w:ind w:left="260" w:firstLine="648"/>
        <w:spacing w:after="0" w:line="260" w:lineRule="auto"/>
        <w:rPr>
          <w:sz w:val="20"/>
          <w:szCs w:val="20"/>
          <w:color w:val="auto"/>
        </w:rPr>
      </w:pPr>
      <w:r>
        <w:rPr>
          <w:rFonts w:ascii="Arial" w:cs="Arial" w:eastAsia="Arial" w:hAnsi="Arial"/>
          <w:sz w:val="20"/>
          <w:szCs w:val="20"/>
          <w:color w:val="auto"/>
        </w:rPr>
        <w:t>SECTION 5. THIS SUPPLEMENT SHALL BE GOVERNED BY, AND CONSTRUED IN ACCORDANCE WITH, THE LAW OF THE STATE OF NEW YORK.</w:t>
      </w:r>
    </w:p>
    <w:p>
      <w:pPr>
        <w:spacing w:after="0" w:line="190" w:lineRule="exact"/>
        <w:rPr>
          <w:sz w:val="20"/>
          <w:szCs w:val="20"/>
          <w:color w:val="auto"/>
        </w:rPr>
      </w:pPr>
    </w:p>
    <w:p>
      <w:pPr>
        <w:jc w:val="both"/>
        <w:ind w:left="260" w:firstLine="648"/>
        <w:spacing w:after="0" w:line="243" w:lineRule="auto"/>
        <w:rPr>
          <w:sz w:val="20"/>
          <w:szCs w:val="20"/>
          <w:color w:val="auto"/>
        </w:rPr>
      </w:pPr>
      <w:r>
        <w:rPr>
          <w:rFonts w:ascii="Arial" w:cs="Arial" w:eastAsia="Arial" w:hAnsi="Arial"/>
          <w:sz w:val="20"/>
          <w:szCs w:val="20"/>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210"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 xml:space="preserve">SECTION 7. All communications and notices hereunder shall be in writing and given as provided in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of the First Lien Intercreditor Agreement. All communications and notices hereunder to the New Grantor shall be given to it in care of the Borrowers as specified in the First Lien Intercreditor Agreement.</w:t>
      </w:r>
    </w:p>
    <w:p>
      <w:pPr>
        <w:spacing w:after="0" w:line="186" w:lineRule="exact"/>
        <w:rPr>
          <w:sz w:val="20"/>
          <w:szCs w:val="20"/>
          <w:color w:val="auto"/>
        </w:rPr>
      </w:pPr>
    </w:p>
    <w:p>
      <w:pPr>
        <w:jc w:val="both"/>
        <w:ind w:left="260" w:firstLine="648"/>
        <w:spacing w:after="0" w:line="250" w:lineRule="auto"/>
        <w:rPr>
          <w:sz w:val="20"/>
          <w:szCs w:val="20"/>
          <w:color w:val="auto"/>
        </w:rPr>
      </w:pPr>
      <w:r>
        <w:rPr>
          <w:rFonts w:ascii="Arial" w:cs="Arial" w:eastAsia="Arial" w:hAnsi="Arial"/>
          <w:sz w:val="20"/>
          <w:szCs w:val="20"/>
          <w:color w:val="auto"/>
        </w:rPr>
        <w:t>SECTION 8. The Borrowers agree to reimburse each Authorized Representative for its reasonable out-of-pocket expenses in connection with this Supplement, including the reasonable fees, other charges and disbursements of counsel for each Authorized Representative as required by the applicable Loan Documents.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ANNEX III-2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400"/>
          </w:cols>
          <w:pgMar w:left="260" w:top="433" w:right="239" w:bottom="1440" w:gutter="0" w:footer="0" w:header="0"/>
        </w:sectPr>
      </w:pPr>
    </w:p>
    <w:bookmarkStart w:id="514" w:name="page515"/>
    <w:bookmarkEnd w:id="514"/>
    <w:p>
      <w:pPr>
        <w:ind w:left="260" w:firstLine="648"/>
        <w:spacing w:after="0" w:line="260" w:lineRule="auto"/>
        <w:rPr>
          <w:sz w:val="20"/>
          <w:szCs w:val="20"/>
          <w:color w:val="auto"/>
        </w:rPr>
      </w:pPr>
      <w:r>
        <w:rPr>
          <w:rFonts w:ascii="Arial" w:cs="Arial" w:eastAsia="Arial" w:hAnsi="Arial"/>
          <w:sz w:val="20"/>
          <w:szCs w:val="20"/>
          <w:color w:val="auto"/>
        </w:rPr>
        <w:t>IN WITNESS WHEREOF, the New Grantor, and each Authorized Representative have duly executed this Supplement to the First Lien Intercreditor Agreement as of the day and year first above written.</w:t>
      </w:r>
    </w:p>
    <w:p>
      <w:pPr>
        <w:spacing w:after="0" w:line="123" w:lineRule="exact"/>
        <w:rPr>
          <w:sz w:val="20"/>
          <w:szCs w:val="20"/>
          <w:color w:val="auto"/>
        </w:rPr>
      </w:pPr>
    </w:p>
    <w:p>
      <w:pPr>
        <w:ind w:left="5900"/>
        <w:spacing w:after="0"/>
        <w:rPr>
          <w:sz w:val="20"/>
          <w:szCs w:val="20"/>
          <w:color w:val="auto"/>
        </w:rPr>
      </w:pPr>
      <w:r>
        <w:rPr>
          <w:rFonts w:ascii="Arial" w:cs="Arial" w:eastAsia="Arial" w:hAnsi="Arial"/>
          <w:sz w:val="20"/>
          <w:szCs w:val="20"/>
          <w:color w:val="auto"/>
        </w:rPr>
        <w:t>[NAME OF NEW SUBSIDIARY GRANTOR]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31750</wp:posOffset>
            </wp:positionV>
            <wp:extent cx="32588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Acknowledged by: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as the Credit Agreement Collateral Agent and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31750</wp:posOffset>
            </wp:positionV>
            <wp:extent cx="24872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____________________</w:t>
      </w:r>
      <w:r>
        <w:rPr>
          <w:rFonts w:ascii="Arial" w:cs="Arial" w:eastAsia="Arial" w:hAnsi="Arial"/>
          <w:sz w:val="20"/>
          <w:szCs w:val="20"/>
          <w:color w:val="auto"/>
        </w:rPr>
        <w:t>],</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as the Initial Additional Authorized Representative [and the Additional Collateral Agent],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31750</wp:posOffset>
            </wp:positionV>
            <wp:extent cx="24872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[OTHER AUTHORIZED REPRESENTATIVES]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ANNEX III-3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96064450_3</w:t>
      </w:r>
    </w:p>
    <w:p>
      <w:pPr>
        <w:sectPr>
          <w:pgSz w:w="11900" w:h="16838" w:orient="portrait"/>
          <w:cols w:equalWidth="0" w:num="1">
            <w:col w:w="11380"/>
          </w:cols>
          <w:pgMar w:left="260" w:top="433" w:right="259" w:bottom="1440" w:gutter="0" w:footer="0" w:header="0"/>
        </w:sectPr>
      </w:pPr>
    </w:p>
    <w:bookmarkStart w:id="515" w:name="page516"/>
    <w:bookmarkEnd w:id="515"/>
    <w:p>
      <w:pPr>
        <w:jc w:val="right"/>
        <w:spacing w:after="0"/>
        <w:rPr>
          <w:sz w:val="20"/>
          <w:szCs w:val="20"/>
          <w:color w:val="auto"/>
        </w:rPr>
      </w:pPr>
      <w:r>
        <w:rPr>
          <w:rFonts w:ascii="Arial" w:cs="Arial" w:eastAsia="Arial" w:hAnsi="Arial"/>
          <w:sz w:val="20"/>
          <w:szCs w:val="20"/>
          <w:color w:val="auto"/>
        </w:rPr>
        <w:t>EXHIBIT J-1</w:t>
      </w:r>
    </w:p>
    <w:p>
      <w:pPr>
        <w:spacing w:after="0" w:line="210"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u w:val="single" w:color="auto"/>
          <w:color w:val="auto"/>
        </w:rPr>
        <w:t>FORM OF U.S. TAX COMPLIANCE CERTIFICATE</w:t>
      </w:r>
    </w:p>
    <w:p>
      <w:pPr>
        <w:spacing w:after="0" w:line="22"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color w:val="auto"/>
        </w:rPr>
        <w:t>(For Foreign Lenders That Are Not Partnerships For U.S. Federal Income Tax Purposes)</w:t>
      </w:r>
    </w:p>
    <w:p>
      <w:pPr>
        <w:spacing w:after="0" w:line="200"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Reference is made to the Amended and Restated Credit Agreement dated as of November 30, 2017 (as the same may be amended, restated, amended and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WELLS FARGO BANK, NATIONAL ASSOCIATION, as Administrative Agent, Swing Line Lender and an L/C Issuer, and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65"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of the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any Borrower within the meaning of Section 881(c)(3)(B) of the Code and (iv) it is not a controlled foreign corporation related to any Borrower as described in Section 881(c)(3)(C) of the Code.</w:t>
      </w:r>
    </w:p>
    <w:p>
      <w:pPr>
        <w:spacing w:after="0" w:line="195"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33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OF LENDER]</w:t>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27305</wp:posOffset>
            </wp:positionV>
            <wp:extent cx="32588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Title</w:t>
      </w:r>
    </w:p>
    <w:p>
      <w:pPr>
        <w:spacing w:after="0" w:line="391"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568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516" w:name="page517"/>
    <w:bookmarkEnd w:id="516"/>
    <w:p>
      <w:pPr>
        <w:jc w:val="right"/>
        <w:spacing w:after="0"/>
        <w:rPr>
          <w:sz w:val="20"/>
          <w:szCs w:val="20"/>
          <w:color w:val="auto"/>
        </w:rPr>
      </w:pPr>
      <w:r>
        <w:rPr>
          <w:rFonts w:ascii="Arial" w:cs="Arial" w:eastAsia="Arial" w:hAnsi="Arial"/>
          <w:sz w:val="20"/>
          <w:szCs w:val="20"/>
          <w:color w:val="auto"/>
        </w:rPr>
        <w:t>EXHIBIT J-2</w:t>
      </w:r>
    </w:p>
    <w:p>
      <w:pPr>
        <w:spacing w:after="0" w:line="210"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u w:val="single" w:color="auto"/>
          <w:color w:val="auto"/>
        </w:rPr>
        <w:t>FORM OF U.S. TAX COMPLIANCE CERTIFICATE</w:t>
      </w:r>
    </w:p>
    <w:p>
      <w:pPr>
        <w:spacing w:after="0" w:line="22" w:lineRule="exact"/>
        <w:rPr>
          <w:sz w:val="20"/>
          <w:szCs w:val="20"/>
          <w:color w:val="auto"/>
        </w:rPr>
      </w:pPr>
    </w:p>
    <w:p>
      <w:pPr>
        <w:jc w:val="center"/>
        <w:ind w:right="2480"/>
        <w:spacing w:after="0"/>
        <w:rPr>
          <w:sz w:val="20"/>
          <w:szCs w:val="20"/>
          <w:color w:val="auto"/>
        </w:rPr>
      </w:pPr>
      <w:r>
        <w:rPr>
          <w:rFonts w:ascii="Arial" w:cs="Arial" w:eastAsia="Arial" w:hAnsi="Arial"/>
          <w:sz w:val="20"/>
          <w:szCs w:val="20"/>
          <w:b w:val="1"/>
          <w:bCs w:val="1"/>
          <w:color w:val="auto"/>
        </w:rPr>
        <w:t>(For Foreign Participants That Are Not Partnerships For U.S. Federal Income Tax Purposes)</w:t>
      </w:r>
    </w:p>
    <w:p>
      <w:pPr>
        <w:spacing w:after="0" w:line="200"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Reference is made to the Amended and Restated Credit Agreement dated as of November 30, 2017 (as the same may be amended, restated, amended and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WELLS FARGO BANK, NATIONAL ASSOCIATION, as Administrative Agent, Swing Line Lender and an L/C Issuer, and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65" w:lineRule="exact"/>
        <w:rPr>
          <w:sz w:val="20"/>
          <w:szCs w:val="20"/>
          <w:color w:val="auto"/>
        </w:rPr>
      </w:pPr>
    </w:p>
    <w:p>
      <w:pPr>
        <w:jc w:val="both"/>
        <w:ind w:left="260" w:firstLine="648"/>
        <w:spacing w:after="0" w:line="246"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of the Agreement, the undersigned hereby certifies that (i) it is the sole record and beneficial owner of the participation in respect of which it is providing this certificate, (ii) it is not a “bank” within the meaning of Section 881(c)(3)(A) of the Code,</w:t>
      </w:r>
    </w:p>
    <w:p>
      <w:pPr>
        <w:spacing w:after="0" w:line="2" w:lineRule="exact"/>
        <w:rPr>
          <w:sz w:val="20"/>
          <w:szCs w:val="20"/>
          <w:color w:val="auto"/>
        </w:rPr>
      </w:pPr>
    </w:p>
    <w:p>
      <w:pPr>
        <w:ind w:left="260" w:hanging="2"/>
        <w:spacing w:after="0" w:line="281" w:lineRule="auto"/>
        <w:tabs>
          <w:tab w:leader="none" w:pos="839" w:val="left"/>
        </w:tabs>
        <w:numPr>
          <w:ilvl w:val="0"/>
          <w:numId w:val="413"/>
        </w:numPr>
        <w:rPr>
          <w:rFonts w:ascii="Arial" w:cs="Arial" w:eastAsia="Arial" w:hAnsi="Arial"/>
          <w:sz w:val="20"/>
          <w:szCs w:val="20"/>
          <w:color w:val="auto"/>
        </w:rPr>
      </w:pPr>
      <w:r>
        <w:rPr>
          <w:rFonts w:ascii="Arial" w:cs="Arial" w:eastAsia="Arial" w:hAnsi="Arial"/>
          <w:sz w:val="20"/>
          <w:szCs w:val="20"/>
          <w:color w:val="auto"/>
        </w:rPr>
        <w:t>it is not a “10 percent shareholder” of any Borrower within the meaning of Section 881(c)(3)(B) of the Code, and (iv) it is not a controlled foreign corporation related to any Borrower as described in Section 881(c)(3)(C) of the Code.</w:t>
      </w:r>
    </w:p>
    <w:p>
      <w:pPr>
        <w:spacing w:after="0" w:line="170" w:lineRule="exact"/>
        <w:rPr>
          <w:sz w:val="20"/>
          <w:szCs w:val="20"/>
          <w:color w:val="auto"/>
        </w:rPr>
      </w:pPr>
    </w:p>
    <w:p>
      <w:pPr>
        <w:jc w:val="both"/>
        <w:ind w:left="260"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OF PARTICIPANT]</w:t>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27305</wp:posOffset>
            </wp:positionV>
            <wp:extent cx="32588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Title</w:t>
      </w:r>
    </w:p>
    <w:p>
      <w:pPr>
        <w:spacing w:after="0" w:line="391"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568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517" w:name="page518"/>
    <w:bookmarkEnd w:id="517"/>
    <w:p>
      <w:pPr>
        <w:jc w:val="right"/>
        <w:spacing w:after="0"/>
        <w:rPr>
          <w:sz w:val="20"/>
          <w:szCs w:val="20"/>
          <w:color w:val="auto"/>
        </w:rPr>
      </w:pPr>
      <w:r>
        <w:rPr>
          <w:rFonts w:ascii="Arial" w:cs="Arial" w:eastAsia="Arial" w:hAnsi="Arial"/>
          <w:sz w:val="20"/>
          <w:szCs w:val="20"/>
          <w:color w:val="auto"/>
        </w:rPr>
        <w:t>EXHIBIT J-3</w:t>
      </w:r>
    </w:p>
    <w:p>
      <w:pPr>
        <w:spacing w:after="0" w:line="210"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u w:val="single" w:color="auto"/>
          <w:color w:val="auto"/>
        </w:rPr>
        <w:t>FORM OF U.S. TAX COMPLIANCE CERTIFICATE</w:t>
      </w:r>
    </w:p>
    <w:p>
      <w:pPr>
        <w:spacing w:after="0" w:line="22"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color w:val="auto"/>
        </w:rPr>
        <w:t>(For Foreign Participants That Are Partnerships For U.S. Federal Income Tax Purposes)</w:t>
      </w:r>
    </w:p>
    <w:p>
      <w:pPr>
        <w:spacing w:after="0" w:line="200"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Reference is made to the Amended and Restated Credit Agreement dated as of November 30, 2017 (as the same may be amended, restated, amended and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WELLS FARGO BANK, NATIONAL ASSOCIATION, as Administrative Agent, Swing Line Lender and an L/C Issuer, and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65" w:lineRule="exact"/>
        <w:rPr>
          <w:sz w:val="20"/>
          <w:szCs w:val="20"/>
          <w:color w:val="auto"/>
        </w:rPr>
      </w:pPr>
    </w:p>
    <w:p>
      <w:pPr>
        <w:jc w:val="both"/>
        <w:ind w:left="260" w:firstLine="648"/>
        <w:spacing w:after="0" w:line="245"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of the Agreement, the undersigned hereby certifies that (i) it is the sole record owner of the participation in respect of which it is providing this certificate, (ii) its direct or indirect partners/members are the sole beneficial owners of such participation,</w:t>
      </w:r>
    </w:p>
    <w:p>
      <w:pPr>
        <w:jc w:val="both"/>
        <w:ind w:left="260" w:hanging="2"/>
        <w:spacing w:after="0" w:line="258" w:lineRule="auto"/>
        <w:tabs>
          <w:tab w:leader="none" w:pos="641" w:val="left"/>
        </w:tabs>
        <w:numPr>
          <w:ilvl w:val="0"/>
          <w:numId w:val="414"/>
        </w:numPr>
        <w:rPr>
          <w:rFonts w:ascii="Arial" w:cs="Arial" w:eastAsia="Arial" w:hAnsi="Arial"/>
          <w:sz w:val="19"/>
          <w:szCs w:val="19"/>
          <w:color w:val="auto"/>
        </w:rPr>
      </w:pPr>
      <w:r>
        <w:rPr>
          <w:rFonts w:ascii="Arial" w:cs="Arial" w:eastAsia="Arial" w:hAnsi="Arial"/>
          <w:sz w:val="19"/>
          <w:szCs w:val="19"/>
          <w:color w:val="auto"/>
        </w:rPr>
        <w:t>with respect such participation, neither the undersigned nor any of its direct or indirect partners/members is a “bank” within the meaning of Section 881(c)(3)(A) of the Code, (iv) none of its direct or indirect partners/members is a “10 percent shareholder” of any Borrower within the meaning of Section 881(c)(3)(B) of the Code and (v) none of its direct or indirect partners/members is a controlled foreign corporation related to any Borrower as described in Section 881(c)(3)(C) of the Code.</w:t>
      </w:r>
    </w:p>
    <w:p>
      <w:pPr>
        <w:spacing w:after="0" w:line="179" w:lineRule="exact"/>
        <w:rPr>
          <w:sz w:val="20"/>
          <w:szCs w:val="20"/>
          <w:color w:val="auto"/>
        </w:rPr>
      </w:pPr>
    </w:p>
    <w:p>
      <w:pPr>
        <w:jc w:val="both"/>
        <w:ind w:left="260" w:firstLine="648"/>
        <w:spacing w:after="0" w:line="258"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3"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OF PARTICIPANT]</w:t>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27305</wp:posOffset>
            </wp:positionV>
            <wp:extent cx="32588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Title</w:t>
      </w:r>
    </w:p>
    <w:p>
      <w:pPr>
        <w:spacing w:after="0" w:line="391"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568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518" w:name="page519"/>
    <w:bookmarkEnd w:id="518"/>
    <w:p>
      <w:pPr>
        <w:jc w:val="right"/>
        <w:spacing w:after="0"/>
        <w:rPr>
          <w:sz w:val="20"/>
          <w:szCs w:val="20"/>
          <w:color w:val="auto"/>
        </w:rPr>
      </w:pPr>
      <w:r>
        <w:rPr>
          <w:rFonts w:ascii="Arial" w:cs="Arial" w:eastAsia="Arial" w:hAnsi="Arial"/>
          <w:sz w:val="20"/>
          <w:szCs w:val="20"/>
          <w:color w:val="auto"/>
        </w:rPr>
        <w:t>EXHIBIT J-4</w:t>
      </w:r>
    </w:p>
    <w:p>
      <w:pPr>
        <w:spacing w:after="0" w:line="210"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u w:val="single" w:color="auto"/>
          <w:color w:val="auto"/>
        </w:rPr>
        <w:t>FORM OF U.S. TAX COMPLIANCE CERTIFICATE</w:t>
      </w:r>
    </w:p>
    <w:p>
      <w:pPr>
        <w:spacing w:after="0" w:line="22" w:lineRule="exact"/>
        <w:rPr>
          <w:sz w:val="20"/>
          <w:szCs w:val="20"/>
          <w:color w:val="auto"/>
        </w:rPr>
      </w:pPr>
    </w:p>
    <w:p>
      <w:pPr>
        <w:jc w:val="center"/>
        <w:ind w:right="2500"/>
        <w:spacing w:after="0"/>
        <w:rPr>
          <w:sz w:val="20"/>
          <w:szCs w:val="20"/>
          <w:color w:val="auto"/>
        </w:rPr>
      </w:pPr>
      <w:r>
        <w:rPr>
          <w:rFonts w:ascii="Arial" w:cs="Arial" w:eastAsia="Arial" w:hAnsi="Arial"/>
          <w:sz w:val="20"/>
          <w:szCs w:val="20"/>
          <w:b w:val="1"/>
          <w:bCs w:val="1"/>
          <w:color w:val="auto"/>
        </w:rPr>
        <w:t>(For Foreign Lenders That Are Partnerships For U.S. Federal Income Tax Purposes)</w:t>
      </w:r>
    </w:p>
    <w:p>
      <w:pPr>
        <w:spacing w:after="0" w:line="200" w:lineRule="exact"/>
        <w:rPr>
          <w:sz w:val="20"/>
          <w:szCs w:val="20"/>
          <w:color w:val="auto"/>
        </w:rPr>
      </w:pPr>
    </w:p>
    <w:p>
      <w:pPr>
        <w:jc w:val="both"/>
        <w:ind w:left="260" w:firstLine="648"/>
        <w:spacing w:after="0" w:line="278" w:lineRule="auto"/>
        <w:rPr>
          <w:sz w:val="20"/>
          <w:szCs w:val="20"/>
          <w:color w:val="auto"/>
        </w:rPr>
      </w:pPr>
      <w:r>
        <w:rPr>
          <w:rFonts w:ascii="Arial" w:cs="Arial" w:eastAsia="Arial" w:hAnsi="Arial"/>
          <w:sz w:val="18"/>
          <w:szCs w:val="18"/>
          <w:color w:val="auto"/>
        </w:rPr>
        <w:t>Reference is made to the Amended and Restated Credit Agreement dated as of November 30, 2017 (as the same may be amended, restated, amended and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OSI RESTAURANT PARTNERS, LLC, a Delaware limited liability company (“</w:t>
      </w:r>
      <w:r>
        <w:rPr>
          <w:rFonts w:ascii="Arial" w:cs="Arial" w:eastAsia="Arial" w:hAnsi="Arial"/>
          <w:sz w:val="18"/>
          <w:szCs w:val="18"/>
          <w:u w:val="single" w:color="auto"/>
          <w:color w:val="auto"/>
        </w:rPr>
        <w:t>OSI</w:t>
      </w:r>
      <w:r>
        <w:rPr>
          <w:rFonts w:ascii="Arial" w:cs="Arial" w:eastAsia="Arial" w:hAnsi="Arial"/>
          <w:sz w:val="18"/>
          <w:szCs w:val="18"/>
          <w:color w:val="auto"/>
        </w:rPr>
        <w:t>”), BLOOMIN’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OSI, the “</w:t>
      </w:r>
      <w:r>
        <w:rPr>
          <w:rFonts w:ascii="Arial" w:cs="Arial" w:eastAsia="Arial" w:hAnsi="Arial"/>
          <w:sz w:val="18"/>
          <w:szCs w:val="18"/>
          <w:u w:val="single" w:color="auto"/>
          <w:color w:val="auto"/>
        </w:rPr>
        <w:t>Borrowers</w:t>
      </w:r>
      <w:r>
        <w:rPr>
          <w:rFonts w:ascii="Arial" w:cs="Arial" w:eastAsia="Arial" w:hAnsi="Arial"/>
          <w:sz w:val="18"/>
          <w:szCs w:val="18"/>
          <w:color w:val="auto"/>
        </w:rPr>
        <w:t>”), WELLS FARGO BANK, NATIONAL ASSOCIATION, as Administrative Agent, Swing Line Lender and an L/C Issuer, and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65" w:lineRule="exact"/>
        <w:rPr>
          <w:sz w:val="20"/>
          <w:szCs w:val="20"/>
          <w:color w:val="auto"/>
        </w:rPr>
      </w:pPr>
    </w:p>
    <w:p>
      <w:pPr>
        <w:jc w:val="both"/>
        <w:ind w:left="260" w:firstLine="648"/>
        <w:spacing w:after="0" w:line="242"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10.07</w:t>
      </w:r>
      <w:r>
        <w:rPr>
          <w:rFonts w:ascii="Arial" w:cs="Arial" w:eastAsia="Arial" w:hAnsi="Arial"/>
          <w:sz w:val="20"/>
          <w:szCs w:val="20"/>
          <w:color w:val="auto"/>
        </w:rPr>
        <w:t xml:space="preserve"> of the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Agreement or any other Loan Document, neither the undersigned nor any of its direct or indirect partners/members is a “bank” within the meaning of Section 881(c)(3)(A) of the Code, (iv) none of its direct or indirect partners/members is a “10 percent shareholder” of any Borrower within the meaning of Section 881(c)(3)(B) of the Code and (v) none of its direct or indirect partners/members is a controlled foreign corporation related to any Borrower as described in Section 881(c)(3)(C) of the Code.</w:t>
      </w:r>
    </w:p>
    <w:p>
      <w:pPr>
        <w:spacing w:after="0" w:line="211" w:lineRule="exact"/>
        <w:rPr>
          <w:sz w:val="20"/>
          <w:szCs w:val="20"/>
          <w:color w:val="auto"/>
        </w:rPr>
      </w:pPr>
    </w:p>
    <w:p>
      <w:pPr>
        <w:jc w:val="both"/>
        <w:ind w:left="260" w:firstLine="648"/>
        <w:spacing w:after="0" w:line="242" w:lineRule="auto"/>
        <w:rPr>
          <w:sz w:val="20"/>
          <w:szCs w:val="20"/>
          <w:color w:val="auto"/>
        </w:rPr>
      </w:pPr>
      <w:r>
        <w:rPr>
          <w:rFonts w:ascii="Arial" w:cs="Arial" w:eastAsia="Arial" w:hAnsi="Arial"/>
          <w:sz w:val="20"/>
          <w:szCs w:val="20"/>
          <w:color w:val="auto"/>
        </w:rPr>
        <w:t>The undersigned has furnished the Administrative Agent and the Borrowers with IRS Form W- 8IMY accompanied by one of the following forms from each of its partners/members that is claiming the portfolio interest exemption: (i) an IRS Form W-8BEN or W-8BEN-E or (ii) an IRS Form W-8IMY accompanied by an IRS Form W-8BEN or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98" w:lineRule="exact"/>
        <w:rPr>
          <w:sz w:val="20"/>
          <w:szCs w:val="20"/>
          <w:color w:val="auto"/>
        </w:rPr>
      </w:pPr>
    </w:p>
    <w:p>
      <w:pPr>
        <w:jc w:val="both"/>
        <w:ind w:left="260" w:firstLine="648"/>
        <w:spacing w:after="0" w:line="260" w:lineRule="auto"/>
        <w:rPr>
          <w:sz w:val="20"/>
          <w:szCs w:val="20"/>
          <w:color w:val="auto"/>
        </w:rPr>
      </w:pPr>
      <w:r>
        <w:rPr>
          <w:rFonts w:ascii="Arial" w:cs="Arial" w:eastAsia="Arial" w:hAnsi="Arial"/>
          <w:sz w:val="20"/>
          <w:szCs w:val="20"/>
          <w:color w:val="auto"/>
        </w:rPr>
        <w:t>Unless otherwise defined herein, terms defined in the Agreement and used herein shall have the meanings given to them in the Agreement.</w:t>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[NAME OF PARTICIPANT]</w:t>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27305</wp:posOffset>
            </wp:positionV>
            <wp:extent cx="32588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Arial" w:cs="Arial" w:eastAsia="Arial" w:hAnsi="Arial"/>
          <w:sz w:val="20"/>
          <w:szCs w:val="20"/>
          <w:color w:val="343636"/>
        </w:rPr>
        <w:t>Name:</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Title</w:t>
      </w:r>
    </w:p>
    <w:p>
      <w:pPr>
        <w:spacing w:after="0" w:line="391" w:lineRule="exact"/>
        <w:rPr>
          <w:sz w:val="20"/>
          <w:szCs w:val="20"/>
          <w:color w:val="auto"/>
        </w:rPr>
      </w:pPr>
    </w:p>
    <w:p>
      <w:pPr>
        <w:ind w:left="260"/>
        <w:spacing w:after="0"/>
        <w:tabs>
          <w:tab w:leader="none" w:pos="920" w:val="left"/>
        </w:tabs>
        <w:rPr>
          <w:sz w:val="20"/>
          <w:szCs w:val="20"/>
          <w:color w:val="auto"/>
        </w:rPr>
      </w:pPr>
      <w:r>
        <w:rPr>
          <w:rFonts w:ascii="Arial" w:cs="Arial" w:eastAsia="Arial" w:hAnsi="Arial"/>
          <w:sz w:val="20"/>
          <w:szCs w:val="20"/>
          <w:color w:val="auto"/>
        </w:rPr>
        <w:t>Date:</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-14605</wp:posOffset>
            </wp:positionV>
            <wp:extent cx="1568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95960315_3</w:t>
      </w:r>
    </w:p>
    <w:p>
      <w:pPr>
        <w:sectPr>
          <w:pgSz w:w="11900" w:h="16838" w:orient="portrait"/>
          <w:cols w:equalWidth="0" w:num="1">
            <w:col w:w="11400"/>
          </w:cols>
          <w:pgMar w:left="260" w:top="433" w:right="239" w:bottom="1440" w:gutter="0" w:footer="0" w:header="0"/>
        </w:sectPr>
      </w:pPr>
    </w:p>
    <w:bookmarkStart w:id="519" w:name="page520"/>
    <w:bookmarkEnd w:id="519"/>
    <w:p>
      <w:pPr>
        <w:jc w:val="right"/>
        <w:spacing w:after="0"/>
        <w:rPr>
          <w:sz w:val="20"/>
          <w:szCs w:val="20"/>
          <w:color w:val="auto"/>
        </w:rPr>
      </w:pPr>
      <w:r>
        <w:rPr>
          <w:rFonts w:ascii="Arial" w:cs="Arial" w:eastAsia="Arial" w:hAnsi="Arial"/>
          <w:sz w:val="20"/>
          <w:szCs w:val="20"/>
          <w:b w:val="1"/>
          <w:bCs w:val="1"/>
          <w:color w:val="auto"/>
        </w:rPr>
        <w:t>Exhibit 10.39</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SEVERANCE AGREEMENT AND GENERAL RELEASE (hereinafter "Release") is made and entered into by and between CHRISTOPHER WARREN BRANDT (“Employee”) and OSI RESTAURANT PARTNERS, LLC (“Employer”). The parties desire to settle any and all disputes between them on terms that are mutually agreeable. Accordingly, in consideration of the mutual promises set forth below, Employer and Employee agree as follows: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Employer will provide Employee with good and valuable consideration as specified below in return for Employee’s execution of this Release, which is intended to fully and finally resolve any and all matters between Employer and Employee, whether actual or potential, on terms that are mutually agreeable.</w:t>
      </w:r>
    </w:p>
    <w:p>
      <w:pPr>
        <w:spacing w:after="0" w:line="226"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By entering into this Release, Employer does not admit any underlying liability to Employee. Neither Employer nor Employee is entering this Release because of any wrongful acts of any kind.</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Employee promises and obligates himself to perform the following covenants under this Release:</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94"/>
              </w:rPr>
              <w:t>Employee agrees his employment with Employer is severed effective December 31, 2017 (“Separation Date”).</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93"/>
              </w:rPr>
              <w:t>Acting for himself, his heirs, personal representatives, administrators and anyone claiming by or through him or</w:t>
            </w:r>
          </w:p>
        </w:tc>
      </w:tr>
      <w:tr>
        <w:trPr>
          <w:trHeight w:val="257"/>
        </w:trPr>
        <w:tc>
          <w:tcPr>
            <w:tcW w:w="440" w:type="dxa"/>
            <w:vAlign w:val="bottom"/>
          </w:tcPr>
          <w:p>
            <w:pPr>
              <w:spacing w:after="0"/>
              <w:rPr>
                <w:sz w:val="22"/>
                <w:szCs w:val="22"/>
                <w:color w:val="auto"/>
              </w:rPr>
            </w:pP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89"/>
              </w:rPr>
              <w:t>them, Employee unconditionally and irrevocably releases, acquits and discharges Employer and its Releasees from</w:t>
            </w:r>
          </w:p>
        </w:tc>
      </w:tr>
      <w:tr>
        <w:trPr>
          <w:trHeight w:val="257"/>
        </w:trPr>
        <w:tc>
          <w:tcPr>
            <w:tcW w:w="440" w:type="dxa"/>
            <w:vAlign w:val="bottom"/>
          </w:tcPr>
          <w:p>
            <w:pPr>
              <w:spacing w:after="0"/>
              <w:rPr>
                <w:sz w:val="22"/>
                <w:szCs w:val="22"/>
                <w:color w:val="auto"/>
              </w:rPr>
            </w:pP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89"/>
              </w:rPr>
              <w:t>any and all Claims (as defined below) that Employee (or any person or entity claiming through Employee) may have</w:t>
            </w:r>
          </w:p>
        </w:tc>
      </w:tr>
      <w:tr>
        <w:trPr>
          <w:trHeight w:val="275"/>
        </w:trPr>
        <w:tc>
          <w:tcPr>
            <w:tcW w:w="440" w:type="dxa"/>
            <w:vAlign w:val="bottom"/>
          </w:tcPr>
          <w:p>
            <w:pPr>
              <w:spacing w:after="0"/>
              <w:rPr>
                <w:sz w:val="23"/>
                <w:szCs w:val="23"/>
                <w:color w:val="auto"/>
              </w:rPr>
            </w:pPr>
          </w:p>
        </w:tc>
        <w:tc>
          <w:tcPr>
            <w:tcW w:w="6320" w:type="dxa"/>
            <w:vAlign w:val="bottom"/>
            <w:gridSpan w:val="4"/>
          </w:tcPr>
          <w:p>
            <w:pPr>
              <w:ind w:left="200"/>
              <w:spacing w:after="0"/>
              <w:rPr>
                <w:sz w:val="20"/>
                <w:szCs w:val="20"/>
                <w:color w:val="auto"/>
              </w:rPr>
            </w:pPr>
            <w:r>
              <w:rPr>
                <w:rFonts w:ascii="Arial" w:cs="Arial" w:eastAsia="Arial" w:hAnsi="Arial"/>
                <w:sz w:val="22"/>
                <w:szCs w:val="22"/>
                <w:color w:val="auto"/>
                <w:w w:val="96"/>
              </w:rPr>
              <w:t>against Employer or its Releasees as of the date of this Release.</w:t>
            </w:r>
          </w:p>
        </w:tc>
        <w:tc>
          <w:tcPr>
            <w:tcW w:w="1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w:t>
            </w: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0"/>
              </w:rPr>
              <w:t>The phrases “Employer” or “Employer and its Releasees” shall mean OSI Restaurant Partners, LLC and all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4"/>
              </w:rPr>
              <w:t>of its parents (including, but not limited to, Bloomin’ Brands, Inc.), affiliates (including, but not limited to,</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1"/>
              </w:rPr>
              <w:t>OS Management, Inc., Outback Steakhouse of Florida, LLC, OS Restaurant Services, LLC, Bonefish Grill,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3"/>
              </w:rPr>
              <w:t>LLC, Carrabba’s Italian Grill, LLC, OS Prime, LLC, and OS Pacific, LLC), and all of the past and present</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2"/>
              </w:rPr>
              <w:t>directors, officers, partners, shareholders, supervisors, employees, representatives, successors, assigns,</w:t>
            </w:r>
          </w:p>
        </w:tc>
      </w:tr>
      <w:tr>
        <w:trPr>
          <w:trHeight w:val="275"/>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9"/>
              </w:rPr>
              <w:t>subsidiaries, parents, and insurers of OSI Restaurant Partners, LLC and its parents and affiliates.</w:t>
            </w: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ii)</w:t>
            </w: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3"/>
              </w:rPr>
              <w:t>The term “Claims” shall include lawsuits, causes of action, liabilities, losses, damages, debts, demands,</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2"/>
              </w:rPr>
              <w:t>controversies, agreements, duties, obligations, promises and rights of every kind. The term “Claims” shall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8"/>
              </w:rPr>
              <w:t>include Claims arising from any source, including but not limited to contracts, statutes, regulations,</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5"/>
              </w:rPr>
              <w:t>ordinances, codes, or the common law, including claims arising under the Civil Rights Act of 1964 (42</w:t>
            </w:r>
          </w:p>
        </w:tc>
      </w:tr>
      <w:tr>
        <w:trPr>
          <w:trHeight w:val="224"/>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700" w:type="dxa"/>
            <w:vAlign w:val="bottom"/>
            <w:gridSpan w:val="6"/>
          </w:tcPr>
          <w:p>
            <w:pPr>
              <w:ind w:left="240"/>
              <w:spacing w:after="0" w:line="224" w:lineRule="exact"/>
              <w:rPr>
                <w:sz w:val="20"/>
                <w:szCs w:val="20"/>
                <w:color w:val="auto"/>
              </w:rPr>
            </w:pPr>
            <w:r>
              <w:rPr>
                <w:rFonts w:ascii="Arial" w:cs="Arial" w:eastAsia="Arial" w:hAnsi="Arial"/>
                <w:sz w:val="22"/>
                <w:szCs w:val="22"/>
                <w:color w:val="auto"/>
              </w:rPr>
              <w:t>U.S.C. § 2000e et seq., as amended), the Americans with Disabilities Act of 1990 (42</w:t>
            </w:r>
          </w:p>
        </w:tc>
      </w:tr>
      <w:tr>
        <w:trPr>
          <w:trHeight w:val="615"/>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540" w:type="dxa"/>
            <w:vAlign w:val="bottom"/>
          </w:tcPr>
          <w:p>
            <w:pPr>
              <w:ind w:left="1600"/>
              <w:spacing w:after="0"/>
              <w:rPr>
                <w:sz w:val="20"/>
                <w:szCs w:val="20"/>
                <w:color w:val="auto"/>
              </w:rPr>
            </w:pPr>
            <w:r>
              <w:rPr>
                <w:rFonts w:ascii="Arial" w:cs="Arial" w:eastAsia="Arial" w:hAnsi="Arial"/>
                <w:sz w:val="18"/>
                <w:szCs w:val="18"/>
                <w:color w:val="auto"/>
              </w:rPr>
              <w:t>Page 1 of 8</w:t>
            </w:r>
          </w:p>
        </w:tc>
        <w:tc>
          <w:tcPr>
            <w:tcW w:w="4000" w:type="dxa"/>
            <w:vAlign w:val="bottom"/>
            <w:gridSpan w:val="3"/>
          </w:tcPr>
          <w:p>
            <w:pPr>
              <w:ind w:left="62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/s/CWB</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520" w:name="page521"/>
    <w:bookmarkEnd w:id="5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 w:type="dxa"/>
            <w:vAlign w:val="bottom"/>
          </w:tcPr>
          <w:p>
            <w:pPr>
              <w:spacing w:after="0"/>
              <w:rPr>
                <w:sz w:val="21"/>
                <w:szCs w:val="21"/>
                <w:color w:val="auto"/>
              </w:rPr>
            </w:pPr>
          </w:p>
        </w:tc>
        <w:tc>
          <w:tcPr>
            <w:tcW w:w="10320" w:type="dxa"/>
            <w:vAlign w:val="bottom"/>
            <w:gridSpan w:val="18"/>
          </w:tcPr>
          <w:p>
            <w:pPr>
              <w:ind w:left="860"/>
              <w:spacing w:after="0"/>
              <w:rPr>
                <w:sz w:val="20"/>
                <w:szCs w:val="20"/>
                <w:color w:val="auto"/>
              </w:rPr>
            </w:pPr>
            <w:r>
              <w:rPr>
                <w:rFonts w:ascii="Arial" w:cs="Arial" w:eastAsia="Arial" w:hAnsi="Arial"/>
                <w:sz w:val="18"/>
                <w:szCs w:val="18"/>
                <w:color w:val="auto"/>
                <w:w w:val="95"/>
              </w:rPr>
              <w:t>U.S</w:t>
            </w:r>
            <w:r>
              <w:rPr>
                <w:rFonts w:ascii="Arial" w:cs="Arial" w:eastAsia="Arial" w:hAnsi="Arial"/>
                <w:sz w:val="21"/>
                <w:szCs w:val="21"/>
                <w:color w:val="auto"/>
                <w:w w:val="95"/>
              </w:rPr>
              <w:t>.C. § 12101 et seq., as amended), the Family Medical Leave Act of 1993 (29 U.S.C. § 2601, et seq., as</w:t>
            </w:r>
          </w:p>
        </w:tc>
      </w:tr>
      <w:tr>
        <w:trPr>
          <w:trHeight w:val="20"/>
        </w:trPr>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320" w:type="dxa"/>
            <w:vAlign w:val="bottom"/>
            <w:gridSpan w:val="18"/>
          </w:tcPr>
          <w:p>
            <w:pPr>
              <w:ind w:left="860"/>
              <w:spacing w:after="0" w:line="250" w:lineRule="exact"/>
              <w:rPr>
                <w:sz w:val="20"/>
                <w:szCs w:val="20"/>
                <w:color w:val="auto"/>
              </w:rPr>
            </w:pPr>
            <w:r>
              <w:rPr>
                <w:rFonts w:ascii="Arial" w:cs="Arial" w:eastAsia="Arial" w:hAnsi="Arial"/>
                <w:sz w:val="22"/>
                <w:szCs w:val="22"/>
                <w:color w:val="auto"/>
                <w:w w:val="92"/>
              </w:rPr>
              <w:t xml:space="preserve">amended), the Fair Labor Standards Act of 1938 (29 U.S.C. 201 et seq., as amended), </w:t>
            </w:r>
            <w:r>
              <w:rPr>
                <w:rFonts w:ascii="Arial" w:cs="Arial" w:eastAsia="Arial" w:hAnsi="Arial"/>
                <w:sz w:val="22"/>
                <w:szCs w:val="22"/>
                <w:color w:val="0D0D0D"/>
                <w:w w:val="92"/>
              </w:rPr>
              <w:t>the Lilly Ledbetter</w:t>
            </w:r>
          </w:p>
        </w:tc>
      </w:tr>
      <w:tr>
        <w:trPr>
          <w:trHeight w:val="20"/>
        </w:trPr>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8"/>
          </w:tcPr>
          <w:p>
            <w:pPr>
              <w:ind w:left="860"/>
              <w:spacing w:after="0" w:line="237" w:lineRule="exact"/>
              <w:rPr>
                <w:sz w:val="20"/>
                <w:szCs w:val="20"/>
                <w:color w:val="auto"/>
              </w:rPr>
            </w:pPr>
            <w:r>
              <w:rPr>
                <w:rFonts w:ascii="Arial" w:cs="Arial" w:eastAsia="Arial" w:hAnsi="Arial"/>
                <w:sz w:val="22"/>
                <w:szCs w:val="22"/>
                <w:color w:val="0D0D0D"/>
                <w:w w:val="97"/>
              </w:rPr>
              <w:t>Fair Pay Act of 2009 (</w:t>
            </w:r>
            <w:r>
              <w:rPr>
                <w:rFonts w:ascii="Arial" w:cs="Arial" w:eastAsia="Arial" w:hAnsi="Arial"/>
                <w:sz w:val="22"/>
                <w:szCs w:val="22"/>
                <w:color w:val="000000"/>
                <w:w w:val="97"/>
              </w:rPr>
              <w:t>Pub.L. 111-2</w:t>
            </w:r>
            <w:r>
              <w:rPr>
                <w:rFonts w:ascii="Arial" w:cs="Arial" w:eastAsia="Arial" w:hAnsi="Arial"/>
                <w:sz w:val="22"/>
                <w:szCs w:val="22"/>
                <w:color w:val="0D0D0D"/>
                <w:w w:val="97"/>
              </w:rPr>
              <w:t xml:space="preserve">, S. 181), </w:t>
            </w:r>
            <w:r>
              <w:rPr>
                <w:rFonts w:ascii="Arial" w:cs="Arial" w:eastAsia="Arial" w:hAnsi="Arial"/>
                <w:sz w:val="22"/>
                <w:szCs w:val="22"/>
                <w:color w:val="000000"/>
                <w:w w:val="97"/>
              </w:rPr>
              <w:t>the Employee Retirement Income Security Act of 1974</w:t>
            </w:r>
          </w:p>
        </w:tc>
      </w:tr>
      <w:tr>
        <w:trPr>
          <w:trHeight w:val="20"/>
        </w:trPr>
        <w:tc>
          <w:tcPr>
            <w:tcW w:w="4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D0D0D"/>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8"/>
          </w:tcPr>
          <w:p>
            <w:pPr>
              <w:ind w:left="860"/>
              <w:spacing w:after="0" w:line="237" w:lineRule="exact"/>
              <w:rPr>
                <w:sz w:val="20"/>
                <w:szCs w:val="20"/>
                <w:color w:val="auto"/>
              </w:rPr>
            </w:pPr>
            <w:r>
              <w:rPr>
                <w:rFonts w:ascii="Arial" w:cs="Arial" w:eastAsia="Arial" w:hAnsi="Arial"/>
                <w:sz w:val="22"/>
                <w:szCs w:val="22"/>
                <w:color w:val="auto"/>
                <w:w w:val="90"/>
              </w:rPr>
              <w:t>(ERISA) (29 U.S.C. § 1001 et seq., as amended), 42 U.S.C. § 1981, the Age Discrimination in Employment</w:t>
            </w:r>
          </w:p>
        </w:tc>
      </w:tr>
      <w:tr>
        <w:trPr>
          <w:trHeight w:val="20"/>
        </w:trPr>
        <w:tc>
          <w:tcPr>
            <w:tcW w:w="4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1"/>
              </w:rPr>
              <w:t>Act of 1967 (as amended), the continuation coverage provisions of the Omnibus Budget Reconciliation Act</w:t>
            </w:r>
          </w:p>
        </w:tc>
      </w:tr>
      <w:tr>
        <w:trPr>
          <w:trHeight w:val="224"/>
        </w:trPr>
        <w:tc>
          <w:tcPr>
            <w:tcW w:w="440" w:type="dxa"/>
            <w:vAlign w:val="bottom"/>
          </w:tcPr>
          <w:p>
            <w:pPr>
              <w:spacing w:after="0"/>
              <w:rPr>
                <w:sz w:val="19"/>
                <w:szCs w:val="19"/>
                <w:color w:val="auto"/>
              </w:rPr>
            </w:pPr>
          </w:p>
        </w:tc>
        <w:tc>
          <w:tcPr>
            <w:tcW w:w="10320" w:type="dxa"/>
            <w:vAlign w:val="bottom"/>
            <w:gridSpan w:val="18"/>
          </w:tcPr>
          <w:p>
            <w:pPr>
              <w:ind w:left="860"/>
              <w:spacing w:after="0" w:line="224" w:lineRule="exact"/>
              <w:rPr>
                <w:sz w:val="20"/>
                <w:szCs w:val="20"/>
                <w:color w:val="auto"/>
              </w:rPr>
            </w:pPr>
            <w:r>
              <w:rPr>
                <w:rFonts w:ascii="Arial" w:cs="Arial" w:eastAsia="Arial" w:hAnsi="Arial"/>
                <w:sz w:val="22"/>
                <w:szCs w:val="22"/>
                <w:color w:val="auto"/>
                <w:w w:val="89"/>
              </w:rPr>
              <w:t>of 1986 (29 U.S.C. § 623 et seq., as amended), the Florida Civil Rights Act of 1992 (§ 760.01 et seq., Florida</w:t>
            </w:r>
          </w:p>
        </w:tc>
      </w:tr>
      <w:tr>
        <w:trPr>
          <w:trHeight w:val="20"/>
        </w:trPr>
        <w:tc>
          <w:tcPr>
            <w:tcW w:w="4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3"/>
              </w:rPr>
              <w:t>Statutes, as amended), and all other federal, state, and local laws dealing with discrimination, retaliation,</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4"/>
              </w:rPr>
              <w:t>wages, leave, benefits, or workplace policies, as well as claims for unpaid wages, unpaid commissions,</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4"/>
              </w:rPr>
              <w:t>breach of contract, wrongful termination, retaliation, intentional infliction of emotional distress, negligent</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0"/>
              </w:rPr>
              <w:t>hiring, invasion of privacy, defamation, slander, assault, battery, or any other tort arising out of or connected</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6"/>
              </w:rPr>
              <w:t>in any way to the employment relationship. The term “Claims” shall include injuries or damage of any</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3"/>
              </w:rPr>
              <w:t>nature, regardless of whether such injuries or damage arise from accident, illness, occupational disease,</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2"/>
              </w:rPr>
              <w:t>negligence, intentional act, or some other origin. The term “Claims” specifically includes third-party claims</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3"/>
              </w:rPr>
              <w:t>for indemnity or contribution against Employer or its Releasees. The term “Claims” shall be construed to</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4"/>
              </w:rPr>
              <w:t>include any and all Claims meeting the definitions in this subparagraph without regard to whether those</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5"/>
              </w:rPr>
              <w:t>Claims are asserted or unasserted, known or unknown, ripe or unripe, direct or indirect, conditional or</w:t>
            </w:r>
          </w:p>
        </w:tc>
      </w:tr>
      <w:tr>
        <w:trPr>
          <w:trHeight w:val="275"/>
        </w:trPr>
        <w:tc>
          <w:tcPr>
            <w:tcW w:w="440" w:type="dxa"/>
            <w:vAlign w:val="bottom"/>
          </w:tcPr>
          <w:p>
            <w:pPr>
              <w:spacing w:after="0"/>
              <w:rPr>
                <w:sz w:val="23"/>
                <w:szCs w:val="23"/>
                <w:color w:val="auto"/>
              </w:rPr>
            </w:pPr>
          </w:p>
        </w:tc>
        <w:tc>
          <w:tcPr>
            <w:tcW w:w="6460" w:type="dxa"/>
            <w:vAlign w:val="bottom"/>
            <w:gridSpan w:val="10"/>
          </w:tcPr>
          <w:p>
            <w:pPr>
              <w:ind w:left="860"/>
              <w:spacing w:after="0"/>
              <w:rPr>
                <w:sz w:val="20"/>
                <w:szCs w:val="20"/>
                <w:color w:val="auto"/>
              </w:rPr>
            </w:pPr>
            <w:r>
              <w:rPr>
                <w:rFonts w:ascii="Arial" w:cs="Arial" w:eastAsia="Arial" w:hAnsi="Arial"/>
                <w:sz w:val="22"/>
                <w:szCs w:val="22"/>
                <w:color w:val="auto"/>
              </w:rPr>
              <w:t>unconditional.</w:t>
            </w: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1"/>
              </w:rPr>
              <w:t>Employee was awarded 12,852 Bloomin’ Brands, Inc. (formerly Kangaroo Holdings, Inc.) performance share units</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2"/>
              </w:rPr>
              <w:t>(the "2017 Performance Share Units") pursuant to that certain Agreement with a grant date of February 24, 2017</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89"/>
              </w:rPr>
              <w:t>(the "2017 Agreement"). Employee agrees none of the 2017 Performance Share Units are vested and all are hereby</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6"/>
              </w:rPr>
              <w:t>forfeited, cancelled, terminated and deemed null and void ab initio. The 2017 Agreement is hereby forfeited,</w:t>
            </w:r>
          </w:p>
        </w:tc>
      </w:tr>
      <w:tr>
        <w:trPr>
          <w:trHeight w:val="275"/>
        </w:trPr>
        <w:tc>
          <w:tcPr>
            <w:tcW w:w="440" w:type="dxa"/>
            <w:vAlign w:val="bottom"/>
          </w:tcPr>
          <w:p>
            <w:pPr>
              <w:spacing w:after="0"/>
              <w:rPr>
                <w:sz w:val="23"/>
                <w:szCs w:val="23"/>
                <w:color w:val="auto"/>
              </w:rPr>
            </w:pPr>
          </w:p>
        </w:tc>
        <w:tc>
          <w:tcPr>
            <w:tcW w:w="6460" w:type="dxa"/>
            <w:vAlign w:val="bottom"/>
            <w:gridSpan w:val="10"/>
          </w:tcPr>
          <w:p>
            <w:pPr>
              <w:ind w:left="200"/>
              <w:spacing w:after="0"/>
              <w:rPr>
                <w:sz w:val="20"/>
                <w:szCs w:val="20"/>
                <w:color w:val="auto"/>
              </w:rPr>
            </w:pPr>
            <w:r>
              <w:rPr>
                <w:rFonts w:ascii="Arial" w:cs="Arial" w:eastAsia="Arial" w:hAnsi="Arial"/>
                <w:sz w:val="22"/>
                <w:szCs w:val="22"/>
                <w:color w:val="auto"/>
              </w:rPr>
              <w:t>cancelled, terminated and deemed null and void ab initio.</w:t>
            </w: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5"/>
              </w:rPr>
              <w:t>Employee was granted the option to purchase 200,000 shares of the common stock of Bloomin’ Brands, Inc.</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3"/>
              </w:rPr>
              <w:t>(formerly Kangaroo Holdings, Inc.) (the "2016 Options") pursuant to that certain Option Agreement with a grant</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89"/>
              </w:rPr>
              <w:t>date of June 1, 2016 (the "2016 Option Agreement”). Employee agrees he previously exercised 25,000 shares of the</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89"/>
              </w:rPr>
              <w:t>2016 Options. Employee agrees the remaining 25,000 shares of the 2016 Options in which Employee is vested and</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2"/>
              </w:rPr>
              <w:t>which are unexercised shall remain vested and exercisable for 365 calendar days following the Separation Date.</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0"/>
              </w:rPr>
              <w:t>Employee agrees the remaining 150,000 shares of the 2016 Options are unvested and hereby forfeited, cancelled,</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1"/>
              </w:rPr>
              <w:t>terminated and deemed null and void ab initio. Employee agrees that as of 12:01 a.m. (Tampa time) on the 365th</w:t>
            </w:r>
          </w:p>
        </w:tc>
      </w:tr>
      <w:tr>
        <w:trPr>
          <w:trHeight w:val="257"/>
        </w:trPr>
        <w:tc>
          <w:tcPr>
            <w:tcW w:w="440" w:type="dxa"/>
            <w:vAlign w:val="bottom"/>
          </w:tcPr>
          <w:p>
            <w:pPr>
              <w:spacing w:after="0"/>
              <w:rPr>
                <w:sz w:val="22"/>
                <w:szCs w:val="22"/>
                <w:color w:val="auto"/>
              </w:rPr>
            </w:pPr>
          </w:p>
        </w:tc>
        <w:tc>
          <w:tcPr>
            <w:tcW w:w="10320" w:type="dxa"/>
            <w:vAlign w:val="bottom"/>
            <w:gridSpan w:val="18"/>
          </w:tcPr>
          <w:p>
            <w:pPr>
              <w:ind w:left="200"/>
              <w:spacing w:after="0"/>
              <w:rPr>
                <w:sz w:val="20"/>
                <w:szCs w:val="20"/>
                <w:color w:val="auto"/>
              </w:rPr>
            </w:pPr>
            <w:r>
              <w:rPr>
                <w:rFonts w:ascii="Arial" w:cs="Arial" w:eastAsia="Arial" w:hAnsi="Arial"/>
                <w:sz w:val="22"/>
                <w:szCs w:val="22"/>
                <w:color w:val="auto"/>
                <w:w w:val="98"/>
              </w:rPr>
              <w:t>calendar day immediately following the Separation Date, the 2016 Option Agreement is hereby cancelled,</w:t>
            </w:r>
          </w:p>
        </w:tc>
      </w:tr>
      <w:tr>
        <w:trPr>
          <w:trHeight w:val="275"/>
        </w:trPr>
        <w:tc>
          <w:tcPr>
            <w:tcW w:w="440" w:type="dxa"/>
            <w:vAlign w:val="bottom"/>
          </w:tcPr>
          <w:p>
            <w:pPr>
              <w:spacing w:after="0"/>
              <w:rPr>
                <w:sz w:val="23"/>
                <w:szCs w:val="23"/>
                <w:color w:val="auto"/>
              </w:rPr>
            </w:pPr>
          </w:p>
        </w:tc>
        <w:tc>
          <w:tcPr>
            <w:tcW w:w="6460" w:type="dxa"/>
            <w:vAlign w:val="bottom"/>
            <w:gridSpan w:val="10"/>
          </w:tcPr>
          <w:p>
            <w:pPr>
              <w:ind w:left="200"/>
              <w:spacing w:after="0"/>
              <w:rPr>
                <w:sz w:val="20"/>
                <w:szCs w:val="20"/>
                <w:color w:val="auto"/>
              </w:rPr>
            </w:pPr>
            <w:r>
              <w:rPr>
                <w:rFonts w:ascii="Arial" w:cs="Arial" w:eastAsia="Arial" w:hAnsi="Arial"/>
                <w:sz w:val="22"/>
                <w:szCs w:val="22"/>
                <w:color w:val="auto"/>
              </w:rPr>
              <w:t>terminated and deemed null and void ab initio.</w:t>
            </w: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84"/>
        </w:trPr>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2"/>
          </w:tcPr>
          <w:p>
            <w:pPr>
              <w:ind w:left="360"/>
              <w:spacing w:after="0"/>
              <w:rPr>
                <w:sz w:val="20"/>
                <w:szCs w:val="20"/>
                <w:color w:val="auto"/>
              </w:rPr>
            </w:pPr>
            <w:r>
              <w:rPr>
                <w:rFonts w:ascii="Arial" w:cs="Arial" w:eastAsia="Arial" w:hAnsi="Arial"/>
                <w:sz w:val="18"/>
                <w:szCs w:val="18"/>
                <w:color w:val="auto"/>
              </w:rPr>
              <w:t>Page 2 of 8</w:t>
            </w:r>
          </w:p>
        </w:tc>
        <w:tc>
          <w:tcPr>
            <w:tcW w:w="3860" w:type="dxa"/>
            <w:vAlign w:val="bottom"/>
            <w:gridSpan w:val="8"/>
          </w:tcPr>
          <w:p>
            <w:pPr>
              <w:ind w:left="48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/s/CWB</w:t>
            </w:r>
          </w:p>
        </w:tc>
      </w:tr>
      <w:tr>
        <w:trPr>
          <w:trHeight w:val="20"/>
        </w:trPr>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ectPr>
          <w:pgSz w:w="11900" w:h="16838" w:orient="portrait"/>
          <w:cols w:equalWidth="0" w:num="1">
            <w:col w:w="10760"/>
          </w:cols>
          <w:pgMar w:left="900" w:top="357" w:right="239" w:bottom="1440" w:gutter="0" w:footer="0" w:header="0"/>
        </w:sectPr>
      </w:pPr>
    </w:p>
    <w:bookmarkStart w:id="521" w:name="page522"/>
    <w:bookmarkEnd w:id="5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7"/>
              </w:rPr>
              <w:t>Employee was granted the option to purchase 41,585 shares of the common stock of Bloomin’ Brands, Inc.</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(formerly Kangaroo Holdings, Inc.) (the "2017 Options") pursuant to that certain Option Agreement with a grant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date of February 24, 2017 (the "2017 Option Agreement”). Employee agrees none of the 2017 Options are vested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and all are hereby forfeited, cancelled, terminated and deemed null and void ab initio. The 2017 Option Agreement</w:t>
            </w:r>
          </w:p>
        </w:tc>
      </w:tr>
      <w:tr>
        <w:trPr>
          <w:trHeight w:val="275"/>
        </w:trPr>
        <w:tc>
          <w:tcPr>
            <w:tcW w:w="440" w:type="dxa"/>
            <w:vAlign w:val="bottom"/>
          </w:tcPr>
          <w:p>
            <w:pPr>
              <w:spacing w:after="0"/>
              <w:rPr>
                <w:sz w:val="23"/>
                <w:szCs w:val="23"/>
                <w:color w:val="auto"/>
              </w:rPr>
            </w:pPr>
          </w:p>
        </w:tc>
        <w:tc>
          <w:tcPr>
            <w:tcW w:w="6480" w:type="dxa"/>
            <w:vAlign w:val="bottom"/>
          </w:tcPr>
          <w:p>
            <w:pPr>
              <w:ind w:left="200"/>
              <w:spacing w:after="0"/>
              <w:rPr>
                <w:sz w:val="20"/>
                <w:szCs w:val="20"/>
                <w:color w:val="auto"/>
              </w:rPr>
            </w:pPr>
            <w:r>
              <w:rPr>
                <w:rFonts w:ascii="Arial" w:cs="Arial" w:eastAsia="Arial" w:hAnsi="Arial"/>
                <w:sz w:val="22"/>
                <w:szCs w:val="22"/>
                <w:color w:val="auto"/>
                <w:w w:val="96"/>
              </w:rPr>
              <w:t>is hereby cancelled, terminated and deemed null and void ab initio.</w:t>
            </w:r>
          </w:p>
        </w:tc>
        <w:tc>
          <w:tcPr>
            <w:tcW w:w="1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f.)</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Employee was awarded 75,000 Bloomin’ Brands, Inc. (formerly Kangaroo Holdings, Inc.) restricted stock units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"2016 Restricted Stock") pursuant to that certain Restricted Stock Agreement with a grant date of June 1, 2016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"2016 Restricted Stock Agreement"). Employee agrees 18,750 of the 2016 Restricted Stock units were previously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5"/>
              </w:rPr>
              <w:t>vested and distributed. Employee agrees 56,250 of the 2016 Restricted Stock units are unvested and hereby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forfeited, canceled, terminated and deemed null and void ab initio. The 2016 Restricted Stock Agreement is hereby</w:t>
            </w:r>
          </w:p>
        </w:tc>
      </w:tr>
      <w:tr>
        <w:trPr>
          <w:trHeight w:val="275"/>
        </w:trPr>
        <w:tc>
          <w:tcPr>
            <w:tcW w:w="440" w:type="dxa"/>
            <w:vAlign w:val="bottom"/>
          </w:tcPr>
          <w:p>
            <w:pPr>
              <w:spacing w:after="0"/>
              <w:rPr>
                <w:sz w:val="23"/>
                <w:szCs w:val="23"/>
                <w:color w:val="auto"/>
              </w:rPr>
            </w:pPr>
          </w:p>
        </w:tc>
        <w:tc>
          <w:tcPr>
            <w:tcW w:w="6480" w:type="dxa"/>
            <w:vAlign w:val="bottom"/>
          </w:tcPr>
          <w:p>
            <w:pPr>
              <w:ind w:left="200"/>
              <w:spacing w:after="0"/>
              <w:rPr>
                <w:sz w:val="20"/>
                <w:szCs w:val="20"/>
                <w:color w:val="auto"/>
              </w:rPr>
            </w:pPr>
            <w:r>
              <w:rPr>
                <w:rFonts w:ascii="Arial" w:cs="Arial" w:eastAsia="Arial" w:hAnsi="Arial"/>
                <w:sz w:val="22"/>
                <w:szCs w:val="22"/>
                <w:color w:val="auto"/>
                <w:w w:val="96"/>
              </w:rPr>
              <w:t>forfeited, cancelled, terminated and deemed null and void ab initio.</w:t>
            </w:r>
          </w:p>
        </w:tc>
        <w:tc>
          <w:tcPr>
            <w:tcW w:w="1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g.)</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Employee was awarded 17,457 Bloomin’ Brands, Inc. (formerly Kangaroo Holdings, Inc.) restricted stock units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"2017 Restricted Stock") pursuant to that certain Restricted Stock Agreement with a grant date of February 24, 2017</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(the "2017 Restricted Stock Agreement"). Employee agrees none of the 2017 Restricted Stock units are vested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all are hereby forfeited, canceled, terminated and deemed null and void ab initio. The February 2017 Restricted</w:t>
            </w:r>
          </w:p>
        </w:tc>
      </w:t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Stock Agreement is hereby forfeited, cancelled, terminated and deemed null and void ab initio.</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h.)</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Employee waives and relinquishes any rights that Employee may have to claim reimbursement from Employer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its Releasees for attorney’s fees, litigation costs or expenses that Employee may have incurred in the course of</w:t>
            </w:r>
          </w:p>
        </w:tc>
      </w:t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6"/>
              </w:rPr>
              <w:t>obtaining legal advice on any matter related to Employer, except as otherwise expressly provided for herein.</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i.)</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4"/>
              </w:rPr>
              <w:t>Employee waives and disclaims any right to any damages, compensation, or other personal relief that may be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recovered at any time after the execution of this Release as a result of any proceeding arising out of or related to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employment relationship that is brought under the jurisdiction or authority of the Equal Employment Opportunity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Commission ("EEOC"), the Florida Commission on Human Relations, the U.S. Department of Labor, or any other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local, state, or federal court or agency. If any such agency or court assumes jurisdiction of or files any complaint,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charge, or proceeding against Employer or its Releasees, Employee shall request such agency or court to dismiss 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withdraw from the matter. Notwithstanding any other term or provision of this Release, nothing in this Release is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9"/>
              </w:rPr>
              <w:t>intended or shall be construed to prohibit Employee, with or without notice to the Employer or Employer’s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Releasees, from filing a charge with, directly communicating with or participating in any investigation or proceeding</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conducted by any local, state or federal agency regarding any possible law violation. Employee acknowledges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agrees, however, that, except with respect to any award pursuant to Section 21F of the Securities Exchange Act of</w:t>
            </w:r>
          </w:p>
        </w:tc>
      </w:tr>
      <w:tr>
        <w:trPr>
          <w:trHeight w:val="275"/>
        </w:trPr>
        <w:tc>
          <w:tcPr>
            <w:tcW w:w="440" w:type="dxa"/>
            <w:vAlign w:val="bottom"/>
          </w:tcPr>
          <w:p>
            <w:pPr>
              <w:spacing w:after="0"/>
              <w:rPr>
                <w:sz w:val="23"/>
                <w:szCs w:val="23"/>
                <w:color w:val="auto"/>
              </w:rPr>
            </w:pPr>
          </w:p>
        </w:tc>
        <w:tc>
          <w:tcPr>
            <w:tcW w:w="6480" w:type="dxa"/>
            <w:vAlign w:val="bottom"/>
          </w:tcPr>
          <w:p>
            <w:pPr>
              <w:ind w:left="200"/>
              <w:spacing w:after="0"/>
              <w:rPr>
                <w:sz w:val="20"/>
                <w:szCs w:val="20"/>
                <w:color w:val="auto"/>
              </w:rPr>
            </w:pPr>
            <w:r>
              <w:rPr>
                <w:rFonts w:ascii="Arial" w:cs="Arial" w:eastAsia="Arial" w:hAnsi="Arial"/>
                <w:sz w:val="22"/>
                <w:szCs w:val="22"/>
                <w:color w:val="auto"/>
              </w:rPr>
              <w:t>1934, as amended, or any award administered by</w:t>
            </w:r>
          </w:p>
        </w:tc>
        <w:tc>
          <w:tcPr>
            <w:tcW w:w="1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584"/>
        </w:trPr>
        <w:tc>
          <w:tcPr>
            <w:tcW w:w="440" w:type="dxa"/>
            <w:vAlign w:val="bottom"/>
          </w:tcPr>
          <w:p>
            <w:pPr>
              <w:spacing w:after="0"/>
              <w:rPr>
                <w:sz w:val="24"/>
                <w:szCs w:val="24"/>
                <w:color w:val="auto"/>
              </w:rPr>
            </w:pPr>
          </w:p>
        </w:tc>
        <w:tc>
          <w:tcPr>
            <w:tcW w:w="6480" w:type="dxa"/>
            <w:vAlign w:val="bottom"/>
          </w:tcPr>
          <w:p>
            <w:pPr>
              <w:ind w:left="4380"/>
              <w:spacing w:after="0"/>
              <w:rPr>
                <w:sz w:val="20"/>
                <w:szCs w:val="20"/>
                <w:color w:val="auto"/>
              </w:rPr>
            </w:pPr>
            <w:r>
              <w:rPr>
                <w:rFonts w:ascii="Arial" w:cs="Arial" w:eastAsia="Arial" w:hAnsi="Arial"/>
                <w:sz w:val="18"/>
                <w:szCs w:val="18"/>
                <w:color w:val="auto"/>
              </w:rPr>
              <w:t>Page 3 of 8</w:t>
            </w:r>
          </w:p>
        </w:tc>
        <w:tc>
          <w:tcPr>
            <w:tcW w:w="3840" w:type="dxa"/>
            <w:vAlign w:val="bottom"/>
            <w:gridSpan w:val="3"/>
          </w:tcPr>
          <w:p>
            <w:pPr>
              <w:ind w:left="46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/s/CWB</w:t>
            </w:r>
          </w:p>
        </w:tc>
      </w:tr>
      <w:tr>
        <w:trPr>
          <w:trHeight w:val="20"/>
        </w:trPr>
        <w:tc>
          <w:tcPr>
            <w:tcW w:w="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0760"/>
          </w:cols>
          <w:pgMar w:left="900" w:top="632" w:right="239" w:bottom="1440" w:gutter="0" w:footer="0" w:header="0"/>
        </w:sectPr>
      </w:pPr>
    </w:p>
    <w:bookmarkStart w:id="522" w:name="page523"/>
    <w:bookmarkEnd w:id="5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7"/>
              </w:rPr>
              <w:t>the U.S. Occupational Safety and Health Administration, Employee waives any right to monetary damages,</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2"/>
              </w:rPr>
              <w:t>attorneys’ fees, costs and equitable remedies related to or arising from any such charge, or ensuing complaint or</w:t>
            </w:r>
          </w:p>
        </w:tc>
      </w:tr>
      <w:tr>
        <w:trPr>
          <w:trHeight w:val="275"/>
        </w:trPr>
        <w:tc>
          <w:tcPr>
            <w:tcW w:w="46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Arial" w:cs="Arial" w:eastAsia="Arial" w:hAnsi="Arial"/>
                <w:sz w:val="22"/>
                <w:szCs w:val="22"/>
                <w:color w:val="auto"/>
              </w:rPr>
              <w:t>lawsuit, filed by Employee or on Employee’s behalf.</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0"/>
                <w:szCs w:val="20"/>
                <w:color w:val="auto"/>
              </w:rPr>
            </w:pPr>
            <w:r>
              <w:rPr>
                <w:rFonts w:ascii="Arial" w:cs="Arial" w:eastAsia="Arial" w:hAnsi="Arial"/>
                <w:sz w:val="22"/>
                <w:szCs w:val="22"/>
                <w:color w:val="auto"/>
              </w:rPr>
              <w:t>j.)</w:t>
            </w: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1"/>
              </w:rPr>
              <w:t>Employee agrees that he will preserve the confidentiality of this Release and not discuss or disclose its existence,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88"/>
              </w:rPr>
              <w:t>substance, or contents to anyone other than his spouse, attorney, accountant, or tax advisors, except as compelled or</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89"/>
              </w:rPr>
              <w:t>authorized by law. Employee further agrees that he will not at any time, disclose, use, or communicate to any person</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2"/>
              </w:rPr>
              <w:t>or entity, whether directly or indirectly, any Confidential Information obtained by the Employee during the term of</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3"/>
              </w:rPr>
              <w:t>Employee's employment with Employer, unless (i) such disclosure or communication is compelled by law, or (ii)</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4"/>
              </w:rPr>
              <w:t>Employee has received specific written authorization in advance from Employer prior to the disclosure, use, or</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1"/>
              </w:rPr>
              <w:t>communication. Confidential Information shall mean any information regarding, affecting, or relating to the clients,</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89"/>
              </w:rPr>
              <w:t>operations, or business of Employer that is treated as confidential by Employer and that is not generally known by or</w:t>
            </w:r>
          </w:p>
        </w:tc>
      </w:tr>
      <w:tr>
        <w:trPr>
          <w:trHeight w:val="275"/>
        </w:trPr>
        <w:tc>
          <w:tcPr>
            <w:tcW w:w="46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Arial" w:cs="Arial" w:eastAsia="Arial" w:hAnsi="Arial"/>
                <w:sz w:val="22"/>
                <w:szCs w:val="22"/>
                <w:color w:val="auto"/>
              </w:rPr>
              <w:t>otherwise available to third parties.</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0"/>
                <w:szCs w:val="20"/>
                <w:color w:val="auto"/>
              </w:rPr>
            </w:pPr>
            <w:r>
              <w:rPr>
                <w:rFonts w:ascii="Arial" w:cs="Arial" w:eastAsia="Arial" w:hAnsi="Arial"/>
                <w:sz w:val="22"/>
                <w:szCs w:val="22"/>
                <w:color w:val="auto"/>
              </w:rPr>
              <w:t>k.)</w:t>
            </w: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8"/>
              </w:rPr>
              <w:t>Employee agrees that he will not disparage Employer or its Releasees in any way to any person or entity.</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1"/>
              </w:rPr>
              <w:t>Notwithstanding this provision, in the unlikely event that Employee is subpoenaed as part of a government entity’s</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3"/>
              </w:rPr>
              <w:t>investigation of Employer, Employee may provide truthful information about his employment to the government</w:t>
            </w:r>
          </w:p>
        </w:tc>
      </w:tr>
      <w:tr>
        <w:trPr>
          <w:trHeight w:val="275"/>
        </w:trPr>
        <w:tc>
          <w:tcPr>
            <w:tcW w:w="46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Arial" w:cs="Arial" w:eastAsia="Arial" w:hAnsi="Arial"/>
                <w:sz w:val="22"/>
                <w:szCs w:val="22"/>
                <w:color w:val="auto"/>
              </w:rPr>
              <w:t>entity without violating this Release.</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0"/>
                <w:szCs w:val="20"/>
                <w:color w:val="auto"/>
              </w:rPr>
            </w:pPr>
            <w:r>
              <w:rPr>
                <w:rFonts w:ascii="Arial" w:cs="Arial" w:eastAsia="Arial" w:hAnsi="Arial"/>
                <w:sz w:val="22"/>
                <w:szCs w:val="22"/>
                <w:color w:val="auto"/>
              </w:rPr>
              <w:t>l.)</w:t>
            </w: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89"/>
              </w:rPr>
              <w:t>If Employee is asked to discuss the subjects prohibited by subparagraphs 3(j) and (k) above, Employee is authorized</w:t>
            </w:r>
          </w:p>
        </w:tc>
      </w:tr>
      <w:tr>
        <w:trPr>
          <w:trHeight w:val="275"/>
        </w:trPr>
        <w:tc>
          <w:tcPr>
            <w:tcW w:w="46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Arial" w:cs="Arial" w:eastAsia="Arial" w:hAnsi="Arial"/>
                <w:sz w:val="22"/>
                <w:szCs w:val="22"/>
                <w:color w:val="auto"/>
              </w:rPr>
              <w:t>to respond as follows:</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4"/>
                <w:szCs w:val="24"/>
                <w:color w:val="auto"/>
              </w:rPr>
            </w:pPr>
          </w:p>
        </w:tc>
        <w:tc>
          <w:tcPr>
            <w:tcW w:w="10300" w:type="dxa"/>
            <w:vAlign w:val="bottom"/>
            <w:gridSpan w:val="4"/>
          </w:tcPr>
          <w:p>
            <w:pPr>
              <w:ind w:left="840"/>
              <w:spacing w:after="0"/>
              <w:rPr>
                <w:sz w:val="20"/>
                <w:szCs w:val="20"/>
                <w:color w:val="auto"/>
              </w:rPr>
            </w:pPr>
            <w:r>
              <w:rPr>
                <w:rFonts w:ascii="Arial" w:cs="Arial" w:eastAsia="Arial" w:hAnsi="Arial"/>
                <w:sz w:val="22"/>
                <w:szCs w:val="22"/>
                <w:color w:val="auto"/>
                <w:w w:val="94"/>
              </w:rPr>
              <w:t>I had a good relationship with Bloomin’ Brands but my position was eliminated. I have no disputes with</w:t>
            </w:r>
          </w:p>
        </w:tc>
      </w:tr>
      <w:tr>
        <w:trPr>
          <w:trHeight w:val="275"/>
        </w:trPr>
        <w:tc>
          <w:tcPr>
            <w:tcW w:w="460" w:type="dxa"/>
            <w:vAlign w:val="bottom"/>
          </w:tcPr>
          <w:p>
            <w:pPr>
              <w:spacing w:after="0"/>
              <w:rPr>
                <w:sz w:val="23"/>
                <w:szCs w:val="23"/>
                <w:color w:val="auto"/>
              </w:rPr>
            </w:pPr>
          </w:p>
        </w:tc>
        <w:tc>
          <w:tcPr>
            <w:tcW w:w="6660" w:type="dxa"/>
            <w:vAlign w:val="bottom"/>
          </w:tcPr>
          <w:p>
            <w:pPr>
              <w:ind w:left="840"/>
              <w:spacing w:after="0"/>
              <w:rPr>
                <w:sz w:val="20"/>
                <w:szCs w:val="20"/>
                <w:color w:val="auto"/>
              </w:rPr>
            </w:pPr>
            <w:r>
              <w:rPr>
                <w:rFonts w:ascii="Arial" w:cs="Arial" w:eastAsia="Arial" w:hAnsi="Arial"/>
                <w:sz w:val="22"/>
                <w:szCs w:val="22"/>
                <w:color w:val="auto"/>
              </w:rPr>
              <w:t>Bloomin’ Brands.</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0"/>
                <w:szCs w:val="20"/>
                <w:color w:val="auto"/>
              </w:rPr>
            </w:pPr>
            <w:r>
              <w:rPr>
                <w:rFonts w:ascii="Arial" w:cs="Arial" w:eastAsia="Arial" w:hAnsi="Arial"/>
                <w:sz w:val="22"/>
                <w:szCs w:val="22"/>
                <w:color w:val="auto"/>
              </w:rPr>
              <w:t>m.)</w:t>
            </w: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89"/>
              </w:rPr>
              <w:t>F</w:t>
            </w:r>
            <w:r>
              <w:rPr>
                <w:rFonts w:ascii="Arial" w:cs="Arial" w:eastAsia="Arial" w:hAnsi="Arial"/>
                <w:sz w:val="22"/>
                <w:szCs w:val="22"/>
                <w:color w:val="0D0D0D"/>
                <w:w w:val="89"/>
              </w:rPr>
              <w:t>or a two-year period commencing on the date Employee executes this Agreement,</w:t>
            </w:r>
            <w:r>
              <w:rPr>
                <w:rFonts w:ascii="Arial" w:cs="Arial" w:eastAsia="Arial" w:hAnsi="Arial"/>
                <w:sz w:val="22"/>
                <w:szCs w:val="22"/>
                <w:color w:val="auto"/>
                <w:w w:val="89"/>
              </w:rPr>
              <w:t xml:space="preserve"> Employee shall not, individually</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4"/>
              </w:rPr>
              <w:t>or jointly with others, offer employment to, or hire, any employee of Employer, their franchisees or affiliates, or</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7"/>
              </w:rPr>
              <w:t>otherwise solicit or induce, directly or indirectly, any employee of Employer, their franchisees or affiliates to</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5"/>
              </w:rPr>
              <w:t xml:space="preserve">terminate their employment. This prohibition on solicitation shall include but not be limited to </w:t>
            </w:r>
            <w:r>
              <w:rPr>
                <w:rFonts w:ascii="Arial" w:cs="Arial" w:eastAsia="Arial" w:hAnsi="Arial"/>
                <w:sz w:val="22"/>
                <w:szCs w:val="22"/>
                <w:color w:val="0D0D0D"/>
                <w:w w:val="95"/>
              </w:rPr>
              <w:t>any employee of</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0D0D0D"/>
                <w:w w:val="95"/>
              </w:rPr>
              <w:t>Employer or its Affiliates assigned to Employer’s Home Office in Tampa, Florida, except for non-management</w:t>
            </w:r>
          </w:p>
        </w:tc>
      </w:tr>
      <w:tr>
        <w:trPr>
          <w:trHeight w:val="275"/>
        </w:trPr>
        <w:tc>
          <w:tcPr>
            <w:tcW w:w="46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Arial" w:cs="Arial" w:eastAsia="Arial" w:hAnsi="Arial"/>
                <w:sz w:val="22"/>
                <w:szCs w:val="22"/>
                <w:color w:val="0D0D0D"/>
                <w:w w:val="93"/>
              </w:rPr>
              <w:t>personnel recruited through general solicitations in print or other media.</w:t>
            </w:r>
          </w:p>
        </w:tc>
        <w:tc>
          <w:tcPr>
            <w:tcW w:w="1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95"/>
        </w:trPr>
        <w:tc>
          <w:tcPr>
            <w:tcW w:w="460" w:type="dxa"/>
            <w:vAlign w:val="bottom"/>
          </w:tcPr>
          <w:p>
            <w:pPr>
              <w:spacing w:after="0"/>
              <w:rPr>
                <w:sz w:val="20"/>
                <w:szCs w:val="20"/>
                <w:color w:val="auto"/>
              </w:rPr>
            </w:pPr>
            <w:r>
              <w:rPr>
                <w:rFonts w:ascii="Arial" w:cs="Arial" w:eastAsia="Arial" w:hAnsi="Arial"/>
                <w:sz w:val="22"/>
                <w:szCs w:val="22"/>
                <w:color w:val="auto"/>
              </w:rPr>
              <w:t>n.)</w:t>
            </w: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4"/>
              </w:rPr>
              <w:t>Employee agrees to submit all requests for reimbursement no later than two weeks after the Separation Date.</w:t>
            </w:r>
          </w:p>
        </w:tc>
      </w:tr>
      <w:tr>
        <w:trPr>
          <w:trHeight w:val="257"/>
        </w:trPr>
        <w:tc>
          <w:tcPr>
            <w:tcW w:w="460" w:type="dxa"/>
            <w:vAlign w:val="bottom"/>
          </w:tcPr>
          <w:p>
            <w:pPr>
              <w:spacing w:after="0"/>
              <w:rPr>
                <w:sz w:val="22"/>
                <w:szCs w:val="22"/>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2"/>
              </w:rPr>
              <w:t>Employer reserves the right to deny requests for reimbursement made more than two weeks after the Separation</w:t>
            </w:r>
          </w:p>
        </w:tc>
      </w:tr>
      <w:tr>
        <w:trPr>
          <w:trHeight w:val="275"/>
        </w:trPr>
        <w:tc>
          <w:tcPr>
            <w:tcW w:w="460" w:type="dxa"/>
            <w:vAlign w:val="bottom"/>
          </w:tcPr>
          <w:p>
            <w:pPr>
              <w:spacing w:after="0"/>
              <w:rPr>
                <w:sz w:val="23"/>
                <w:szCs w:val="23"/>
                <w:color w:val="auto"/>
              </w:rPr>
            </w:pPr>
          </w:p>
        </w:tc>
        <w:tc>
          <w:tcPr>
            <w:tcW w:w="10300" w:type="dxa"/>
            <w:vAlign w:val="bottom"/>
            <w:gridSpan w:val="4"/>
          </w:tcPr>
          <w:p>
            <w:pPr>
              <w:ind w:left="180"/>
              <w:spacing w:after="0"/>
              <w:rPr>
                <w:sz w:val="20"/>
                <w:szCs w:val="20"/>
                <w:color w:val="auto"/>
              </w:rPr>
            </w:pPr>
            <w:r>
              <w:rPr>
                <w:rFonts w:ascii="Arial" w:cs="Arial" w:eastAsia="Arial" w:hAnsi="Arial"/>
                <w:sz w:val="22"/>
                <w:szCs w:val="22"/>
                <w:color w:val="auto"/>
                <w:w w:val="95"/>
              </w:rPr>
              <w:t>Date. Reimbursement eligibility will be determined consistent with Employer’s usual policies and procedures.</w:t>
            </w:r>
          </w:p>
        </w:tc>
      </w:tr>
      <w:tr>
        <w:trPr>
          <w:trHeight w:val="841"/>
        </w:trPr>
        <w:tc>
          <w:tcPr>
            <w:tcW w:w="460" w:type="dxa"/>
            <w:vAlign w:val="bottom"/>
          </w:tcPr>
          <w:p>
            <w:pPr>
              <w:spacing w:after="0"/>
              <w:rPr>
                <w:sz w:val="24"/>
                <w:szCs w:val="24"/>
                <w:color w:val="auto"/>
              </w:rPr>
            </w:pPr>
          </w:p>
        </w:tc>
        <w:tc>
          <w:tcPr>
            <w:tcW w:w="6660" w:type="dxa"/>
            <w:vAlign w:val="bottom"/>
          </w:tcPr>
          <w:p>
            <w:pPr>
              <w:ind w:left="4360"/>
              <w:spacing w:after="0"/>
              <w:rPr>
                <w:sz w:val="20"/>
                <w:szCs w:val="20"/>
                <w:color w:val="auto"/>
              </w:rPr>
            </w:pPr>
            <w:r>
              <w:rPr>
                <w:rFonts w:ascii="Arial" w:cs="Arial" w:eastAsia="Arial" w:hAnsi="Arial"/>
                <w:sz w:val="18"/>
                <w:szCs w:val="18"/>
                <w:color w:val="auto"/>
              </w:rPr>
              <w:t>Page 4 of 8</w:t>
            </w:r>
          </w:p>
        </w:tc>
        <w:tc>
          <w:tcPr>
            <w:tcW w:w="3640" w:type="dxa"/>
            <w:vAlign w:val="bottom"/>
            <w:gridSpan w:val="3"/>
          </w:tcPr>
          <w:p>
            <w:pPr>
              <w:ind w:left="26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/s/CWB</w:t>
            </w:r>
          </w:p>
        </w:tc>
      </w:tr>
      <w:tr>
        <w:trPr>
          <w:trHeight w:val="20"/>
        </w:trPr>
        <w:tc>
          <w:tcPr>
            <w:tcW w:w="4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0760"/>
          </w:cols>
          <w:pgMar w:left="900" w:top="374" w:right="239" w:bottom="1440" w:gutter="0" w:footer="0" w:header="0"/>
        </w:sectPr>
      </w:pPr>
    </w:p>
    <w:bookmarkStart w:id="523" w:name="page524"/>
    <w:bookmarkEnd w:id="523"/>
    <w:p>
      <w:pPr>
        <w:ind w:left="652"/>
        <w:spacing w:after="0"/>
        <w:rPr>
          <w:sz w:val="20"/>
          <w:szCs w:val="20"/>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Employee agrees this Release shall serve as Employee’s resignation from any and all director, officer or other positions Employee has held at any time for or on behalf of the Employer and/or Employer’s affiliates.</w:t>
      </w:r>
    </w:p>
    <w:p>
      <w:pPr>
        <w:spacing w:after="0" w:line="192" w:lineRule="exact"/>
        <w:rPr>
          <w:sz w:val="20"/>
          <w:szCs w:val="20"/>
          <w:color w:val="auto"/>
        </w:rPr>
      </w:pPr>
    </w:p>
    <w:p>
      <w:pPr>
        <w:sectPr>
          <w:pgSz w:w="11900" w:h="16838" w:orient="portrait"/>
          <w:cols w:equalWidth="0" w:num="2">
            <w:col w:w="892" w:space="400"/>
            <w:col w:w="10120"/>
          </w:cols>
          <w:pgMar w:left="248" w:top="374" w:right="239" w:bottom="1440" w:gutter="0" w:footer="0" w:header="0"/>
        </w:sectPr>
      </w:pPr>
    </w:p>
    <w:p>
      <w:pPr>
        <w:ind w:left="652"/>
        <w:spacing w:after="0"/>
        <w:rPr>
          <w:sz w:val="20"/>
          <w:szCs w:val="20"/>
          <w:color w:val="auto"/>
        </w:rPr>
      </w:pPr>
      <w:r>
        <w:rPr>
          <w:rFonts w:ascii="Arial" w:cs="Arial" w:eastAsia="Arial" w:hAnsi="Arial"/>
          <w:sz w:val="19"/>
          <w:szCs w:val="19"/>
          <w:color w:val="auto"/>
        </w:rPr>
        <w: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shall comply with all other terms of this Release as provided for herein.</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95" w:lineRule="exact"/>
        <w:rPr>
          <w:sz w:val="20"/>
          <w:szCs w:val="20"/>
          <w:color w:val="auto"/>
        </w:rPr>
      </w:pPr>
    </w:p>
    <w:p>
      <w:pPr>
        <w:ind w:left="652" w:right="20" w:hanging="652"/>
        <w:spacing w:after="0" w:line="263" w:lineRule="auto"/>
        <w:tabs>
          <w:tab w:leader="none" w:pos="652" w:val="left"/>
        </w:tabs>
        <w:numPr>
          <w:ilvl w:val="0"/>
          <w:numId w:val="416"/>
        </w:numPr>
        <w:rPr>
          <w:rFonts w:ascii="Arial" w:cs="Arial" w:eastAsia="Arial" w:hAnsi="Arial"/>
          <w:sz w:val="22"/>
          <w:szCs w:val="22"/>
          <w:color w:val="auto"/>
        </w:rPr>
      </w:pPr>
      <w:r>
        <w:rPr>
          <w:rFonts w:ascii="Arial" w:cs="Arial" w:eastAsia="Arial" w:hAnsi="Arial"/>
          <w:sz w:val="22"/>
          <w:szCs w:val="22"/>
          <w:color w:val="auto"/>
        </w:rPr>
        <w:t>As consideration for the promises made by Employee in this Release, Employer promises and obligates itself to perform the following covenants under this Release:</w:t>
      </w:r>
    </w:p>
    <w:p>
      <w:pPr>
        <w:sectPr>
          <w:pgSz w:w="11900" w:h="16838" w:orient="portrait"/>
          <w:cols w:equalWidth="0" w:num="1">
            <w:col w:w="11412"/>
          </w:cols>
          <w:pgMar w:left="248" w:top="374" w:right="239" w:bottom="1440" w:gutter="0" w:footer="0" w:header="0"/>
          <w:type w:val="continuous"/>
        </w:sectPr>
      </w:pPr>
    </w:p>
    <w:p>
      <w:pPr>
        <w:spacing w:after="0" w:line="21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Employer shall pay Employee a lump sum severance payment in the gross amount of $800,000, less legal deductions and withholdings.</w:t>
      </w:r>
    </w:p>
    <w:p>
      <w:pPr>
        <w:spacing w:after="0" w:line="200" w:lineRule="exact"/>
        <w:rPr>
          <w:sz w:val="20"/>
          <w:szCs w:val="20"/>
          <w:color w:val="auto"/>
        </w:rPr>
      </w:pPr>
    </w:p>
    <w:p>
      <w:pPr>
        <w:sectPr>
          <w:pgSz w:w="11900" w:h="16838" w:orient="portrait"/>
          <w:cols w:equalWidth="0" w:num="2">
            <w:col w:w="872" w:space="420"/>
            <w:col w:w="10120"/>
          </w:cols>
          <w:pgMar w:left="248" w:top="374"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Employer shall pay Employee a lump sum of $15,435 to reimburse Employee for 12 months continuing coverage of his benefits pursuant to the Consolidated Omnibus Budget Reconciliation Act (“COBRA”).</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Employer will not contest any claim for unemployment benefits related to Employee’s employment with Employer ended on the Separation Date.</w:t>
      </w:r>
    </w:p>
    <w:p>
      <w:pPr>
        <w:spacing w:after="0" w:line="200" w:lineRule="exact"/>
        <w:rPr>
          <w:sz w:val="20"/>
          <w:szCs w:val="20"/>
          <w:color w:val="auto"/>
        </w:rPr>
      </w:pPr>
    </w:p>
    <w:p>
      <w:pPr>
        <w:sectPr>
          <w:pgSz w:w="11900" w:h="16838" w:orient="portrait"/>
          <w:cols w:equalWidth="0" w:num="2">
            <w:col w:w="872" w:space="420"/>
            <w:col w:w="10120"/>
          </w:cols>
          <w:pgMar w:left="248" w:top="374"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22"/>
          <w:szCs w:val="22"/>
          <w:color w:val="auto"/>
        </w:rPr>
        <w:t>As additional consideration for this Release, Employer will provide Employee with outplacement services with Challenger, Gray &amp; Christmas for a period of up to 12 months, to be used consecutively, beginning after the expiration of the Revocation Period referenced in paragraph 6 below.</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2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Employer agrees not to seek reimbursement of the $150,000 retention bonus paid to Employee in March 2017.</w:t>
      </w:r>
    </w:p>
    <w:p>
      <w:pPr>
        <w:spacing w:after="0" w:line="200" w:lineRule="exact"/>
        <w:rPr>
          <w:sz w:val="20"/>
          <w:szCs w:val="20"/>
          <w:color w:val="auto"/>
        </w:rPr>
      </w:pPr>
    </w:p>
    <w:p>
      <w:pPr>
        <w:sectPr>
          <w:pgSz w:w="11900" w:h="16838" w:orient="portrait"/>
          <w:cols w:equalWidth="0" w:num="2">
            <w:col w:w="872" w:space="420"/>
            <w:col w:w="10120"/>
          </w:cols>
          <w:pgMar w:left="248" w:top="374"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Employee’s comp card for meal benefits in Employer’s restaurants will remain active through June 30, 2018.</w:t>
      </w:r>
    </w:p>
    <w:p>
      <w:pPr>
        <w:spacing w:after="0" w:line="234" w:lineRule="exact"/>
        <w:rPr>
          <w:sz w:val="20"/>
          <w:szCs w:val="20"/>
          <w:color w:val="auto"/>
        </w:rPr>
      </w:pPr>
    </w:p>
    <w:p>
      <w:pPr>
        <w:sectPr>
          <w:pgSz w:w="11900" w:h="16838" w:orient="portrait"/>
          <w:cols w:equalWidth="0" w:num="2">
            <w:col w:w="852" w:space="440"/>
            <w:col w:w="10120"/>
          </w:cols>
          <w:pgMar w:left="248" w:top="374" w:right="239" w:bottom="1440" w:gutter="0" w:footer="0" w:header="0"/>
          <w:type w:val="continuous"/>
        </w:sectPr>
      </w:pPr>
    </w:p>
    <w:p>
      <w:pPr>
        <w:spacing w:after="0" w:line="6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Employer shall send the payments described in paragraphs 4(a) and 4(b) above to Employee’s home address within 10 days after the expiration of the Revocation Period referenced in paragraph 6 below.</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Employer shall comply with all other terms of this Release as provided for herein.</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95" w:lineRule="exact"/>
        <w:rPr>
          <w:sz w:val="20"/>
          <w:szCs w:val="20"/>
          <w:color w:val="auto"/>
        </w:rPr>
      </w:pPr>
    </w:p>
    <w:p>
      <w:pPr>
        <w:jc w:val="both"/>
        <w:ind w:left="652" w:hanging="652"/>
        <w:spacing w:after="0" w:line="250" w:lineRule="auto"/>
        <w:tabs>
          <w:tab w:leader="none" w:pos="652" w:val="left"/>
        </w:tabs>
        <w:numPr>
          <w:ilvl w:val="0"/>
          <w:numId w:val="417"/>
        </w:numPr>
        <w:rPr>
          <w:rFonts w:ascii="Arial" w:cs="Arial" w:eastAsia="Arial" w:hAnsi="Arial"/>
          <w:sz w:val="22"/>
          <w:szCs w:val="22"/>
          <w:color w:val="auto"/>
        </w:rPr>
      </w:pPr>
      <w:r>
        <w:rPr>
          <w:rFonts w:ascii="Arial" w:cs="Arial" w:eastAsia="Arial" w:hAnsi="Arial"/>
          <w:sz w:val="22"/>
          <w:szCs w:val="22"/>
          <w:color w:val="auto"/>
        </w:rPr>
        <w:t>Employee shall have a period of 21 calendar days (“the Consideration Period”) from the date he is presented with this Release to consider the Release’s terms and consequences before executing the Release. Employee is not required to let the full Consideration Period elapse before executing the Release; rather, the Release may be executed on any date within the Consideration Period.</w:t>
      </w:r>
    </w:p>
    <w:p>
      <w:pPr>
        <w:spacing w:after="0" w:line="228" w:lineRule="exact"/>
        <w:rPr>
          <w:rFonts w:ascii="Arial" w:cs="Arial" w:eastAsia="Arial" w:hAnsi="Arial"/>
          <w:sz w:val="22"/>
          <w:szCs w:val="22"/>
          <w:color w:val="auto"/>
        </w:rPr>
      </w:pPr>
    </w:p>
    <w:p>
      <w:pPr>
        <w:jc w:val="both"/>
        <w:ind w:left="652" w:hanging="652"/>
        <w:spacing w:after="0" w:line="255" w:lineRule="auto"/>
        <w:tabs>
          <w:tab w:leader="none" w:pos="652" w:val="left"/>
        </w:tabs>
        <w:numPr>
          <w:ilvl w:val="0"/>
          <w:numId w:val="417"/>
        </w:numPr>
        <w:rPr>
          <w:rFonts w:ascii="Arial" w:cs="Arial" w:eastAsia="Arial" w:hAnsi="Arial"/>
          <w:sz w:val="22"/>
          <w:szCs w:val="22"/>
          <w:color w:val="auto"/>
        </w:rPr>
      </w:pPr>
      <w:r>
        <w:rPr>
          <w:rFonts w:ascii="Arial" w:cs="Arial" w:eastAsia="Arial" w:hAnsi="Arial"/>
          <w:sz w:val="22"/>
          <w:szCs w:val="22"/>
          <w:color w:val="auto"/>
        </w:rPr>
        <w:t>Employee and Employer agree that Employee may revoke the Release for any reason at any time during the seven calendar days immediately following Employee’s execution of the Release ("the Revocation Period"). To revoke this Release, Employee must cause written notice of his intent to revoke this Release to be delivered to Pablo Brizi at Employer’s Home Office, 2202 N. Westshore Boulevard,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Tampa, FL 33607</w:t>
      </w:r>
    </w:p>
    <w:p>
      <w:pPr>
        <w:spacing w:after="0" w:line="274" w:lineRule="exact"/>
        <w:rPr>
          <w:sz w:val="20"/>
          <w:szCs w:val="20"/>
          <w:color w:val="auto"/>
        </w:rPr>
      </w:pPr>
    </w:p>
    <w:p>
      <w:pPr>
        <w:ind w:left="5472"/>
        <w:spacing w:after="0"/>
        <w:tabs>
          <w:tab w:leader="none" w:pos="8012" w:val="left"/>
        </w:tabs>
        <w:rPr>
          <w:sz w:val="20"/>
          <w:szCs w:val="20"/>
          <w:color w:val="auto"/>
        </w:rPr>
      </w:pPr>
      <w:r>
        <w:rPr>
          <w:rFonts w:ascii="Arial" w:cs="Arial" w:eastAsia="Arial" w:hAnsi="Arial"/>
          <w:sz w:val="18"/>
          <w:szCs w:val="18"/>
          <w:color w:val="auto"/>
        </w:rPr>
        <w:t>Page 5 of 8</w:t>
      </w:r>
      <w:r>
        <w:rPr>
          <w:sz w:val="20"/>
          <w:szCs w:val="20"/>
          <w:color w:val="auto"/>
        </w:rPr>
        <w:tab/>
      </w:r>
      <w:r>
        <w:rPr>
          <w:rFonts w:ascii="Arial" w:cs="Arial" w:eastAsia="Arial" w:hAnsi="Arial"/>
          <w:sz w:val="17"/>
          <w:szCs w:val="17"/>
          <w:color w:val="auto"/>
        </w:rPr>
        <w:t>Employee Initials:</w:t>
      </w:r>
      <w:r>
        <w:rPr>
          <w:rFonts w:ascii="Arial" w:cs="Arial" w:eastAsia="Arial" w:hAnsi="Arial"/>
          <w:sz w:val="18"/>
          <w:szCs w:val="18"/>
          <w:u w:val="single" w:color="auto"/>
          <w:color w:val="auto"/>
        </w:rPr>
        <w:t>/s/CWB</w:t>
      </w:r>
    </w:p>
    <w:p>
      <w:pPr>
        <w:sectPr>
          <w:pgSz w:w="11900" w:h="16838" w:orient="portrait"/>
          <w:cols w:equalWidth="0" w:num="1">
            <w:col w:w="11412"/>
          </w:cols>
          <w:pgMar w:left="248" w:top="374" w:right="239" w:bottom="1440" w:gutter="0" w:footer="0" w:header="0"/>
          <w:type w:val="continuous"/>
        </w:sectPr>
      </w:pPr>
    </w:p>
    <w:bookmarkStart w:id="524" w:name="page525"/>
    <w:bookmarkEnd w:id="524"/>
    <w:p>
      <w:pPr>
        <w:ind w:left="652" w:right="20"/>
        <w:spacing w:after="0" w:line="263" w:lineRule="auto"/>
        <w:rPr>
          <w:sz w:val="20"/>
          <w:szCs w:val="20"/>
          <w:color w:val="auto"/>
        </w:rPr>
      </w:pPr>
      <w:r>
        <w:rPr>
          <w:rFonts w:ascii="Arial" w:cs="Arial" w:eastAsia="Arial" w:hAnsi="Arial"/>
          <w:sz w:val="22"/>
          <w:szCs w:val="22"/>
          <w:color w:val="auto"/>
        </w:rPr>
        <w:t>within the Revocation Period. This Release shall not become effective or enforceable until the Revocation Period has expired without such notice having been delivered to Employer in the specified manner.</w:t>
      </w:r>
    </w:p>
    <w:p>
      <w:pPr>
        <w:spacing w:after="0" w:line="215" w:lineRule="exact"/>
        <w:rPr>
          <w:sz w:val="20"/>
          <w:szCs w:val="20"/>
          <w:color w:val="auto"/>
        </w:rPr>
      </w:pPr>
    </w:p>
    <w:p>
      <w:pPr>
        <w:ind w:left="652" w:hanging="652"/>
        <w:spacing w:after="0"/>
        <w:tabs>
          <w:tab w:leader="none" w:pos="652" w:val="left"/>
        </w:tabs>
        <w:numPr>
          <w:ilvl w:val="0"/>
          <w:numId w:val="418"/>
        </w:numPr>
        <w:rPr>
          <w:rFonts w:ascii="Arial" w:cs="Arial" w:eastAsia="Arial" w:hAnsi="Arial"/>
          <w:sz w:val="22"/>
          <w:szCs w:val="22"/>
          <w:color w:val="auto"/>
        </w:rPr>
      </w:pPr>
      <w:r>
        <w:rPr>
          <w:rFonts w:ascii="Arial" w:cs="Arial" w:eastAsia="Arial" w:hAnsi="Arial"/>
          <w:sz w:val="22"/>
          <w:szCs w:val="22"/>
          <w:color w:val="auto"/>
        </w:rPr>
        <w:t>Employee agrees that each of the following statements is truthful and accurate:</w:t>
      </w:r>
    </w:p>
    <w:p>
      <w:pPr>
        <w:sectPr>
          <w:pgSz w:w="11900" w:h="16838" w:orient="portrait"/>
          <w:cols w:equalWidth="0" w:num="1">
            <w:col w:w="11412"/>
          </w:cols>
          <w:pgMar w:left="248" w:top="375" w:right="239" w:bottom="1440" w:gutter="0" w:footer="0" w:header="0"/>
        </w:sectPr>
      </w:pPr>
    </w:p>
    <w:p>
      <w:pPr>
        <w:spacing w:after="0" w:line="26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Employee is of sound mind and body.</w:t>
      </w:r>
    </w:p>
    <w:p>
      <w:pPr>
        <w:spacing w:after="0" w:line="200" w:lineRule="exact"/>
        <w:rPr>
          <w:sz w:val="20"/>
          <w:szCs w:val="20"/>
          <w:color w:val="auto"/>
        </w:rPr>
      </w:pPr>
    </w:p>
    <w:p>
      <w:pPr>
        <w:sectPr>
          <w:pgSz w:w="11900" w:h="16838" w:orient="portrait"/>
          <w:cols w:equalWidth="0" w:num="2">
            <w:col w:w="872" w:space="42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sufficient education and experience to make choices for himself that may affect his legal rights.</w:t>
      </w:r>
    </w:p>
    <w:p>
      <w:pPr>
        <w:spacing w:after="0" w:line="200" w:lineRule="exact"/>
        <w:rPr>
          <w:sz w:val="20"/>
          <w:szCs w:val="20"/>
          <w:color w:val="auto"/>
        </w:rPr>
      </w:pPr>
    </w:p>
    <w:p>
      <w:pPr>
        <w:sectPr>
          <w:pgSz w:w="11900" w:h="16838" w:orient="portrait"/>
          <w:cols w:equalWidth="0" w:num="2">
            <w:col w:w="892" w:space="40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full legal capacity to make decisions for himself.</w:t>
      </w:r>
    </w:p>
    <w:p>
      <w:pPr>
        <w:spacing w:after="0" w:line="200" w:lineRule="exact"/>
        <w:rPr>
          <w:sz w:val="20"/>
          <w:szCs w:val="20"/>
          <w:color w:val="auto"/>
        </w:rPr>
      </w:pPr>
    </w:p>
    <w:p>
      <w:pPr>
        <w:sectPr>
          <w:pgSz w:w="11900" w:h="16838" w:orient="portrait"/>
          <w:cols w:equalWidth="0" w:num="2">
            <w:col w:w="872" w:space="42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is aware that this Release has significant legal consequences.</w:t>
      </w:r>
    </w:p>
    <w:p>
      <w:pPr>
        <w:spacing w:after="0" w:line="200" w:lineRule="exact"/>
        <w:rPr>
          <w:sz w:val="20"/>
          <w:szCs w:val="20"/>
          <w:color w:val="auto"/>
        </w:rPr>
      </w:pPr>
    </w:p>
    <w:p>
      <w:pPr>
        <w:sectPr>
          <w:pgSz w:w="11900" w:h="16838" w:orient="portrait"/>
          <w:cols w:equalWidth="0" w:num="2">
            <w:col w:w="892" w:space="40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Employee has been advised to consider consulting with an attorney of his choice prior to signing this Release.</w:t>
      </w:r>
    </w:p>
    <w:p>
      <w:pPr>
        <w:spacing w:after="0" w:line="200" w:lineRule="exact"/>
        <w:rPr>
          <w:sz w:val="20"/>
          <w:szCs w:val="20"/>
          <w:color w:val="auto"/>
        </w:rPr>
      </w:pPr>
    </w:p>
    <w:p>
      <w:pPr>
        <w:sectPr>
          <w:pgSz w:w="11900" w:h="16838" w:orient="portrait"/>
          <w:cols w:equalWidth="0" w:num="2">
            <w:col w:w="872" w:space="42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Employee has decided to sign this Release of his own free will, and his decision to sign this Release has not been unduly influenced or controlled by any mental or emotional impairment or condition.</w:t>
      </w:r>
    </w:p>
    <w:p>
      <w:pPr>
        <w:spacing w:after="0" w:line="200" w:lineRule="exact"/>
        <w:rPr>
          <w:sz w:val="20"/>
          <w:szCs w:val="20"/>
          <w:color w:val="auto"/>
        </w:rPr>
      </w:pPr>
    </w:p>
    <w:p>
      <w:pPr>
        <w:sectPr>
          <w:pgSz w:w="11900" w:h="16838" w:orient="portrait"/>
          <w:cols w:equalWidth="0" w:num="2">
            <w:col w:w="852" w:space="440"/>
            <w:col w:w="10120"/>
          </w:cols>
          <w:pgMar w:left="248" w:top="375" w:right="239" w:bottom="1440" w:gutter="0" w:footer="0" w:header="0"/>
          <w:type w:val="continuous"/>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is not executing this Release because of any duress or coercion imposed on him by anyone.</w:t>
      </w:r>
    </w:p>
    <w:p>
      <w:pPr>
        <w:spacing w:after="0" w:line="200" w:lineRule="exact"/>
        <w:rPr>
          <w:sz w:val="20"/>
          <w:szCs w:val="20"/>
          <w:color w:val="auto"/>
        </w:rPr>
      </w:pPr>
    </w:p>
    <w:p>
      <w:pPr>
        <w:sectPr>
          <w:pgSz w:w="11900" w:h="16838" w:orient="portrait"/>
          <w:cols w:equalWidth="0" w:num="2">
            <w:col w:w="892" w:space="400"/>
            <w:col w:w="10120"/>
          </w:cols>
          <w:pgMar w:left="248" w:top="375" w:right="239" w:bottom="1440" w:gutter="0" w:footer="0" w:header="0"/>
          <w:type w:val="continuous"/>
        </w:sectPr>
      </w:pPr>
    </w:p>
    <w:p>
      <w:pPr>
        <w:spacing w:after="0" w:line="9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Employee acknowledges that he has not compromised any claim for unpaid wages under the Fair Labor Standards Act as he has received full compensation for all hours worked, at the appropriate rate of pay, and no other wages, overtime, compensation, benefits, or other amounts are due and owing.</w:t>
      </w:r>
    </w:p>
    <w:p>
      <w:pPr>
        <w:spacing w:after="0" w:line="200" w:lineRule="exact"/>
        <w:rPr>
          <w:sz w:val="20"/>
          <w:szCs w:val="20"/>
          <w:color w:val="auto"/>
        </w:rPr>
      </w:pPr>
    </w:p>
    <w:p>
      <w:pPr>
        <w:sectPr>
          <w:pgSz w:w="11900" w:h="16838" w:orient="portrait"/>
          <w:cols w:equalWidth="0" w:num="2">
            <w:col w:w="892" w:space="400"/>
            <w:col w:w="10120"/>
          </w:cols>
          <w:pgMar w:left="248" w:top="375" w:right="239" w:bottom="1440" w:gutter="0" w:footer="0" w:header="0"/>
          <w:type w:val="continuous"/>
        </w:sectPr>
      </w:pPr>
    </w:p>
    <w:p>
      <w:pPr>
        <w:spacing w:after="0" w:line="26" w:lineRule="exact"/>
        <w:rPr>
          <w:sz w:val="20"/>
          <w:szCs w:val="20"/>
          <w:color w:val="auto"/>
        </w:rPr>
      </w:pPr>
    </w:p>
    <w:p>
      <w:pPr>
        <w:jc w:val="both"/>
        <w:ind w:left="652" w:hanging="652"/>
        <w:spacing w:after="0" w:line="259" w:lineRule="auto"/>
        <w:tabs>
          <w:tab w:leader="none" w:pos="652" w:val="left"/>
        </w:tabs>
        <w:numPr>
          <w:ilvl w:val="0"/>
          <w:numId w:val="419"/>
        </w:numPr>
        <w:rPr>
          <w:rFonts w:ascii="Arial" w:cs="Arial" w:eastAsia="Arial" w:hAnsi="Arial"/>
          <w:sz w:val="21"/>
          <w:szCs w:val="21"/>
          <w:color w:val="auto"/>
        </w:rPr>
      </w:pPr>
      <w:r>
        <w:rPr>
          <w:rFonts w:ascii="Arial" w:cs="Arial" w:eastAsia="Arial" w:hAnsi="Arial"/>
          <w:sz w:val="21"/>
          <w:szCs w:val="21"/>
          <w:color w:val="auto"/>
        </w:rPr>
        <w:t>Employee represents that he has not sold, transferred, or assigned to a third party any claims that he may have against Employer and its Releasees. Employee represents that any claims that he may have against Employer and its Releasees are unencumbered and otherwise within his power to dispose of. Employee represents that he does not have any pending lawsuits, claims, or actions against Employer and its Releasees, or that if he does, he has fully disclosed such lawsuits, claims, or actions to Employer prior to executing this Release. Employee further represents that he has not suffered any injuries, illnesses, or accidents in the course of his employment other than those he has previously disclosed to Employer, and that any previously disclosed injuries, illnesses, or accidents are included within the scope of the claims settled by this Release.</w:t>
      </w:r>
    </w:p>
    <w:p>
      <w:pPr>
        <w:spacing w:after="0" w:line="224" w:lineRule="exact"/>
        <w:rPr>
          <w:rFonts w:ascii="Arial" w:cs="Arial" w:eastAsia="Arial" w:hAnsi="Arial"/>
          <w:sz w:val="21"/>
          <w:szCs w:val="21"/>
          <w:color w:val="auto"/>
        </w:rPr>
      </w:pPr>
    </w:p>
    <w:p>
      <w:pPr>
        <w:jc w:val="both"/>
        <w:ind w:left="652" w:hanging="652"/>
        <w:spacing w:after="0" w:line="260" w:lineRule="auto"/>
        <w:tabs>
          <w:tab w:leader="none" w:pos="652" w:val="left"/>
        </w:tabs>
        <w:numPr>
          <w:ilvl w:val="0"/>
          <w:numId w:val="419"/>
        </w:numPr>
        <w:rPr>
          <w:rFonts w:ascii="Arial" w:cs="Arial" w:eastAsia="Arial" w:hAnsi="Arial"/>
          <w:sz w:val="22"/>
          <w:szCs w:val="22"/>
          <w:color w:val="auto"/>
        </w:rPr>
      </w:pPr>
      <w:r>
        <w:rPr>
          <w:rFonts w:ascii="Arial" w:cs="Arial" w:eastAsia="Arial" w:hAnsi="Arial"/>
          <w:sz w:val="22"/>
          <w:szCs w:val="22"/>
          <w:color w:val="auto"/>
        </w:rPr>
        <w:t xml:space="preserve">Employee has returned all property of Employer and its affiliates in Employee’s possession, including but not limited to, training materials, laptop computers, customer correspondence, sales information, </w:t>
      </w:r>
      <w:r>
        <w:rPr>
          <w:rFonts w:ascii="Arial" w:cs="Arial" w:eastAsia="Arial" w:hAnsi="Arial"/>
          <w:sz w:val="19"/>
          <w:szCs w:val="19"/>
          <w:color w:val="auto"/>
          <w:strike w:val="1"/>
        </w:rPr>
        <w:t>company discount card</w:t>
      </w:r>
      <w:r>
        <w:rPr>
          <w:rFonts w:ascii="Arial" w:cs="Arial" w:eastAsia="Arial" w:hAnsi="Arial"/>
          <w:sz w:val="22"/>
          <w:szCs w:val="22"/>
          <w:color w:val="auto"/>
        </w:rPr>
        <w:t xml:space="preserve"> and gift cards. All such materials are the exclusive property of the Employer.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72"/>
        <w:spacing w:after="0"/>
        <w:tabs>
          <w:tab w:leader="none" w:pos="8012" w:val="left"/>
        </w:tabs>
        <w:rPr>
          <w:sz w:val="20"/>
          <w:szCs w:val="20"/>
          <w:color w:val="auto"/>
        </w:rPr>
      </w:pPr>
      <w:r>
        <w:rPr>
          <w:rFonts w:ascii="Arial" w:cs="Arial" w:eastAsia="Arial" w:hAnsi="Arial"/>
          <w:sz w:val="18"/>
          <w:szCs w:val="18"/>
          <w:color w:val="auto"/>
        </w:rPr>
        <w:t>Page 6 of 8</w:t>
      </w:r>
      <w:r>
        <w:rPr>
          <w:sz w:val="20"/>
          <w:szCs w:val="20"/>
          <w:color w:val="auto"/>
        </w:rPr>
        <w:tab/>
      </w:r>
      <w:r>
        <w:rPr>
          <w:rFonts w:ascii="Arial" w:cs="Arial" w:eastAsia="Arial" w:hAnsi="Arial"/>
          <w:sz w:val="17"/>
          <w:szCs w:val="17"/>
          <w:color w:val="auto"/>
        </w:rPr>
        <w:t>Employee Initials:</w:t>
      </w:r>
      <w:r>
        <w:rPr>
          <w:rFonts w:ascii="Arial" w:cs="Arial" w:eastAsia="Arial" w:hAnsi="Arial"/>
          <w:sz w:val="18"/>
          <w:szCs w:val="18"/>
          <w:u w:val="single" w:color="auto"/>
          <w:color w:val="auto"/>
        </w:rPr>
        <w:t>/s/CWB</w:t>
      </w:r>
    </w:p>
    <w:p>
      <w:pPr>
        <w:sectPr>
          <w:pgSz w:w="11900" w:h="16838" w:orient="portrait"/>
          <w:cols w:equalWidth="0" w:num="1">
            <w:col w:w="11412"/>
          </w:cols>
          <w:pgMar w:left="248" w:top="375" w:right="239" w:bottom="1440" w:gutter="0" w:footer="0" w:header="0"/>
          <w:type w:val="continuous"/>
        </w:sectPr>
      </w:pPr>
    </w:p>
    <w:bookmarkStart w:id="525" w:name="page526"/>
    <w:bookmarkEnd w:id="525"/>
    <w:p>
      <w:pPr>
        <w:jc w:val="both"/>
        <w:ind w:left="652" w:hanging="652"/>
        <w:spacing w:after="0" w:line="290" w:lineRule="auto"/>
        <w:tabs>
          <w:tab w:leader="none" w:pos="652" w:val="left"/>
        </w:tabs>
        <w:numPr>
          <w:ilvl w:val="0"/>
          <w:numId w:val="420"/>
        </w:numPr>
        <w:rPr>
          <w:rFonts w:ascii="Arial" w:cs="Arial" w:eastAsia="Arial" w:hAnsi="Arial"/>
          <w:sz w:val="19"/>
          <w:szCs w:val="19"/>
          <w:color w:val="auto"/>
        </w:rPr>
      </w:pPr>
      <w:r>
        <w:rPr>
          <w:rFonts w:ascii="Arial" w:cs="Arial" w:eastAsia="Arial" w:hAnsi="Arial"/>
          <w:sz w:val="19"/>
          <w:szCs w:val="19"/>
          <w:color w:val="auto"/>
        </w:rPr>
        <w:t>Employee shall not, individually or jointly with others, for the benefit of the Employee or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the Employee.</w:t>
      </w:r>
    </w:p>
    <w:p>
      <w:pPr>
        <w:spacing w:after="0" w:line="197" w:lineRule="exact"/>
        <w:rPr>
          <w:rFonts w:ascii="Arial" w:cs="Arial" w:eastAsia="Arial" w:hAnsi="Arial"/>
          <w:sz w:val="19"/>
          <w:szCs w:val="19"/>
          <w:color w:val="auto"/>
        </w:rPr>
      </w:pPr>
    </w:p>
    <w:p>
      <w:pPr>
        <w:jc w:val="both"/>
        <w:ind w:left="652" w:hanging="652"/>
        <w:spacing w:after="0" w:line="260" w:lineRule="auto"/>
        <w:tabs>
          <w:tab w:leader="none" w:pos="652" w:val="left"/>
        </w:tabs>
        <w:numPr>
          <w:ilvl w:val="0"/>
          <w:numId w:val="420"/>
        </w:numPr>
        <w:rPr>
          <w:rFonts w:ascii="Arial" w:cs="Arial" w:eastAsia="Arial" w:hAnsi="Arial"/>
          <w:sz w:val="21"/>
          <w:szCs w:val="21"/>
          <w:color w:val="auto"/>
        </w:rPr>
      </w:pPr>
      <w:r>
        <w:rPr>
          <w:rFonts w:ascii="Arial" w:cs="Arial" w:eastAsia="Arial" w:hAnsi="Arial"/>
          <w:sz w:val="21"/>
          <w:szCs w:val="21"/>
          <w:color w:val="auto"/>
        </w:rPr>
        <w:t>Any and all prior understandings or agreements between Employee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the Employee to Employer because of any other contract or agreement or law. The rights and releases given to Employer in this Release will be in addition to, and not in place of, any and all other rights held by Employer by virtue of any other contract, agreement or undertaking, and to that extent, the obligations of the Employee survive the execution of this Release.</w:t>
      </w:r>
    </w:p>
    <w:p>
      <w:pPr>
        <w:spacing w:after="0" w:line="221" w:lineRule="exact"/>
        <w:rPr>
          <w:rFonts w:ascii="Arial" w:cs="Arial" w:eastAsia="Arial" w:hAnsi="Arial"/>
          <w:sz w:val="21"/>
          <w:szCs w:val="21"/>
          <w:color w:val="auto"/>
        </w:rPr>
      </w:pPr>
    </w:p>
    <w:p>
      <w:pPr>
        <w:jc w:val="both"/>
        <w:ind w:left="652" w:hanging="652"/>
        <w:spacing w:after="0" w:line="253" w:lineRule="auto"/>
        <w:tabs>
          <w:tab w:leader="none" w:pos="652" w:val="left"/>
        </w:tabs>
        <w:numPr>
          <w:ilvl w:val="0"/>
          <w:numId w:val="420"/>
        </w:numPr>
        <w:rPr>
          <w:rFonts w:ascii="Arial" w:cs="Arial" w:eastAsia="Arial" w:hAnsi="Arial"/>
          <w:sz w:val="22"/>
          <w:szCs w:val="22"/>
          <w:color w:val="auto"/>
        </w:rPr>
      </w:pPr>
      <w:r>
        <w:rPr>
          <w:rFonts w:ascii="Arial" w:cs="Arial" w:eastAsia="Arial" w:hAnsi="Arial"/>
          <w:sz w:val="22"/>
          <w:szCs w:val="22"/>
          <w:color w:val="auto"/>
        </w:rPr>
        <w:t>In addition to any rights and remedies Employer provided by law, Employer has the right to set-off any amounts for any damages to Employer and/or its affiliates caused by Employee’s noncompliance with this Release, including as related to the non-solicitation provision.</w:t>
      </w:r>
    </w:p>
    <w:p>
      <w:pPr>
        <w:spacing w:after="0" w:line="226" w:lineRule="exact"/>
        <w:rPr>
          <w:rFonts w:ascii="Arial" w:cs="Arial" w:eastAsia="Arial" w:hAnsi="Arial"/>
          <w:sz w:val="22"/>
          <w:szCs w:val="22"/>
          <w:color w:val="auto"/>
        </w:rPr>
      </w:pPr>
    </w:p>
    <w:p>
      <w:pPr>
        <w:jc w:val="both"/>
        <w:ind w:left="652" w:hanging="652"/>
        <w:spacing w:after="0" w:line="248" w:lineRule="auto"/>
        <w:tabs>
          <w:tab w:leader="none" w:pos="652" w:val="left"/>
        </w:tabs>
        <w:numPr>
          <w:ilvl w:val="0"/>
          <w:numId w:val="420"/>
        </w:numPr>
        <w:rPr>
          <w:rFonts w:ascii="Arial" w:cs="Arial" w:eastAsia="Arial" w:hAnsi="Arial"/>
          <w:sz w:val="22"/>
          <w:szCs w:val="22"/>
          <w:color w:val="auto"/>
        </w:rPr>
      </w:pPr>
      <w:r>
        <w:rPr>
          <w:rFonts w:ascii="Arial" w:cs="Arial" w:eastAsia="Arial" w:hAnsi="Arial"/>
          <w:sz w:val="22"/>
          <w:szCs w:val="22"/>
          <w:color w:val="auto"/>
        </w:rPr>
        <w:t>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identifies the provisions herein that are to be changed, amended, or modified. Such change, amendment, or modification must be signed by Employee and by duly authorized officers or representatives of Employer.</w:t>
      </w:r>
    </w:p>
    <w:p>
      <w:pPr>
        <w:spacing w:after="0" w:line="232"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420"/>
        </w:numPr>
        <w:rPr>
          <w:rFonts w:ascii="Arial" w:cs="Arial" w:eastAsia="Arial" w:hAnsi="Arial"/>
          <w:sz w:val="19"/>
          <w:szCs w:val="19"/>
          <w:color w:val="auto"/>
        </w:rPr>
      </w:pPr>
      <w:r>
        <w:rPr>
          <w:rFonts w:ascii="Arial" w:cs="Arial" w:eastAsia="Arial" w:hAnsi="Arial"/>
          <w:sz w:val="19"/>
          <w:szCs w:val="19"/>
          <w:color w:val="auto"/>
        </w:rPr>
        <w:t>This Release is made and entered into in the state of Florida, and shall in all respects be interpreted, enforced and governed under the laws of Florida. In the event of a breach of this Release by either party, the other party shall be entitled to seek enforcement of this Release exclusively before a state or federal court of competent jurisdiction located in Hillsborough County, Florida, and the state and federal courts located in Hillsborough County, Florida shall be deemed to have exclusive jurisdiction and venue over any litigation related to or arising from this Release. This Release shall not be construed to waive any right of removal that may apply to any action filed in state court by either party to this Release.</w:t>
      </w:r>
    </w:p>
    <w:p>
      <w:pPr>
        <w:spacing w:after="0" w:line="190" w:lineRule="exact"/>
        <w:rPr>
          <w:rFonts w:ascii="Arial" w:cs="Arial" w:eastAsia="Arial" w:hAnsi="Arial"/>
          <w:sz w:val="19"/>
          <w:szCs w:val="19"/>
          <w:color w:val="auto"/>
        </w:rPr>
      </w:pPr>
    </w:p>
    <w:p>
      <w:pPr>
        <w:ind w:left="652" w:hanging="652"/>
        <w:spacing w:after="0" w:line="263" w:lineRule="auto"/>
        <w:tabs>
          <w:tab w:leader="none" w:pos="652" w:val="left"/>
        </w:tabs>
        <w:numPr>
          <w:ilvl w:val="0"/>
          <w:numId w:val="420"/>
        </w:numPr>
        <w:rPr>
          <w:rFonts w:ascii="Arial" w:cs="Arial" w:eastAsia="Arial" w:hAnsi="Arial"/>
          <w:sz w:val="22"/>
          <w:szCs w:val="22"/>
          <w:color w:val="auto"/>
        </w:rPr>
      </w:pPr>
      <w:r>
        <w:rPr>
          <w:rFonts w:ascii="Arial" w:cs="Arial" w:eastAsia="Arial" w:hAnsi="Arial"/>
          <w:sz w:val="22"/>
          <w:szCs w:val="22"/>
          <w:color w:val="auto"/>
        </w:rPr>
        <w:t>At the conclusion of any litigation or dispute arising out of or related to this Release, the prevailing party may recover, in addition to damages, the costs and fees (including</w:t>
      </w:r>
    </w:p>
    <w:p>
      <w:pPr>
        <w:spacing w:after="0" w:line="355" w:lineRule="exact"/>
        <w:rPr>
          <w:sz w:val="20"/>
          <w:szCs w:val="20"/>
          <w:color w:val="auto"/>
        </w:rPr>
      </w:pPr>
    </w:p>
    <w:p>
      <w:pPr>
        <w:ind w:left="5472"/>
        <w:spacing w:after="0"/>
        <w:tabs>
          <w:tab w:leader="none" w:pos="8012" w:val="left"/>
        </w:tabs>
        <w:rPr>
          <w:sz w:val="20"/>
          <w:szCs w:val="20"/>
          <w:color w:val="auto"/>
        </w:rPr>
      </w:pPr>
      <w:r>
        <w:rPr>
          <w:rFonts w:ascii="Arial" w:cs="Arial" w:eastAsia="Arial" w:hAnsi="Arial"/>
          <w:sz w:val="18"/>
          <w:szCs w:val="18"/>
          <w:color w:val="auto"/>
        </w:rPr>
        <w:t>Page 7 of 8</w:t>
      </w:r>
      <w:r>
        <w:rPr>
          <w:sz w:val="20"/>
          <w:szCs w:val="20"/>
          <w:color w:val="auto"/>
        </w:rPr>
        <w:tab/>
      </w:r>
      <w:r>
        <w:rPr>
          <w:rFonts w:ascii="Arial" w:cs="Arial" w:eastAsia="Arial" w:hAnsi="Arial"/>
          <w:sz w:val="17"/>
          <w:szCs w:val="17"/>
          <w:color w:val="auto"/>
        </w:rPr>
        <w:t>Employee Initials:</w:t>
      </w:r>
      <w:r>
        <w:rPr>
          <w:rFonts w:ascii="Arial" w:cs="Arial" w:eastAsia="Arial" w:hAnsi="Arial"/>
          <w:sz w:val="18"/>
          <w:szCs w:val="18"/>
          <w:u w:val="single" w:color="auto"/>
          <w:color w:val="auto"/>
        </w:rPr>
        <w:t>/s/CWB</w:t>
      </w:r>
    </w:p>
    <w:p>
      <w:pPr>
        <w:sectPr>
          <w:pgSz w:w="11900" w:h="16838" w:orient="portrait"/>
          <w:cols w:equalWidth="0" w:num="1">
            <w:col w:w="11412"/>
          </w:cols>
          <w:pgMar w:left="248" w:top="374" w:right="239" w:bottom="1440" w:gutter="0" w:footer="0" w:header="0"/>
        </w:sectPr>
      </w:pPr>
    </w:p>
    <w:bookmarkStart w:id="526" w:name="page527"/>
    <w:bookmarkEnd w:id="526"/>
    <w:p>
      <w:pPr>
        <w:ind w:left="660"/>
        <w:spacing w:after="0"/>
        <w:rPr>
          <w:sz w:val="20"/>
          <w:szCs w:val="20"/>
          <w:color w:val="auto"/>
        </w:rPr>
      </w:pPr>
      <w:r>
        <w:rPr>
          <w:rFonts w:ascii="Arial" w:cs="Arial" w:eastAsia="Arial" w:hAnsi="Arial"/>
          <w:sz w:val="21"/>
          <w:szCs w:val="21"/>
          <w:color w:val="auto"/>
        </w:rPr>
        <w:t>attorney's fees, paralegal fees, and expert fees) reasonably incurred in connection with the litigation or dispute.</w:t>
      </w:r>
    </w:p>
    <w:p>
      <w:pPr>
        <w:spacing w:after="0" w:line="272" w:lineRule="exact"/>
        <w:rPr>
          <w:sz w:val="20"/>
          <w:szCs w:val="20"/>
          <w:color w:val="auto"/>
        </w:rPr>
      </w:pPr>
    </w:p>
    <w:p>
      <w:pPr>
        <w:jc w:val="both"/>
        <w:ind w:left="660" w:hanging="652"/>
        <w:spacing w:after="0" w:line="253" w:lineRule="auto"/>
        <w:tabs>
          <w:tab w:leader="none" w:pos="660" w:val="left"/>
        </w:tabs>
        <w:numPr>
          <w:ilvl w:val="0"/>
          <w:numId w:val="421"/>
        </w:numPr>
        <w:rPr>
          <w:rFonts w:ascii="Arial" w:cs="Arial" w:eastAsia="Arial" w:hAnsi="Arial"/>
          <w:sz w:val="22"/>
          <w:szCs w:val="22"/>
          <w:color w:val="auto"/>
        </w:rPr>
      </w:pPr>
      <w:r>
        <w:rPr>
          <w:rFonts w:ascii="Arial" w:cs="Arial" w:eastAsia="Arial" w:hAnsi="Arial"/>
          <w:sz w:val="22"/>
          <w:szCs w:val="22"/>
          <w:color w:val="auto"/>
        </w:rPr>
        <w:t>The language of all parts of this Release shall in all cases be construed as a whole, according to its fair meaning, and not strictly for or against any of the parties. As used in this Release, the singular or plural shall be deemed to include the other whenever the context so indicates or requires.</w:t>
      </w:r>
    </w:p>
    <w:p>
      <w:pPr>
        <w:spacing w:after="0" w:line="226"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421"/>
        </w:numPr>
        <w:rPr>
          <w:rFonts w:ascii="Arial" w:cs="Arial" w:eastAsia="Arial" w:hAnsi="Arial"/>
          <w:sz w:val="22"/>
          <w:szCs w:val="22"/>
          <w:color w:val="auto"/>
        </w:rPr>
      </w:pPr>
      <w:r>
        <w:rPr>
          <w:rFonts w:ascii="Arial" w:cs="Arial" w:eastAsia="Arial" w:hAnsi="Arial"/>
          <w:sz w:val="22"/>
          <w:szCs w:val="22"/>
          <w:color w:val="auto"/>
        </w:rPr>
        <w:t>Should any provision of this Release be declared or be determined by any court to be illegal or invalid, the remaining parts, terms or provisions shall remain valid unless declared otherwise by the court. Any part, term or provision which is determined to be illegal or invalid shall be deemed not to be a part of this Release.</w:t>
      </w:r>
    </w:p>
    <w:p>
      <w:pPr>
        <w:spacing w:after="0" w:line="226"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421"/>
        </w:numPr>
        <w:rPr>
          <w:rFonts w:ascii="Arial" w:cs="Arial" w:eastAsia="Arial" w:hAnsi="Arial"/>
          <w:sz w:val="22"/>
          <w:szCs w:val="22"/>
          <w:color w:val="auto"/>
        </w:rPr>
      </w:pPr>
      <w:r>
        <w:rPr>
          <w:rFonts w:ascii="Arial" w:cs="Arial" w:eastAsia="Arial" w:hAnsi="Arial"/>
          <w:sz w:val="22"/>
          <w:szCs w:val="22"/>
          <w:color w:val="auto"/>
        </w:rPr>
        <w:t>The parties agree that a true copy of this Release may be used in any legal proceeding in place of the original and that any such true copy shall have the same effect as the original.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READ CAREFULLY. THIS GENERAL RELEASE INCLUDES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RELEASE OF ALL KNOWN AND UNKNOWN CLAIMS.</w:t>
      </w:r>
    </w:p>
    <w:p>
      <w:pPr>
        <w:spacing w:after="0" w:line="200" w:lineRule="exact"/>
        <w:rPr>
          <w:sz w:val="20"/>
          <w:szCs w:val="20"/>
          <w:color w:val="auto"/>
        </w:rPr>
      </w:pPr>
    </w:p>
    <w:p>
      <w:pPr>
        <w:spacing w:after="0" w:line="218" w:lineRule="exact"/>
        <w:rPr>
          <w:sz w:val="20"/>
          <w:szCs w:val="20"/>
          <w:color w:val="auto"/>
        </w:rPr>
      </w:pPr>
    </w:p>
    <w:tbl>
      <w:tblPr>
        <w:tblLayout w:type="fixed"/>
        <w:tblInd w:w="1880" w:type="dxa"/>
        <w:tblCellMar>
          <w:top w:w="0" w:type="dxa"/>
          <w:left w:w="0" w:type="dxa"/>
          <w:bottom w:w="0" w:type="dxa"/>
          <w:right w:w="0" w:type="dxa"/>
        </w:tblCellMar>
      </w:tblPr>
      <w:tr>
        <w:trPr>
          <w:trHeight w:val="299"/>
        </w:trPr>
        <w:tc>
          <w:tcPr>
            <w:tcW w:w="6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Arial" w:cs="Arial" w:eastAsia="Arial" w:hAnsi="Arial"/>
                <w:sz w:val="22"/>
                <w:szCs w:val="22"/>
                <w:color w:val="auto"/>
                <w:w w:val="92"/>
              </w:rPr>
              <w:t>Executed at</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8"/>
              </w:rPr>
              <w:t>St. Petersburg</w:t>
            </w:r>
          </w:p>
        </w:tc>
        <w:tc>
          <w:tcPr>
            <w:tcW w:w="440" w:type="dxa"/>
            <w:vAlign w:val="bottom"/>
            <w:tcBorders>
              <w:bottom w:val="single" w:sz="8" w:color="auto"/>
            </w:tcBorders>
          </w:tcPr>
          <w:p>
            <w:pPr>
              <w:spacing w:after="0"/>
              <w:rPr>
                <w:sz w:val="24"/>
                <w:szCs w:val="24"/>
                <w:color w:val="auto"/>
              </w:rPr>
            </w:pPr>
          </w:p>
        </w:tc>
        <w:tc>
          <w:tcPr>
            <w:tcW w:w="360" w:type="dxa"/>
            <w:vAlign w:val="bottom"/>
            <w:gridSpan w:val="4"/>
          </w:tcPr>
          <w:p>
            <w:pPr>
              <w:ind w:left="20"/>
              <w:spacing w:after="0"/>
              <w:rPr>
                <w:sz w:val="20"/>
                <w:szCs w:val="20"/>
                <w:color w:val="auto"/>
              </w:rPr>
            </w:pPr>
            <w:r>
              <w:rPr>
                <w:rFonts w:ascii="Arial" w:cs="Arial" w:eastAsia="Arial" w:hAnsi="Arial"/>
                <w:sz w:val="22"/>
                <w:szCs w:val="22"/>
                <w:color w:val="auto"/>
                <w:w w:val="93"/>
              </w:rPr>
              <w:t>this</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3rd</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day of</w:t>
            </w: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22"/>
                <w:szCs w:val="22"/>
                <w:color w:val="auto"/>
                <w:w w:val="99"/>
              </w:rPr>
              <w:t>January</w:t>
            </w:r>
          </w:p>
        </w:tc>
        <w:tc>
          <w:tcPr>
            <w:tcW w:w="620" w:type="dxa"/>
            <w:vAlign w:val="bottom"/>
            <w:gridSpan w:val="3"/>
          </w:tcPr>
          <w:p>
            <w:pPr>
              <w:jc w:val="right"/>
              <w:spacing w:after="0"/>
              <w:rPr>
                <w:sz w:val="20"/>
                <w:szCs w:val="20"/>
                <w:color w:val="auto"/>
              </w:rPr>
            </w:pPr>
            <w:r>
              <w:rPr>
                <w:rFonts w:ascii="Arial" w:cs="Arial" w:eastAsia="Arial" w:hAnsi="Arial"/>
                <w:sz w:val="22"/>
                <w:szCs w:val="22"/>
                <w:color w:val="auto"/>
                <w:w w:val="89"/>
              </w:rPr>
              <w:t>, 2018.</w:t>
            </w:r>
          </w:p>
        </w:tc>
      </w:tr>
      <w:tr>
        <w:trPr>
          <w:trHeight w:val="655"/>
        </w:trPr>
        <w:tc>
          <w:tcPr>
            <w:tcW w:w="60" w:type="dxa"/>
            <w:vAlign w:val="bottom"/>
          </w:tcPr>
          <w:p>
            <w:pPr>
              <w:spacing w:after="0"/>
              <w:rPr>
                <w:sz w:val="24"/>
                <w:szCs w:val="24"/>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22"/>
                <w:szCs w:val="22"/>
                <w:color w:val="auto"/>
                <w:w w:val="95"/>
              </w:rPr>
              <w:t>/s/ Heather Brandt</w:t>
            </w: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9"/>
          </w:tcPr>
          <w:p>
            <w:pPr>
              <w:jc w:val="right"/>
              <w:ind w:right="560"/>
              <w:spacing w:after="0"/>
              <w:rPr>
                <w:sz w:val="20"/>
                <w:szCs w:val="20"/>
                <w:color w:val="auto"/>
              </w:rPr>
            </w:pPr>
            <w:r>
              <w:rPr>
                <w:rFonts w:ascii="Arial" w:cs="Arial" w:eastAsia="Arial" w:hAnsi="Arial"/>
                <w:sz w:val="22"/>
                <w:szCs w:val="22"/>
                <w:color w:val="auto"/>
                <w:w w:val="88"/>
              </w:rPr>
              <w:t>/s/ Christopher Warren Brandt</w:t>
            </w: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2"/>
                <w:szCs w:val="22"/>
                <w:color w:val="auto"/>
              </w:rPr>
              <w:t>Witness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2"/>
          </w:tcPr>
          <w:p>
            <w:pPr>
              <w:jc w:val="right"/>
              <w:ind w:right="120"/>
              <w:spacing w:after="0"/>
              <w:rPr>
                <w:sz w:val="20"/>
                <w:szCs w:val="20"/>
                <w:color w:val="auto"/>
              </w:rPr>
            </w:pPr>
            <w:r>
              <w:rPr>
                <w:rFonts w:ascii="Arial" w:cs="Arial" w:eastAsia="Arial" w:hAnsi="Arial"/>
                <w:sz w:val="22"/>
                <w:szCs w:val="22"/>
                <w:color w:val="auto"/>
                <w:w w:val="89"/>
              </w:rPr>
              <w:t>Christopher Warren Brandt, Employee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64"/>
        </w:trPr>
        <w:tc>
          <w:tcPr>
            <w:tcW w:w="60" w:type="dxa"/>
            <w:vAlign w:val="bottom"/>
          </w:tcPr>
          <w:p>
            <w:pPr>
              <w:spacing w:after="0"/>
              <w:rPr>
                <w:sz w:val="24"/>
                <w:szCs w:val="24"/>
                <w:color w:val="auto"/>
              </w:rPr>
            </w:pPr>
          </w:p>
        </w:tc>
        <w:tc>
          <w:tcPr>
            <w:tcW w:w="3300" w:type="dxa"/>
            <w:vAlign w:val="bottom"/>
            <w:gridSpan w:val="5"/>
          </w:tcPr>
          <w:p>
            <w:pPr>
              <w:ind w:left="460"/>
              <w:spacing w:after="0"/>
              <w:rPr>
                <w:sz w:val="20"/>
                <w:szCs w:val="20"/>
                <w:color w:val="auto"/>
              </w:rPr>
            </w:pPr>
            <w:r>
              <w:rPr>
                <w:rFonts w:ascii="Arial" w:cs="Arial" w:eastAsia="Arial" w:hAnsi="Arial"/>
                <w:sz w:val="22"/>
                <w:szCs w:val="22"/>
                <w:color w:val="auto"/>
                <w:w w:val="90"/>
              </w:rPr>
              <w:t>Executed at Tampa, Florida this</w:t>
            </w:r>
          </w:p>
        </w:tc>
        <w:tc>
          <w:tcPr>
            <w:tcW w:w="1500" w:type="dxa"/>
            <w:vAlign w:val="bottom"/>
            <w:gridSpan w:val="10"/>
          </w:tcPr>
          <w:p>
            <w:pPr>
              <w:ind w:left="160"/>
              <w:spacing w:after="0"/>
              <w:rPr>
                <w:sz w:val="20"/>
                <w:szCs w:val="20"/>
                <w:color w:val="auto"/>
              </w:rPr>
            </w:pPr>
            <w:r>
              <w:rPr>
                <w:rFonts w:ascii="Arial" w:cs="Arial" w:eastAsia="Arial" w:hAnsi="Arial"/>
                <w:sz w:val="22"/>
                <w:szCs w:val="22"/>
                <w:color w:val="auto"/>
              </w:rPr>
              <w:t>5th  day of</w:t>
            </w:r>
          </w:p>
        </w:tc>
        <w:tc>
          <w:tcPr>
            <w:tcW w:w="1100" w:type="dxa"/>
            <w:vAlign w:val="bottom"/>
            <w:gridSpan w:val="2"/>
          </w:tcPr>
          <w:p>
            <w:pPr>
              <w:ind w:left="320"/>
              <w:spacing w:after="0"/>
              <w:rPr>
                <w:sz w:val="20"/>
                <w:szCs w:val="20"/>
                <w:color w:val="auto"/>
              </w:rPr>
            </w:pPr>
            <w:r>
              <w:rPr>
                <w:rFonts w:ascii="Arial" w:cs="Arial" w:eastAsia="Arial" w:hAnsi="Arial"/>
                <w:sz w:val="22"/>
                <w:szCs w:val="22"/>
                <w:color w:val="auto"/>
                <w:w w:val="97"/>
              </w:rPr>
              <w:t>January</w:t>
            </w:r>
          </w:p>
        </w:tc>
        <w:tc>
          <w:tcPr>
            <w:tcW w:w="1380" w:type="dxa"/>
            <w:vAlign w:val="bottom"/>
            <w:gridSpan w:val="2"/>
          </w:tcPr>
          <w:p>
            <w:pPr>
              <w:jc w:val="right"/>
              <w:ind w:right="320"/>
              <w:spacing w:after="0"/>
              <w:rPr>
                <w:sz w:val="20"/>
                <w:szCs w:val="20"/>
                <w:color w:val="auto"/>
              </w:rPr>
            </w:pPr>
            <w:r>
              <w:rPr>
                <w:rFonts w:ascii="Arial" w:cs="Arial" w:eastAsia="Arial" w:hAnsi="Arial"/>
                <w:sz w:val="22"/>
                <w:szCs w:val="22"/>
                <w:color w:val="auto"/>
              </w:rPr>
              <w:t>, 2018.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
        </w:trPr>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3"/>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631"/>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10"/>
          </w:tcPr>
          <w:p>
            <w:pPr>
              <w:ind w:left="320"/>
              <w:spacing w:after="0"/>
              <w:rPr>
                <w:sz w:val="20"/>
                <w:szCs w:val="20"/>
                <w:color w:val="auto"/>
              </w:rPr>
            </w:pPr>
            <w:r>
              <w:rPr>
                <w:rFonts w:ascii="Arial" w:cs="Arial" w:eastAsia="Arial" w:hAnsi="Arial"/>
                <w:sz w:val="22"/>
                <w:szCs w:val="22"/>
                <w:color w:val="auto"/>
                <w:w w:val="94"/>
              </w:rPr>
              <w:t>EMPLOYER</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45"/>
        </w:trPr>
        <w:tc>
          <w:tcPr>
            <w:tcW w:w="60" w:type="dxa"/>
            <w:vAlign w:val="bottom"/>
          </w:tcPr>
          <w:p>
            <w:pPr>
              <w:spacing w:after="0"/>
              <w:rPr>
                <w:sz w:val="24"/>
                <w:szCs w:val="24"/>
                <w:color w:val="auto"/>
              </w:rPr>
            </w:pPr>
          </w:p>
        </w:tc>
        <w:tc>
          <w:tcPr>
            <w:tcW w:w="1960" w:type="dxa"/>
            <w:vAlign w:val="bottom"/>
            <w:gridSpan w:val="2"/>
          </w:tcPr>
          <w:p>
            <w:pPr>
              <w:ind w:left="60"/>
              <w:spacing w:after="0"/>
              <w:rPr>
                <w:sz w:val="20"/>
                <w:szCs w:val="20"/>
                <w:color w:val="auto"/>
              </w:rPr>
            </w:pPr>
            <w:r>
              <w:rPr>
                <w:rFonts w:ascii="Arial" w:cs="Arial" w:eastAsia="Arial" w:hAnsi="Arial"/>
                <w:sz w:val="22"/>
                <w:szCs w:val="22"/>
                <w:color w:val="auto"/>
                <w:w w:val="94"/>
              </w:rPr>
              <w:t>/s/ Claire Whitehurst</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ind w:left="32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22"/>
                <w:szCs w:val="22"/>
                <w:color w:val="auto"/>
                <w:w w:val="92"/>
              </w:rPr>
              <w:t>/s/ Pablo Brizi</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0"/>
        </w:trPr>
        <w:tc>
          <w:tcPr>
            <w:tcW w:w="2020" w:type="dxa"/>
            <w:vAlign w:val="bottom"/>
            <w:tcBorders>
              <w:top w:val="single" w:sz="8" w:color="auto"/>
            </w:tcBorders>
            <w:gridSpan w:val="3"/>
          </w:tcPr>
          <w:p>
            <w:pPr>
              <w:ind w:left="20"/>
              <w:spacing w:after="0"/>
              <w:rPr>
                <w:sz w:val="20"/>
                <w:szCs w:val="20"/>
                <w:color w:val="auto"/>
              </w:rPr>
            </w:pPr>
            <w:r>
              <w:rPr>
                <w:rFonts w:ascii="Arial" w:cs="Arial" w:eastAsia="Arial" w:hAnsi="Arial"/>
                <w:sz w:val="22"/>
                <w:szCs w:val="22"/>
                <w:color w:val="auto"/>
              </w:rPr>
              <w:t>Witness</w:t>
            </w:r>
          </w:p>
        </w:tc>
        <w:tc>
          <w:tcPr>
            <w:tcW w:w="8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308"/>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ind w:left="320"/>
              <w:spacing w:after="0"/>
              <w:rPr>
                <w:sz w:val="20"/>
                <w:szCs w:val="20"/>
                <w:color w:val="auto"/>
              </w:rPr>
            </w:pPr>
            <w:r>
              <w:rPr>
                <w:rFonts w:ascii="Arial" w:cs="Arial" w:eastAsia="Arial" w:hAnsi="Arial"/>
                <w:sz w:val="22"/>
                <w:szCs w:val="22"/>
                <w:color w:val="auto"/>
                <w:w w:val="96"/>
              </w:rPr>
              <w:t>Title: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20"/>
                <w:szCs w:val="20"/>
                <w:color w:val="auto"/>
                <w:w w:val="92"/>
              </w:rPr>
              <w:t>SVP - CHRO</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80"/>
        <w:spacing w:after="0"/>
        <w:tabs>
          <w:tab w:leader="none" w:pos="8020" w:val="left"/>
        </w:tabs>
        <w:rPr>
          <w:sz w:val="20"/>
          <w:szCs w:val="20"/>
          <w:color w:val="auto"/>
        </w:rPr>
      </w:pPr>
      <w:r>
        <w:rPr>
          <w:rFonts w:ascii="Arial" w:cs="Arial" w:eastAsia="Arial" w:hAnsi="Arial"/>
          <w:sz w:val="18"/>
          <w:szCs w:val="18"/>
          <w:color w:val="auto"/>
        </w:rPr>
        <w:t>Page 8 of 8</w:t>
      </w:r>
      <w:r>
        <w:rPr>
          <w:sz w:val="20"/>
          <w:szCs w:val="20"/>
          <w:color w:val="auto"/>
        </w:rPr>
        <w:tab/>
      </w:r>
      <w:r>
        <w:rPr>
          <w:rFonts w:ascii="Arial" w:cs="Arial" w:eastAsia="Arial" w:hAnsi="Arial"/>
          <w:sz w:val="17"/>
          <w:szCs w:val="17"/>
          <w:color w:val="auto"/>
        </w:rPr>
        <w:t>Employee Initials:</w:t>
      </w:r>
      <w:r>
        <w:rPr>
          <w:rFonts w:ascii="Arial" w:cs="Arial" w:eastAsia="Arial" w:hAnsi="Arial"/>
          <w:sz w:val="18"/>
          <w:szCs w:val="18"/>
          <w:u w:val="single" w:color="auto"/>
          <w:color w:val="auto"/>
        </w:rPr>
        <w:t>/s/CWB</w:t>
      </w:r>
    </w:p>
    <w:p>
      <w:pPr>
        <w:sectPr>
          <w:pgSz w:w="11900" w:h="16838" w:orient="portrait"/>
          <w:cols w:equalWidth="0" w:num="1">
            <w:col w:w="11420"/>
          </w:cols>
          <w:pgMar w:left="240" w:top="375" w:right="239" w:bottom="1440" w:gutter="0" w:footer="0" w:header="0"/>
        </w:sectPr>
      </w:pPr>
    </w:p>
    <w:bookmarkStart w:id="527" w:name="page528"/>
    <w:bookmarkEnd w:id="527"/>
    <w:p>
      <w:pPr>
        <w:jc w:val="right"/>
        <w:spacing w:after="0"/>
        <w:rPr>
          <w:sz w:val="20"/>
          <w:szCs w:val="20"/>
          <w:color w:val="auto"/>
        </w:rPr>
      </w:pPr>
      <w:r>
        <w:rPr>
          <w:rFonts w:ascii="Arial" w:cs="Arial" w:eastAsia="Arial" w:hAnsi="Arial"/>
          <w:sz w:val="20"/>
          <w:szCs w:val="20"/>
          <w:b w:val="1"/>
          <w:bCs w:val="1"/>
          <w:color w:val="auto"/>
        </w:rPr>
        <w:t>Exhibit 10.40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SEVERANCE AGREEMENT AND GENERAL RELEASE (hereinafter "Release") is made and entered into by and between PATRICK C. MURTHA (“Employee”) and OSI RESTAURANT PARTNERS, LLC (“Employer”). The parties desire to settle any and all disputes between them on terms that are mutually agreeable. Accordingly, in consideration of the mutual promises set forth below, Employer and Employee agree as follows:</w:t>
      </w:r>
    </w:p>
    <w:p>
      <w:pPr>
        <w:spacing w:after="0" w:line="229" w:lineRule="exact"/>
        <w:rPr>
          <w:sz w:val="20"/>
          <w:szCs w:val="20"/>
          <w:color w:val="auto"/>
        </w:rPr>
      </w:pPr>
    </w:p>
    <w:p>
      <w:pPr>
        <w:jc w:val="both"/>
        <w:ind w:left="660" w:hanging="652"/>
        <w:spacing w:after="0" w:line="253" w:lineRule="auto"/>
        <w:tabs>
          <w:tab w:leader="none" w:pos="66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Employer will provide Employee with good and valuable consideration as specified below in return for Employee’s execution of this Release, which is intended to fully and finally resolve any and all matters between Employer and Employee, whether actual or potential, on terms that are mutually agreeable.</w:t>
      </w:r>
    </w:p>
    <w:p>
      <w:pPr>
        <w:spacing w:after="0" w:line="226" w:lineRule="exact"/>
        <w:rPr>
          <w:rFonts w:ascii="Arial" w:cs="Arial" w:eastAsia="Arial" w:hAnsi="Arial"/>
          <w:sz w:val="22"/>
          <w:szCs w:val="22"/>
          <w:color w:val="auto"/>
        </w:rPr>
      </w:pPr>
    </w:p>
    <w:p>
      <w:pPr>
        <w:ind w:left="660" w:right="20" w:hanging="652"/>
        <w:spacing w:after="0" w:line="263" w:lineRule="auto"/>
        <w:tabs>
          <w:tab w:leader="none" w:pos="66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By entering into this Release, Employer does not admit any underlying liability to Employee. Neither Employer nor Employee is entering this Release because of any wrongful acts of any kind.</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Employee promises and obligates himself to perform the following covenants under this Release:</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94"/>
              </w:rPr>
              <w:t>Employee agrees his employment with Employer is severed effective December 31, 2017 (“Separation Date”).</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93"/>
              </w:rPr>
              <w:t>Acting for himself, his heirs, personal representatives, administrators and anyone claiming by or through him or</w:t>
            </w:r>
          </w:p>
        </w:tc>
      </w:tr>
      <w:tr>
        <w:trPr>
          <w:trHeight w:val="257"/>
        </w:trPr>
        <w:tc>
          <w:tcPr>
            <w:tcW w:w="440" w:type="dxa"/>
            <w:vAlign w:val="bottom"/>
          </w:tcPr>
          <w:p>
            <w:pPr>
              <w:spacing w:after="0"/>
              <w:rPr>
                <w:sz w:val="22"/>
                <w:szCs w:val="22"/>
                <w:color w:val="auto"/>
              </w:rPr>
            </w:pP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89"/>
              </w:rPr>
              <w:t>them, Employee unconditionally and irrevocably releases, acquits and discharges Employer and its Releasees from</w:t>
            </w:r>
          </w:p>
        </w:tc>
      </w:tr>
      <w:tr>
        <w:trPr>
          <w:trHeight w:val="257"/>
        </w:trPr>
        <w:tc>
          <w:tcPr>
            <w:tcW w:w="440" w:type="dxa"/>
            <w:vAlign w:val="bottom"/>
          </w:tcPr>
          <w:p>
            <w:pPr>
              <w:spacing w:after="0"/>
              <w:rPr>
                <w:sz w:val="22"/>
                <w:szCs w:val="22"/>
                <w:color w:val="auto"/>
              </w:rPr>
            </w:pPr>
          </w:p>
        </w:tc>
        <w:tc>
          <w:tcPr>
            <w:tcW w:w="10320" w:type="dxa"/>
            <w:vAlign w:val="bottom"/>
            <w:gridSpan w:val="7"/>
          </w:tcPr>
          <w:p>
            <w:pPr>
              <w:ind w:left="200"/>
              <w:spacing w:after="0"/>
              <w:rPr>
                <w:sz w:val="20"/>
                <w:szCs w:val="20"/>
                <w:color w:val="auto"/>
              </w:rPr>
            </w:pPr>
            <w:r>
              <w:rPr>
                <w:rFonts w:ascii="Arial" w:cs="Arial" w:eastAsia="Arial" w:hAnsi="Arial"/>
                <w:sz w:val="22"/>
                <w:szCs w:val="22"/>
                <w:color w:val="auto"/>
                <w:w w:val="89"/>
              </w:rPr>
              <w:t>any and all Claims (as defined below) that Employee (or any person or entity claiming through Employee) may have</w:t>
            </w:r>
          </w:p>
        </w:tc>
      </w:tr>
      <w:tr>
        <w:trPr>
          <w:trHeight w:val="275"/>
        </w:trPr>
        <w:tc>
          <w:tcPr>
            <w:tcW w:w="440" w:type="dxa"/>
            <w:vAlign w:val="bottom"/>
          </w:tcPr>
          <w:p>
            <w:pPr>
              <w:spacing w:after="0"/>
              <w:rPr>
                <w:sz w:val="23"/>
                <w:szCs w:val="23"/>
                <w:color w:val="auto"/>
              </w:rPr>
            </w:pPr>
          </w:p>
        </w:tc>
        <w:tc>
          <w:tcPr>
            <w:tcW w:w="6540" w:type="dxa"/>
            <w:vAlign w:val="bottom"/>
            <w:gridSpan w:val="4"/>
          </w:tcPr>
          <w:p>
            <w:pPr>
              <w:ind w:left="200"/>
              <w:spacing w:after="0"/>
              <w:rPr>
                <w:sz w:val="20"/>
                <w:szCs w:val="20"/>
                <w:color w:val="auto"/>
              </w:rPr>
            </w:pPr>
            <w:r>
              <w:rPr>
                <w:rFonts w:ascii="Arial" w:cs="Arial" w:eastAsia="Arial" w:hAnsi="Arial"/>
                <w:sz w:val="22"/>
                <w:szCs w:val="22"/>
                <w:color w:val="auto"/>
              </w:rPr>
              <w:t>against Employer or its Releasees as of the date of this Release.</w:t>
            </w:r>
          </w:p>
        </w:tc>
        <w:tc>
          <w:tcPr>
            <w:tcW w:w="2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w:t>
            </w: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0"/>
              </w:rPr>
              <w:t>The phrases “Employer” or “Employer and its Releasees” shall mean OSI Restaurant Partners, LLC and all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4"/>
              </w:rPr>
              <w:t>of its parents (including, but not limited to, Bloomin’ Brands, Inc.), affiliates (including, but not limited to,</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1"/>
              </w:rPr>
              <w:t>OS Management, Inc., Outback Steakhouse of Florida, LLC, OS Restaurant Services, LLC, Bonefish Grill,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3"/>
              </w:rPr>
              <w:t>LLC, Carrabba’s Italian Grill, LLC, OS Prime, LLC, and OS Pacific, LLC), and all of the past and present</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2"/>
              </w:rPr>
              <w:t>directors, officers, partners, shareholders, supervisors, employees, representatives, successors, assigns,</w:t>
            </w:r>
          </w:p>
        </w:tc>
      </w:tr>
      <w:tr>
        <w:trPr>
          <w:trHeight w:val="275"/>
        </w:trPr>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9"/>
              </w:rPr>
              <w:t>subsidiaries, parents, and insurers of OSI Restaurant Partners, LLC and its parents and affiliates.</w:t>
            </w:r>
          </w:p>
        </w:tc>
      </w:tr>
      <w:tr>
        <w:trPr>
          <w:trHeight w:val="495"/>
        </w:trPr>
        <w:tc>
          <w:tcPr>
            <w:tcW w:w="440" w:type="dxa"/>
            <w:vAlign w:val="bottom"/>
          </w:tcPr>
          <w:p>
            <w:pPr>
              <w:spacing w:after="0"/>
              <w:rPr>
                <w:sz w:val="24"/>
                <w:szCs w:val="24"/>
                <w:color w:val="auto"/>
              </w:rPr>
            </w:pPr>
          </w:p>
        </w:tc>
        <w:tc>
          <w:tcPr>
            <w:tcW w:w="620" w:type="dxa"/>
            <w:vAlign w:val="bottom"/>
          </w:tcPr>
          <w:p>
            <w:pPr>
              <w:ind w:left="200"/>
              <w:spacing w:after="0"/>
              <w:rPr>
                <w:sz w:val="20"/>
                <w:szCs w:val="20"/>
                <w:color w:val="auto"/>
              </w:rPr>
            </w:pPr>
            <w:r>
              <w:rPr>
                <w:rFonts w:ascii="Arial" w:cs="Arial" w:eastAsia="Arial" w:hAnsi="Arial"/>
                <w:sz w:val="22"/>
                <w:szCs w:val="22"/>
                <w:color w:val="auto"/>
              </w:rPr>
              <w:t>ii)</w:t>
            </w: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3"/>
              </w:rPr>
              <w:t>The term “Claims” shall include lawsuits, causes of action, liabilities, losses, damages, debts, demands,</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2"/>
              </w:rPr>
              <w:t>controversies, agreements, duties, obligations, promises and rights of every kind. The term “Claims” shall</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8"/>
              </w:rPr>
              <w:t>include Claims arising from any source, including but not limited to contracts, statutes, regulations,</w:t>
            </w:r>
          </w:p>
        </w:tc>
      </w:tr>
      <w:tr>
        <w:trPr>
          <w:trHeight w:val="257"/>
        </w:trPr>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00" w:type="dxa"/>
            <w:vAlign w:val="bottom"/>
            <w:gridSpan w:val="6"/>
          </w:tcPr>
          <w:p>
            <w:pPr>
              <w:ind w:left="240"/>
              <w:spacing w:after="0"/>
              <w:rPr>
                <w:sz w:val="20"/>
                <w:szCs w:val="20"/>
                <w:color w:val="auto"/>
              </w:rPr>
            </w:pPr>
            <w:r>
              <w:rPr>
                <w:rFonts w:ascii="Arial" w:cs="Arial" w:eastAsia="Arial" w:hAnsi="Arial"/>
                <w:sz w:val="22"/>
                <w:szCs w:val="22"/>
                <w:color w:val="auto"/>
                <w:w w:val="95"/>
              </w:rPr>
              <w:t>ordinances, codes, or the common law, including claims arising under the Civil Rights Act of 1964 (42</w:t>
            </w:r>
          </w:p>
        </w:tc>
      </w:tr>
      <w:tr>
        <w:trPr>
          <w:trHeight w:val="224"/>
        </w:trPr>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700" w:type="dxa"/>
            <w:vAlign w:val="bottom"/>
            <w:gridSpan w:val="6"/>
          </w:tcPr>
          <w:p>
            <w:pPr>
              <w:ind w:left="240"/>
              <w:spacing w:after="0" w:line="224" w:lineRule="exact"/>
              <w:rPr>
                <w:sz w:val="20"/>
                <w:szCs w:val="20"/>
                <w:color w:val="auto"/>
              </w:rPr>
            </w:pPr>
            <w:r>
              <w:rPr>
                <w:rFonts w:ascii="Arial" w:cs="Arial" w:eastAsia="Arial" w:hAnsi="Arial"/>
                <w:sz w:val="22"/>
                <w:szCs w:val="22"/>
                <w:color w:val="auto"/>
              </w:rPr>
              <w:t>U.S.C. § 2000e et seq., as amended), the Americans with Disabilities Act of 1990 (42</w:t>
            </w:r>
          </w:p>
        </w:tc>
      </w:tr>
      <w:tr>
        <w:trPr>
          <w:trHeight w:val="615"/>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760" w:type="dxa"/>
            <w:vAlign w:val="bottom"/>
          </w:tcPr>
          <w:p>
            <w:pPr>
              <w:ind w:left="1500"/>
              <w:spacing w:after="0"/>
              <w:rPr>
                <w:sz w:val="20"/>
                <w:szCs w:val="20"/>
                <w:color w:val="auto"/>
              </w:rPr>
            </w:pPr>
            <w:r>
              <w:rPr>
                <w:rFonts w:ascii="Arial" w:cs="Arial" w:eastAsia="Arial" w:hAnsi="Arial"/>
                <w:sz w:val="18"/>
                <w:szCs w:val="18"/>
                <w:color w:val="auto"/>
              </w:rPr>
              <w:t>Page 1 of 10</w:t>
            </w:r>
          </w:p>
        </w:tc>
        <w:tc>
          <w:tcPr>
            <w:tcW w:w="3780" w:type="dxa"/>
            <w:vAlign w:val="bottom"/>
            <w:gridSpan w:val="3"/>
          </w:tcPr>
          <w:p>
            <w:pPr>
              <w:ind w:left="84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/s/PCM</w:t>
            </w:r>
          </w:p>
        </w:tc>
      </w:tr>
      <w:tr>
        <w:trPr>
          <w:trHeight w:val="20"/>
        </w:trPr>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20"/>
          </w:cols>
          <w:pgMar w:left="240" w:top="115" w:right="239" w:bottom="1440" w:gutter="0" w:footer="0" w:header="0"/>
        </w:sectPr>
      </w:pPr>
    </w:p>
    <w:bookmarkStart w:id="528" w:name="page529"/>
    <w:bookmarkEnd w:id="5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0"/>
              </w:rPr>
              <w:t>U.S.C. § 12101 et seq., as amended), the Family Medical Leave Act of 1993 (29 U.S.C. § 2601, et seq., as</w:t>
            </w: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8"/>
          </w:tcPr>
          <w:p>
            <w:pPr>
              <w:ind w:left="860"/>
              <w:spacing w:after="0" w:line="237" w:lineRule="exact"/>
              <w:rPr>
                <w:sz w:val="20"/>
                <w:szCs w:val="20"/>
                <w:color w:val="auto"/>
              </w:rPr>
            </w:pPr>
            <w:r>
              <w:rPr>
                <w:rFonts w:ascii="Arial" w:cs="Arial" w:eastAsia="Arial" w:hAnsi="Arial"/>
                <w:sz w:val="22"/>
                <w:szCs w:val="22"/>
                <w:color w:val="auto"/>
                <w:w w:val="92"/>
              </w:rPr>
              <w:t xml:space="preserve">amended), the Fair Labor Standards Act of 1938 (29 U.S.C. 201 et seq., as amended), </w:t>
            </w:r>
            <w:r>
              <w:rPr>
                <w:rFonts w:ascii="Arial" w:cs="Arial" w:eastAsia="Arial" w:hAnsi="Arial"/>
                <w:sz w:val="22"/>
                <w:szCs w:val="22"/>
                <w:color w:val="0D0D0D"/>
                <w:w w:val="92"/>
              </w:rPr>
              <w:t>the Lilly Ledbetter</w:t>
            </w:r>
          </w:p>
        </w:tc>
      </w:tr>
      <w:tr>
        <w:trPr>
          <w:trHeight w:val="20"/>
        </w:trPr>
        <w:tc>
          <w:tcPr>
            <w:tcW w:w="44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8"/>
          </w:tcPr>
          <w:p>
            <w:pPr>
              <w:ind w:left="860"/>
              <w:spacing w:after="0" w:line="237" w:lineRule="exact"/>
              <w:rPr>
                <w:sz w:val="20"/>
                <w:szCs w:val="20"/>
                <w:color w:val="auto"/>
              </w:rPr>
            </w:pPr>
            <w:r>
              <w:rPr>
                <w:rFonts w:ascii="Arial" w:cs="Arial" w:eastAsia="Arial" w:hAnsi="Arial"/>
                <w:sz w:val="22"/>
                <w:szCs w:val="22"/>
                <w:color w:val="0D0D0D"/>
                <w:w w:val="97"/>
              </w:rPr>
              <w:t>Fair Pay Act of 2009 (</w:t>
            </w:r>
            <w:r>
              <w:rPr>
                <w:rFonts w:ascii="Arial" w:cs="Arial" w:eastAsia="Arial" w:hAnsi="Arial"/>
                <w:sz w:val="22"/>
                <w:szCs w:val="22"/>
                <w:color w:val="000000"/>
                <w:w w:val="97"/>
              </w:rPr>
              <w:t>Pub.L. 111-2</w:t>
            </w:r>
            <w:r>
              <w:rPr>
                <w:rFonts w:ascii="Arial" w:cs="Arial" w:eastAsia="Arial" w:hAnsi="Arial"/>
                <w:sz w:val="22"/>
                <w:szCs w:val="22"/>
                <w:color w:val="0D0D0D"/>
                <w:w w:val="97"/>
              </w:rPr>
              <w:t xml:space="preserve">, </w:t>
            </w:r>
            <w:r>
              <w:rPr>
                <w:rFonts w:ascii="Arial" w:cs="Arial" w:eastAsia="Arial" w:hAnsi="Arial"/>
                <w:sz w:val="22"/>
                <w:szCs w:val="22"/>
                <w:color w:val="000000"/>
                <w:w w:val="97"/>
              </w:rPr>
              <w:t>S. 181</w:t>
            </w:r>
            <w:r>
              <w:rPr>
                <w:rFonts w:ascii="Arial" w:cs="Arial" w:eastAsia="Arial" w:hAnsi="Arial"/>
                <w:sz w:val="22"/>
                <w:szCs w:val="22"/>
                <w:color w:val="0D0D0D"/>
                <w:w w:val="97"/>
              </w:rPr>
              <w:t xml:space="preserve">), </w:t>
            </w:r>
            <w:r>
              <w:rPr>
                <w:rFonts w:ascii="Arial" w:cs="Arial" w:eastAsia="Arial" w:hAnsi="Arial"/>
                <w:sz w:val="22"/>
                <w:szCs w:val="22"/>
                <w:color w:val="000000"/>
                <w:w w:val="97"/>
              </w:rPr>
              <w:t>the Employee Retirement Income Security Act of 1974</w:t>
            </w:r>
          </w:p>
        </w:tc>
      </w:tr>
      <w:tr>
        <w:trPr>
          <w:trHeight w:val="20"/>
        </w:trPr>
        <w:tc>
          <w:tcPr>
            <w:tcW w:w="440" w:type="dxa"/>
            <w:vAlign w:val="bottom"/>
          </w:tcPr>
          <w:p>
            <w:pPr>
              <w:spacing w:after="0" w:line="20" w:lineRule="exact"/>
              <w:rPr>
                <w:sz w:val="1"/>
                <w:szCs w:val="1"/>
                <w:color w:val="auto"/>
              </w:rPr>
            </w:pPr>
          </w:p>
        </w:tc>
        <w:tc>
          <w:tcPr>
            <w:tcW w:w="310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320" w:type="dxa"/>
            <w:vAlign w:val="bottom"/>
            <w:gridSpan w:val="18"/>
          </w:tcPr>
          <w:p>
            <w:pPr>
              <w:ind w:left="860"/>
              <w:spacing w:after="0" w:line="237" w:lineRule="exact"/>
              <w:rPr>
                <w:sz w:val="20"/>
                <w:szCs w:val="20"/>
                <w:color w:val="auto"/>
              </w:rPr>
            </w:pPr>
            <w:r>
              <w:rPr>
                <w:rFonts w:ascii="Arial" w:cs="Arial" w:eastAsia="Arial" w:hAnsi="Arial"/>
                <w:sz w:val="22"/>
                <w:szCs w:val="22"/>
                <w:color w:val="auto"/>
                <w:w w:val="90"/>
              </w:rPr>
              <w:t>(ERISA) (29 U.S.C. § 1001 et seq., as amended), 42 U.S.C. § 1981, the Age Discrimination in Employment</w:t>
            </w:r>
          </w:p>
        </w:tc>
      </w:tr>
      <w:tr>
        <w:trPr>
          <w:trHeight w:val="20"/>
        </w:trPr>
        <w:tc>
          <w:tcPr>
            <w:tcW w:w="44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10320" w:type="dxa"/>
            <w:vAlign w:val="bottom"/>
            <w:gridSpan w:val="18"/>
          </w:tcPr>
          <w:p>
            <w:pPr>
              <w:ind w:left="860"/>
              <w:spacing w:after="0"/>
              <w:rPr>
                <w:sz w:val="20"/>
                <w:szCs w:val="20"/>
                <w:color w:val="auto"/>
              </w:rPr>
            </w:pPr>
            <w:r>
              <w:rPr>
                <w:rFonts w:ascii="Arial" w:cs="Arial" w:eastAsia="Arial" w:hAnsi="Arial"/>
                <w:sz w:val="22"/>
                <w:szCs w:val="22"/>
                <w:color w:val="auto"/>
                <w:w w:val="91"/>
              </w:rPr>
              <w:t>Act of 1967 (as amended), the continuation coverage provisions of the Omnibus Budget Reconciliation Act</w:t>
            </w:r>
          </w:p>
        </w:tc>
      </w:tr>
      <w:tr>
        <w:trPr>
          <w:trHeight w:val="224"/>
        </w:trPr>
        <w:tc>
          <w:tcPr>
            <w:tcW w:w="440" w:type="dxa"/>
            <w:vAlign w:val="bottom"/>
          </w:tcPr>
          <w:p>
            <w:pPr>
              <w:spacing w:after="0"/>
              <w:rPr>
                <w:sz w:val="19"/>
                <w:szCs w:val="19"/>
                <w:color w:val="auto"/>
              </w:rPr>
            </w:pPr>
          </w:p>
        </w:tc>
        <w:tc>
          <w:tcPr>
            <w:tcW w:w="10320" w:type="dxa"/>
            <w:vAlign w:val="bottom"/>
            <w:gridSpan w:val="18"/>
          </w:tcPr>
          <w:p>
            <w:pPr>
              <w:jc w:val="right"/>
              <w:spacing w:after="0" w:line="224" w:lineRule="exact"/>
              <w:rPr>
                <w:sz w:val="20"/>
                <w:szCs w:val="20"/>
                <w:color w:val="auto"/>
              </w:rPr>
            </w:pPr>
            <w:r>
              <w:rPr>
                <w:rFonts w:ascii="Arial" w:cs="Arial" w:eastAsia="Arial" w:hAnsi="Arial"/>
                <w:sz w:val="22"/>
                <w:szCs w:val="22"/>
                <w:color w:val="auto"/>
                <w:w w:val="97"/>
              </w:rPr>
              <w:t>of 1986 (29 U.S.C. § 623 et seq., as amended), the Florida Civil Rights Act of 1992 (§ 760.01 et seq., Florida</w:t>
            </w:r>
          </w:p>
        </w:tc>
      </w:tr>
      <w:tr>
        <w:trPr>
          <w:trHeight w:val="20"/>
        </w:trPr>
        <w:tc>
          <w:tcPr>
            <w:tcW w:w="44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69"/>
        </w:trPr>
        <w:tc>
          <w:tcPr>
            <w:tcW w:w="440" w:type="dxa"/>
            <w:vAlign w:val="bottom"/>
          </w:tcPr>
          <w:p>
            <w:pPr>
              <w:spacing w:after="0"/>
              <w:rPr>
                <w:sz w:val="23"/>
                <w:szCs w:val="23"/>
                <w:color w:val="auto"/>
              </w:rPr>
            </w:pPr>
          </w:p>
        </w:tc>
        <w:tc>
          <w:tcPr>
            <w:tcW w:w="10320" w:type="dxa"/>
            <w:vAlign w:val="bottom"/>
            <w:gridSpan w:val="18"/>
          </w:tcPr>
          <w:p>
            <w:pPr>
              <w:jc w:val="right"/>
              <w:ind w:right="20"/>
              <w:spacing w:after="0"/>
              <w:rPr>
                <w:sz w:val="20"/>
                <w:szCs w:val="20"/>
                <w:color w:val="auto"/>
              </w:rPr>
            </w:pPr>
            <w:r>
              <w:rPr>
                <w:rFonts w:ascii="Arial" w:cs="Arial" w:eastAsia="Arial" w:hAnsi="Arial"/>
                <w:sz w:val="22"/>
                <w:szCs w:val="22"/>
                <w:color w:val="auto"/>
              </w:rPr>
              <w:t>Statutes, as amended), and all other federal, state, and local laws dealing with discrimination, retaliation,</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wages, leave, benefits, or workplace policies, as well as claims for unpaid wages, unpaid commissions,</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breach of contract, wrongful termination, retaliation, intentional infliction of emotional distress, negligent</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ind w:right="20"/>
              <w:spacing w:after="0"/>
              <w:rPr>
                <w:sz w:val="20"/>
                <w:szCs w:val="20"/>
                <w:color w:val="auto"/>
              </w:rPr>
            </w:pPr>
            <w:r>
              <w:rPr>
                <w:rFonts w:ascii="Arial" w:cs="Arial" w:eastAsia="Arial" w:hAnsi="Arial"/>
                <w:sz w:val="22"/>
                <w:szCs w:val="22"/>
                <w:color w:val="auto"/>
                <w:w w:val="98"/>
              </w:rPr>
              <w:t>hiring, invasion of privacy, defamation, slander, assault, battery, or any other tort arising out of or connected</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in any way to the employment relationship. The term “Claims” shall include injuries or damage of any</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nature, regardless of whether such injuries or damage arise from accident, illness, occupational disease,</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negligence, intentional act, or some other origin. The term “Claims” specifically includes third-party claims</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for indemnity or contribution against Employer or its Releasees. The term “Claims” shall be construed to</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include any and all Claims meeting the definitions in this subparagraph without regard to whether those</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rPr>
              <w:t>Claims are asserted or unasserted, known or unknown, ripe or unripe, direct or indirect, conditional or</w:t>
            </w:r>
          </w:p>
        </w:tc>
      </w:tr>
      <w:tr>
        <w:trPr>
          <w:trHeight w:val="275"/>
        </w:trPr>
        <w:tc>
          <w:tcPr>
            <w:tcW w:w="440" w:type="dxa"/>
            <w:vAlign w:val="bottom"/>
          </w:tcPr>
          <w:p>
            <w:pPr>
              <w:spacing w:after="0"/>
              <w:rPr>
                <w:sz w:val="23"/>
                <w:szCs w:val="23"/>
                <w:color w:val="auto"/>
              </w:rPr>
            </w:pPr>
          </w:p>
        </w:tc>
        <w:tc>
          <w:tcPr>
            <w:tcW w:w="6700" w:type="dxa"/>
            <w:vAlign w:val="bottom"/>
            <w:gridSpan w:val="10"/>
          </w:tcPr>
          <w:p>
            <w:pPr>
              <w:ind w:left="860"/>
              <w:spacing w:after="0"/>
              <w:rPr>
                <w:sz w:val="20"/>
                <w:szCs w:val="20"/>
                <w:color w:val="auto"/>
              </w:rPr>
            </w:pPr>
            <w:r>
              <w:rPr>
                <w:rFonts w:ascii="Arial" w:cs="Arial" w:eastAsia="Arial" w:hAnsi="Arial"/>
                <w:sz w:val="22"/>
                <w:szCs w:val="22"/>
                <w:color w:val="auto"/>
              </w:rPr>
              <w:t>unconditional.</w:t>
            </w: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4"/>
              </w:rPr>
              <w:t>Employee was awarded 4,607 Bloomin’ Brands, Inc. (formerly Kangaroo Holdings, Inc.) performance share units</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4"/>
              </w:rPr>
              <w:t>(the "2015 Performance Share Units") pursuant to that certain Agreement with a grant date of February 26, 2015</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1"/>
              </w:rPr>
              <w:t>(the "2015 Agreement"). Employee agrees none of the 2015 Performance Share Units are vested and all are hereby</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8"/>
              </w:rPr>
              <w:t>forfeited, cancelled, terminated and deemed null and void ab initio. The 2015 Agreement is hereby forfeited,</w:t>
            </w:r>
          </w:p>
        </w:tc>
      </w:tr>
      <w:tr>
        <w:trPr>
          <w:trHeight w:val="275"/>
        </w:trPr>
        <w:tc>
          <w:tcPr>
            <w:tcW w:w="440" w:type="dxa"/>
            <w:vAlign w:val="bottom"/>
          </w:tcPr>
          <w:p>
            <w:pPr>
              <w:spacing w:after="0"/>
              <w:rPr>
                <w:sz w:val="23"/>
                <w:szCs w:val="23"/>
                <w:color w:val="auto"/>
              </w:rPr>
            </w:pPr>
          </w:p>
        </w:tc>
        <w:tc>
          <w:tcPr>
            <w:tcW w:w="6700" w:type="dxa"/>
            <w:vAlign w:val="bottom"/>
            <w:gridSpan w:val="10"/>
          </w:tcPr>
          <w:p>
            <w:pPr>
              <w:ind w:left="200"/>
              <w:spacing w:after="0"/>
              <w:rPr>
                <w:sz w:val="20"/>
                <w:szCs w:val="20"/>
                <w:color w:val="auto"/>
              </w:rPr>
            </w:pPr>
            <w:r>
              <w:rPr>
                <w:rFonts w:ascii="Arial" w:cs="Arial" w:eastAsia="Arial" w:hAnsi="Arial"/>
                <w:sz w:val="22"/>
                <w:szCs w:val="22"/>
                <w:color w:val="auto"/>
              </w:rPr>
              <w:t>cancelled, terminated and deemed null and void ab initio.</w:t>
            </w: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3"/>
              </w:rPr>
              <w:t>Employee was awarded 11,023 Bloomin’ Brands, Inc. (formerly Kangaroo Holdings, Inc.) performance share units</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4"/>
              </w:rPr>
              <w:t>(the "2016 Performance Share Units") pursuant to that certain Agreement with a grant date of February 25, 2016</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1"/>
              </w:rPr>
              <w:t>(the "2016 Agreement"). Employee agrees none of the 2016 Performance Share Units are vested and all are hereby</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8"/>
              </w:rPr>
              <w:t>forfeited, cancelled, terminated and deemed null and void ab initio. The 2016 Agreement is hereby forfeited,</w:t>
            </w:r>
          </w:p>
        </w:tc>
      </w:tr>
      <w:tr>
        <w:trPr>
          <w:trHeight w:val="275"/>
        </w:trPr>
        <w:tc>
          <w:tcPr>
            <w:tcW w:w="440" w:type="dxa"/>
            <w:vAlign w:val="bottom"/>
          </w:tcPr>
          <w:p>
            <w:pPr>
              <w:spacing w:after="0"/>
              <w:rPr>
                <w:sz w:val="23"/>
                <w:szCs w:val="23"/>
                <w:color w:val="auto"/>
              </w:rPr>
            </w:pPr>
          </w:p>
        </w:tc>
        <w:tc>
          <w:tcPr>
            <w:tcW w:w="6700" w:type="dxa"/>
            <w:vAlign w:val="bottom"/>
            <w:gridSpan w:val="10"/>
          </w:tcPr>
          <w:p>
            <w:pPr>
              <w:ind w:left="200"/>
              <w:spacing w:after="0"/>
              <w:rPr>
                <w:sz w:val="20"/>
                <w:szCs w:val="20"/>
                <w:color w:val="auto"/>
              </w:rPr>
            </w:pPr>
            <w:r>
              <w:rPr>
                <w:rFonts w:ascii="Arial" w:cs="Arial" w:eastAsia="Arial" w:hAnsi="Arial"/>
                <w:sz w:val="22"/>
                <w:szCs w:val="22"/>
                <w:color w:val="auto"/>
              </w:rPr>
              <w:t>cancelled, terminated and deemed null and void ab initio.</w:t>
            </w: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4"/>
              </w:rPr>
              <w:t>Employee was awarded 9,180 Bloomin’ Brands, Inc. (formerly Kangaroo Holdings, Inc.) performance share units</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ind w:right="20"/>
              <w:spacing w:after="0"/>
              <w:rPr>
                <w:sz w:val="20"/>
                <w:szCs w:val="20"/>
                <w:color w:val="auto"/>
              </w:rPr>
            </w:pPr>
            <w:r>
              <w:rPr>
                <w:rFonts w:ascii="Arial" w:cs="Arial" w:eastAsia="Arial" w:hAnsi="Arial"/>
                <w:sz w:val="22"/>
                <w:szCs w:val="22"/>
                <w:color w:val="auto"/>
                <w:w w:val="90"/>
              </w:rPr>
              <w:t>(the "February 2017 Performance Share Units") pursuant to that certain Agreement with a grant date of February 24,</w:t>
            </w:r>
          </w:p>
        </w:tc>
      </w:tr>
      <w:tr>
        <w:trPr>
          <w:trHeight w:val="257"/>
        </w:trPr>
        <w:tc>
          <w:tcPr>
            <w:tcW w:w="440" w:type="dxa"/>
            <w:vAlign w:val="bottom"/>
          </w:tcPr>
          <w:p>
            <w:pPr>
              <w:spacing w:after="0"/>
              <w:rPr>
                <w:sz w:val="22"/>
                <w:szCs w:val="22"/>
                <w:color w:val="auto"/>
              </w:rPr>
            </w:pPr>
          </w:p>
        </w:tc>
        <w:tc>
          <w:tcPr>
            <w:tcW w:w="10320" w:type="dxa"/>
            <w:vAlign w:val="bottom"/>
            <w:gridSpan w:val="18"/>
          </w:tcPr>
          <w:p>
            <w:pPr>
              <w:jc w:val="right"/>
              <w:spacing w:after="0"/>
              <w:rPr>
                <w:sz w:val="20"/>
                <w:szCs w:val="20"/>
                <w:color w:val="auto"/>
              </w:rPr>
            </w:pPr>
            <w:r>
              <w:rPr>
                <w:rFonts w:ascii="Arial" w:cs="Arial" w:eastAsia="Arial" w:hAnsi="Arial"/>
                <w:sz w:val="22"/>
                <w:szCs w:val="22"/>
                <w:color w:val="auto"/>
                <w:w w:val="92"/>
              </w:rPr>
              <w:t>2017 (the "February 2017 Agreement"). Employee agrees none of the February 2017 Performance Share Units are</w:t>
            </w:r>
          </w:p>
        </w:tc>
      </w:tr>
      <w:tr>
        <w:trPr>
          <w:trHeight w:val="275"/>
        </w:trPr>
        <w:tc>
          <w:tcPr>
            <w:tcW w:w="440" w:type="dxa"/>
            <w:vAlign w:val="bottom"/>
          </w:tcPr>
          <w:p>
            <w:pPr>
              <w:spacing w:after="0"/>
              <w:rPr>
                <w:sz w:val="23"/>
                <w:szCs w:val="23"/>
                <w:color w:val="auto"/>
              </w:rPr>
            </w:pPr>
          </w:p>
        </w:tc>
        <w:tc>
          <w:tcPr>
            <w:tcW w:w="6700" w:type="dxa"/>
            <w:vAlign w:val="bottom"/>
            <w:gridSpan w:val="10"/>
          </w:tcPr>
          <w:p>
            <w:pPr>
              <w:ind w:left="200"/>
              <w:spacing w:after="0"/>
              <w:rPr>
                <w:sz w:val="20"/>
                <w:szCs w:val="20"/>
                <w:color w:val="auto"/>
              </w:rPr>
            </w:pPr>
            <w:r>
              <w:rPr>
                <w:rFonts w:ascii="Arial" w:cs="Arial" w:eastAsia="Arial" w:hAnsi="Arial"/>
                <w:sz w:val="22"/>
                <w:szCs w:val="22"/>
                <w:color w:val="auto"/>
              </w:rPr>
              <w:t>vested and all are hereby forfeited, cancelled,</w:t>
            </w: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841"/>
        </w:trPr>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ind w:left="80"/>
              <w:spacing w:after="0"/>
              <w:rPr>
                <w:sz w:val="20"/>
                <w:szCs w:val="20"/>
                <w:color w:val="auto"/>
              </w:rPr>
            </w:pPr>
            <w:r>
              <w:rPr>
                <w:rFonts w:ascii="Arial" w:cs="Arial" w:eastAsia="Arial" w:hAnsi="Arial"/>
                <w:sz w:val="18"/>
                <w:szCs w:val="18"/>
                <w:color w:val="auto"/>
              </w:rPr>
              <w:t>Page 2 of 10</w:t>
            </w:r>
          </w:p>
        </w:tc>
        <w:tc>
          <w:tcPr>
            <w:tcW w:w="560" w:type="dxa"/>
            <w:vAlign w:val="bottom"/>
          </w:tcPr>
          <w:p>
            <w:pPr>
              <w:spacing w:after="0"/>
              <w:rPr>
                <w:sz w:val="24"/>
                <w:szCs w:val="24"/>
                <w:color w:val="auto"/>
              </w:rPr>
            </w:pPr>
          </w:p>
        </w:tc>
        <w:tc>
          <w:tcPr>
            <w:tcW w:w="3060" w:type="dxa"/>
            <w:vAlign w:val="bottom"/>
            <w:gridSpan w:val="7"/>
          </w:tcPr>
          <w:p>
            <w:pPr>
              <w:jc w:val="right"/>
              <w:ind w:right="1020"/>
              <w:spacing w:after="0"/>
              <w:rPr>
                <w:sz w:val="20"/>
                <w:szCs w:val="20"/>
                <w:color w:val="auto"/>
              </w:rPr>
            </w:pPr>
            <w:r>
              <w:rPr>
                <w:rFonts w:ascii="Arial" w:cs="Arial" w:eastAsia="Arial" w:hAnsi="Arial"/>
                <w:sz w:val="18"/>
                <w:szCs w:val="18"/>
                <w:color w:val="auto"/>
                <w:w w:val="99"/>
              </w:rPr>
              <w:t>Employee Initials:</w:t>
            </w:r>
            <w:r>
              <w:rPr>
                <w:rFonts w:ascii="Arial" w:cs="Arial" w:eastAsia="Arial" w:hAnsi="Arial"/>
                <w:sz w:val="19"/>
                <w:szCs w:val="19"/>
                <w:color w:val="auto"/>
                <w:w w:val="99"/>
              </w:rPr>
              <w:t>/s/PCM</w:t>
            </w:r>
          </w:p>
        </w:tc>
      </w:tr>
      <w:tr>
        <w:trPr>
          <w:trHeight w:val="20"/>
        </w:trPr>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ectPr>
          <w:pgSz w:w="11900" w:h="16838" w:orient="portrait"/>
          <w:cols w:equalWidth="0" w:num="1">
            <w:col w:w="10760"/>
          </w:cols>
          <w:pgMar w:left="900" w:top="346" w:right="239" w:bottom="1440" w:gutter="0" w:footer="0" w:header="0"/>
        </w:sectPr>
      </w:pPr>
    </w:p>
    <w:bookmarkStart w:id="529" w:name="page530"/>
    <w:bookmarkEnd w:id="529"/>
    <w:p>
      <w:pPr>
        <w:ind w:left="640"/>
        <w:spacing w:after="0" w:line="263" w:lineRule="auto"/>
        <w:rPr>
          <w:sz w:val="20"/>
          <w:szCs w:val="20"/>
          <w:color w:val="auto"/>
        </w:rPr>
      </w:pPr>
      <w:r>
        <w:rPr>
          <w:rFonts w:ascii="Arial" w:cs="Arial" w:eastAsia="Arial" w:hAnsi="Arial"/>
          <w:sz w:val="22"/>
          <w:szCs w:val="22"/>
          <w:color w:val="auto"/>
        </w:rPr>
        <w:t>terminated and deemed null and void ab initio. The February 2017 Agreement is hereby forfeited, cancelled, terminated and deemed null and void ab initio.</w:t>
      </w:r>
    </w:p>
    <w:p>
      <w:pPr>
        <w:sectPr>
          <w:pgSz w:w="11900" w:h="16838" w:orient="portrait"/>
          <w:cols w:equalWidth="0" w:num="1">
            <w:col w:w="10760"/>
          </w:cols>
          <w:pgMar w:left="900" w:top="374" w:right="23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Employee was awarded 46,927 Bloomin’ Brands, Inc. (formerly Kangaroo Holdings, Inc.) performance share units (the "May 2017 Performance Share Units") pursuant to that certain Agreement with a grant date of May 1, 2017 (the "May 2017 Agreement"). Employee agrees none of the May 2017 Performance Share Units are vested and all are hereby forfeited, cancelled, terminated and deemed null and void ab initio. The May 2017 Agreement is hereby forfeited, cancelled, terminated and deemed null and void ab initio.</w:t>
      </w:r>
    </w:p>
    <w:p>
      <w:pPr>
        <w:spacing w:after="0" w:line="200" w:lineRule="exact"/>
        <w:rPr>
          <w:sz w:val="20"/>
          <w:szCs w:val="20"/>
          <w:color w:val="auto"/>
        </w:rPr>
      </w:pPr>
    </w:p>
    <w:p>
      <w:pPr>
        <w:sectPr>
          <w:pgSz w:w="11900" w:h="16838" w:orient="portrait"/>
          <w:cols w:equalWidth="0" w:num="2">
            <w:col w:w="200" w:space="440"/>
            <w:col w:w="10120"/>
          </w:cols>
          <w:pgMar w:left="900" w:top="374"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9"/>
          <w:szCs w:val="19"/>
          <w:color w:val="auto"/>
        </w:rPr>
        <w:t>Employee was granted the option to purchase 175,000 shares of the common stock of Bloomin’ Brands, Inc. (formerly Kangaroo Holdings, Inc.) (the "2013 Options") pursuant to that certain Option Agreement with a grant date of June 1, 2013 (the "2013 Option Agreement”). Employee agrees all 175,000 shares of the 2013 Options are vested and unexercised, and shall remain vested and exercisable for 365 calendar days following the Separation Date. Employee agrees that as of 12:01 a.m. (Tampa time) on the 365th calendar day immediately following the Separation Date, the 2013 Option Agreement is hereby cancelled, terminated and deemed null and void ab initio.</w:t>
      </w:r>
    </w:p>
    <w:p>
      <w:pPr>
        <w:spacing w:after="0" w:line="190" w:lineRule="exact"/>
        <w:rPr>
          <w:sz w:val="20"/>
          <w:szCs w:val="20"/>
          <w:color w:val="auto"/>
        </w:rPr>
      </w:pPr>
    </w:p>
    <w:p>
      <w:pPr>
        <w:sectPr>
          <w:pgSz w:w="11900" w:h="16838" w:orient="portrait"/>
          <w:cols w:equalWidth="0" w:num="2">
            <w:col w:w="240" w:space="400"/>
            <w:col w:w="10120"/>
          </w:cols>
          <w:pgMar w:left="900" w:top="374" w:right="239" w:bottom="1440" w:gutter="0" w:footer="0" w:header="0"/>
          <w:type w:val="continuous"/>
        </w:sectPr>
      </w:pPr>
    </w:p>
    <w:p>
      <w:pPr>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9"/>
          <w:szCs w:val="19"/>
          <w:color w:val="auto"/>
        </w:rPr>
        <w:t>Employee was granted the option to purchase 22,059 shares of the common stock of Bloomin’ Brands, Inc. (formerly Kangaroo Holdings, Inc.) (the "2015 Options") pursuant to that certain Option Agreement with a grant date of February 26, 2015 (the "2015 Option Agreement”). Employee agrees the 11,029 shares of the 2015 Options in which Employee is vested and which are unexercised shall remain vested and exercisable for 365 calendar days following the Separation Date. Employee agrees the remaining 11,030 shares of the 2015 Options are unvested and hereby forfeited, cancelled, terminated and deemed null and void ab initio. Employee agrees that as of 12:01 a.m. (Tampa time) on the 365th calendar day immediately following the Separation Date, the 2015 Option Agreement is hereby cancelled, terminated and deemed null and void ab initio.</w:t>
      </w:r>
    </w:p>
    <w:p>
      <w:pPr>
        <w:spacing w:after="0" w:line="197" w:lineRule="exact"/>
        <w:rPr>
          <w:sz w:val="20"/>
          <w:szCs w:val="20"/>
          <w:color w:val="auto"/>
        </w:rPr>
      </w:pPr>
    </w:p>
    <w:p>
      <w:pPr>
        <w:sectPr>
          <w:pgSz w:w="11900" w:h="16838" w:orient="portrait"/>
          <w:cols w:equalWidth="0" w:num="2">
            <w:col w:w="240" w:space="400"/>
            <w:col w:w="10120"/>
          </w:cols>
          <w:pgMar w:left="900" w:top="374" w:right="239" w:bottom="1440" w:gutter="0" w:footer="0" w:header="0"/>
          <w:type w:val="continuous"/>
        </w:sectPr>
      </w:pPr>
    </w:p>
    <w:p>
      <w:pP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9"/>
          <w:szCs w:val="19"/>
          <w:color w:val="auto"/>
        </w:rPr>
        <w:t>Employee was granted the option to purchase 34,817 shares of the common stock of Bloomin’ Brands, Inc. (formerly Kangaroo Holdings, Inc.) (the "February 2016 Options") pursuant to that certain Option Agreement with a grant date of June 1, 2016 (the "February 2016 Option Agreement”). Employee agrees the 8,704 shares of the February 2016 Options in which Employee is vested and which are unexercised shall remain vested and exercisable for 365 calendar days following the Separation Date. Employee agrees the remaining 26,113 shares of the February 2016 Options are unvested and hereby forfeited, cancelled, terminated and deemed null and void ab initio. Employee agrees that as of 12:01 a.m. (Tampa time) on the 365th calendar day immediately following the Separation Date, the February 2016 Option Agreement is hereby cancelled, terminated and deemed null and void ab initio.</w:t>
      </w:r>
    </w:p>
    <w:p>
      <w:pPr>
        <w:spacing w:after="0" w:line="200" w:lineRule="exact"/>
        <w:rPr>
          <w:sz w:val="20"/>
          <w:szCs w:val="20"/>
          <w:color w:val="auto"/>
        </w:rPr>
      </w:pPr>
    </w:p>
    <w:p>
      <w:pPr>
        <w:sectPr>
          <w:pgSz w:w="11900" w:h="16838" w:orient="portrait"/>
          <w:cols w:equalWidth="0" w:num="2">
            <w:col w:w="180" w:space="460"/>
            <w:col w:w="10120"/>
          </w:cols>
          <w:pgMar w:left="900" w:top="3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20"/>
        <w:spacing w:after="0"/>
        <w:tabs>
          <w:tab w:leader="none" w:pos="7800" w:val="left"/>
        </w:tabs>
        <w:rPr>
          <w:sz w:val="20"/>
          <w:szCs w:val="20"/>
          <w:color w:val="auto"/>
        </w:rPr>
      </w:pPr>
      <w:r>
        <w:rPr>
          <w:rFonts w:ascii="Arial" w:cs="Arial" w:eastAsia="Arial" w:hAnsi="Arial"/>
          <w:sz w:val="18"/>
          <w:szCs w:val="18"/>
          <w:color w:val="auto"/>
        </w:rPr>
        <w:t>Page 3 of 10</w:t>
      </w:r>
      <w:r>
        <w:rPr>
          <w:sz w:val="20"/>
          <w:szCs w:val="20"/>
          <w:color w:val="auto"/>
        </w:rPr>
        <w:tab/>
      </w:r>
      <w:r>
        <w:rPr>
          <w:rFonts w:ascii="Arial" w:cs="Arial" w:eastAsia="Arial" w:hAnsi="Arial"/>
          <w:sz w:val="16"/>
          <w:szCs w:val="16"/>
          <w:color w:val="auto"/>
        </w:rPr>
        <w:t>Employee Initials:</w:t>
      </w:r>
      <w:r>
        <w:rPr>
          <w:rFonts w:ascii="Arial" w:cs="Arial" w:eastAsia="Arial" w:hAnsi="Arial"/>
          <w:sz w:val="17"/>
          <w:szCs w:val="17"/>
          <w:u w:val="single" w:color="auto"/>
          <w:color w:val="auto"/>
        </w:rPr>
        <w:t>/s/PCM</w:t>
      </w:r>
    </w:p>
    <w:p>
      <w:pPr>
        <w:sectPr>
          <w:pgSz w:w="11900" w:h="16838" w:orient="portrait"/>
          <w:cols w:equalWidth="0" w:num="1">
            <w:col w:w="10760"/>
          </w:cols>
          <w:pgMar w:left="900" w:top="374" w:right="239" w:bottom="1440" w:gutter="0" w:footer="0" w:header="0"/>
          <w:type w:val="continuous"/>
        </w:sectPr>
      </w:pPr>
    </w:p>
    <w:bookmarkStart w:id="530" w:name="page531"/>
    <w:bookmarkEnd w:id="530"/>
    <w:p>
      <w:pPr>
        <w:spacing w:after="0"/>
        <w:rPr>
          <w:sz w:val="20"/>
          <w:szCs w:val="20"/>
          <w:color w:val="auto"/>
        </w:rPr>
      </w:pPr>
      <w:r>
        <w:rPr>
          <w:rFonts w:ascii="Arial" w:cs="Arial" w:eastAsia="Arial" w:hAnsi="Arial"/>
          <w:sz w:val="21"/>
          <w:szCs w:val="21"/>
          <w:color w:val="auto"/>
        </w:rPr>
        <w:t>j.)</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Employee was granted the option to purchase 46,279 shares of the common stock of Bloomin’ Brands, Inc. (formerly Kangaroo Holdings, Inc.) (the "March 2016 Options") pursuant to that certain Option Agreement with a grant date of March 1, 2016 (the "March 2016 Option Agreement”). Employee agrees none of the March 2016 Options are vested and all are hereby forfeited, cancelled, terminated and deemed null and void ab initio. The March 2016 Option Agreement is hereby cancelled, terminated and deemed null and void ab initio.</w:t>
      </w:r>
    </w:p>
    <w:p>
      <w:pPr>
        <w:spacing w:after="0" w:line="188" w:lineRule="exact"/>
        <w:rPr>
          <w:sz w:val="20"/>
          <w:szCs w:val="20"/>
          <w:color w:val="auto"/>
        </w:rPr>
      </w:pPr>
    </w:p>
    <w:p>
      <w:pPr>
        <w:sectPr>
          <w:pgSz w:w="11900" w:h="16838" w:orient="portrait"/>
          <w:cols w:equalWidth="0" w:num="2">
            <w:col w:w="180" w:space="460"/>
            <w:col w:w="10120"/>
          </w:cols>
          <w:pgMar w:left="900" w:top="375" w:right="239" w:bottom="1440" w:gutter="0" w:footer="0" w:header="0"/>
        </w:sectPr>
      </w:pPr>
    </w:p>
    <w:p>
      <w:pPr>
        <w:spacing w:after="0"/>
        <w:rPr>
          <w:sz w:val="20"/>
          <w:szCs w:val="20"/>
          <w:color w:val="auto"/>
        </w:rPr>
      </w:pPr>
      <w:r>
        <w:rPr>
          <w:rFonts w:ascii="Arial" w:cs="Arial" w:eastAsia="Arial" w:hAnsi="Arial"/>
          <w:sz w:val="21"/>
          <w:szCs w:val="21"/>
          <w:color w:val="auto"/>
        </w:rPr>
        <w:t>k.)</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21"/>
          <w:szCs w:val="21"/>
          <w:color w:val="auto"/>
        </w:rPr>
        <w:t>Employee was granted the option to purchase 29,703 shares of the common stock of Bloomin’ Brands, Inc. (formerly Kangaroo Holdings, Inc.) (the "2017 Options") pursuant to that certain Option Agreement with a grant date of February 24, 2017 (the "2017 Option Agreement”). Employee agrees none of the 2017 Options are vested and all are hereby forfeited, cancelled, terminated and deemed null and void ab initio. The 2017 Option Agreement is hereby cancelled, terminated and deemed null and void ab initio.</w:t>
      </w:r>
    </w:p>
    <w:p>
      <w:pPr>
        <w:spacing w:after="0" w:line="200" w:lineRule="exact"/>
        <w:rPr>
          <w:sz w:val="20"/>
          <w:szCs w:val="20"/>
          <w:color w:val="auto"/>
        </w:rPr>
      </w:pPr>
    </w:p>
    <w:p>
      <w:pPr>
        <w:sectPr>
          <w:pgSz w:w="11900" w:h="16838" w:orient="portrait"/>
          <w:cols w:equalWidth="0" w:num="2">
            <w:col w:w="240" w:space="400"/>
            <w:col w:w="10120"/>
          </w:cols>
          <w:pgMar w:left="900" w:top="375"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l.)</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9"/>
          <w:szCs w:val="19"/>
          <w:color w:val="auto"/>
        </w:rPr>
        <w:t>Employee was awarded 30,000 Bloomin’ Brands, Inc. (formerly Kangaroo Holdings, Inc.) restricted stock awards (the "2014 Restricted Stock") pursuant to that certain Restricted Stock Agreement with a grant date of October 1, 2014 (the "2014 Restricted Stock Agreement"). Employee agrees 22,500 of the 2014 Restricted Stock awards were previously vested and distributed. Employee agrees 7,500 of the 2014 Restricted Stock awards are unvested and hereby forfeited, canceled, terminated and deemed null and void ab initio. The 2014 Restricted Stock Agreement is hereby forfeited, cancelled, terminated and deemed null and void ab initio.</w:t>
      </w:r>
    </w:p>
    <w:p>
      <w:pPr>
        <w:spacing w:after="0" w:line="190" w:lineRule="exact"/>
        <w:rPr>
          <w:sz w:val="20"/>
          <w:szCs w:val="20"/>
          <w:color w:val="auto"/>
        </w:rPr>
      </w:pPr>
    </w:p>
    <w:p>
      <w:pPr>
        <w:sectPr>
          <w:pgSz w:w="11900" w:h="16838" w:orient="portrait"/>
          <w:cols w:equalWidth="0" w:num="2">
            <w:col w:w="180" w:space="460"/>
            <w:col w:w="10120"/>
          </w:cols>
          <w:pgMar w:left="90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m.)</w:t>
      </w:r>
    </w:p>
    <w:p>
      <w:pPr>
        <w:spacing w:after="0" w:line="20" w:lineRule="exact"/>
        <w:rPr>
          <w:sz w:val="20"/>
          <w:szCs w:val="20"/>
          <w:color w:val="auto"/>
        </w:rPr>
      </w:pPr>
      <w:r>
        <w:rPr>
          <w:sz w:val="20"/>
          <w:szCs w:val="20"/>
          <w:color w:val="auto"/>
        </w:rPr>
        <w:br w:type="column"/>
      </w:r>
    </w:p>
    <w:p>
      <w:pPr>
        <w:jc w:val="both"/>
        <w:spacing w:after="0" w:line="294" w:lineRule="auto"/>
        <w:rPr>
          <w:sz w:val="20"/>
          <w:szCs w:val="20"/>
          <w:color w:val="auto"/>
        </w:rPr>
      </w:pPr>
      <w:r>
        <w:rPr>
          <w:rFonts w:ascii="Arial" w:cs="Arial" w:eastAsia="Arial" w:hAnsi="Arial"/>
          <w:sz w:val="19"/>
          <w:szCs w:val="19"/>
          <w:color w:val="auto"/>
        </w:rPr>
        <w:t>Employee was awarded 14,935 Bloomin’ Brands, Inc. (formerly Kangaroo Holdings, Inc.) restricted stock awards (the "2016 Restricted Stock") pursuant to that certain Restricted Stock Agreement with a grant date of February 25, 2016 (the "2016 Restricted Stock Agreement"). Employee agrees 3,733 of the 2016 Restricted Stock awards were previously vested and distributed. Employee agrees 11,202 of the 2016 Restricted Stock awards are unvested and hereby forfeited, canceled, terminated and deemed null and void ab initio. The 2016 Restricted Stock Agreement is hereby forfeited, cancelled, terminated and deemed null and void ab initio.</w:t>
      </w:r>
    </w:p>
    <w:p>
      <w:pPr>
        <w:spacing w:after="0" w:line="190" w:lineRule="exact"/>
        <w:rPr>
          <w:sz w:val="20"/>
          <w:szCs w:val="20"/>
          <w:color w:val="auto"/>
        </w:rPr>
      </w:pPr>
    </w:p>
    <w:p>
      <w:pPr>
        <w:sectPr>
          <w:pgSz w:w="11900" w:h="16838" w:orient="portrait"/>
          <w:cols w:equalWidth="0" w:num="2">
            <w:col w:w="300" w:space="340"/>
            <w:col w:w="10120"/>
          </w:cols>
          <w:pgMar w:left="90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n.)</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Employee was awarded 12,469 Bloomin’ Brands, Inc. (formerly Kangaroo Holdings, Inc.) restricted stock awards (the "2017 Restricted Stock") pursuant to that certain Restricted Stock Agreement with a grant date of February 24, 2017 (the "2017 Restricted Stock Agreement"). Employee agrees none of the 2017 Restricted Stock awards are vested and all are hereby forfeited, canceled, terminated and deemed null and void ab initio. The February 2017 Restricted Stock Agreement is hereby forfeited, cancelled, terminated and deemed null and void ab initio.</w:t>
      </w:r>
    </w:p>
    <w:p>
      <w:pPr>
        <w:spacing w:after="0" w:line="188" w:lineRule="exact"/>
        <w:rPr>
          <w:sz w:val="20"/>
          <w:szCs w:val="20"/>
          <w:color w:val="auto"/>
        </w:rPr>
      </w:pPr>
    </w:p>
    <w:p>
      <w:pPr>
        <w:sectPr>
          <w:pgSz w:w="11900" w:h="16838" w:orient="portrait"/>
          <w:cols w:equalWidth="0" w:num="2">
            <w:col w:w="240" w:space="400"/>
            <w:col w:w="10120"/>
          </w:cols>
          <w:pgMar w:left="900" w:top="375" w:right="239" w:bottom="1440" w:gutter="0" w:footer="0" w:header="0"/>
          <w:type w:val="continuous"/>
        </w:sectPr>
      </w:pPr>
    </w:p>
    <w:p>
      <w:pPr>
        <w:spacing w:after="0"/>
        <w:rPr>
          <w:sz w:val="20"/>
          <w:szCs w:val="20"/>
          <w:color w:val="auto"/>
        </w:rPr>
      </w:pPr>
      <w:r>
        <w:rPr>
          <w:rFonts w:ascii="Arial" w:cs="Arial" w:eastAsia="Arial" w:hAnsi="Arial"/>
          <w:sz w:val="19"/>
          <w:szCs w:val="19"/>
          <w:color w:val="auto"/>
        </w:rPr>
        <w:t>o.)</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22"/>
          <w:szCs w:val="22"/>
          <w:color w:val="auto"/>
        </w:rPr>
        <w:t>Employee waives and relinquishes any rights that Employee may have to claim reimbursement from Employer and its Releasees for attorney’s fees, litigation costs or expenses that Employee may have incurred in the course of obtaining legal</w:t>
      </w:r>
    </w:p>
    <w:p>
      <w:pPr>
        <w:spacing w:after="0" w:line="200" w:lineRule="exact"/>
        <w:rPr>
          <w:sz w:val="20"/>
          <w:szCs w:val="20"/>
          <w:color w:val="auto"/>
        </w:rPr>
      </w:pPr>
    </w:p>
    <w:p>
      <w:pPr>
        <w:sectPr>
          <w:pgSz w:w="11900" w:h="16838" w:orient="portrait"/>
          <w:cols w:equalWidth="0" w:num="2">
            <w:col w:w="240" w:space="400"/>
            <w:col w:w="10120"/>
          </w:cols>
          <w:pgMar w:left="900" w:top="3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20"/>
        <w:spacing w:after="0"/>
        <w:tabs>
          <w:tab w:leader="none" w:pos="7800" w:val="left"/>
        </w:tabs>
        <w:rPr>
          <w:sz w:val="20"/>
          <w:szCs w:val="20"/>
          <w:color w:val="auto"/>
        </w:rPr>
      </w:pPr>
      <w:r>
        <w:rPr>
          <w:rFonts w:ascii="Arial" w:cs="Arial" w:eastAsia="Arial" w:hAnsi="Arial"/>
          <w:sz w:val="18"/>
          <w:szCs w:val="18"/>
          <w:color w:val="auto"/>
        </w:rPr>
        <w:t>Page 4 of 10</w:t>
      </w:r>
      <w:r>
        <w:rPr>
          <w:sz w:val="20"/>
          <w:szCs w:val="20"/>
          <w:color w:val="auto"/>
        </w:rPr>
        <w:tab/>
      </w:r>
      <w:r>
        <w:rPr>
          <w:rFonts w:ascii="Arial" w:cs="Arial" w:eastAsia="Arial" w:hAnsi="Arial"/>
          <w:sz w:val="16"/>
          <w:szCs w:val="16"/>
          <w:color w:val="auto"/>
        </w:rPr>
        <w:t>Employee Initials:</w:t>
      </w:r>
      <w:r>
        <w:rPr>
          <w:rFonts w:ascii="Arial" w:cs="Arial" w:eastAsia="Arial" w:hAnsi="Arial"/>
          <w:sz w:val="17"/>
          <w:szCs w:val="17"/>
          <w:u w:val="single" w:color="auto"/>
          <w:color w:val="auto"/>
        </w:rPr>
        <w:t>/s/PCM</w:t>
      </w:r>
    </w:p>
    <w:p>
      <w:pPr>
        <w:sectPr>
          <w:pgSz w:w="11900" w:h="16838" w:orient="portrait"/>
          <w:cols w:equalWidth="0" w:num="1">
            <w:col w:w="10760"/>
          </w:cols>
          <w:pgMar w:left="900" w:top="375" w:right="239" w:bottom="1440" w:gutter="0" w:footer="0" w:header="0"/>
          <w:type w:val="continuous"/>
        </w:sectPr>
      </w:pPr>
    </w:p>
    <w:bookmarkStart w:id="531" w:name="page532"/>
    <w:bookmarkEnd w:id="531"/>
    <w:tbl>
      <w:tblPr>
        <w:tblLayout w:type="fixed"/>
        <w:tblInd w:w="0" w:type="dxa"/>
        <w:tblCellMar>
          <w:top w:w="0" w:type="dxa"/>
          <w:left w:w="0" w:type="dxa"/>
          <w:bottom w:w="0" w:type="dxa"/>
          <w:right w:w="0" w:type="dxa"/>
        </w:tblCellMar>
      </w:tblP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advice on any matter related to Employer, except as otherwise expressly provided for herein.</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p.)</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4"/>
              </w:rPr>
              <w:t>Employee waives and disclaims any right to any damages, compensation, or other personal relief that may be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recovered at any time after the execution of this Release as a result of any proceeding arising out of or related to the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employment relationship that is brought under the jurisdiction or authority of the Equal Employment Opportunity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Commission ("EEOC"), the Florida Commission on Human Relations, the U.S. Department of Labor, or any other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local, state, or federal court or agency. If any such agency or court assumes jurisdiction of or files any complaint,</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charge, or proceeding against Employer or its Releasees, Employee shall request such agency or court to dismiss 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withdraw from the matter. Notwithstanding any other term or provision of this Release, nothing in this Release is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9"/>
              </w:rPr>
              <w:t>intended or shall be construed to prohibit Employee, with or without notice to the Employer or Employer’s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Releasees, from filing a charge with, directly communicating with or participating in any investigation or proceeding</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conducted by any local, state or federal agency regarding any possible law violation. Employee acknowledges and</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agrees, however, that, except with respect to any award pursuant to Section 21F of the Securities Exchange Act of</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7"/>
              </w:rPr>
              <w:t>1934, as amended, or any award administered by the U.S. Occupational Safety and Health Administration,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Employee waives any right to monetary damages, attorneys’ fees, costs and equitable remedies related to or arising</w:t>
            </w:r>
          </w:p>
        </w:tc>
      </w:t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from any such charge, or ensuing complaint or lawsuit, filed by Employee or on Employee’s behalf.</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q.)</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Employee agrees that he will preserve the confidentiality of this Release and not discuss or disclose its existence,</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8"/>
              </w:rPr>
              <w:t>substance, or contents to anyone other than his spouse, attorney, accountant, or tax advisors, except as compelled 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authorized by law. Employee further agrees that he will not at any time, disclose, use, or communicate to any person</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or entity, whether directly or indirectly, any Confidential Information obtained by the Employee during the term of</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Employee's employment with Employer, unless (i) such disclosure or communication is compelled by law, or (ii)</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4"/>
              </w:rPr>
              <w:t>Employee has received specific written authorization in advance from Employer prior to the disclosure, use, or</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communication. Confidential Information shall mean any information regarding, affecting, or relating to the clients,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operations, or business of Employer that is treated as confidential by Employer and that is not generally known by or</w:t>
            </w:r>
          </w:p>
        </w:tc>
      </w:tr>
      <w:tr>
        <w:trPr>
          <w:trHeight w:val="275"/>
        </w:trPr>
        <w:tc>
          <w:tcPr>
            <w:tcW w:w="440" w:type="dxa"/>
            <w:vAlign w:val="bottom"/>
          </w:tcPr>
          <w:p>
            <w:pPr>
              <w:spacing w:after="0"/>
              <w:rPr>
                <w:sz w:val="23"/>
                <w:szCs w:val="23"/>
                <w:color w:val="auto"/>
              </w:rPr>
            </w:pPr>
          </w:p>
        </w:tc>
        <w:tc>
          <w:tcPr>
            <w:tcW w:w="6280" w:type="dxa"/>
            <w:vAlign w:val="bottom"/>
          </w:tcPr>
          <w:p>
            <w:pPr>
              <w:ind w:left="200"/>
              <w:spacing w:after="0"/>
              <w:rPr>
                <w:sz w:val="20"/>
                <w:szCs w:val="20"/>
                <w:color w:val="auto"/>
              </w:rPr>
            </w:pPr>
            <w:r>
              <w:rPr>
                <w:rFonts w:ascii="Arial" w:cs="Arial" w:eastAsia="Arial" w:hAnsi="Arial"/>
                <w:sz w:val="22"/>
                <w:szCs w:val="22"/>
                <w:color w:val="auto"/>
              </w:rPr>
              <w:t>otherwise available to third parties.</w:t>
            </w:r>
          </w:p>
        </w:tc>
        <w:tc>
          <w:tcPr>
            <w:tcW w:w="2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r.)</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8"/>
              </w:rPr>
              <w:t>Employee agrees that he will not disparage Employer or its Releasees in any way to any person or entity.</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Notwithstanding this provision, in the unlikely event that Employee is subpoenaed as part of a government entity’s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investigation of Employer, Employee may provide truthful information about his employment to the government</w:t>
            </w:r>
          </w:p>
        </w:tc>
      </w:tr>
      <w:tr>
        <w:trPr>
          <w:trHeight w:val="275"/>
        </w:trPr>
        <w:tc>
          <w:tcPr>
            <w:tcW w:w="440" w:type="dxa"/>
            <w:vAlign w:val="bottom"/>
          </w:tcPr>
          <w:p>
            <w:pPr>
              <w:spacing w:after="0"/>
              <w:rPr>
                <w:sz w:val="23"/>
                <w:szCs w:val="23"/>
                <w:color w:val="auto"/>
              </w:rPr>
            </w:pPr>
          </w:p>
        </w:tc>
        <w:tc>
          <w:tcPr>
            <w:tcW w:w="6280" w:type="dxa"/>
            <w:vAlign w:val="bottom"/>
          </w:tcPr>
          <w:p>
            <w:pPr>
              <w:ind w:left="200"/>
              <w:spacing w:after="0"/>
              <w:rPr>
                <w:sz w:val="20"/>
                <w:szCs w:val="20"/>
                <w:color w:val="auto"/>
              </w:rPr>
            </w:pPr>
            <w:r>
              <w:rPr>
                <w:rFonts w:ascii="Arial" w:cs="Arial" w:eastAsia="Arial" w:hAnsi="Arial"/>
                <w:sz w:val="22"/>
                <w:szCs w:val="22"/>
                <w:color w:val="auto"/>
              </w:rPr>
              <w:t>entity without violating this Release.</w:t>
            </w:r>
          </w:p>
        </w:tc>
        <w:tc>
          <w:tcPr>
            <w:tcW w:w="2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s.)</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8"/>
              </w:rPr>
              <w:t>If Employee is asked to discuss the subjects prohibited by subparagraphs 3(q) and (r) above, Employee is authorized</w:t>
            </w:r>
          </w:p>
        </w:tc>
      </w:tr>
      <w:tr>
        <w:trPr>
          <w:trHeight w:val="275"/>
        </w:trPr>
        <w:tc>
          <w:tcPr>
            <w:tcW w:w="440" w:type="dxa"/>
            <w:vAlign w:val="bottom"/>
          </w:tcPr>
          <w:p>
            <w:pPr>
              <w:spacing w:after="0"/>
              <w:rPr>
                <w:sz w:val="23"/>
                <w:szCs w:val="23"/>
                <w:color w:val="auto"/>
              </w:rPr>
            </w:pPr>
          </w:p>
        </w:tc>
        <w:tc>
          <w:tcPr>
            <w:tcW w:w="6280" w:type="dxa"/>
            <w:vAlign w:val="bottom"/>
          </w:tcPr>
          <w:p>
            <w:pPr>
              <w:ind w:left="200"/>
              <w:spacing w:after="0"/>
              <w:rPr>
                <w:sz w:val="20"/>
                <w:szCs w:val="20"/>
                <w:color w:val="auto"/>
              </w:rPr>
            </w:pPr>
            <w:r>
              <w:rPr>
                <w:rFonts w:ascii="Arial" w:cs="Arial" w:eastAsia="Arial" w:hAnsi="Arial"/>
                <w:sz w:val="22"/>
                <w:szCs w:val="22"/>
                <w:color w:val="auto"/>
              </w:rPr>
              <w:t>to respond as follows:</w:t>
            </w:r>
          </w:p>
        </w:tc>
        <w:tc>
          <w:tcPr>
            <w:tcW w:w="2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841"/>
        </w:trPr>
        <w:tc>
          <w:tcPr>
            <w:tcW w:w="440" w:type="dxa"/>
            <w:vAlign w:val="bottom"/>
          </w:tcPr>
          <w:p>
            <w:pPr>
              <w:spacing w:after="0"/>
              <w:rPr>
                <w:sz w:val="24"/>
                <w:szCs w:val="24"/>
                <w:color w:val="auto"/>
              </w:rPr>
            </w:pPr>
          </w:p>
        </w:tc>
        <w:tc>
          <w:tcPr>
            <w:tcW w:w="6280" w:type="dxa"/>
            <w:vAlign w:val="bottom"/>
          </w:tcPr>
          <w:p>
            <w:pPr>
              <w:ind w:left="4280"/>
              <w:spacing w:after="0"/>
              <w:rPr>
                <w:sz w:val="20"/>
                <w:szCs w:val="20"/>
                <w:color w:val="auto"/>
              </w:rPr>
            </w:pPr>
            <w:r>
              <w:rPr>
                <w:rFonts w:ascii="Arial" w:cs="Arial" w:eastAsia="Arial" w:hAnsi="Arial"/>
                <w:sz w:val="18"/>
                <w:szCs w:val="18"/>
                <w:color w:val="auto"/>
              </w:rPr>
              <w:t>Page 5 of 10</w:t>
            </w:r>
          </w:p>
        </w:tc>
        <w:tc>
          <w:tcPr>
            <w:tcW w:w="4040" w:type="dxa"/>
            <w:vAlign w:val="bottom"/>
            <w:gridSpan w:val="3"/>
          </w:tcPr>
          <w:p>
            <w:pPr>
              <w:ind w:left="110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/s/PCM</w:t>
            </w:r>
          </w:p>
        </w:tc>
      </w:tr>
      <w:tr>
        <w:trPr>
          <w:trHeight w:val="20"/>
        </w:trPr>
        <w:tc>
          <w:tcPr>
            <w:tcW w:w="4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0760"/>
          </w:cols>
          <w:pgMar w:left="900" w:top="375" w:right="239" w:bottom="1440" w:gutter="0" w:footer="0" w:header="0"/>
        </w:sectPr>
      </w:pPr>
    </w:p>
    <w:bookmarkStart w:id="532" w:name="page533"/>
    <w:bookmarkEnd w:id="532"/>
    <w:p>
      <w:pPr>
        <w:ind w:left="1952"/>
        <w:spacing w:after="0" w:line="263" w:lineRule="auto"/>
        <w:rPr>
          <w:sz w:val="20"/>
          <w:szCs w:val="20"/>
          <w:color w:val="auto"/>
        </w:rPr>
      </w:pPr>
      <w:r>
        <w:rPr>
          <w:rFonts w:ascii="Arial" w:cs="Arial" w:eastAsia="Arial" w:hAnsi="Arial"/>
          <w:sz w:val="22"/>
          <w:szCs w:val="22"/>
          <w:color w:val="auto"/>
        </w:rPr>
        <w:t>I had a good relationship with Bloomin’ Brands but my position was eliminated. I have no disputes with Bloomin’ Brands.</w:t>
      </w:r>
    </w:p>
    <w:p>
      <w:pPr>
        <w:sectPr>
          <w:pgSz w:w="11900" w:h="16838" w:orient="portrait"/>
          <w:cols w:equalWidth="0" w:num="1">
            <w:col w:w="11412"/>
          </w:cols>
          <w:pgMar w:left="248" w:top="374" w:right="239" w:bottom="1440" w:gutter="0" w:footer="0" w:header="0"/>
        </w:sectPr>
      </w:pPr>
    </w:p>
    <w:p>
      <w:pPr>
        <w:spacing w:after="0" w:line="2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w:t>
      </w:r>
      <w:r>
        <w:rPr>
          <w:rFonts w:ascii="Arial" w:cs="Arial" w:eastAsia="Arial" w:hAnsi="Arial"/>
          <w:sz w:val="21"/>
          <w:szCs w:val="21"/>
          <w:color w:val="0D0D0D"/>
        </w:rPr>
        <w:t>or a two-year period commencing on the date Employee executes this Agreement,</w:t>
      </w:r>
      <w:r>
        <w:rPr>
          <w:rFonts w:ascii="Arial" w:cs="Arial" w:eastAsia="Arial" w:hAnsi="Arial"/>
          <w:sz w:val="21"/>
          <w:szCs w:val="21"/>
          <w:color w:val="auto"/>
        </w:rPr>
        <w:t xml:space="preserve"> Employee shall not, individually or jointly with others, offer employment to, or hire, any employee of Employer, their franchisees or affiliates, or otherwise solicit or induce, directly or indirectly, any employee of Employer, their franchisees or affiliates to terminate their employment. This prohibition on solicitation shall include but not be limited to </w:t>
      </w:r>
      <w:r>
        <w:rPr>
          <w:rFonts w:ascii="Arial" w:cs="Arial" w:eastAsia="Arial" w:hAnsi="Arial"/>
          <w:sz w:val="21"/>
          <w:szCs w:val="21"/>
          <w:color w:val="0D0D0D"/>
        </w:rPr>
        <w:t>any employee of</w:t>
      </w:r>
      <w:r>
        <w:rPr>
          <w:rFonts w:ascii="Arial" w:cs="Arial" w:eastAsia="Arial" w:hAnsi="Arial"/>
          <w:sz w:val="21"/>
          <w:szCs w:val="21"/>
          <w:color w:val="auto"/>
        </w:rPr>
        <w:t xml:space="preserve"> </w:t>
      </w:r>
      <w:r>
        <w:rPr>
          <w:rFonts w:ascii="Arial" w:cs="Arial" w:eastAsia="Arial" w:hAnsi="Arial"/>
          <w:sz w:val="21"/>
          <w:szCs w:val="21"/>
          <w:color w:val="0D0D0D"/>
        </w:rPr>
        <w:t>Employer or its Affiliates assigned to Employer’s Home Office in Tampa, Florida, except for non-management personnel recruited through general solicitations in print or other media.</w:t>
      </w:r>
    </w:p>
    <w:p>
      <w:pPr>
        <w:spacing w:after="0" w:line="200" w:lineRule="exact"/>
        <w:rPr>
          <w:sz w:val="20"/>
          <w:szCs w:val="20"/>
          <w:color w:val="auto"/>
        </w:rPr>
      </w:pPr>
    </w:p>
    <w:p>
      <w:pPr>
        <w:sectPr>
          <w:pgSz w:w="11900" w:h="16838" w:orient="portrait"/>
          <w:cols w:equalWidth="0" w:num="2">
            <w:col w:w="832" w:space="460"/>
            <w:col w:w="10120"/>
          </w:cols>
          <w:pgMar w:left="248" w:top="374" w:right="239" w:bottom="1440" w:gutter="0" w:footer="0" w:header="0"/>
          <w:type w:val="continuous"/>
        </w:sectPr>
      </w:pPr>
    </w:p>
    <w:p>
      <w:pPr>
        <w:spacing w:after="0" w:line="21" w:lineRule="exact"/>
        <w:rPr>
          <w:sz w:val="20"/>
          <w:szCs w:val="20"/>
          <w:color w:val="auto"/>
        </w:rPr>
      </w:pPr>
    </w:p>
    <w:p>
      <w:pPr>
        <w:ind w:left="652"/>
        <w:spacing w:after="0"/>
        <w:rPr>
          <w:sz w:val="20"/>
          <w:szCs w:val="20"/>
          <w:color w:val="auto"/>
        </w:rPr>
      </w:pPr>
      <w:r>
        <w:rPr>
          <w:rFonts w:ascii="Arial" w:cs="Arial" w:eastAsia="Arial" w:hAnsi="Arial"/>
          <w:sz w:val="19"/>
          <w:szCs w:val="19"/>
          <w:color w:val="auto"/>
        </w:rPr>
        <w:t>u.)</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Employee agrees to submit all requests for reimbursement no later than two weeks after the Separation Date. Employer reserves the right to deny requests for reimbursement made more than two weeks after the Separation Date. Reimbursement eligibility will be determined consistent with Employer’s usual policies and procedures.</w:t>
      </w:r>
    </w:p>
    <w:p>
      <w:pPr>
        <w:spacing w:after="0" w:line="174"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ind w:left="652"/>
        <w:spacing w:after="0"/>
        <w:rPr>
          <w:sz w:val="20"/>
          <w:szCs w:val="20"/>
          <w:color w:val="auto"/>
        </w:rPr>
      </w:pP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Employee agrees this Release shall serve as Employee’s resignation from any and all director, officer or other positions Employee has held at any time for or on behalf of the Employer and/or Employer’s affiliates.</w:t>
      </w:r>
    </w:p>
    <w:p>
      <w:pPr>
        <w:spacing w:after="0" w:line="192" w:lineRule="exact"/>
        <w:rPr>
          <w:sz w:val="20"/>
          <w:szCs w:val="20"/>
          <w:color w:val="auto"/>
        </w:rPr>
      </w:pPr>
    </w:p>
    <w:p>
      <w:pPr>
        <w:sectPr>
          <w:pgSz w:w="11900" w:h="16838" w:orient="portrait"/>
          <w:cols w:equalWidth="0" w:num="2">
            <w:col w:w="872" w:space="420"/>
            <w:col w:w="10120"/>
          </w:cols>
          <w:pgMar w:left="248" w:top="374" w:right="239" w:bottom="1440" w:gutter="0" w:footer="0" w:header="0"/>
          <w:type w:val="continuous"/>
        </w:sectPr>
      </w:pPr>
    </w:p>
    <w:p>
      <w:pPr>
        <w:ind w:left="652"/>
        <w:spacing w:after="0"/>
        <w:rPr>
          <w:sz w:val="20"/>
          <w:szCs w:val="20"/>
          <w:color w:val="auto"/>
        </w:rPr>
      </w:pPr>
      <w:r>
        <w:rPr>
          <w:rFonts w:ascii="Arial" w:cs="Arial" w:eastAsia="Arial" w:hAnsi="Arial"/>
          <w:sz w:val="19"/>
          <w:szCs w:val="19"/>
          <w:color w:val="auto"/>
        </w:rPr>
        <w:t>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Employee shall comply with all other terms of this Release as provided for herein.</w:t>
      </w:r>
    </w:p>
    <w:p>
      <w:pPr>
        <w:spacing w:after="0" w:line="200" w:lineRule="exact"/>
        <w:rPr>
          <w:sz w:val="20"/>
          <w:szCs w:val="20"/>
          <w:color w:val="auto"/>
        </w:rPr>
      </w:pPr>
    </w:p>
    <w:p>
      <w:pPr>
        <w:sectPr>
          <w:pgSz w:w="11900" w:h="16838" w:orient="portrait"/>
          <w:cols w:equalWidth="0" w:num="2">
            <w:col w:w="912" w:space="380"/>
            <w:col w:w="10120"/>
          </w:cols>
          <w:pgMar w:left="248" w:top="374" w:right="239" w:bottom="1440" w:gutter="0" w:footer="0" w:header="0"/>
          <w:type w:val="continuous"/>
        </w:sectPr>
      </w:pPr>
    </w:p>
    <w:p>
      <w:pPr>
        <w:spacing w:after="0" w:line="95" w:lineRule="exact"/>
        <w:rPr>
          <w:sz w:val="20"/>
          <w:szCs w:val="20"/>
          <w:color w:val="auto"/>
        </w:rPr>
      </w:pPr>
    </w:p>
    <w:p>
      <w:pPr>
        <w:ind w:left="652" w:right="20" w:hanging="652"/>
        <w:spacing w:after="0" w:line="263" w:lineRule="auto"/>
        <w:tabs>
          <w:tab w:leader="none" w:pos="652" w:val="left"/>
        </w:tabs>
        <w:numPr>
          <w:ilvl w:val="0"/>
          <w:numId w:val="423"/>
        </w:numPr>
        <w:rPr>
          <w:rFonts w:ascii="Arial" w:cs="Arial" w:eastAsia="Arial" w:hAnsi="Arial"/>
          <w:sz w:val="22"/>
          <w:szCs w:val="22"/>
          <w:color w:val="auto"/>
        </w:rPr>
      </w:pPr>
      <w:r>
        <w:rPr>
          <w:rFonts w:ascii="Arial" w:cs="Arial" w:eastAsia="Arial" w:hAnsi="Arial"/>
          <w:sz w:val="22"/>
          <w:szCs w:val="22"/>
          <w:color w:val="auto"/>
        </w:rPr>
        <w:t>As consideration for the promises made by Employee in this Release, Employer promises and obligates itself to perform the following covenants under this Release:</w:t>
      </w:r>
    </w:p>
    <w:p>
      <w:pPr>
        <w:spacing w:after="0" w:line="215" w:lineRule="exact"/>
        <w:rPr>
          <w:sz w:val="20"/>
          <w:szCs w:val="20"/>
          <w:color w:val="auto"/>
        </w:rPr>
      </w:pPr>
    </w:p>
    <w:tbl>
      <w:tblPr>
        <w:tblLayout w:type="fixed"/>
        <w:tblInd w:w="652"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6"/>
              </w:rPr>
              <w:t>Employer shall pay Employee a lump sum severance payment in the gross amount of $1,200,000, less legal</w:t>
            </w:r>
          </w:p>
        </w:tc>
      </w:tr>
      <w:tr>
        <w:trPr>
          <w:trHeight w:val="275"/>
        </w:trPr>
        <w:tc>
          <w:tcPr>
            <w:tcW w:w="440" w:type="dxa"/>
            <w:vAlign w:val="bottom"/>
          </w:tcPr>
          <w:p>
            <w:pPr>
              <w:spacing w:after="0"/>
              <w:rPr>
                <w:sz w:val="23"/>
                <w:szCs w:val="23"/>
                <w:color w:val="auto"/>
              </w:rPr>
            </w:pPr>
          </w:p>
        </w:tc>
        <w:tc>
          <w:tcPr>
            <w:tcW w:w="6780" w:type="dxa"/>
            <w:vAlign w:val="bottom"/>
          </w:tcPr>
          <w:p>
            <w:pPr>
              <w:ind w:left="200"/>
              <w:spacing w:after="0"/>
              <w:rPr>
                <w:sz w:val="20"/>
                <w:szCs w:val="20"/>
                <w:color w:val="auto"/>
              </w:rPr>
            </w:pPr>
            <w:r>
              <w:rPr>
                <w:rFonts w:ascii="Arial" w:cs="Arial" w:eastAsia="Arial" w:hAnsi="Arial"/>
                <w:sz w:val="22"/>
                <w:szCs w:val="22"/>
                <w:color w:val="auto"/>
              </w:rPr>
              <w:t>deductions and withholdings.</w:t>
            </w:r>
          </w:p>
        </w:tc>
        <w:tc>
          <w:tcPr>
            <w:tcW w:w="1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89"/>
              </w:rPr>
              <w:t>Employer shall pay Employee a lump sum of $900 to reimburse Employee for 12 months continuing coverage of his</w:t>
            </w:r>
          </w:p>
        </w:tc>
      </w:t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benefits pursuant to the Consolidated Omnibus Budget Reconciliation Act (“COBRA”).</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2"/>
              </w:rPr>
              <w:t>Employer will not contest any claim for unemployment benefits related to Employee’s employment with Employer</w:t>
            </w:r>
          </w:p>
        </w:tc>
      </w:tr>
      <w:tr>
        <w:trPr>
          <w:trHeight w:val="275"/>
        </w:trPr>
        <w:tc>
          <w:tcPr>
            <w:tcW w:w="440" w:type="dxa"/>
            <w:vAlign w:val="bottom"/>
          </w:tcPr>
          <w:p>
            <w:pPr>
              <w:spacing w:after="0"/>
              <w:rPr>
                <w:sz w:val="23"/>
                <w:szCs w:val="23"/>
                <w:color w:val="auto"/>
              </w:rPr>
            </w:pPr>
          </w:p>
        </w:tc>
        <w:tc>
          <w:tcPr>
            <w:tcW w:w="6780" w:type="dxa"/>
            <w:vAlign w:val="bottom"/>
          </w:tcPr>
          <w:p>
            <w:pPr>
              <w:ind w:left="200"/>
              <w:spacing w:after="0"/>
              <w:rPr>
                <w:sz w:val="20"/>
                <w:szCs w:val="20"/>
                <w:color w:val="auto"/>
              </w:rPr>
            </w:pPr>
            <w:r>
              <w:rPr>
                <w:rFonts w:ascii="Arial" w:cs="Arial" w:eastAsia="Arial" w:hAnsi="Arial"/>
                <w:sz w:val="22"/>
                <w:szCs w:val="22"/>
                <w:color w:val="auto"/>
              </w:rPr>
              <w:t>ended on the Separation Date.</w:t>
            </w:r>
          </w:p>
        </w:tc>
        <w:tc>
          <w:tcPr>
            <w:tcW w:w="1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5"/>
              </w:rPr>
              <w:t>As additional consideration for this Release, Employer will provide Employee with outplacement services with</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6"/>
              </w:rPr>
              <w:t>Challenger, Gray &amp; Christmas for a period of up to 12 months, to be used consecutively, beginning after the</w:t>
            </w:r>
          </w:p>
        </w:tc>
      </w:tr>
      <w:tr>
        <w:trPr>
          <w:trHeight w:val="275"/>
        </w:trPr>
        <w:tc>
          <w:tcPr>
            <w:tcW w:w="440" w:type="dxa"/>
            <w:vAlign w:val="bottom"/>
          </w:tcPr>
          <w:p>
            <w:pPr>
              <w:spacing w:after="0"/>
              <w:rPr>
                <w:sz w:val="23"/>
                <w:szCs w:val="23"/>
                <w:color w:val="auto"/>
              </w:rPr>
            </w:pPr>
          </w:p>
        </w:tc>
        <w:tc>
          <w:tcPr>
            <w:tcW w:w="6780" w:type="dxa"/>
            <w:vAlign w:val="bottom"/>
          </w:tcPr>
          <w:p>
            <w:pPr>
              <w:ind w:left="200"/>
              <w:spacing w:after="0"/>
              <w:rPr>
                <w:sz w:val="20"/>
                <w:szCs w:val="20"/>
                <w:color w:val="auto"/>
              </w:rPr>
            </w:pPr>
            <w:r>
              <w:rPr>
                <w:rFonts w:ascii="Arial" w:cs="Arial" w:eastAsia="Arial" w:hAnsi="Arial"/>
                <w:sz w:val="22"/>
                <w:szCs w:val="22"/>
                <w:color w:val="auto"/>
                <w:w w:val="97"/>
              </w:rPr>
              <w:t>expiration of the Revocation Period referenced in paragraph 6 below.</w:t>
            </w:r>
          </w:p>
        </w:tc>
        <w:tc>
          <w:tcPr>
            <w:tcW w:w="1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3"/>
              </w:rPr>
              <w:t>Employer agrees not to seek reimbursement of the $272,000 retention bonus paid to Employee in March 2017.</w:t>
            </w:r>
          </w:p>
        </w:tc>
      </w:tr>
      <w:tr>
        <w:trPr>
          <w:trHeight w:val="841"/>
        </w:trPr>
        <w:tc>
          <w:tcPr>
            <w:tcW w:w="440" w:type="dxa"/>
            <w:vAlign w:val="bottom"/>
          </w:tcPr>
          <w:p>
            <w:pPr>
              <w:spacing w:after="0"/>
              <w:rPr>
                <w:sz w:val="24"/>
                <w:szCs w:val="24"/>
                <w:color w:val="auto"/>
              </w:rPr>
            </w:pPr>
          </w:p>
        </w:tc>
        <w:tc>
          <w:tcPr>
            <w:tcW w:w="6780" w:type="dxa"/>
            <w:vAlign w:val="bottom"/>
          </w:tcPr>
          <w:p>
            <w:pPr>
              <w:ind w:left="4280"/>
              <w:spacing w:after="0"/>
              <w:rPr>
                <w:sz w:val="20"/>
                <w:szCs w:val="20"/>
                <w:color w:val="auto"/>
              </w:rPr>
            </w:pPr>
            <w:r>
              <w:rPr>
                <w:rFonts w:ascii="Arial" w:cs="Arial" w:eastAsia="Arial" w:hAnsi="Arial"/>
                <w:sz w:val="18"/>
                <w:szCs w:val="18"/>
                <w:color w:val="auto"/>
              </w:rPr>
              <w:t>Page 6 of 10</w:t>
            </w:r>
          </w:p>
        </w:tc>
        <w:tc>
          <w:tcPr>
            <w:tcW w:w="3540" w:type="dxa"/>
            <w:vAlign w:val="bottom"/>
            <w:gridSpan w:val="3"/>
          </w:tcPr>
          <w:p>
            <w:pPr>
              <w:ind w:left="60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/s/PCM</w:t>
            </w:r>
          </w:p>
        </w:tc>
      </w:tr>
      <w:tr>
        <w:trPr>
          <w:trHeight w:val="20"/>
        </w:trPr>
        <w:tc>
          <w:tcPr>
            <w:tcW w:w="4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12"/>
          </w:cols>
          <w:pgMar w:left="248" w:top="374" w:right="239" w:bottom="1440" w:gutter="0" w:footer="0" w:header="0"/>
          <w:type w:val="continuous"/>
        </w:sectPr>
      </w:pPr>
    </w:p>
    <w:bookmarkStart w:id="533" w:name="page534"/>
    <w:bookmarkEnd w:id="533"/>
    <w:p>
      <w:pPr>
        <w:ind w:left="652"/>
        <w:spacing w:after="0"/>
        <w:rPr>
          <w:sz w:val="20"/>
          <w:szCs w:val="20"/>
          <w:color w:val="auto"/>
        </w:rPr>
      </w:pPr>
      <w:r>
        <w:rPr>
          <w:rFonts w:ascii="Arial" w:cs="Arial" w:eastAsia="Arial" w:hAnsi="Arial"/>
          <w:sz w:val="22"/>
          <w:szCs w:val="22"/>
          <w:color w:val="auto"/>
        </w:rPr>
        <w:t>f.)</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Employer shall send the payments described in paragraphs 4(a) and 4(b) above to Employee’s home address within 10 days after the expiration of the Revocation Period referenced in paragraph 6 below.</w:t>
      </w:r>
    </w:p>
    <w:p>
      <w:pPr>
        <w:spacing w:after="0" w:line="200" w:lineRule="exact"/>
        <w:rPr>
          <w:sz w:val="20"/>
          <w:szCs w:val="20"/>
          <w:color w:val="auto"/>
        </w:rPr>
      </w:pPr>
    </w:p>
    <w:p>
      <w:pPr>
        <w:sectPr>
          <w:pgSz w:w="11900" w:h="16838" w:orient="portrait"/>
          <w:cols w:equalWidth="0" w:num="2">
            <w:col w:w="852" w:space="440"/>
            <w:col w:w="10120"/>
          </w:cols>
          <w:pgMar w:left="248" w:top="374" w:right="239" w:bottom="1440" w:gutter="0" w:footer="0" w:header="0"/>
        </w:sectPr>
      </w:pPr>
    </w:p>
    <w:p>
      <w:pPr>
        <w:spacing w:after="0" w:line="15" w:lineRule="exact"/>
        <w:rPr>
          <w:sz w:val="20"/>
          <w:szCs w:val="20"/>
          <w:color w:val="auto"/>
        </w:rPr>
      </w:pPr>
    </w:p>
    <w:p>
      <w:pPr>
        <w:ind w:left="652"/>
        <w:spacing w:after="0"/>
        <w:rPr>
          <w:sz w:val="20"/>
          <w:szCs w:val="20"/>
          <w:color w:val="auto"/>
        </w:rPr>
      </w:pPr>
      <w:r>
        <w:rPr>
          <w:rFonts w:ascii="Arial" w:cs="Arial" w:eastAsia="Arial" w:hAnsi="Arial"/>
          <w:sz w:val="19"/>
          <w:szCs w:val="19"/>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Employer shall comply with all other terms of this Release as provided for herein.</w:t>
      </w:r>
    </w:p>
    <w:p>
      <w:pPr>
        <w:spacing w:after="0" w:line="200" w:lineRule="exact"/>
        <w:rPr>
          <w:sz w:val="20"/>
          <w:szCs w:val="20"/>
          <w:color w:val="auto"/>
        </w:rPr>
      </w:pPr>
    </w:p>
    <w:p>
      <w:pPr>
        <w:sectPr>
          <w:pgSz w:w="11900" w:h="16838" w:orient="portrait"/>
          <w:cols w:equalWidth="0" w:num="2">
            <w:col w:w="892" w:space="400"/>
            <w:col w:w="10120"/>
          </w:cols>
          <w:pgMar w:left="248" w:top="374" w:right="239" w:bottom="1440" w:gutter="0" w:footer="0" w:header="0"/>
          <w:type w:val="continuous"/>
        </w:sectPr>
      </w:pPr>
    </w:p>
    <w:p>
      <w:pPr>
        <w:spacing w:after="0" w:line="95" w:lineRule="exact"/>
        <w:rPr>
          <w:sz w:val="20"/>
          <w:szCs w:val="20"/>
          <w:color w:val="auto"/>
        </w:rPr>
      </w:pPr>
    </w:p>
    <w:p>
      <w:pPr>
        <w:jc w:val="both"/>
        <w:ind w:left="652" w:hanging="652"/>
        <w:spacing w:after="0" w:line="250" w:lineRule="auto"/>
        <w:tabs>
          <w:tab w:leader="none" w:pos="652" w:val="left"/>
        </w:tabs>
        <w:numPr>
          <w:ilvl w:val="0"/>
          <w:numId w:val="424"/>
        </w:numPr>
        <w:rPr>
          <w:rFonts w:ascii="Arial" w:cs="Arial" w:eastAsia="Arial" w:hAnsi="Arial"/>
          <w:sz w:val="22"/>
          <w:szCs w:val="22"/>
          <w:color w:val="auto"/>
        </w:rPr>
      </w:pPr>
      <w:r>
        <w:rPr>
          <w:rFonts w:ascii="Arial" w:cs="Arial" w:eastAsia="Arial" w:hAnsi="Arial"/>
          <w:sz w:val="22"/>
          <w:szCs w:val="22"/>
          <w:color w:val="auto"/>
        </w:rPr>
        <w:t>Employee shall have a period of 21 calendar days (“the Consideration Period”) from the date he is presented with this Release to consider the Release’s terms and consequences before executing the Release. Employee is not required to let the full Consideration Period elapse before executing the Release; rather, the Release may be executed on any date within the Consideration Period.</w:t>
      </w:r>
    </w:p>
    <w:p>
      <w:pPr>
        <w:spacing w:after="0" w:line="228" w:lineRule="exact"/>
        <w:rPr>
          <w:rFonts w:ascii="Arial" w:cs="Arial" w:eastAsia="Arial" w:hAnsi="Arial"/>
          <w:sz w:val="22"/>
          <w:szCs w:val="22"/>
          <w:color w:val="auto"/>
        </w:rPr>
      </w:pPr>
    </w:p>
    <w:p>
      <w:pPr>
        <w:jc w:val="both"/>
        <w:ind w:left="652" w:hanging="652"/>
        <w:spacing w:after="0" w:line="235" w:lineRule="auto"/>
        <w:tabs>
          <w:tab w:leader="none" w:pos="652" w:val="left"/>
        </w:tabs>
        <w:numPr>
          <w:ilvl w:val="0"/>
          <w:numId w:val="424"/>
        </w:numPr>
        <w:rPr>
          <w:rFonts w:ascii="Arial" w:cs="Arial" w:eastAsia="Arial" w:hAnsi="Arial"/>
          <w:sz w:val="22"/>
          <w:szCs w:val="22"/>
          <w:color w:val="auto"/>
        </w:rPr>
      </w:pPr>
      <w:r>
        <w:rPr>
          <w:rFonts w:ascii="Arial" w:cs="Arial" w:eastAsia="Arial" w:hAnsi="Arial"/>
          <w:sz w:val="22"/>
          <w:szCs w:val="22"/>
          <w:color w:val="auto"/>
        </w:rPr>
        <w:t>Employee and Employer agree that Employee may revoke the Release for any reason at any time during the seven calendar days immediately following Employee’s execution of the Release ("the Revocation Period"). To revoke this Release, Employee must cause written notice of his intent to revoke this Release to be delivered to Pablo Brizi at Employer’s Home Office, 2202 N. Westshore Boulevard,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Tampa, FL 33607 within the Revocation Period. This Release shall not become effective or enforceable until the Revocation Period has expired without such notice having been delivered to Employer in the specified manner.</w:t>
      </w:r>
    </w:p>
    <w:p>
      <w:pPr>
        <w:spacing w:after="0" w:line="242" w:lineRule="exact"/>
        <w:rPr>
          <w:rFonts w:ascii="Arial" w:cs="Arial" w:eastAsia="Arial" w:hAnsi="Arial"/>
          <w:sz w:val="22"/>
          <w:szCs w:val="22"/>
          <w:color w:val="auto"/>
        </w:rPr>
      </w:pPr>
    </w:p>
    <w:p>
      <w:pPr>
        <w:ind w:left="652" w:hanging="652"/>
        <w:spacing w:after="0"/>
        <w:tabs>
          <w:tab w:leader="none" w:pos="652" w:val="left"/>
        </w:tabs>
        <w:numPr>
          <w:ilvl w:val="0"/>
          <w:numId w:val="424"/>
        </w:numPr>
        <w:rPr>
          <w:rFonts w:ascii="Arial" w:cs="Arial" w:eastAsia="Arial" w:hAnsi="Arial"/>
          <w:sz w:val="22"/>
          <w:szCs w:val="22"/>
          <w:color w:val="auto"/>
        </w:rPr>
      </w:pPr>
      <w:r>
        <w:rPr>
          <w:rFonts w:ascii="Arial" w:cs="Arial" w:eastAsia="Arial" w:hAnsi="Arial"/>
          <w:sz w:val="22"/>
          <w:szCs w:val="22"/>
          <w:color w:val="auto"/>
        </w:rPr>
        <w:t>Employee agrees that each of the following statements is truthful and accurate:</w:t>
      </w:r>
    </w:p>
    <w:p>
      <w:pPr>
        <w:spacing w:after="0" w:line="260" w:lineRule="exact"/>
        <w:rPr>
          <w:sz w:val="20"/>
          <w:szCs w:val="20"/>
          <w:color w:val="auto"/>
        </w:rPr>
      </w:pPr>
    </w:p>
    <w:tbl>
      <w:tblPr>
        <w:tblLayout w:type="fixed"/>
        <w:tblInd w:w="652" w:type="dxa"/>
        <w:tblCellMar>
          <w:top w:w="0" w:type="dxa"/>
          <w:left w:w="0" w:type="dxa"/>
          <w:bottom w:w="0" w:type="dxa"/>
          <w:right w:w="0" w:type="dxa"/>
        </w:tblCellMar>
      </w:tblPr>
      <w:tr>
        <w:trPr>
          <w:trHeight w:val="275"/>
        </w:trPr>
        <w:tc>
          <w:tcPr>
            <w:tcW w:w="440" w:type="dxa"/>
            <w:vAlign w:val="bottom"/>
          </w:tcPr>
          <w:p>
            <w:pPr>
              <w:spacing w:after="0"/>
              <w:rPr>
                <w:sz w:val="20"/>
                <w:szCs w:val="20"/>
                <w:color w:val="auto"/>
              </w:rPr>
            </w:pPr>
            <w:r>
              <w:rPr>
                <w:rFonts w:ascii="Arial" w:cs="Arial" w:eastAsia="Arial" w:hAnsi="Arial"/>
                <w:sz w:val="22"/>
                <w:szCs w:val="22"/>
                <w:color w:val="auto"/>
              </w:rPr>
              <w:t>a.)</w:t>
            </w:r>
          </w:p>
        </w:tc>
        <w:tc>
          <w:tcPr>
            <w:tcW w:w="6880" w:type="dxa"/>
            <w:vAlign w:val="bottom"/>
          </w:tcPr>
          <w:p>
            <w:pPr>
              <w:ind w:left="200"/>
              <w:spacing w:after="0"/>
              <w:rPr>
                <w:sz w:val="20"/>
                <w:szCs w:val="20"/>
                <w:color w:val="auto"/>
              </w:rPr>
            </w:pPr>
            <w:r>
              <w:rPr>
                <w:rFonts w:ascii="Arial" w:cs="Arial" w:eastAsia="Arial" w:hAnsi="Arial"/>
                <w:sz w:val="22"/>
                <w:szCs w:val="22"/>
                <w:color w:val="auto"/>
              </w:rPr>
              <w:t>Employee is of sound mind and body.</w:t>
            </w:r>
          </w:p>
        </w:tc>
        <w:tc>
          <w:tcPr>
            <w:tcW w:w="1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4"/>
              </w:rPr>
              <w:t>Employee has sufficient education and experience to make choices for himself that may affect his legal rights.</w:t>
            </w: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6880" w:type="dxa"/>
            <w:vAlign w:val="bottom"/>
          </w:tcPr>
          <w:p>
            <w:pPr>
              <w:ind w:left="200"/>
              <w:spacing w:after="0"/>
              <w:rPr>
                <w:sz w:val="20"/>
                <w:szCs w:val="20"/>
                <w:color w:val="auto"/>
              </w:rPr>
            </w:pPr>
            <w:r>
              <w:rPr>
                <w:rFonts w:ascii="Arial" w:cs="Arial" w:eastAsia="Arial" w:hAnsi="Arial"/>
                <w:sz w:val="22"/>
                <w:szCs w:val="22"/>
                <w:color w:val="auto"/>
              </w:rPr>
              <w:t>Employee has full legal capacity to make decisions for himself.</w:t>
            </w: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6880" w:type="dxa"/>
            <w:vAlign w:val="bottom"/>
          </w:tcPr>
          <w:p>
            <w:pPr>
              <w:ind w:left="200"/>
              <w:spacing w:after="0"/>
              <w:rPr>
                <w:sz w:val="20"/>
                <w:szCs w:val="20"/>
                <w:color w:val="auto"/>
              </w:rPr>
            </w:pPr>
            <w:r>
              <w:rPr>
                <w:rFonts w:ascii="Arial" w:cs="Arial" w:eastAsia="Arial" w:hAnsi="Arial"/>
                <w:sz w:val="22"/>
                <w:szCs w:val="22"/>
                <w:color w:val="auto"/>
                <w:w w:val="94"/>
              </w:rPr>
              <w:t>Employee is aware that this Release has significant legal consequences.</w:t>
            </w: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4"/>
              </w:rPr>
              <w:t>Employee has been advised to consider consulting with an attorney of his choice prior to signing this Release.</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f.)</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Employee has decided to sign this Release of his own free will, and his decision to sign this Release has not been</w:t>
            </w:r>
          </w:p>
        </w:tc>
      </w:tr>
      <w:tr>
        <w:trPr>
          <w:trHeight w:val="275"/>
        </w:trPr>
        <w:tc>
          <w:tcPr>
            <w:tcW w:w="440" w:type="dxa"/>
            <w:vAlign w:val="bottom"/>
          </w:tcPr>
          <w:p>
            <w:pPr>
              <w:spacing w:after="0"/>
              <w:rPr>
                <w:sz w:val="23"/>
                <w:szCs w:val="23"/>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unduly influenced or controlled by any mental or emotional impairment or condition.</w:t>
            </w:r>
          </w:p>
        </w:tc>
      </w:tr>
      <w:tr>
        <w:trPr>
          <w:trHeight w:val="513"/>
        </w:trPr>
        <w:tc>
          <w:tcPr>
            <w:tcW w:w="440" w:type="dxa"/>
            <w:vAlign w:val="bottom"/>
          </w:tcPr>
          <w:p>
            <w:pPr>
              <w:spacing w:after="0"/>
              <w:rPr>
                <w:sz w:val="20"/>
                <w:szCs w:val="20"/>
                <w:color w:val="auto"/>
              </w:rPr>
            </w:pPr>
            <w:r>
              <w:rPr>
                <w:rFonts w:ascii="Arial" w:cs="Arial" w:eastAsia="Arial" w:hAnsi="Arial"/>
                <w:sz w:val="22"/>
                <w:szCs w:val="22"/>
                <w:color w:val="auto"/>
              </w:rPr>
              <w:t>g.)</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rPr>
              <w:t>Employee is not executing this Release because of any duress or coercion imposed on him by anyone.</w:t>
            </w:r>
          </w:p>
        </w:tc>
      </w:tr>
      <w:tr>
        <w:trPr>
          <w:trHeight w:val="495"/>
        </w:trPr>
        <w:tc>
          <w:tcPr>
            <w:tcW w:w="440" w:type="dxa"/>
            <w:vAlign w:val="bottom"/>
          </w:tcPr>
          <w:p>
            <w:pPr>
              <w:spacing w:after="0"/>
              <w:rPr>
                <w:sz w:val="20"/>
                <w:szCs w:val="20"/>
                <w:color w:val="auto"/>
              </w:rPr>
            </w:pPr>
            <w:r>
              <w:rPr>
                <w:rFonts w:ascii="Arial" w:cs="Arial" w:eastAsia="Arial" w:hAnsi="Arial"/>
                <w:sz w:val="22"/>
                <w:szCs w:val="22"/>
                <w:color w:val="auto"/>
              </w:rPr>
              <w:t>h.)</w:t>
            </w: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0"/>
              </w:rPr>
              <w:t>Employee acknowledges that he has not compromised any claim for unpaid wages under the Fair Labor Standards</w:t>
            </w:r>
          </w:p>
        </w:tc>
      </w:tr>
      <w:tr>
        <w:trPr>
          <w:trHeight w:val="257"/>
        </w:trPr>
        <w:tc>
          <w:tcPr>
            <w:tcW w:w="440" w:type="dxa"/>
            <w:vAlign w:val="bottom"/>
          </w:tcPr>
          <w:p>
            <w:pPr>
              <w:spacing w:after="0"/>
              <w:rPr>
                <w:sz w:val="22"/>
                <w:szCs w:val="22"/>
                <w:color w:val="auto"/>
              </w:rPr>
            </w:pPr>
          </w:p>
        </w:tc>
        <w:tc>
          <w:tcPr>
            <w:tcW w:w="10320" w:type="dxa"/>
            <w:vAlign w:val="bottom"/>
            <w:gridSpan w:val="4"/>
          </w:tcPr>
          <w:p>
            <w:pPr>
              <w:ind w:left="200"/>
              <w:spacing w:after="0"/>
              <w:rPr>
                <w:sz w:val="20"/>
                <w:szCs w:val="20"/>
                <w:color w:val="auto"/>
              </w:rPr>
            </w:pPr>
            <w:r>
              <w:rPr>
                <w:rFonts w:ascii="Arial" w:cs="Arial" w:eastAsia="Arial" w:hAnsi="Arial"/>
                <w:sz w:val="22"/>
                <w:szCs w:val="22"/>
                <w:color w:val="auto"/>
                <w:w w:val="91"/>
              </w:rPr>
              <w:t>Act as he has received full compensation for all hours worked, at the appropriate rate of pay, and no other wages,</w:t>
            </w:r>
          </w:p>
        </w:tc>
      </w:tr>
      <w:tr>
        <w:trPr>
          <w:trHeight w:val="275"/>
        </w:trPr>
        <w:tc>
          <w:tcPr>
            <w:tcW w:w="440" w:type="dxa"/>
            <w:vAlign w:val="bottom"/>
          </w:tcPr>
          <w:p>
            <w:pPr>
              <w:spacing w:after="0"/>
              <w:rPr>
                <w:sz w:val="23"/>
                <w:szCs w:val="23"/>
                <w:color w:val="auto"/>
              </w:rPr>
            </w:pPr>
          </w:p>
        </w:tc>
        <w:tc>
          <w:tcPr>
            <w:tcW w:w="6880" w:type="dxa"/>
            <w:vAlign w:val="bottom"/>
          </w:tcPr>
          <w:p>
            <w:pPr>
              <w:ind w:left="200"/>
              <w:spacing w:after="0"/>
              <w:rPr>
                <w:sz w:val="20"/>
                <w:szCs w:val="20"/>
                <w:color w:val="auto"/>
              </w:rPr>
            </w:pPr>
            <w:r>
              <w:rPr>
                <w:rFonts w:ascii="Arial" w:cs="Arial" w:eastAsia="Arial" w:hAnsi="Arial"/>
                <w:sz w:val="22"/>
                <w:szCs w:val="22"/>
                <w:color w:val="auto"/>
                <w:w w:val="95"/>
              </w:rPr>
              <w:t>overtime, compensation, benefits, or other amounts are due and owing.</w:t>
            </w:r>
          </w:p>
        </w:tc>
        <w:tc>
          <w:tcPr>
            <w:tcW w:w="1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841"/>
        </w:trPr>
        <w:tc>
          <w:tcPr>
            <w:tcW w:w="440" w:type="dxa"/>
            <w:vAlign w:val="bottom"/>
          </w:tcPr>
          <w:p>
            <w:pPr>
              <w:spacing w:after="0"/>
              <w:rPr>
                <w:sz w:val="24"/>
                <w:szCs w:val="24"/>
                <w:color w:val="auto"/>
              </w:rPr>
            </w:pPr>
          </w:p>
        </w:tc>
        <w:tc>
          <w:tcPr>
            <w:tcW w:w="6880" w:type="dxa"/>
            <w:vAlign w:val="bottom"/>
          </w:tcPr>
          <w:p>
            <w:pPr>
              <w:ind w:left="4280"/>
              <w:spacing w:after="0"/>
              <w:rPr>
                <w:sz w:val="20"/>
                <w:szCs w:val="20"/>
                <w:color w:val="auto"/>
              </w:rPr>
            </w:pPr>
            <w:r>
              <w:rPr>
                <w:rFonts w:ascii="Arial" w:cs="Arial" w:eastAsia="Arial" w:hAnsi="Arial"/>
                <w:sz w:val="18"/>
                <w:szCs w:val="18"/>
                <w:color w:val="auto"/>
              </w:rPr>
              <w:t>Page 7 of 10</w:t>
            </w:r>
          </w:p>
        </w:tc>
        <w:tc>
          <w:tcPr>
            <w:tcW w:w="3440" w:type="dxa"/>
            <w:vAlign w:val="bottom"/>
            <w:gridSpan w:val="3"/>
          </w:tcPr>
          <w:p>
            <w:pPr>
              <w:ind w:left="500"/>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/s/PCM</w:t>
            </w:r>
          </w:p>
        </w:tc>
      </w:tr>
      <w:tr>
        <w:trPr>
          <w:trHeight w:val="20"/>
        </w:trPr>
        <w:tc>
          <w:tcPr>
            <w:tcW w:w="4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38" w:orient="portrait"/>
          <w:cols w:equalWidth="0" w:num="1">
            <w:col w:w="11412"/>
          </w:cols>
          <w:pgMar w:left="248" w:top="374" w:right="239" w:bottom="1440" w:gutter="0" w:footer="0" w:header="0"/>
          <w:type w:val="continuous"/>
        </w:sectPr>
      </w:pPr>
    </w:p>
    <w:bookmarkStart w:id="534" w:name="page535"/>
    <w:bookmarkEnd w:id="534"/>
    <w:p>
      <w:pPr>
        <w:jc w:val="both"/>
        <w:ind w:left="652" w:hanging="652"/>
        <w:spacing w:after="0" w:line="259" w:lineRule="auto"/>
        <w:tabs>
          <w:tab w:leader="none" w:pos="652" w:val="left"/>
        </w:tabs>
        <w:numPr>
          <w:ilvl w:val="0"/>
          <w:numId w:val="425"/>
        </w:numPr>
        <w:rPr>
          <w:rFonts w:ascii="Arial" w:cs="Arial" w:eastAsia="Arial" w:hAnsi="Arial"/>
          <w:sz w:val="21"/>
          <w:szCs w:val="21"/>
          <w:color w:val="auto"/>
        </w:rPr>
      </w:pPr>
      <w:r>
        <w:rPr>
          <w:rFonts w:ascii="Arial" w:cs="Arial" w:eastAsia="Arial" w:hAnsi="Arial"/>
          <w:sz w:val="21"/>
          <w:szCs w:val="21"/>
          <w:color w:val="auto"/>
        </w:rPr>
        <w:t>Employee represents that he has not sold, transferred, or assigned to a third party any claims that he may have against Employer and its Releasees. Employee represents that any claims that he may have against Employer and its Releasees are unencumbered and otherwise within his power to dispose of. Employee represents that he does not have any pending lawsuits, claims, or actions against Employer and its Releasees, or that if he does, he has fully disclosed such lawsuits, claims, or actions to Employer prior to executing this Release. Employee further represents that he has not suffered any injuries, illnesses, or accidents in the course of his employment other than those he has previously disclosed to Employer, and that any previously disclosed injuries, illnesses, or accidents are included within the scope of the claims settled by this Release.</w:t>
      </w:r>
    </w:p>
    <w:p>
      <w:pPr>
        <w:spacing w:after="0" w:line="224" w:lineRule="exact"/>
        <w:rPr>
          <w:rFonts w:ascii="Arial" w:cs="Arial" w:eastAsia="Arial" w:hAnsi="Arial"/>
          <w:sz w:val="21"/>
          <w:szCs w:val="21"/>
          <w:color w:val="auto"/>
        </w:rPr>
      </w:pPr>
    </w:p>
    <w:p>
      <w:pPr>
        <w:jc w:val="both"/>
        <w:ind w:left="652" w:hanging="652"/>
        <w:spacing w:after="0" w:line="286" w:lineRule="auto"/>
        <w:tabs>
          <w:tab w:leader="none" w:pos="652" w:val="left"/>
        </w:tabs>
        <w:numPr>
          <w:ilvl w:val="0"/>
          <w:numId w:val="425"/>
        </w:numPr>
        <w:rPr>
          <w:rFonts w:ascii="Arial" w:cs="Arial" w:eastAsia="Arial" w:hAnsi="Arial"/>
          <w:sz w:val="19"/>
          <w:szCs w:val="19"/>
          <w:color w:val="auto"/>
        </w:rPr>
      </w:pPr>
      <w:r>
        <w:rPr>
          <w:rFonts w:ascii="Arial" w:cs="Arial" w:eastAsia="Arial" w:hAnsi="Arial"/>
          <w:sz w:val="19"/>
          <w:szCs w:val="19"/>
          <w:color w:val="auto"/>
        </w:rPr>
        <w:t>Commencing on the Separation Date, Employee shall not, individually or jointly with others, directly or indirectly, whether for Employee’s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the Employer, their subsidiaries, franchisees or affiliates, or any affiliates of any of the foregoing, or any proposed full table service restaurant to be owned or operated by any of the foregoing, and Employee shall not act as an officer, director, employee, partner, independent contractor, consultant, principal, agent, proprietor or in any other capacity for, nor lend any assistance (financial or otherwise) or cooperation to, any such person for one calendar year. 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203"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425"/>
        </w:numPr>
        <w:rPr>
          <w:rFonts w:ascii="Arial" w:cs="Arial" w:eastAsia="Arial" w:hAnsi="Arial"/>
          <w:sz w:val="22"/>
          <w:szCs w:val="22"/>
          <w:color w:val="auto"/>
        </w:rPr>
      </w:pPr>
      <w:r>
        <w:rPr>
          <w:rFonts w:ascii="Arial" w:cs="Arial" w:eastAsia="Arial" w:hAnsi="Arial"/>
          <w:sz w:val="22"/>
          <w:szCs w:val="22"/>
          <w:color w:val="auto"/>
        </w:rPr>
        <w:t>Employee has returned all property of Employer and its affiliates in Employee’s possession, including but not limited to, training materials, laptop computers, customer correspondence, sales information, company discount card and gift cards. All such materials are the exclusive property of the Employer.</w:t>
      </w:r>
    </w:p>
    <w:p>
      <w:pPr>
        <w:spacing w:after="0" w:line="226" w:lineRule="exact"/>
        <w:rPr>
          <w:rFonts w:ascii="Arial" w:cs="Arial" w:eastAsia="Arial" w:hAnsi="Arial"/>
          <w:sz w:val="22"/>
          <w:szCs w:val="22"/>
          <w:color w:val="auto"/>
        </w:rPr>
      </w:pPr>
    </w:p>
    <w:p>
      <w:pPr>
        <w:jc w:val="both"/>
        <w:ind w:left="652" w:hanging="652"/>
        <w:spacing w:after="0" w:line="260" w:lineRule="auto"/>
        <w:tabs>
          <w:tab w:leader="none" w:pos="652" w:val="left"/>
        </w:tabs>
        <w:numPr>
          <w:ilvl w:val="0"/>
          <w:numId w:val="425"/>
        </w:numPr>
        <w:rPr>
          <w:rFonts w:ascii="Arial" w:cs="Arial" w:eastAsia="Arial" w:hAnsi="Arial"/>
          <w:sz w:val="21"/>
          <w:szCs w:val="21"/>
          <w:color w:val="auto"/>
        </w:rPr>
      </w:pPr>
      <w:r>
        <w:rPr>
          <w:rFonts w:ascii="Arial" w:cs="Arial" w:eastAsia="Arial" w:hAnsi="Arial"/>
          <w:sz w:val="21"/>
          <w:szCs w:val="21"/>
          <w:color w:val="auto"/>
        </w:rPr>
        <w:t>Employee shall not, individually or jointly with others, for the benefit of the Employee or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w:t>
      </w:r>
    </w:p>
    <w:p>
      <w:pPr>
        <w:spacing w:after="0" w:line="361" w:lineRule="exact"/>
        <w:rPr>
          <w:sz w:val="20"/>
          <w:szCs w:val="20"/>
          <w:color w:val="auto"/>
        </w:rPr>
      </w:pPr>
    </w:p>
    <w:p>
      <w:pPr>
        <w:ind w:left="5372"/>
        <w:spacing w:after="0"/>
        <w:tabs>
          <w:tab w:leader="none" w:pos="8452" w:val="left"/>
        </w:tabs>
        <w:rPr>
          <w:sz w:val="20"/>
          <w:szCs w:val="20"/>
          <w:color w:val="auto"/>
        </w:rPr>
      </w:pPr>
      <w:r>
        <w:rPr>
          <w:rFonts w:ascii="Arial" w:cs="Arial" w:eastAsia="Arial" w:hAnsi="Arial"/>
          <w:sz w:val="18"/>
          <w:szCs w:val="18"/>
          <w:color w:val="auto"/>
        </w:rPr>
        <w:t>Page 8 of 10</w:t>
      </w:r>
      <w:r>
        <w:rPr>
          <w:sz w:val="20"/>
          <w:szCs w:val="20"/>
          <w:color w:val="auto"/>
        </w:rPr>
        <w:tab/>
      </w:r>
      <w:r>
        <w:rPr>
          <w:rFonts w:ascii="Arial" w:cs="Arial" w:eastAsia="Arial" w:hAnsi="Arial"/>
          <w:sz w:val="16"/>
          <w:szCs w:val="16"/>
          <w:color w:val="auto"/>
        </w:rPr>
        <w:t>Employee Initials:</w:t>
      </w:r>
      <w:r>
        <w:rPr>
          <w:rFonts w:ascii="Arial" w:cs="Arial" w:eastAsia="Arial" w:hAnsi="Arial"/>
          <w:sz w:val="17"/>
          <w:szCs w:val="17"/>
          <w:u w:val="single" w:color="auto"/>
          <w:color w:val="auto"/>
        </w:rPr>
        <w:t>/s/PCM</w:t>
      </w:r>
    </w:p>
    <w:p>
      <w:pPr>
        <w:sectPr>
          <w:pgSz w:w="11900" w:h="16838" w:orient="portrait"/>
          <w:cols w:equalWidth="0" w:num="1">
            <w:col w:w="11412"/>
          </w:cols>
          <w:pgMar w:left="248" w:top="374" w:right="239" w:bottom="1440" w:gutter="0" w:footer="0" w:header="0"/>
        </w:sectPr>
      </w:pPr>
    </w:p>
    <w:bookmarkStart w:id="535" w:name="page536"/>
    <w:bookmarkEnd w:id="535"/>
    <w:p>
      <w:pPr>
        <w:ind w:left="652"/>
        <w:spacing w:after="0" w:line="263" w:lineRule="auto"/>
        <w:rPr>
          <w:sz w:val="20"/>
          <w:szCs w:val="20"/>
          <w:color w:val="auto"/>
        </w:rPr>
      </w:pPr>
      <w:r>
        <w:rPr>
          <w:rFonts w:ascii="Arial" w:cs="Arial" w:eastAsia="Arial" w:hAnsi="Arial"/>
          <w:sz w:val="22"/>
          <w:szCs w:val="22"/>
          <w:color w:val="auto"/>
        </w:rPr>
        <w:t>law, regulation or valid subpoena, or (ii) to the extent that such information or material becomes publicly known or available through no fault of the Employee.</w:t>
      </w:r>
    </w:p>
    <w:p>
      <w:pPr>
        <w:spacing w:after="0" w:line="215" w:lineRule="exact"/>
        <w:rPr>
          <w:sz w:val="20"/>
          <w:szCs w:val="20"/>
          <w:color w:val="auto"/>
        </w:rPr>
      </w:pPr>
    </w:p>
    <w:p>
      <w:pPr>
        <w:jc w:val="both"/>
        <w:ind w:left="652" w:hanging="652"/>
        <w:spacing w:after="0" w:line="260" w:lineRule="auto"/>
        <w:tabs>
          <w:tab w:leader="none" w:pos="652" w:val="left"/>
        </w:tabs>
        <w:numPr>
          <w:ilvl w:val="0"/>
          <w:numId w:val="426"/>
        </w:numPr>
        <w:rPr>
          <w:rFonts w:ascii="Arial" w:cs="Arial" w:eastAsia="Arial" w:hAnsi="Arial"/>
          <w:sz w:val="21"/>
          <w:szCs w:val="21"/>
          <w:color w:val="auto"/>
        </w:rPr>
      </w:pPr>
      <w:r>
        <w:rPr>
          <w:rFonts w:ascii="Arial" w:cs="Arial" w:eastAsia="Arial" w:hAnsi="Arial"/>
          <w:sz w:val="21"/>
          <w:szCs w:val="21"/>
          <w:color w:val="auto"/>
        </w:rPr>
        <w:t>Any and all prior understandings or agreements between Employee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the Employee to Employer because of any other contract or agreement or law. The rights and releases given to Employer in this Release will be in addition to, and not in place of, any and all other rights held by Employer by virtue of any other contract, agreement or undertaking, and to that extent, the obligations of the Employee survive the execution of this Release.</w:t>
      </w:r>
    </w:p>
    <w:p>
      <w:pPr>
        <w:spacing w:after="0" w:line="221" w:lineRule="exact"/>
        <w:rPr>
          <w:rFonts w:ascii="Arial" w:cs="Arial" w:eastAsia="Arial" w:hAnsi="Arial"/>
          <w:sz w:val="21"/>
          <w:szCs w:val="21"/>
          <w:color w:val="auto"/>
        </w:rPr>
      </w:pPr>
    </w:p>
    <w:p>
      <w:pPr>
        <w:jc w:val="both"/>
        <w:ind w:left="652" w:hanging="652"/>
        <w:spacing w:after="0" w:line="253" w:lineRule="auto"/>
        <w:tabs>
          <w:tab w:leader="none" w:pos="6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In addition to any rights and remedies Employer provided by law, Employer has the right to set-off any amounts for any damages to Employer and/or its affiliates caused by Employee’s noncompliance with this Release, including as related to the non-solicitation provision.</w:t>
      </w:r>
    </w:p>
    <w:p>
      <w:pPr>
        <w:spacing w:after="0" w:line="226" w:lineRule="exact"/>
        <w:rPr>
          <w:rFonts w:ascii="Arial" w:cs="Arial" w:eastAsia="Arial" w:hAnsi="Arial"/>
          <w:sz w:val="22"/>
          <w:szCs w:val="22"/>
          <w:color w:val="auto"/>
        </w:rPr>
      </w:pPr>
    </w:p>
    <w:p>
      <w:pPr>
        <w:jc w:val="both"/>
        <w:ind w:left="652" w:hanging="652"/>
        <w:spacing w:after="0" w:line="248" w:lineRule="auto"/>
        <w:tabs>
          <w:tab w:leader="none" w:pos="6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identifies the provisions herein that are to be changed, amended, or modified. Such change, amendment, or modification must be signed by Employee and by duly authorized officers or representatives of Employer.</w:t>
      </w:r>
    </w:p>
    <w:p>
      <w:pPr>
        <w:spacing w:after="0" w:line="232" w:lineRule="exact"/>
        <w:rPr>
          <w:rFonts w:ascii="Arial" w:cs="Arial" w:eastAsia="Arial" w:hAnsi="Arial"/>
          <w:sz w:val="22"/>
          <w:szCs w:val="22"/>
          <w:color w:val="auto"/>
        </w:rPr>
      </w:pPr>
    </w:p>
    <w:p>
      <w:pPr>
        <w:jc w:val="both"/>
        <w:ind w:left="652" w:hanging="652"/>
        <w:spacing w:after="0" w:line="294" w:lineRule="auto"/>
        <w:tabs>
          <w:tab w:leader="none" w:pos="652"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This Release is made and entered into in the state of Florida, and shall in all respects be interpreted, enforced and governed under the laws of Florida. In the event of a breach of this Release by either party, the other party shall be entitled to seek enforcement of this Release exclusively before a state or federal court of competent jurisdiction located in Hillsborough County, Florida, and the state and federal courts located in Hillsborough County, Florida shall be deemed to have exclusive jurisdiction and venue over any litigation related to or arising from this Release. This Release shall not be construed to waive any right of removal that may apply to any action filed in state court by either party to this Release.</w:t>
      </w:r>
    </w:p>
    <w:p>
      <w:pPr>
        <w:spacing w:after="0" w:line="190" w:lineRule="exact"/>
        <w:rPr>
          <w:rFonts w:ascii="Arial" w:cs="Arial" w:eastAsia="Arial" w:hAnsi="Arial"/>
          <w:sz w:val="19"/>
          <w:szCs w:val="19"/>
          <w:color w:val="auto"/>
        </w:rPr>
      </w:pPr>
    </w:p>
    <w:p>
      <w:pPr>
        <w:jc w:val="both"/>
        <w:ind w:left="652" w:hanging="652"/>
        <w:spacing w:after="0" w:line="253" w:lineRule="auto"/>
        <w:tabs>
          <w:tab w:leader="none" w:pos="6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At the conclusion of any litigation or dispute arising out of or related to this Release, the prevailing party may recover, in addition to damages, the costs and fees (including attorney's fees, paralegal fees, and expert fees) reasonably incurred in connection with the litigation or dispute.</w:t>
      </w:r>
    </w:p>
    <w:p>
      <w:pPr>
        <w:spacing w:after="0" w:line="226" w:lineRule="exact"/>
        <w:rPr>
          <w:rFonts w:ascii="Arial" w:cs="Arial" w:eastAsia="Arial" w:hAnsi="Arial"/>
          <w:sz w:val="22"/>
          <w:szCs w:val="22"/>
          <w:color w:val="auto"/>
        </w:rPr>
      </w:pPr>
    </w:p>
    <w:p>
      <w:pPr>
        <w:jc w:val="both"/>
        <w:ind w:left="652" w:hanging="652"/>
        <w:spacing w:after="0" w:line="253" w:lineRule="auto"/>
        <w:tabs>
          <w:tab w:leader="none" w:pos="6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The language of all parts of this Release shall in all cases be construed as a whole, according to its fair meaning, and not strictly for or against any of the parties. As used in this Release, the singular or plural shall be deemed to include the other whenever the context so indicates or requires.</w:t>
      </w:r>
    </w:p>
    <w:p>
      <w:pPr>
        <w:spacing w:after="0" w:line="226" w:lineRule="exact"/>
        <w:rPr>
          <w:rFonts w:ascii="Arial" w:cs="Arial" w:eastAsia="Arial" w:hAnsi="Arial"/>
          <w:sz w:val="22"/>
          <w:szCs w:val="22"/>
          <w:color w:val="auto"/>
        </w:rPr>
      </w:pPr>
    </w:p>
    <w:p>
      <w:pPr>
        <w:ind w:left="652" w:hanging="652"/>
        <w:spacing w:after="0" w:line="263" w:lineRule="auto"/>
        <w:tabs>
          <w:tab w:leader="none" w:pos="652" w:val="left"/>
        </w:tabs>
        <w:numPr>
          <w:ilvl w:val="0"/>
          <w:numId w:val="426"/>
        </w:numPr>
        <w:rPr>
          <w:rFonts w:ascii="Arial" w:cs="Arial" w:eastAsia="Arial" w:hAnsi="Arial"/>
          <w:sz w:val="22"/>
          <w:szCs w:val="22"/>
          <w:color w:val="auto"/>
        </w:rPr>
      </w:pPr>
      <w:r>
        <w:rPr>
          <w:rFonts w:ascii="Arial" w:cs="Arial" w:eastAsia="Arial" w:hAnsi="Arial"/>
          <w:sz w:val="22"/>
          <w:szCs w:val="22"/>
          <w:color w:val="auto"/>
        </w:rPr>
        <w:t>Should any provision of this Release be declared or be determined by any court to be illegal or invalid, the remaining parts, terms or provisions shall remain valid unless declared</w:t>
      </w:r>
    </w:p>
    <w:p>
      <w:pPr>
        <w:spacing w:after="0" w:line="355" w:lineRule="exact"/>
        <w:rPr>
          <w:sz w:val="20"/>
          <w:szCs w:val="20"/>
          <w:color w:val="auto"/>
        </w:rPr>
      </w:pPr>
    </w:p>
    <w:p>
      <w:pPr>
        <w:ind w:left="5372"/>
        <w:spacing w:after="0"/>
        <w:tabs>
          <w:tab w:leader="none" w:pos="8452" w:val="left"/>
        </w:tabs>
        <w:rPr>
          <w:sz w:val="20"/>
          <w:szCs w:val="20"/>
          <w:color w:val="auto"/>
        </w:rPr>
      </w:pPr>
      <w:r>
        <w:rPr>
          <w:rFonts w:ascii="Arial" w:cs="Arial" w:eastAsia="Arial" w:hAnsi="Arial"/>
          <w:sz w:val="18"/>
          <w:szCs w:val="18"/>
          <w:color w:val="auto"/>
        </w:rPr>
        <w:t>Page 9 of 10</w:t>
      </w:r>
      <w:r>
        <w:rPr>
          <w:sz w:val="20"/>
          <w:szCs w:val="20"/>
          <w:color w:val="auto"/>
        </w:rPr>
        <w:tab/>
      </w:r>
      <w:r>
        <w:rPr>
          <w:rFonts w:ascii="Arial" w:cs="Arial" w:eastAsia="Arial" w:hAnsi="Arial"/>
          <w:sz w:val="16"/>
          <w:szCs w:val="16"/>
          <w:color w:val="auto"/>
        </w:rPr>
        <w:t>Employee Initials:</w:t>
      </w:r>
      <w:r>
        <w:rPr>
          <w:rFonts w:ascii="Arial" w:cs="Arial" w:eastAsia="Arial" w:hAnsi="Arial"/>
          <w:sz w:val="17"/>
          <w:szCs w:val="17"/>
          <w:u w:val="single" w:color="auto"/>
          <w:color w:val="auto"/>
        </w:rPr>
        <w:t>/s/PCM</w:t>
      </w:r>
    </w:p>
    <w:p>
      <w:pPr>
        <w:sectPr>
          <w:pgSz w:w="11900" w:h="16838" w:orient="portrait"/>
          <w:cols w:equalWidth="0" w:num="1">
            <w:col w:w="11412"/>
          </w:cols>
          <w:pgMar w:left="248" w:top="375" w:right="239" w:bottom="1440" w:gutter="0" w:footer="0" w:header="0"/>
        </w:sectPr>
      </w:pPr>
    </w:p>
    <w:bookmarkStart w:id="536" w:name="page537"/>
    <w:bookmarkEnd w:id="536"/>
    <w:p>
      <w:pPr>
        <w:ind w:left="652"/>
        <w:spacing w:after="0" w:line="263" w:lineRule="auto"/>
        <w:rPr>
          <w:sz w:val="20"/>
          <w:szCs w:val="20"/>
          <w:color w:val="auto"/>
        </w:rPr>
      </w:pPr>
      <w:r>
        <w:rPr>
          <w:rFonts w:ascii="Arial" w:cs="Arial" w:eastAsia="Arial" w:hAnsi="Arial"/>
          <w:sz w:val="22"/>
          <w:szCs w:val="22"/>
          <w:color w:val="auto"/>
        </w:rPr>
        <w:t>otherwise by the court. Any part, term or provision which is determined to be illegal or invalid shall be deemed not to be a part of this Release.</w:t>
      </w:r>
    </w:p>
    <w:p>
      <w:pPr>
        <w:spacing w:after="0" w:line="215" w:lineRule="exact"/>
        <w:rPr>
          <w:sz w:val="20"/>
          <w:szCs w:val="20"/>
          <w:color w:val="auto"/>
        </w:rPr>
      </w:pPr>
    </w:p>
    <w:p>
      <w:pPr>
        <w:ind w:left="652" w:right="20" w:hanging="652"/>
        <w:spacing w:after="0" w:line="263" w:lineRule="auto"/>
        <w:tabs>
          <w:tab w:leader="none" w:pos="652" w:val="left"/>
        </w:tabs>
        <w:numPr>
          <w:ilvl w:val="0"/>
          <w:numId w:val="427"/>
        </w:numPr>
        <w:rPr>
          <w:rFonts w:ascii="Arial" w:cs="Arial" w:eastAsia="Arial" w:hAnsi="Arial"/>
          <w:sz w:val="22"/>
          <w:szCs w:val="22"/>
          <w:color w:val="auto"/>
        </w:rPr>
      </w:pPr>
      <w:r>
        <w:rPr>
          <w:rFonts w:ascii="Arial" w:cs="Arial" w:eastAsia="Arial" w:hAnsi="Arial"/>
          <w:sz w:val="22"/>
          <w:szCs w:val="22"/>
          <w:color w:val="auto"/>
        </w:rPr>
        <w:t>The parties agree that a true copy of this Release may be used in any legal proceeding in place of the original and that any such true copy shall have the same effect as the original.</w:t>
      </w: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PLEASE READ CAREFULLY. THIS GENERAL RELEASE INCLUDES</w:t>
      </w:r>
    </w:p>
    <w:p>
      <w:pPr>
        <w:spacing w:after="0" w:line="14"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A RELEASE OF ALL KNOWN AND UNKNOWN CLAIMS.</w:t>
      </w:r>
    </w:p>
    <w:p>
      <w:pPr>
        <w:spacing w:after="0" w:line="200" w:lineRule="exact"/>
        <w:rPr>
          <w:sz w:val="20"/>
          <w:szCs w:val="20"/>
          <w:color w:val="auto"/>
        </w:rPr>
      </w:pPr>
    </w:p>
    <w:p>
      <w:pPr>
        <w:spacing w:after="0" w:line="218" w:lineRule="exact"/>
        <w:rPr>
          <w:sz w:val="20"/>
          <w:szCs w:val="20"/>
          <w:color w:val="auto"/>
        </w:rPr>
      </w:pPr>
    </w:p>
    <w:tbl>
      <w:tblPr>
        <w:tblLayout w:type="fixed"/>
        <w:tblInd w:w="1872" w:type="dxa"/>
        <w:tblCellMar>
          <w:top w:w="0" w:type="dxa"/>
          <w:left w:w="0" w:type="dxa"/>
          <w:bottom w:w="0" w:type="dxa"/>
          <w:right w:w="0" w:type="dxa"/>
        </w:tblCellMar>
      </w:tblPr>
      <w:tr>
        <w:trPr>
          <w:trHeight w:val="299"/>
        </w:trPr>
        <w:tc>
          <w:tcPr>
            <w:tcW w:w="6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Arial" w:cs="Arial" w:eastAsia="Arial" w:hAnsi="Arial"/>
                <w:sz w:val="22"/>
                <w:szCs w:val="22"/>
                <w:color w:val="auto"/>
                <w:w w:val="92"/>
              </w:rPr>
              <w:t>Executed at</w:t>
            </w: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60"/>
              <w:spacing w:after="0"/>
              <w:rPr>
                <w:sz w:val="20"/>
                <w:szCs w:val="20"/>
                <w:color w:val="auto"/>
              </w:rPr>
            </w:pPr>
            <w:r>
              <w:rPr>
                <w:rFonts w:ascii="Arial" w:cs="Arial" w:eastAsia="Arial" w:hAnsi="Arial"/>
                <w:sz w:val="22"/>
                <w:szCs w:val="22"/>
                <w:color w:val="auto"/>
              </w:rPr>
              <w:t>Tampa</w:t>
            </w:r>
          </w:p>
        </w:tc>
        <w:tc>
          <w:tcPr>
            <w:tcW w:w="440" w:type="dxa"/>
            <w:vAlign w:val="bottom"/>
            <w:tcBorders>
              <w:bottom w:val="single" w:sz="8" w:color="auto"/>
            </w:tcBorders>
          </w:tcPr>
          <w:p>
            <w:pPr>
              <w:spacing w:after="0"/>
              <w:rPr>
                <w:sz w:val="24"/>
                <w:szCs w:val="24"/>
                <w:color w:val="auto"/>
              </w:rPr>
            </w:pPr>
          </w:p>
        </w:tc>
        <w:tc>
          <w:tcPr>
            <w:tcW w:w="360" w:type="dxa"/>
            <w:vAlign w:val="bottom"/>
            <w:gridSpan w:val="4"/>
          </w:tcPr>
          <w:p>
            <w:pPr>
              <w:ind w:left="20"/>
              <w:spacing w:after="0"/>
              <w:rPr>
                <w:sz w:val="20"/>
                <w:szCs w:val="20"/>
                <w:color w:val="auto"/>
              </w:rPr>
            </w:pPr>
            <w:r>
              <w:rPr>
                <w:rFonts w:ascii="Arial" w:cs="Arial" w:eastAsia="Arial" w:hAnsi="Arial"/>
                <w:sz w:val="22"/>
                <w:szCs w:val="22"/>
                <w:color w:val="auto"/>
                <w:w w:val="93"/>
              </w:rPr>
              <w:t>this</w:t>
            </w:r>
          </w:p>
        </w:tc>
        <w:tc>
          <w:tcPr>
            <w:tcW w:w="80" w:type="dxa"/>
            <w:vAlign w:val="bottom"/>
          </w:tcPr>
          <w:p>
            <w:pPr>
              <w:spacing w:after="0"/>
              <w:rPr>
                <w:sz w:val="24"/>
                <w:szCs w:val="24"/>
                <w:color w:val="auto"/>
              </w:rPr>
            </w:pPr>
          </w:p>
        </w:tc>
        <w:tc>
          <w:tcPr>
            <w:tcW w:w="380" w:type="dxa"/>
            <w:vAlign w:val="bottom"/>
            <w:tcBorders>
              <w:bottom w:val="single" w:sz="8" w:color="auto"/>
            </w:tcBorders>
            <w:gridSpan w:val="2"/>
          </w:tcPr>
          <w:p>
            <w:pPr>
              <w:ind w:left="240"/>
              <w:spacing w:after="0"/>
              <w:rPr>
                <w:sz w:val="20"/>
                <w:szCs w:val="20"/>
                <w:color w:val="auto"/>
              </w:rPr>
            </w:pPr>
            <w:r>
              <w:rPr>
                <w:rFonts w:ascii="Arial" w:cs="Arial" w:eastAsia="Arial" w:hAnsi="Arial"/>
                <w:sz w:val="22"/>
                <w:szCs w:val="22"/>
                <w:color w:val="auto"/>
                <w:w w:val="97"/>
              </w:rPr>
              <w:t>2</w:t>
            </w: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22"/>
                <w:szCs w:val="22"/>
                <w:color w:val="auto"/>
                <w:w w:val="93"/>
              </w:rPr>
              <w:t>day of</w:t>
            </w:r>
          </w:p>
        </w:tc>
        <w:tc>
          <w:tcPr>
            <w:tcW w:w="5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22"/>
                <w:szCs w:val="22"/>
                <w:color w:val="auto"/>
                <w:w w:val="89"/>
              </w:rPr>
              <w:t>January</w:t>
            </w:r>
          </w:p>
        </w:tc>
        <w:tc>
          <w:tcPr>
            <w:tcW w:w="1180" w:type="dxa"/>
            <w:vAlign w:val="bottom"/>
            <w:gridSpan w:val="4"/>
          </w:tcPr>
          <w:p>
            <w:pPr>
              <w:jc w:val="right"/>
              <w:ind w:right="560"/>
              <w:spacing w:after="0"/>
              <w:rPr>
                <w:sz w:val="20"/>
                <w:szCs w:val="20"/>
                <w:color w:val="auto"/>
              </w:rPr>
            </w:pPr>
            <w:r>
              <w:rPr>
                <w:rFonts w:ascii="Arial" w:cs="Arial" w:eastAsia="Arial" w:hAnsi="Arial"/>
                <w:sz w:val="22"/>
                <w:szCs w:val="22"/>
                <w:color w:val="auto"/>
                <w:w w:val="89"/>
              </w:rPr>
              <w:t>, 2018.</w:t>
            </w:r>
          </w:p>
        </w:tc>
      </w:tr>
      <w:tr>
        <w:trPr>
          <w:trHeight w:val="655"/>
        </w:trPr>
        <w:tc>
          <w:tcPr>
            <w:tcW w:w="60" w:type="dxa"/>
            <w:vAlign w:val="bottom"/>
          </w:tcPr>
          <w:p>
            <w:pPr>
              <w:spacing w:after="0"/>
              <w:rPr>
                <w:sz w:val="24"/>
                <w:szCs w:val="24"/>
                <w:color w:val="auto"/>
              </w:rPr>
            </w:pPr>
          </w:p>
        </w:tc>
        <w:tc>
          <w:tcPr>
            <w:tcW w:w="2200" w:type="dxa"/>
            <w:vAlign w:val="bottom"/>
            <w:tcBorders>
              <w:bottom w:val="single" w:sz="8" w:color="auto"/>
            </w:tcBorders>
            <w:gridSpan w:val="2"/>
          </w:tcPr>
          <w:p>
            <w:pPr>
              <w:ind w:left="240"/>
              <w:spacing w:after="0"/>
              <w:rPr>
                <w:sz w:val="20"/>
                <w:szCs w:val="20"/>
                <w:color w:val="auto"/>
              </w:rPr>
            </w:pPr>
            <w:r>
              <w:rPr>
                <w:rFonts w:ascii="Arial" w:cs="Arial" w:eastAsia="Arial" w:hAnsi="Arial"/>
                <w:sz w:val="22"/>
                <w:szCs w:val="22"/>
                <w:color w:val="auto"/>
                <w:w w:val="97"/>
              </w:rPr>
              <w:t>/s/ Claire Whitehurst</w:t>
            </w: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22"/>
                <w:szCs w:val="22"/>
                <w:color w:val="auto"/>
                <w:w w:val="91"/>
              </w:rPr>
              <w:t>/s/ Patrick C. Murtha</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0"/>
        </w:trPr>
        <w:tc>
          <w:tcPr>
            <w:tcW w:w="60" w:type="dxa"/>
            <w:vAlign w:val="bottom"/>
          </w:tcPr>
          <w:p>
            <w:pPr>
              <w:spacing w:after="0"/>
              <w:rPr>
                <w:sz w:val="24"/>
                <w:szCs w:val="24"/>
                <w:color w:val="auto"/>
              </w:rPr>
            </w:pPr>
          </w:p>
        </w:tc>
        <w:tc>
          <w:tcPr>
            <w:tcW w:w="2200" w:type="dxa"/>
            <w:vAlign w:val="bottom"/>
            <w:gridSpan w:val="2"/>
          </w:tcPr>
          <w:p>
            <w:pPr>
              <w:ind w:left="20"/>
              <w:spacing w:after="0"/>
              <w:rPr>
                <w:sz w:val="20"/>
                <w:szCs w:val="20"/>
                <w:color w:val="auto"/>
              </w:rPr>
            </w:pPr>
            <w:r>
              <w:rPr>
                <w:rFonts w:ascii="Arial" w:cs="Arial" w:eastAsia="Arial" w:hAnsi="Arial"/>
                <w:sz w:val="22"/>
                <w:szCs w:val="22"/>
                <w:color w:val="auto"/>
              </w:rPr>
              <w:t>Witness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2"/>
          </w:tcPr>
          <w:p>
            <w:pPr>
              <w:jc w:val="center"/>
              <w:ind w:right="770"/>
              <w:spacing w:after="0"/>
              <w:rPr>
                <w:sz w:val="20"/>
                <w:szCs w:val="20"/>
                <w:color w:val="auto"/>
              </w:rPr>
            </w:pPr>
            <w:r>
              <w:rPr>
                <w:rFonts w:ascii="Arial" w:cs="Arial" w:eastAsia="Arial" w:hAnsi="Arial"/>
                <w:sz w:val="22"/>
                <w:szCs w:val="22"/>
                <w:color w:val="auto"/>
                <w:w w:val="90"/>
              </w:rPr>
              <w:t>Patrick C. Murtha, Employee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64"/>
        </w:trPr>
        <w:tc>
          <w:tcPr>
            <w:tcW w:w="60" w:type="dxa"/>
            <w:vAlign w:val="bottom"/>
          </w:tcPr>
          <w:p>
            <w:pPr>
              <w:spacing w:after="0"/>
              <w:rPr>
                <w:sz w:val="24"/>
                <w:szCs w:val="24"/>
                <w:color w:val="auto"/>
              </w:rPr>
            </w:pPr>
          </w:p>
        </w:tc>
        <w:tc>
          <w:tcPr>
            <w:tcW w:w="3300" w:type="dxa"/>
            <w:vAlign w:val="bottom"/>
            <w:gridSpan w:val="5"/>
          </w:tcPr>
          <w:p>
            <w:pPr>
              <w:ind w:left="460"/>
              <w:spacing w:after="0"/>
              <w:rPr>
                <w:sz w:val="20"/>
                <w:szCs w:val="20"/>
                <w:color w:val="auto"/>
              </w:rPr>
            </w:pPr>
            <w:r>
              <w:rPr>
                <w:rFonts w:ascii="Arial" w:cs="Arial" w:eastAsia="Arial" w:hAnsi="Arial"/>
                <w:sz w:val="22"/>
                <w:szCs w:val="22"/>
                <w:color w:val="auto"/>
                <w:w w:val="90"/>
              </w:rPr>
              <w:t>Executed at Tampa, Florida this</w:t>
            </w:r>
          </w:p>
        </w:tc>
        <w:tc>
          <w:tcPr>
            <w:tcW w:w="1500" w:type="dxa"/>
            <w:vAlign w:val="bottom"/>
            <w:gridSpan w:val="10"/>
          </w:tcPr>
          <w:p>
            <w:pPr>
              <w:ind w:left="240"/>
              <w:spacing w:after="0"/>
              <w:rPr>
                <w:sz w:val="20"/>
                <w:szCs w:val="20"/>
                <w:color w:val="auto"/>
              </w:rPr>
            </w:pPr>
            <w:r>
              <w:rPr>
                <w:rFonts w:ascii="Arial" w:cs="Arial" w:eastAsia="Arial" w:hAnsi="Arial"/>
                <w:sz w:val="22"/>
                <w:szCs w:val="22"/>
                <w:color w:val="auto"/>
              </w:rPr>
              <w:t>2   day of</w:t>
            </w:r>
          </w:p>
        </w:tc>
        <w:tc>
          <w:tcPr>
            <w:tcW w:w="1180" w:type="dxa"/>
            <w:vAlign w:val="bottom"/>
            <w:gridSpan w:val="2"/>
          </w:tcPr>
          <w:p>
            <w:pPr>
              <w:ind w:left="320"/>
              <w:spacing w:after="0"/>
              <w:rPr>
                <w:sz w:val="20"/>
                <w:szCs w:val="20"/>
                <w:color w:val="auto"/>
              </w:rPr>
            </w:pPr>
            <w:r>
              <w:rPr>
                <w:rFonts w:ascii="Arial" w:cs="Arial" w:eastAsia="Arial" w:hAnsi="Arial"/>
                <w:sz w:val="22"/>
                <w:szCs w:val="22"/>
                <w:color w:val="auto"/>
              </w:rPr>
              <w:t>January</w:t>
            </w:r>
          </w:p>
        </w:tc>
        <w:tc>
          <w:tcPr>
            <w:tcW w:w="1300" w:type="dxa"/>
            <w:vAlign w:val="bottom"/>
            <w:gridSpan w:val="2"/>
          </w:tcPr>
          <w:p>
            <w:pPr>
              <w:jc w:val="right"/>
              <w:ind w:right="230"/>
              <w:spacing w:after="0"/>
              <w:rPr>
                <w:sz w:val="20"/>
                <w:szCs w:val="20"/>
                <w:color w:val="auto"/>
              </w:rPr>
            </w:pPr>
            <w:r>
              <w:rPr>
                <w:rFonts w:ascii="Arial" w:cs="Arial" w:eastAsia="Arial" w:hAnsi="Arial"/>
                <w:sz w:val="22"/>
                <w:szCs w:val="22"/>
                <w:color w:val="auto"/>
              </w:rPr>
              <w:t>, 2018.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
        </w:trPr>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3"/>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631"/>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10"/>
          </w:tcPr>
          <w:p>
            <w:pPr>
              <w:ind w:left="320"/>
              <w:spacing w:after="0"/>
              <w:rPr>
                <w:sz w:val="20"/>
                <w:szCs w:val="20"/>
                <w:color w:val="auto"/>
              </w:rPr>
            </w:pPr>
            <w:r>
              <w:rPr>
                <w:rFonts w:ascii="Arial" w:cs="Arial" w:eastAsia="Arial" w:hAnsi="Arial"/>
                <w:sz w:val="22"/>
                <w:szCs w:val="22"/>
                <w:color w:val="auto"/>
                <w:w w:val="94"/>
              </w:rPr>
              <w:t>EMPLOYER</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45"/>
        </w:trPr>
        <w:tc>
          <w:tcPr>
            <w:tcW w:w="60" w:type="dxa"/>
            <w:vAlign w:val="bottom"/>
          </w:tcPr>
          <w:p>
            <w:pPr>
              <w:spacing w:after="0"/>
              <w:rPr>
                <w:sz w:val="24"/>
                <w:szCs w:val="24"/>
                <w:color w:val="auto"/>
              </w:rPr>
            </w:pPr>
          </w:p>
        </w:tc>
        <w:tc>
          <w:tcPr>
            <w:tcW w:w="2200" w:type="dxa"/>
            <w:vAlign w:val="bottom"/>
            <w:gridSpan w:val="2"/>
          </w:tcPr>
          <w:p>
            <w:pPr>
              <w:ind w:left="60"/>
              <w:spacing w:after="0"/>
              <w:rPr>
                <w:sz w:val="20"/>
                <w:szCs w:val="20"/>
                <w:color w:val="auto"/>
              </w:rPr>
            </w:pPr>
            <w:r>
              <w:rPr>
                <w:rFonts w:ascii="Arial" w:cs="Arial" w:eastAsia="Arial" w:hAnsi="Arial"/>
                <w:sz w:val="22"/>
                <w:szCs w:val="22"/>
                <w:color w:val="auto"/>
              </w:rPr>
              <w:t>/s/ Claire Whitehurst</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ind w:left="32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22"/>
                <w:szCs w:val="22"/>
                <w:color w:val="auto"/>
                <w:w w:val="92"/>
              </w:rPr>
              <w:t>/s/ Pablo Brizi</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0"/>
        </w:trPr>
        <w:tc>
          <w:tcPr>
            <w:tcW w:w="2260" w:type="dxa"/>
            <w:vAlign w:val="bottom"/>
            <w:tcBorders>
              <w:top w:val="single" w:sz="8" w:color="auto"/>
            </w:tcBorders>
            <w:gridSpan w:val="3"/>
          </w:tcPr>
          <w:p>
            <w:pPr>
              <w:ind w:left="20"/>
              <w:spacing w:after="0"/>
              <w:rPr>
                <w:sz w:val="20"/>
                <w:szCs w:val="20"/>
                <w:color w:val="auto"/>
              </w:rPr>
            </w:pPr>
            <w:r>
              <w:rPr>
                <w:rFonts w:ascii="Arial" w:cs="Arial" w:eastAsia="Arial" w:hAnsi="Arial"/>
                <w:sz w:val="22"/>
                <w:szCs w:val="22"/>
                <w:color w:val="auto"/>
              </w:rPr>
              <w:t>Witness</w:t>
            </w: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8"/>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5"/>
          </w:tcPr>
          <w:p>
            <w:pPr>
              <w:ind w:left="320"/>
              <w:spacing w:after="0"/>
              <w:rPr>
                <w:sz w:val="20"/>
                <w:szCs w:val="20"/>
                <w:color w:val="auto"/>
              </w:rPr>
            </w:pPr>
            <w:r>
              <w:rPr>
                <w:rFonts w:ascii="Arial" w:cs="Arial" w:eastAsia="Arial" w:hAnsi="Arial"/>
                <w:sz w:val="22"/>
                <w:szCs w:val="22"/>
                <w:color w:val="auto"/>
                <w:w w:val="96"/>
              </w:rPr>
              <w:t>Title: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20"/>
                <w:szCs w:val="20"/>
                <w:color w:val="auto"/>
              </w:rPr>
              <w:t>SVP - CHRO</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51"/>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10"/>
          </w:tcPr>
          <w:p>
            <w:pPr>
              <w:ind w:left="100"/>
              <w:spacing w:after="0"/>
              <w:rPr>
                <w:sz w:val="20"/>
                <w:szCs w:val="20"/>
                <w:color w:val="auto"/>
              </w:rPr>
            </w:pPr>
            <w:r>
              <w:rPr>
                <w:rFonts w:ascii="Arial" w:cs="Arial" w:eastAsia="Arial" w:hAnsi="Arial"/>
                <w:sz w:val="18"/>
                <w:szCs w:val="18"/>
                <w:color w:val="auto"/>
              </w:rPr>
              <w:t>Page 10 of 10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Employee Initials:</w:t>
            </w:r>
            <w:r>
              <w:rPr>
                <w:rFonts w:ascii="Arial" w:cs="Arial" w:eastAsia="Arial" w:hAnsi="Arial"/>
                <w:sz w:val="19"/>
                <w:szCs w:val="19"/>
                <w:color w:val="auto"/>
              </w:rPr>
              <w:t>/s/PCM</w:t>
            </w:r>
          </w:p>
        </w:tc>
      </w:tr>
      <w:tr>
        <w:trPr>
          <w:trHeight w:val="20"/>
        </w:trPr>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12"/>
          </w:cols>
          <w:pgMar w:left="248" w:top="375" w:right="239" w:bottom="1440" w:gutter="0" w:footer="0" w:header="0"/>
        </w:sectPr>
      </w:pPr>
    </w:p>
    <w:bookmarkStart w:id="537" w:name="page538"/>
    <w:bookmarkEnd w:id="5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gridSpan w:val="2"/>
          </w:tcPr>
          <w:p>
            <w:pPr>
              <w:ind w:left="5720"/>
              <w:spacing w:after="0"/>
              <w:rPr>
                <w:sz w:val="20"/>
                <w:szCs w:val="20"/>
                <w:color w:val="auto"/>
              </w:rPr>
            </w:pPr>
            <w:r>
              <w:rPr>
                <w:rFonts w:ascii="Arial" w:cs="Arial" w:eastAsia="Arial" w:hAnsi="Arial"/>
                <w:sz w:val="20"/>
                <w:szCs w:val="20"/>
                <w:b w:val="1"/>
                <w:bCs w:val="1"/>
                <w:color w:val="auto"/>
                <w:w w:val="89"/>
              </w:rPr>
              <w:t>Exhibit 21.1</w:t>
            </w:r>
          </w:p>
        </w:tc>
      </w:tr>
      <w:tr>
        <w:trPr>
          <w:trHeight w:val="63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24"/>
                <w:szCs w:val="24"/>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Annapolis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2"/>
                <w:szCs w:val="22"/>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BBI International Holdings,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BBI Ristorante Italiano,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Bel Air Outback, Inc.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New Jersey Services,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BFG Pennsylvania Services, Ltd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BFG/FPS of Marlton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Brands Holdings I C.V.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Brands Holdings II C.V.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B.V.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Holdings II, B.V.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Holdings III B.V.</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NL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Holdings III C.V.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Korea,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KR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Group Restaurants, B.V.</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Group Restaurants,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No.1 Limited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No.2 Limited</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HK</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 Participações, Ltda.</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BR</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 Restaurantes Brasil S.A.</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Brands Gift Card Services,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Brands International,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Hong Kong Limited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Bloomin Korea Holding</w:t>
            </w:r>
          </w:p>
        </w:tc>
        <w:tc>
          <w:tcPr>
            <w:tcW w:w="6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CI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Bloomin Puerto Rico L.P.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Baltimore County,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Beverages,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Brandywine,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Grill International,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Grill,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Holdings,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Kansas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 of Bel Air,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 of Gaithersburg,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Bonefish/Anne Arundel,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Bonefish/Asheville,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Bonefish/Carolinas,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Bonefish/Centreville,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Bonefish/Columbus-I,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Bonefish/Crescent Springs,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Bonefish/Fredericksburg,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Bonefish/Glen Burnie,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Bonefish/Greensboro,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Bonefish/Hyde Park,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Bonefish/Newport News,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Bonefish/Richmond,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Bonefish/Southern Virginia, Limited Partnership</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Bonefish/Virginia,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c>
          <w:tcPr>
            <w:tcW w:w="20" w:type="dxa"/>
            <w:vAlign w:val="bottom"/>
          </w:tcPr>
          <w:p>
            <w:pPr>
              <w:spacing w:after="0"/>
              <w:rPr>
                <w:sz w:val="24"/>
                <w:szCs w:val="24"/>
                <w:color w:val="auto"/>
              </w:rPr>
            </w:pPr>
          </w:p>
        </w:tc>
      </w:tr>
      <w:tr>
        <w:trPr>
          <w:trHeight w:val="258"/>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Designated Partner, LLC</w:t>
            </w:r>
          </w:p>
        </w:tc>
        <w:tc>
          <w:tcPr>
            <w:tcW w:w="6740" w:type="dxa"/>
            <w:vAlign w:val="bottom"/>
            <w:gridSpan w:val="2"/>
          </w:tcPr>
          <w:p>
            <w:pPr>
              <w:jc w:val="center"/>
              <w:ind w:right="20"/>
              <w:spacing w:after="0"/>
              <w:rPr>
                <w:sz w:val="20"/>
                <w:szCs w:val="20"/>
                <w:color w:val="auto"/>
              </w:rPr>
            </w:pPr>
            <w:r>
              <w:rPr>
                <w:rFonts w:ascii="Arial" w:cs="Arial" w:eastAsia="Arial" w:hAnsi="Arial"/>
                <w:sz w:val="14"/>
                <w:szCs w:val="14"/>
                <w:color w:val="auto"/>
              </w:rPr>
              <w:t>DE</w:t>
            </w:r>
          </w:p>
        </w:tc>
      </w:tr>
    </w:tbl>
    <w:p>
      <w:pPr>
        <w:sectPr>
          <w:pgSz w:w="11900" w:h="16838" w:orient="portrait"/>
          <w:cols w:equalWidth="0" w:num="1">
            <w:col w:w="11420"/>
          </w:cols>
          <w:pgMar w:left="240" w:top="115" w:right="239" w:bottom="1440" w:gutter="0" w:footer="0" w:header="0"/>
        </w:sectPr>
      </w:pPr>
    </w:p>
    <w:bookmarkStart w:id="538" w:name="page539"/>
    <w:bookmarkEnd w:id="5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Italian Grill of Howard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Italian Grill of Overlea,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Italian Grill,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Kansas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6"/>
              </w:rPr>
              <w:t>KS</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Bowie,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Germantown,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Ocean City,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 of Pasadena,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 of Waldorf,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Carrabba’s/Birmingham 280,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Carrabba’s/DC-I,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Beverages of Texas,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Florida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Holdings,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 Nebraska,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CIGI Oklahoma,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CIGI/BFG of East Brunswick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DoorSide,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Dutch Holdings I,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Dutch Holdings II,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Beverages,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International,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 of Baltimore,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Flemings Restaurantes do Brasil Ltda.</w:t>
            </w:r>
          </w:p>
        </w:tc>
        <w:tc>
          <w:tcPr>
            <w:tcW w:w="6720" w:type="dxa"/>
            <w:vAlign w:val="bottom"/>
          </w:tcPr>
          <w:p>
            <w:pPr>
              <w:jc w:val="center"/>
              <w:spacing w:after="0"/>
              <w:rPr>
                <w:sz w:val="20"/>
                <w:szCs w:val="20"/>
                <w:color w:val="auto"/>
              </w:rPr>
            </w:pPr>
            <w:r>
              <w:rPr>
                <w:rFonts w:ascii="Arial" w:cs="Arial" w:eastAsia="Arial" w:hAnsi="Arial"/>
                <w:sz w:val="14"/>
                <w:szCs w:val="14"/>
                <w:color w:val="auto"/>
              </w:rPr>
              <w:t>BR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Fleming’s/Outback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FPS NEBRASKA,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FPS Oklahoma,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Frederick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Hagerstown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New Private Restaurant Properties,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OBTex Holdings,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Ocean City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Management,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Mortgage Holdings,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Niagara Falls,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Prime,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Realty,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Restaurant Services,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 Southern,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 Tropical,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Arkansas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Florida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Maryland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Nebraska,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New Jersey Services,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New York Services,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North Carolina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Oklahoma,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Pennsylvania Services, Ltd</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 South Carolina Services,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 Virginia Services,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58"/>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OSF/BFG of Deptford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bl>
    <w:p>
      <w:pPr>
        <w:sectPr>
          <w:pgSz w:w="11900" w:h="16838" w:orient="portrait"/>
          <w:cols w:equalWidth="0" w:num="1">
            <w:col w:w="11400"/>
          </w:cols>
          <w:pgMar w:left="240" w:top="576" w:right="259" w:bottom="1440" w:gutter="0" w:footer="0" w:header="0"/>
        </w:sectPr>
      </w:pPr>
    </w:p>
    <w:bookmarkStart w:id="539" w:name="page540"/>
    <w:bookmarkEnd w:id="5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 NAME</w:t>
            </w:r>
          </w:p>
        </w:tc>
        <w:tc>
          <w:tcPr>
            <w:tcW w:w="100" w:type="dxa"/>
            <w:vAlign w:val="bottom"/>
            <w:tcBorders>
              <w:bottom w:val="single" w:sz="8" w:color="CCEEFF"/>
            </w:tcBorders>
          </w:tcPr>
          <w:p>
            <w:pPr>
              <w:spacing w:after="0"/>
              <w:rPr>
                <w:sz w:val="17"/>
                <w:szCs w:val="17"/>
                <w:color w:val="auto"/>
              </w:rPr>
            </w:pPr>
          </w:p>
        </w:tc>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57"/>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OSF/BFG of Lawrenceville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OSF/CIGI of Evesham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China Venture</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CI</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HoldCo,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HoldCo I,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HoldCo II, Inc.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OSI Restaurant Partners,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OSI/Fleming’s,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&amp; Carrabba’s of New Mexico, Inc.</w:t>
            </w:r>
          </w:p>
        </w:tc>
        <w:tc>
          <w:tcPr>
            <w:tcW w:w="672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Alabama,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Beverages of Texas, LLC</w:t>
            </w:r>
          </w:p>
        </w:tc>
        <w:tc>
          <w:tcPr>
            <w:tcW w:w="672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Kansas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6"/>
              </w:rPr>
              <w:t>KS</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Aspen Hill,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Calvert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Conway,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Germantown,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La Plata,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of Laurel, LLC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of Waldorf,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Philippines Development Holdings Corporation</w:t>
            </w:r>
          </w:p>
        </w:tc>
        <w:tc>
          <w:tcPr>
            <w:tcW w:w="6720" w:type="dxa"/>
            <w:vAlign w:val="bottom"/>
          </w:tcPr>
          <w:p>
            <w:pPr>
              <w:jc w:val="center"/>
              <w:spacing w:after="0"/>
              <w:rPr>
                <w:sz w:val="20"/>
                <w:szCs w:val="20"/>
                <w:color w:val="auto"/>
              </w:rPr>
            </w:pPr>
            <w:r>
              <w:rPr>
                <w:rFonts w:ascii="Arial" w:cs="Arial" w:eastAsia="Arial" w:hAnsi="Arial"/>
                <w:sz w:val="14"/>
                <w:szCs w:val="14"/>
                <w:color w:val="auto"/>
                <w:w w:val="90"/>
              </w:rPr>
              <w:t>PI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Puerto Rico Designated Partner,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Investments, Co.</w:t>
            </w:r>
          </w:p>
        </w:tc>
        <w:tc>
          <w:tcPr>
            <w:tcW w:w="6720" w:type="dxa"/>
            <w:vAlign w:val="bottom"/>
          </w:tcPr>
          <w:p>
            <w:pPr>
              <w:jc w:val="center"/>
              <w:spacing w:after="0"/>
              <w:rPr>
                <w:sz w:val="20"/>
                <w:szCs w:val="20"/>
                <w:color w:val="auto"/>
              </w:rPr>
            </w:pPr>
            <w:r>
              <w:rPr>
                <w:rFonts w:ascii="Arial" w:cs="Arial" w:eastAsia="Arial" w:hAnsi="Arial"/>
                <w:sz w:val="14"/>
                <w:szCs w:val="14"/>
                <w:color w:val="auto"/>
                <w:w w:val="99"/>
              </w:rPr>
              <w:t>CI</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International Services,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International, L.P.</w:t>
            </w:r>
          </w:p>
        </w:tc>
        <w:tc>
          <w:tcPr>
            <w:tcW w:w="6720" w:type="dxa"/>
            <w:vAlign w:val="bottom"/>
          </w:tcPr>
          <w:p>
            <w:pPr>
              <w:jc w:val="center"/>
              <w:spacing w:after="0"/>
              <w:rPr>
                <w:sz w:val="20"/>
                <w:szCs w:val="20"/>
                <w:color w:val="auto"/>
              </w:rPr>
            </w:pPr>
            <w:r>
              <w:rPr>
                <w:rFonts w:ascii="Arial" w:cs="Arial" w:eastAsia="Arial" w:hAnsi="Arial"/>
                <w:sz w:val="14"/>
                <w:szCs w:val="14"/>
                <w:color w:val="auto"/>
                <w:w w:val="98"/>
              </w:rPr>
              <w:t>GA</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International,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Bowie,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Canton,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Florida, LLC</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Howard County,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Jonesboro, Inc.</w:t>
            </w:r>
          </w:p>
        </w:tc>
        <w:tc>
          <w:tcPr>
            <w:tcW w:w="6720" w:type="dxa"/>
            <w:vAlign w:val="bottom"/>
          </w:tcPr>
          <w:p>
            <w:pPr>
              <w:jc w:val="center"/>
              <w:spacing w:after="0"/>
              <w:rPr>
                <w:sz w:val="20"/>
                <w:szCs w:val="20"/>
                <w:color w:val="auto"/>
              </w:rPr>
            </w:pPr>
            <w:r>
              <w:rPr>
                <w:rFonts w:ascii="Arial" w:cs="Arial" w:eastAsia="Arial" w:hAnsi="Arial"/>
                <w:sz w:val="14"/>
                <w:szCs w:val="14"/>
                <w:color w:val="auto"/>
              </w:rPr>
              <w:t>AR</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of Salisbury,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of St. Mary’s County,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 Steakhouse Restaurantes Brasil, S.A. (f/k/a Bloom Holdco)</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BR</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 Steakhouse West Virginia, Inc.</w:t>
            </w:r>
          </w:p>
        </w:tc>
        <w:tc>
          <w:tcPr>
            <w:tcW w:w="6720" w:type="dxa"/>
            <w:vAlign w:val="bottom"/>
          </w:tcPr>
          <w:p>
            <w:pPr>
              <w:jc w:val="center"/>
              <w:spacing w:after="0"/>
              <w:rPr>
                <w:sz w:val="20"/>
                <w:szCs w:val="20"/>
                <w:color w:val="auto"/>
              </w:rPr>
            </w:pPr>
            <w:r>
              <w:rPr>
                <w:rFonts w:ascii="Arial" w:cs="Arial" w:eastAsia="Arial" w:hAnsi="Arial"/>
                <w:sz w:val="14"/>
                <w:szCs w:val="14"/>
                <w:color w:val="auto"/>
              </w:rPr>
              <w:t>WV</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Outback/Carrabba’s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Outback/Fleming’s Designated Partner, LLC</w:t>
            </w:r>
          </w:p>
        </w:tc>
        <w:tc>
          <w:tcPr>
            <w:tcW w:w="6720" w:type="dxa"/>
            <w:vAlign w:val="bottom"/>
          </w:tcPr>
          <w:p>
            <w:pPr>
              <w:jc w:val="center"/>
              <w:spacing w:after="0"/>
              <w:rPr>
                <w:sz w:val="20"/>
                <w:szCs w:val="20"/>
                <w:color w:val="auto"/>
              </w:rPr>
            </w:pPr>
            <w:r>
              <w:rPr>
                <w:rFonts w:ascii="Arial" w:cs="Arial" w:eastAsia="Arial" w:hAnsi="Arial"/>
                <w:sz w:val="14"/>
                <w:szCs w:val="14"/>
                <w:color w:val="auto"/>
              </w:rPr>
              <w:t>DE</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Outback/Hampton, Limited Partnership</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FL</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Outback/Stone-II, Limited Partnership</w:t>
            </w:r>
          </w:p>
        </w:tc>
        <w:tc>
          <w:tcPr>
            <w:tcW w:w="6720" w:type="dxa"/>
            <w:vAlign w:val="bottom"/>
          </w:tcPr>
          <w:p>
            <w:pPr>
              <w:jc w:val="center"/>
              <w:spacing w:after="0"/>
              <w:rPr>
                <w:sz w:val="20"/>
                <w:szCs w:val="20"/>
                <w:color w:val="auto"/>
              </w:rPr>
            </w:pPr>
            <w:r>
              <w:rPr>
                <w:rFonts w:ascii="Arial" w:cs="Arial" w:eastAsia="Arial" w:hAnsi="Arial"/>
                <w:sz w:val="14"/>
                <w:szCs w:val="14"/>
                <w:color w:val="auto"/>
                <w:w w:val="97"/>
              </w:rPr>
              <w:t>FL</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Outback-Carrabba’s of Hunt Valley,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Owings Mills Incorporated</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Perry Hall Outback, Inc.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Prince George’s County Outback, Inc.</w:t>
            </w:r>
          </w:p>
        </w:tc>
        <w:tc>
          <w:tcPr>
            <w:tcW w:w="672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Private Restaurant Master Lessee, LLC</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w:t>
            </w:r>
          </w:p>
        </w:tc>
      </w:tr>
      <w:tr>
        <w:trPr>
          <w:trHeight w:val="264"/>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Snyderman Restaurant Group Inc</w:t>
            </w:r>
          </w:p>
        </w:tc>
        <w:tc>
          <w:tcPr>
            <w:tcW w:w="6720" w:type="dxa"/>
            <w:vAlign w:val="bottom"/>
          </w:tcPr>
          <w:p>
            <w:pPr>
              <w:jc w:val="center"/>
              <w:spacing w:after="0"/>
              <w:rPr>
                <w:sz w:val="20"/>
                <w:szCs w:val="20"/>
                <w:color w:val="auto"/>
              </w:rPr>
            </w:pPr>
            <w:r>
              <w:rPr>
                <w:rFonts w:ascii="Arial" w:cs="Arial" w:eastAsia="Arial" w:hAnsi="Arial"/>
                <w:sz w:val="14"/>
                <w:szCs w:val="14"/>
                <w:color w:val="auto"/>
                <w:w w:val="93"/>
              </w:rPr>
              <w:t>NJ</w:t>
            </w:r>
          </w:p>
        </w:tc>
      </w:tr>
      <w:tr>
        <w:trPr>
          <w:trHeight w:val="276"/>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Williamsburg Square Joint Venture</w:t>
            </w:r>
          </w:p>
        </w:tc>
        <w:tc>
          <w:tcPr>
            <w:tcW w:w="6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PA</w:t>
            </w:r>
          </w:p>
        </w:tc>
      </w:tr>
      <w:tr>
        <w:trPr>
          <w:trHeight w:val="258"/>
        </w:trPr>
        <w:tc>
          <w:tcPr>
            <w:tcW w:w="4680" w:type="dxa"/>
            <w:vAlign w:val="bottom"/>
            <w:gridSpan w:val="2"/>
          </w:tcPr>
          <w:p>
            <w:pPr>
              <w:ind w:left="40"/>
              <w:spacing w:after="0"/>
              <w:rPr>
                <w:sz w:val="20"/>
                <w:szCs w:val="20"/>
                <w:color w:val="auto"/>
              </w:rPr>
            </w:pPr>
            <w:r>
              <w:rPr>
                <w:rFonts w:ascii="Arial" w:cs="Arial" w:eastAsia="Arial" w:hAnsi="Arial"/>
                <w:sz w:val="14"/>
                <w:szCs w:val="14"/>
                <w:color w:val="auto"/>
              </w:rPr>
              <w:t>Xuanmei Food and Beverage (Shanghai) Co., Ltd.</w:t>
            </w:r>
          </w:p>
        </w:tc>
        <w:tc>
          <w:tcPr>
            <w:tcW w:w="6720" w:type="dxa"/>
            <w:vAlign w:val="bottom"/>
          </w:tcPr>
          <w:p>
            <w:pPr>
              <w:jc w:val="center"/>
              <w:spacing w:after="0"/>
              <w:rPr>
                <w:sz w:val="20"/>
                <w:szCs w:val="20"/>
                <w:color w:val="auto"/>
              </w:rPr>
            </w:pPr>
            <w:r>
              <w:rPr>
                <w:rFonts w:ascii="Arial" w:cs="Arial" w:eastAsia="Arial" w:hAnsi="Arial"/>
                <w:sz w:val="14"/>
                <w:szCs w:val="14"/>
                <w:color w:val="auto"/>
                <w:w w:val="98"/>
              </w:rPr>
              <w:t>CN</w:t>
            </w:r>
          </w:p>
        </w:tc>
      </w:tr>
    </w:tbl>
    <w:p>
      <w:pPr>
        <w:sectPr>
          <w:pgSz w:w="11900" w:h="16838" w:orient="portrait"/>
          <w:cols w:equalWidth="0" w:num="1">
            <w:col w:w="11400"/>
          </w:cols>
          <w:pgMar w:left="240" w:top="576" w:right="259" w:bottom="1440" w:gutter="0" w:footer="0" w:header="0"/>
        </w:sectPr>
      </w:pPr>
    </w:p>
    <w:bookmarkStart w:id="540" w:name="page541"/>
    <w:bookmarkEnd w:id="540"/>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333-194295) and S-8 (Nos. 333-183270, 333-187035, 333-194261, 333-202259, 333-209691 and 333-210868) of Bloomin’ Brands, Inc. of our report dated February 28, 2018 relating to the financial statements and the effectiveness of internal control over financial reporting, which appears in this Form 10-K.</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Certified Public Accountants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rPr>
          <w:sz w:val="20"/>
          <w:szCs w:val="20"/>
          <w:color w:val="auto"/>
        </w:rPr>
      </w:pPr>
      <w:r>
        <w:rPr>
          <w:rFonts w:ascii="Arial" w:cs="Arial" w:eastAsia="Arial" w:hAnsi="Arial"/>
          <w:sz w:val="20"/>
          <w:szCs w:val="20"/>
          <w:color w:val="auto"/>
        </w:rPr>
        <w:t>February 28, 2018</w:t>
      </w:r>
    </w:p>
    <w:p>
      <w:pPr>
        <w:sectPr>
          <w:pgSz w:w="11900" w:h="16838" w:orient="portrait"/>
          <w:cols w:equalWidth="0" w:num="1">
            <w:col w:w="11420"/>
          </w:cols>
          <w:pgMar w:left="240" w:top="346" w:right="239" w:bottom="1440" w:gutter="0" w:footer="0" w:header="0"/>
        </w:sectPr>
      </w:pPr>
    </w:p>
    <w:bookmarkStart w:id="541" w:name="page542"/>
    <w:bookmarkEnd w:id="54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Elizabeth A. Smith, certify that:</w:t>
      </w:r>
    </w:p>
    <w:p>
      <w:pPr>
        <w:spacing w:after="0" w:line="229" w:lineRule="exact"/>
        <w:rPr>
          <w:sz w:val="20"/>
          <w:szCs w:val="20"/>
          <w:color w:val="auto"/>
        </w:rPr>
      </w:pPr>
    </w:p>
    <w:p>
      <w:pPr>
        <w:ind w:left="580" w:hanging="572"/>
        <w:spacing w:after="0"/>
        <w:tabs>
          <w:tab w:leader="none" w:pos="58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4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42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4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4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4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4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28,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116" w:right="239" w:bottom="1440" w:gutter="0" w:footer="0" w:header="0"/>
        </w:sectPr>
      </w:pPr>
    </w:p>
    <w:bookmarkStart w:id="542" w:name="page543"/>
    <w:bookmarkEnd w:id="54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16" w:lineRule="exact"/>
        <w:rPr>
          <w:sz w:val="20"/>
          <w:szCs w:val="20"/>
          <w:color w:val="auto"/>
        </w:rPr>
      </w:pPr>
    </w:p>
    <w:p>
      <w:pPr>
        <w:ind w:left="580" w:hanging="572"/>
        <w:spacing w:after="0"/>
        <w:tabs>
          <w:tab w:leader="none" w:pos="58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42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4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4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4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4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4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February 28,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and Administrative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115" w:right="239" w:bottom="1440" w:gutter="0" w:footer="0" w:header="0"/>
        </w:sectPr>
      </w:pPr>
    </w:p>
    <w:bookmarkStart w:id="543" w:name="page544"/>
    <w:bookmarkEnd w:id="54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31, 2017 as filed with the Securities and Exchange Commission on the date hereof (the “Report”), I, Elizabeth A. Smith,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3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28, 2018</w:t>
      </w:r>
      <w:r>
        <w:rPr>
          <w:sz w:val="20"/>
          <w:szCs w:val="20"/>
          <w:color w:val="auto"/>
        </w:rPr>
        <w:tab/>
      </w:r>
      <w:r>
        <w:rPr>
          <w:rFonts w:ascii="Arial" w:cs="Arial" w:eastAsia="Arial" w:hAnsi="Arial"/>
          <w:sz w:val="18"/>
          <w:szCs w:val="18"/>
          <w:color w:val="auto"/>
        </w:rPr>
        <w:t>/s/ Elizabeth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Elizabeth A. Smith</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5" w:right="239" w:bottom="1440" w:gutter="0" w:footer="0" w:header="0"/>
        </w:sectPr>
      </w:pPr>
    </w:p>
    <w:bookmarkStart w:id="544" w:name="page545"/>
    <w:bookmarkEnd w:id="544"/>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31, 2017 as filed with the Securities and Exchange Commission on the date hereof (the “Report”), I, David J. Deno, Executive Vice President and Chief Financial and Administrative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February 28, 2018</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Executive Vice President and Chief Financial and Administrative Officer</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39DEFAC"/>
    <w:multiLevelType w:val="hybridMultilevel"/>
    <w:lvl w:ilvl="0">
      <w:lvlJc w:val="left"/>
      <w:lvlText w:val="[%1]"/>
      <w:numFmt w:val="upperLetter"/>
      <w:start w:val="24"/>
    </w:lvl>
  </w:abstractNum>
  <w:abstractNum w:abstractNumId="1">
    <w:nsid w:val="501F9786"/>
    <w:multiLevelType w:val="hybridMultilevel"/>
    <w:lvl w:ilvl="0">
      <w:lvlJc w:val="left"/>
      <w:lvlText w:val="(%1)"/>
      <w:numFmt w:val="lowerRoman"/>
      <w:start w:val="1"/>
    </w:lvl>
  </w:abstractNum>
  <w:abstractNum w:abstractNumId="2">
    <w:nsid w:val="6B057295"/>
    <w:multiLevelType w:val="hybridMultilevel"/>
    <w:lvl w:ilvl="0">
      <w:lvlJc w:val="left"/>
      <w:lvlText w:val="(%1)"/>
      <w:numFmt w:val="lowerRoman"/>
      <w:start w:val="10"/>
    </w:lvl>
  </w:abstractNum>
  <w:abstractNum w:abstractNumId="3">
    <w:nsid w:val="2771AC80"/>
    <w:multiLevelType w:val="hybridMultilevel"/>
    <w:lvl w:ilvl="0">
      <w:lvlJc w:val="left"/>
      <w:lvlText w:val="(%1)"/>
      <w:numFmt w:val="decimal"/>
      <w:start w:val="1"/>
    </w:lvl>
  </w:abstractNum>
  <w:abstractNum w:abstractNumId="4">
    <w:nsid w:val="1C4A08EC"/>
    <w:multiLevelType w:val="hybridMultilevel"/>
    <w:lvl w:ilvl="0">
      <w:lvlJc w:val="left"/>
      <w:lvlText w:val="(%1)"/>
      <w:numFmt w:val="decimal"/>
      <w:start w:val="1"/>
    </w:lvl>
  </w:abstractNum>
  <w:abstractNum w:abstractNumId="5">
    <w:nsid w:val="1958BD17"/>
    <w:multiLevelType w:val="hybridMultilevel"/>
    <w:lvl w:ilvl="0">
      <w:lvlJc w:val="left"/>
      <w:lvlText w:val="(%1)"/>
      <w:numFmt w:val="decimal"/>
      <w:start w:val="1"/>
    </w:lvl>
  </w:abstractNum>
  <w:abstractNum w:abstractNumId="6">
    <w:nsid w:val="4E647FE4"/>
    <w:multiLevelType w:val="hybridMultilevel"/>
    <w:lvl w:ilvl="0">
      <w:lvlJc w:val="left"/>
      <w:lvlText w:val="•"/>
      <w:numFmt w:val="bullet"/>
      <w:start w:val="1"/>
    </w:lvl>
  </w:abstractNum>
  <w:abstractNum w:abstractNumId="7">
    <w:nsid w:val="E0BB885"/>
    <w:multiLevelType w:val="hybridMultilevel"/>
    <w:lvl w:ilvl="0">
      <w:lvlJc w:val="left"/>
      <w:lvlText w:val="•"/>
      <w:numFmt w:val="bullet"/>
      <w:start w:val="1"/>
    </w:lvl>
  </w:abstractNum>
  <w:abstractNum w:abstractNumId="8">
    <w:nsid w:val="565976F1"/>
    <w:multiLevelType w:val="hybridMultilevel"/>
    <w:lvl w:ilvl="0">
      <w:lvlJc w:val="left"/>
      <w:lvlText w:val="•"/>
      <w:numFmt w:val="bullet"/>
      <w:start w:val="1"/>
    </w:lvl>
  </w:abstractNum>
  <w:abstractNum w:abstractNumId="9">
    <w:nsid w:val="64212B8C"/>
    <w:multiLevelType w:val="hybridMultilevel"/>
    <w:lvl w:ilvl="0">
      <w:lvlJc w:val="left"/>
      <w:lvlText w:val="(%1)"/>
      <w:numFmt w:val="decimal"/>
      <w:start w:val="1"/>
    </w:lvl>
  </w:abstractNum>
  <w:abstractNum w:abstractNumId="10">
    <w:nsid w:val="5C17530C"/>
    <w:multiLevelType w:val="hybridMultilevel"/>
    <w:lvl w:ilvl="0">
      <w:lvlJc w:val="left"/>
      <w:lvlText w:val="(%1)"/>
      <w:numFmt w:val="decimal"/>
      <w:start w:val="1"/>
    </w:lvl>
  </w:abstractNum>
  <w:abstractNum w:abstractNumId="11">
    <w:nsid w:val="19A52566"/>
    <w:multiLevelType w:val="hybridMultilevel"/>
    <w:lvl w:ilvl="0">
      <w:lvlJc w:val="left"/>
      <w:lvlText w:val="(%1)"/>
      <w:numFmt w:val="decimal"/>
      <w:start w:val="1"/>
    </w:lvl>
  </w:abstractNum>
  <w:abstractNum w:abstractNumId="12">
    <w:nsid w:val="335A1DF1"/>
    <w:multiLevelType w:val="hybridMultilevel"/>
    <w:lvl w:ilvl="0">
      <w:lvlJc w:val="left"/>
      <w:lvlText w:val="(%1)"/>
      <w:numFmt w:val="decimal"/>
      <w:start w:val="1"/>
    </w:lvl>
  </w:abstractNum>
  <w:abstractNum w:abstractNumId="13">
    <w:nsid w:val="28677B7C"/>
    <w:multiLevelType w:val="hybridMultilevel"/>
    <w:lvl w:ilvl="0">
      <w:lvlJc w:val="left"/>
      <w:lvlText w:val="(%1)"/>
      <w:numFmt w:val="decimal"/>
      <w:start w:val="1"/>
    </w:lvl>
  </w:abstractNum>
  <w:abstractNum w:abstractNumId="14">
    <w:nsid w:val="378D97C0"/>
    <w:multiLevelType w:val="hybridMultilevel"/>
    <w:lvl w:ilvl="0">
      <w:lvlJc w:val="left"/>
      <w:lvlText w:val="(%1)"/>
      <w:numFmt w:val="decimal"/>
      <w:start w:val="1"/>
    </w:lvl>
  </w:abstractNum>
  <w:abstractNum w:abstractNumId="15">
    <w:nsid w:val="1D91467C"/>
    <w:multiLevelType w:val="hybridMultilevel"/>
    <w:lvl w:ilvl="0">
      <w:lvlJc w:val="left"/>
      <w:lvlText w:val="•"/>
      <w:numFmt w:val="bullet"/>
      <w:start w:val="1"/>
    </w:lvl>
  </w:abstractNum>
  <w:abstractNum w:abstractNumId="16">
    <w:nsid w:val="316032BB"/>
    <w:multiLevelType w:val="hybridMultilevel"/>
    <w:lvl w:ilvl="0">
      <w:lvlJc w:val="left"/>
      <w:lvlText w:val="•"/>
      <w:numFmt w:val="bullet"/>
      <w:start w:val="1"/>
    </w:lvl>
  </w:abstractNum>
  <w:abstractNum w:abstractNumId="17">
    <w:nsid w:val="44344C22"/>
    <w:multiLevelType w:val="hybridMultilevel"/>
    <w:lvl w:ilvl="0">
      <w:lvlJc w:val="left"/>
      <w:lvlText w:val="•"/>
      <w:numFmt w:val="bullet"/>
      <w:start w:val="1"/>
    </w:lvl>
    <w:lvl w:ilvl="1">
      <w:lvlJc w:val="left"/>
      <w:lvlText w:val="(%2)"/>
      <w:numFmt w:val="lowerRoman"/>
      <w:start w:val="1"/>
    </w:lvl>
  </w:abstractNum>
  <w:abstractNum w:abstractNumId="18">
    <w:nsid w:val="13CDFCFC"/>
    <w:multiLevelType w:val="hybridMultilevel"/>
    <w:lvl w:ilvl="0">
      <w:lvlJc w:val="left"/>
      <w:lvlText w:val="•"/>
      <w:numFmt w:val="bullet"/>
      <w:start w:val="1"/>
    </w:lvl>
  </w:abstractNum>
  <w:abstractNum w:abstractNumId="19">
    <w:nsid w:val="471745E4"/>
    <w:multiLevelType w:val="hybridMultilevel"/>
    <w:lvl w:ilvl="0">
      <w:lvlJc w:val="left"/>
      <w:lvlText w:val="(%1)"/>
      <w:numFmt w:val="decimal"/>
      <w:start w:val="1"/>
    </w:lvl>
  </w:abstractNum>
  <w:abstractNum w:abstractNumId="20">
    <w:nsid w:val="1DDBC66"/>
    <w:multiLevelType w:val="hybridMultilevel"/>
    <w:lvl w:ilvl="0">
      <w:lvlJc w:val="left"/>
      <w:lvlText w:val="(%1)"/>
      <w:numFmt w:val="decimal"/>
      <w:start w:val="1"/>
    </w:lvl>
  </w:abstractNum>
  <w:abstractNum w:abstractNumId="21">
    <w:nsid w:val="30AADFDA"/>
    <w:multiLevelType w:val="hybridMultilevel"/>
    <w:lvl w:ilvl="0">
      <w:lvlJc w:val="left"/>
      <w:lvlText w:val="*"/>
      <w:numFmt w:val="bullet"/>
      <w:start w:val="1"/>
    </w:lvl>
  </w:abstractNum>
  <w:abstractNum w:abstractNumId="22">
    <w:nsid w:val="30EADA61"/>
    <w:multiLevelType w:val="hybridMultilevel"/>
    <w:lvl w:ilvl="0">
      <w:lvlJc w:val="left"/>
      <w:lvlText w:val="(%1)"/>
      <w:numFmt w:val="decimal"/>
      <w:start w:val="1"/>
    </w:lvl>
  </w:abstractNum>
  <w:abstractNum w:abstractNumId="23">
    <w:nsid w:val="27179C0B"/>
    <w:multiLevelType w:val="hybridMultilevel"/>
    <w:lvl w:ilvl="0">
      <w:lvlJc w:val="left"/>
      <w:lvlText w:val="(%1)"/>
      <w:numFmt w:val="decimal"/>
      <w:start w:val="1"/>
    </w:lvl>
  </w:abstractNum>
  <w:abstractNum w:abstractNumId="24">
    <w:nsid w:val="5E636063"/>
    <w:multiLevelType w:val="hybridMultilevel"/>
    <w:lvl w:ilvl="0">
      <w:lvlJc w:val="left"/>
      <w:lvlText w:val="(%1)"/>
      <w:numFmt w:val="decimal"/>
      <w:start w:val="1"/>
    </w:lvl>
  </w:abstractNum>
  <w:abstractNum w:abstractNumId="25">
    <w:nsid w:val="215641AF"/>
    <w:multiLevelType w:val="hybridMultilevel"/>
    <w:lvl w:ilvl="0">
      <w:lvlJc w:val="left"/>
      <w:lvlText w:val="(%1)"/>
      <w:numFmt w:val="decimal"/>
      <w:start w:val="1"/>
    </w:lvl>
  </w:abstractNum>
  <w:abstractNum w:abstractNumId="26">
    <w:nsid w:val="53280662"/>
    <w:multiLevelType w:val="hybridMultilevel"/>
    <w:lvl w:ilvl="0">
      <w:lvlJc w:val="left"/>
      <w:lvlText w:val="(%1)"/>
      <w:numFmt w:val="decimal"/>
      <w:start w:val="1"/>
    </w:lvl>
  </w:abstractNum>
  <w:abstractNum w:abstractNumId="27">
    <w:nsid w:val="46B24DBC"/>
    <w:multiLevelType w:val="hybridMultilevel"/>
    <w:lvl w:ilvl="0">
      <w:lvlJc w:val="left"/>
      <w:lvlText w:val="(%1)"/>
      <w:numFmt w:val="decimal"/>
      <w:start w:val="1"/>
    </w:lvl>
  </w:abstractNum>
  <w:abstractNum w:abstractNumId="28">
    <w:nsid w:val="75B52783"/>
    <w:multiLevelType w:val="hybridMultilevel"/>
    <w:lvl w:ilvl="0">
      <w:lvlJc w:val="left"/>
      <w:lvlText w:val="(%1)"/>
      <w:numFmt w:val="decimal"/>
      <w:start w:val="1"/>
    </w:lvl>
  </w:abstractNum>
  <w:abstractNum w:abstractNumId="29">
    <w:nsid w:val="57CE66B4"/>
    <w:multiLevelType w:val="hybridMultilevel"/>
    <w:lvl w:ilvl="0">
      <w:lvlJc w:val="left"/>
      <w:lvlText w:val="(%1)"/>
      <w:numFmt w:val="lowerRoman"/>
      <w:start w:val="2"/>
    </w:lvl>
  </w:abstractNum>
  <w:abstractNum w:abstractNumId="30">
    <w:nsid w:val="67A70B69"/>
    <w:multiLevelType w:val="hybridMultilevel"/>
    <w:lvl w:ilvl="0">
      <w:lvlJc w:val="left"/>
      <w:lvlText w:val="(%1)"/>
      <w:numFmt w:val="decimal"/>
      <w:start w:val="1"/>
    </w:lvl>
  </w:abstractNum>
  <w:abstractNum w:abstractNumId="31">
    <w:nsid w:val="5953172F"/>
    <w:multiLevelType w:val="hybridMultilevel"/>
    <w:lvl w:ilvl="0">
      <w:lvlJc w:val="left"/>
      <w:lvlText w:val="(%1)"/>
      <w:numFmt w:val="decimal"/>
      <w:start w:val="1"/>
    </w:lvl>
  </w:abstractNum>
  <w:abstractNum w:abstractNumId="32">
    <w:nsid w:val="27EDFE3A"/>
    <w:multiLevelType w:val="hybridMultilevel"/>
    <w:lvl w:ilvl="0">
      <w:lvlJc w:val="left"/>
      <w:lvlText w:val="(%1)"/>
      <w:numFmt w:val="decimal"/>
      <w:start w:val="1"/>
    </w:lvl>
  </w:abstractNum>
  <w:abstractNum w:abstractNumId="33">
    <w:nsid w:val="52AC7DFF"/>
    <w:multiLevelType w:val="hybridMultilevel"/>
    <w:lvl w:ilvl="0">
      <w:lvlJc w:val="left"/>
      <w:lvlText w:val="(%1)"/>
      <w:numFmt w:val="decimal"/>
      <w:start w:val="1"/>
    </w:lvl>
  </w:abstractNum>
  <w:abstractNum w:abstractNumId="34">
    <w:nsid w:val="C4C3AF"/>
    <w:multiLevelType w:val="hybridMultilevel"/>
    <w:lvl w:ilvl="0">
      <w:lvlJc w:val="left"/>
      <w:lvlText w:val="(%1)"/>
      <w:numFmt w:val="decimal"/>
      <w:start w:val="1"/>
    </w:lvl>
  </w:abstractNum>
  <w:abstractNum w:abstractNumId="35">
    <w:nsid w:val="44380727"/>
    <w:multiLevelType w:val="hybridMultilevel"/>
    <w:lvl w:ilvl="0">
      <w:lvlJc w:val="left"/>
      <w:lvlText w:val="(%1)"/>
      <w:numFmt w:val="decimal"/>
      <w:start w:val="8"/>
    </w:lvl>
  </w:abstractNum>
  <w:abstractNum w:abstractNumId="36">
    <w:nsid w:val="6C053B16"/>
    <w:multiLevelType w:val="hybridMultilevel"/>
    <w:lvl w:ilvl="0">
      <w:lvlJc w:val="left"/>
      <w:lvlText w:val="(%1)"/>
      <w:numFmt w:val="decimal"/>
      <w:start w:val="1"/>
    </w:lvl>
  </w:abstractNum>
  <w:abstractNum w:abstractNumId="37">
    <w:nsid w:val="4F294393"/>
    <w:multiLevelType w:val="hybridMultilevel"/>
    <w:lvl w:ilvl="0">
      <w:lvlJc w:val="left"/>
      <w:lvlText w:val="(%1)"/>
      <w:numFmt w:val="decimal"/>
      <w:start w:val="1"/>
    </w:lvl>
  </w:abstractNum>
  <w:abstractNum w:abstractNumId="38">
    <w:nsid w:val="5243BFAC"/>
    <w:multiLevelType w:val="hybridMultilevel"/>
    <w:lvl w:ilvl="0">
      <w:lvlJc w:val="left"/>
      <w:lvlText w:val="(%1)"/>
      <w:numFmt w:val="decimal"/>
      <w:start w:val="1"/>
    </w:lvl>
  </w:abstractNum>
  <w:abstractNum w:abstractNumId="39">
    <w:nsid w:val="425EB207"/>
    <w:multiLevelType w:val="hybridMultilevel"/>
    <w:lvl w:ilvl="0">
      <w:lvlJc w:val="left"/>
      <w:lvlText w:val="(%1)"/>
      <w:numFmt w:val="decimal"/>
      <w:start w:val="1"/>
    </w:lvl>
  </w:abstractNum>
  <w:abstractNum w:abstractNumId="40">
    <w:nsid w:val="334A6F1F"/>
    <w:multiLevelType w:val="hybridMultilevel"/>
    <w:lvl w:ilvl="0">
      <w:lvlJc w:val="left"/>
      <w:lvlText w:val="(%1)"/>
      <w:numFmt w:val="lowerRoman"/>
      <w:start w:val="2"/>
    </w:lvl>
  </w:abstractNum>
  <w:abstractNum w:abstractNumId="41">
    <w:nsid w:val="2E5B12B8"/>
    <w:multiLevelType w:val="hybridMultilevel"/>
    <w:lvl w:ilvl="0">
      <w:lvlJc w:val="left"/>
      <w:lvlText w:val="(%1)"/>
      <w:numFmt w:val="decimal"/>
      <w:start w:val="1"/>
    </w:lvl>
  </w:abstractNum>
  <w:abstractNum w:abstractNumId="42">
    <w:nsid w:val="5C03D76D"/>
    <w:multiLevelType w:val="hybridMultilevel"/>
    <w:lvl w:ilvl="0">
      <w:lvlJc w:val="left"/>
      <w:lvlText w:val="%1."/>
      <w:numFmt w:val="decimal"/>
      <w:start w:val="1"/>
    </w:lvl>
  </w:abstractNum>
  <w:abstractNum w:abstractNumId="43">
    <w:nsid w:val="66A48D11"/>
    <w:multiLevelType w:val="hybridMultilevel"/>
    <w:lvl w:ilvl="0">
      <w:lvlJc w:val="left"/>
      <w:lvlText w:val="%1."/>
      <w:numFmt w:val="decimal"/>
      <w:start w:val="2"/>
    </w:lvl>
  </w:abstractNum>
  <w:abstractNum w:abstractNumId="44">
    <w:nsid w:val="56C28E34"/>
    <w:multiLevelType w:val="hybridMultilevel"/>
    <w:lvl w:ilvl="0">
      <w:lvlJc w:val="left"/>
      <w:lvlText w:val="%1."/>
      <w:numFmt w:val="decimal"/>
      <w:start w:val="3"/>
    </w:lvl>
  </w:abstractNum>
  <w:abstractNum w:abstractNumId="45">
    <w:nsid w:val="13916F2D"/>
    <w:multiLevelType w:val="hybridMultilevel"/>
    <w:lvl w:ilvl="0">
      <w:lvlJc w:val="left"/>
      <w:lvlText w:val="(%1)"/>
      <w:numFmt w:val="decimal"/>
      <w:start w:val="1"/>
    </w:lvl>
  </w:abstractNum>
  <w:abstractNum w:abstractNumId="46">
    <w:nsid w:val="435D38D"/>
    <w:multiLevelType w:val="hybridMultilevel"/>
    <w:lvl w:ilvl="0">
      <w:lvlJc w:val="left"/>
      <w:lvlText w:val="(%1)"/>
      <w:numFmt w:val="decimal"/>
      <w:start w:val="1"/>
    </w:lvl>
  </w:abstractNum>
  <w:abstractNum w:abstractNumId="47">
    <w:nsid w:val="822C0EF"/>
    <w:multiLevelType w:val="hybridMultilevel"/>
    <w:lvl w:ilvl="0">
      <w:lvlJc w:val="left"/>
      <w:lvlText w:val="%1."/>
      <w:numFmt w:val="decimal"/>
      <w:start w:val="4"/>
    </w:lvl>
  </w:abstractNum>
  <w:abstractNum w:abstractNumId="48">
    <w:nsid w:val="57C5BB4F"/>
    <w:multiLevelType w:val="hybridMultilevel"/>
    <w:lvl w:ilvl="0">
      <w:lvlJc w:val="left"/>
      <w:lvlText w:val="(%1)"/>
      <w:numFmt w:val="decimal"/>
      <w:start w:val="1"/>
    </w:lvl>
  </w:abstractNum>
  <w:abstractNum w:abstractNumId="49">
    <w:nsid w:val="1803D089"/>
    <w:multiLevelType w:val="hybridMultilevel"/>
    <w:lvl w:ilvl="0">
      <w:lvlJc w:val="left"/>
      <w:lvlText w:val="(%1)"/>
      <w:numFmt w:val="decimal"/>
      <w:start w:val="1"/>
    </w:lvl>
  </w:abstractNum>
  <w:abstractNum w:abstractNumId="50">
    <w:nsid w:val="4F3A06D4"/>
    <w:multiLevelType w:val="hybridMultilevel"/>
    <w:lvl w:ilvl="0">
      <w:lvlJc w:val="left"/>
      <w:lvlText w:val="%1."/>
      <w:numFmt w:val="decimal"/>
      <w:start w:val="5"/>
    </w:lvl>
  </w:abstractNum>
  <w:abstractNum w:abstractNumId="51">
    <w:nsid w:val="59A377B6"/>
    <w:multiLevelType w:val="hybridMultilevel"/>
    <w:lvl w:ilvl="0">
      <w:lvlJc w:val="left"/>
      <w:lvlText w:val="(%1)"/>
      <w:numFmt w:val="decimal"/>
      <w:start w:val="1"/>
    </w:lvl>
  </w:abstractNum>
  <w:abstractNum w:abstractNumId="52">
    <w:nsid w:val="48AEB063"/>
    <w:multiLevelType w:val="hybridMultilevel"/>
    <w:lvl w:ilvl="0">
      <w:lvlJc w:val="left"/>
      <w:lvlText w:val="(%1)"/>
      <w:numFmt w:val="decimal"/>
      <w:start w:val="1"/>
    </w:lvl>
  </w:abstractNum>
  <w:abstractNum w:abstractNumId="53">
    <w:nsid w:val="24E135"/>
    <w:multiLevelType w:val="hybridMultilevel"/>
    <w:lvl w:ilvl="0">
      <w:lvlJc w:val="left"/>
      <w:lvlText w:val="%1."/>
      <w:numFmt w:val="decimal"/>
      <w:start w:val="7"/>
    </w:lvl>
  </w:abstractNum>
  <w:abstractNum w:abstractNumId="54">
    <w:nsid w:val="BB13C1"/>
    <w:multiLevelType w:val="hybridMultilevel"/>
    <w:lvl w:ilvl="0">
      <w:lvlJc w:val="left"/>
      <w:lvlText w:val="%1."/>
      <w:numFmt w:val="decimal"/>
      <w:start w:val="8"/>
    </w:lvl>
  </w:abstractNum>
  <w:abstractNum w:abstractNumId="55">
    <w:nsid w:val="271210C7"/>
    <w:multiLevelType w:val="hybridMultilevel"/>
    <w:lvl w:ilvl="0">
      <w:lvlJc w:val="left"/>
      <w:lvlText w:val="(%1)"/>
      <w:numFmt w:val="decimal"/>
      <w:start w:val="1"/>
    </w:lvl>
  </w:abstractNum>
  <w:abstractNum w:abstractNumId="56">
    <w:nsid w:val="217B22E4"/>
    <w:multiLevelType w:val="hybridMultilevel"/>
    <w:lvl w:ilvl="0">
      <w:lvlJc w:val="left"/>
      <w:lvlText w:val="(%1)"/>
      <w:numFmt w:val="decimal"/>
      <w:start w:val="1"/>
    </w:lvl>
  </w:abstractNum>
  <w:abstractNum w:abstractNumId="57">
    <w:nsid w:val="53E31A24"/>
    <w:multiLevelType w:val="hybridMultilevel"/>
    <w:lvl w:ilvl="0">
      <w:lvlJc w:val="left"/>
      <w:lvlText w:val="(%1)"/>
      <w:numFmt w:val="decimal"/>
      <w:start w:val="1"/>
    </w:lvl>
  </w:abstractNum>
  <w:abstractNum w:abstractNumId="58">
    <w:nsid w:val="6DC45E83"/>
    <w:multiLevelType w:val="hybridMultilevel"/>
    <w:lvl w:ilvl="0">
      <w:lvlJc w:val="left"/>
      <w:lvlText w:val="(%1)"/>
      <w:numFmt w:val="decimal"/>
      <w:start w:val="1"/>
    </w:lvl>
  </w:abstractNum>
  <w:abstractNum w:abstractNumId="59">
    <w:nsid w:val="17304A67"/>
    <w:multiLevelType w:val="hybridMultilevel"/>
    <w:lvl w:ilvl="0">
      <w:lvlJc w:val="left"/>
      <w:lvlText w:val="(%1)"/>
      <w:numFmt w:val="decimal"/>
      <w:start w:val="1"/>
    </w:lvl>
  </w:abstractNum>
  <w:abstractNum w:abstractNumId="60">
    <w:nsid w:val="2BB180D8"/>
    <w:multiLevelType w:val="hybridMultilevel"/>
    <w:lvl w:ilvl="0">
      <w:lvlJc w:val="left"/>
      <w:lvlText w:val="(%1)"/>
      <w:numFmt w:val="decimal"/>
      <w:start w:val="1"/>
    </w:lvl>
  </w:abstractNum>
  <w:abstractNum w:abstractNumId="61">
    <w:nsid w:val="556B69ED"/>
    <w:multiLevelType w:val="hybridMultilevel"/>
    <w:lvl w:ilvl="0">
      <w:lvlJc w:val="left"/>
      <w:lvlText w:val="%1."/>
      <w:numFmt w:val="decimal"/>
      <w:start w:val="14"/>
    </w:lvl>
  </w:abstractNum>
  <w:abstractNum w:abstractNumId="62">
    <w:nsid w:val="70836196"/>
    <w:multiLevelType w:val="hybridMultilevel"/>
    <w:lvl w:ilvl="0">
      <w:lvlJc w:val="left"/>
      <w:lvlText w:val="%1."/>
      <w:numFmt w:val="decimal"/>
      <w:start w:val="15"/>
    </w:lvl>
  </w:abstractNum>
  <w:abstractNum w:abstractNumId="63">
    <w:nsid w:val="539F7F12"/>
    <w:multiLevelType w:val="hybridMultilevel"/>
    <w:lvl w:ilvl="0">
      <w:lvlJc w:val="left"/>
      <w:lvlText w:val="(%1)"/>
      <w:numFmt w:val="decimal"/>
      <w:start w:val="1"/>
    </w:lvl>
  </w:abstractNum>
  <w:abstractNum w:abstractNumId="64">
    <w:nsid w:val="2817E7EC"/>
    <w:multiLevelType w:val="hybridMultilevel"/>
    <w:lvl w:ilvl="0">
      <w:lvlJc w:val="left"/>
      <w:lvlText w:val="%1."/>
      <w:numFmt w:val="decimal"/>
      <w:start w:val="16"/>
    </w:lvl>
  </w:abstractNum>
  <w:abstractNum w:abstractNumId="65">
    <w:nsid w:val="71482545"/>
    <w:multiLevelType w:val="hybridMultilevel"/>
    <w:lvl w:ilvl="0">
      <w:lvlJc w:val="left"/>
      <w:lvlText w:val="(%1)"/>
      <w:numFmt w:val="decimal"/>
      <w:start w:val="1"/>
    </w:lvl>
  </w:abstractNum>
  <w:abstractNum w:abstractNumId="66">
    <w:nsid w:val="17D78639"/>
    <w:multiLevelType w:val="hybridMultilevel"/>
    <w:lvl w:ilvl="0">
      <w:lvlJc w:val="left"/>
      <w:lvlText w:val="(%1)"/>
      <w:numFmt w:val="decimal"/>
      <w:start w:val="1"/>
    </w:lvl>
  </w:abstractNum>
  <w:abstractNum w:abstractNumId="67">
    <w:nsid w:val="141D2302"/>
    <w:multiLevelType w:val="hybridMultilevel"/>
    <w:lvl w:ilvl="0">
      <w:lvlJc w:val="left"/>
      <w:lvlText w:val="%1."/>
      <w:numFmt w:val="decimal"/>
      <w:start w:val="17"/>
    </w:lvl>
  </w:abstractNum>
  <w:abstractNum w:abstractNumId="68">
    <w:nsid w:val="407168D8"/>
    <w:multiLevelType w:val="hybridMultilevel"/>
    <w:lvl w:ilvl="0">
      <w:lvlJc w:val="left"/>
      <w:lvlText w:val="(%1)"/>
      <w:numFmt w:val="decimal"/>
      <w:start w:val="1"/>
    </w:lvl>
  </w:abstractNum>
  <w:abstractNum w:abstractNumId="69">
    <w:nsid w:val="6A1B45E5"/>
    <w:multiLevelType w:val="hybridMultilevel"/>
    <w:lvl w:ilvl="0">
      <w:lvlJc w:val="left"/>
      <w:lvlText w:val="%1."/>
      <w:numFmt w:val="decimal"/>
      <w:start w:val="18"/>
    </w:lvl>
  </w:abstractNum>
  <w:abstractNum w:abstractNumId="70">
    <w:nsid w:val="567BD50A"/>
    <w:multiLevelType w:val="hybridMultilevel"/>
    <w:lvl w:ilvl="0">
      <w:lvlJc w:val="left"/>
      <w:lvlText w:val="(%1)"/>
      <w:numFmt w:val="lowerRoman"/>
      <w:start w:val="2"/>
    </w:lvl>
  </w:abstractNum>
  <w:abstractNum w:abstractNumId="71">
    <w:nsid w:val="73BBD7F8"/>
    <w:multiLevelType w:val="hybridMultilevel"/>
    <w:lvl w:ilvl="0">
      <w:lvlJc w:val="left"/>
      <w:lvlText w:val="(%1)"/>
      <w:numFmt w:val="decimal"/>
      <w:start w:val="1"/>
    </w:lvl>
  </w:abstractNum>
  <w:abstractNum w:abstractNumId="72">
    <w:nsid w:val="1876589D"/>
    <w:multiLevelType w:val="hybridMultilevel"/>
    <w:lvl w:ilvl="0">
      <w:lvlJc w:val="left"/>
      <w:lvlText w:val="(%1)"/>
      <w:numFmt w:val="decimal"/>
      <w:start w:val="1"/>
    </w:lvl>
  </w:abstractNum>
  <w:abstractNum w:abstractNumId="73">
    <w:nsid w:val="327FAC77"/>
    <w:multiLevelType w:val="hybridMultilevel"/>
    <w:lvl w:ilvl="0">
      <w:lvlJc w:val="left"/>
      <w:lvlText w:val="%1."/>
      <w:numFmt w:val="decimal"/>
      <w:start w:val="19"/>
    </w:lvl>
  </w:abstractNum>
  <w:abstractNum w:abstractNumId="74">
    <w:nsid w:val="5A606509"/>
    <w:multiLevelType w:val="hybridMultilevel"/>
    <w:lvl w:ilvl="0">
      <w:lvlJc w:val="left"/>
      <w:lvlText w:val="(%1)"/>
      <w:numFmt w:val="decimal"/>
      <w:start w:val="1"/>
    </w:lvl>
  </w:abstractNum>
  <w:abstractNum w:abstractNumId="75">
    <w:nsid w:val="6F38E6D1"/>
    <w:multiLevelType w:val="hybridMultilevel"/>
    <w:lvl w:ilvl="0">
      <w:lvlJc w:val="left"/>
      <w:lvlText w:val="(%1)"/>
      <w:numFmt w:val="decimal"/>
      <w:start w:val="1"/>
    </w:lvl>
  </w:abstractNum>
  <w:abstractNum w:abstractNumId="76">
    <w:nsid w:val="46111BA5"/>
    <w:multiLevelType w:val="hybridMultilevel"/>
    <w:lvl w:ilvl="0">
      <w:lvlJc w:val="left"/>
      <w:lvlText w:val="(%1)"/>
      <w:numFmt w:val="decimal"/>
      <w:start w:val="1"/>
    </w:lvl>
  </w:abstractNum>
  <w:abstractNum w:abstractNumId="77">
    <w:nsid w:val="5E963896"/>
    <w:multiLevelType w:val="hybridMultilevel"/>
    <w:lvl w:ilvl="0">
      <w:lvlJc w:val="left"/>
      <w:lvlText w:val="(%1)"/>
      <w:numFmt w:val="decimal"/>
      <w:start w:val="1"/>
    </w:lvl>
  </w:abstractNum>
  <w:abstractNum w:abstractNumId="78">
    <w:nsid w:val="775BA7C1"/>
    <w:multiLevelType w:val="hybridMultilevel"/>
    <w:lvl w:ilvl="0">
      <w:lvlJc w:val="left"/>
      <w:lvlText w:val="(%1)"/>
      <w:numFmt w:val="decimal"/>
      <w:start w:val="1"/>
    </w:lvl>
  </w:abstractNum>
  <w:abstractNum w:abstractNumId="79">
    <w:nsid w:val="1DD6D6F4"/>
    <w:multiLevelType w:val="hybridMultilevel"/>
    <w:lvl w:ilvl="0">
      <w:lvlJc w:val="left"/>
      <w:lvlText w:val="(%1)"/>
      <w:numFmt w:val="decimal"/>
      <w:start w:val="1"/>
    </w:lvl>
  </w:abstractNum>
  <w:abstractNum w:abstractNumId="80">
    <w:nsid w:val="769A091F"/>
    <w:multiLevelType w:val="hybridMultilevel"/>
    <w:lvl w:ilvl="0">
      <w:lvlJc w:val="left"/>
      <w:lvlText w:val="•"/>
      <w:numFmt w:val="bullet"/>
      <w:start w:val="1"/>
    </w:lvl>
  </w:abstractNum>
  <w:abstractNum w:abstractNumId="81">
    <w:nsid w:val="4695AE95"/>
    <w:multiLevelType w:val="hybridMultilevel"/>
    <w:lvl w:ilvl="0">
      <w:lvlJc w:val="left"/>
      <w:lvlText w:val="%1"/>
      <w:numFmt w:val="upperLetter"/>
      <w:start w:val="1"/>
    </w:lvl>
    <w:lvl w:ilvl="1">
      <w:lvlJc w:val="left"/>
      <w:lvlText w:val="(%2)"/>
      <w:numFmt w:val="lowerLetter"/>
      <w:start w:val="1"/>
    </w:lvl>
  </w:abstractNum>
  <w:abstractNum w:abstractNumId="82">
    <w:nsid w:val="777A4EAA"/>
    <w:multiLevelType w:val="hybridMultilevel"/>
    <w:lvl w:ilvl="0">
      <w:lvlJc w:val="left"/>
      <w:lvlText w:val="(%1)"/>
      <w:numFmt w:val="upperLetter"/>
      <w:start w:val="2"/>
    </w:lvl>
    <w:lvl w:ilvl="1">
      <w:lvlJc w:val="left"/>
      <w:lvlText w:val="%2"/>
      <w:numFmt w:val="lowerLetter"/>
      <w:start w:val="1"/>
    </w:lvl>
  </w:abstractNum>
  <w:abstractNum w:abstractNumId="83">
    <w:nsid w:val="3F48B982"/>
    <w:multiLevelType w:val="hybridMultilevel"/>
    <w:lvl w:ilvl="0">
      <w:lvlJc w:val="left"/>
      <w:lvlText w:val="(%1)"/>
      <w:numFmt w:val="lowerRoman"/>
      <w:start w:val="1"/>
    </w:lvl>
  </w:abstractNum>
  <w:abstractNum w:abstractNumId="84">
    <w:nsid w:val="46BA8FCA"/>
    <w:multiLevelType w:val="hybridMultilevel"/>
    <w:lvl w:ilvl="0">
      <w:lvlJc w:val="left"/>
      <w:lvlText w:val="(%1)"/>
      <w:numFmt w:val="lowerLetter"/>
      <w:start w:val="1"/>
    </w:lvl>
  </w:abstractNum>
  <w:abstractNum w:abstractNumId="85">
    <w:nsid w:val="7835626C"/>
    <w:multiLevelType w:val="hybridMultilevel"/>
    <w:lvl w:ilvl="0">
      <w:lvlJc w:val="left"/>
      <w:lvlText w:val="(%1)"/>
      <w:numFmt w:val="lowerLetter"/>
      <w:start w:val="9"/>
    </w:lvl>
  </w:abstractNum>
  <w:abstractNum w:abstractNumId="86">
    <w:nsid w:val="665ACA49"/>
    <w:multiLevelType w:val="hybridMultilevel"/>
    <w:lvl w:ilvl="0">
      <w:lvlJc w:val="left"/>
      <w:lvlText w:val="(%1)"/>
      <w:numFmt w:val="lowerLetter"/>
      <w:start w:val="1"/>
    </w:lvl>
  </w:abstractNum>
  <w:abstractNum w:abstractNumId="87">
    <w:nsid w:val="6835B2AE"/>
    <w:multiLevelType w:val="hybridMultilevel"/>
    <w:lvl w:ilvl="0">
      <w:lvlJc w:val="left"/>
      <w:lvlText w:val="(%1)"/>
      <w:numFmt w:val="lowerLetter"/>
      <w:start w:val="2"/>
    </w:lvl>
  </w:abstractNum>
  <w:abstractNum w:abstractNumId="88">
    <w:nsid w:val="4C187C90"/>
    <w:multiLevelType w:val="hybridMultilevel"/>
    <w:lvl w:ilvl="0">
      <w:lvlJc w:val="left"/>
      <w:lvlText w:val="(%1)"/>
      <w:numFmt w:val="lowerLetter"/>
      <w:start w:val="1"/>
    </w:lvl>
  </w:abstractNum>
  <w:abstractNum w:abstractNumId="89">
    <w:nsid w:val="541F28CD"/>
    <w:multiLevelType w:val="hybridMultilevel"/>
    <w:lvl w:ilvl="0">
      <w:lvlJc w:val="left"/>
      <w:lvlText w:val="(%1)"/>
      <w:numFmt w:val="lowerLetter"/>
      <w:start w:val="2"/>
    </w:lvl>
  </w:abstractNum>
  <w:abstractNum w:abstractNumId="90">
    <w:nsid w:val="7F65FD16"/>
    <w:multiLevelType w:val="hybridMultilevel"/>
    <w:lvl w:ilvl="0">
      <w:lvlJc w:val="left"/>
      <w:lvlText w:val="(%1)"/>
      <w:numFmt w:val="lowerLetter"/>
      <w:start w:val="1"/>
    </w:lvl>
  </w:abstractNum>
  <w:abstractNum w:abstractNumId="91">
    <w:nsid w:val="77C9FD68"/>
    <w:multiLevelType w:val="hybridMultilevel"/>
    <w:lvl w:ilvl="0">
      <w:lvlJc w:val="left"/>
      <w:lvlText w:val="(%1)"/>
      <w:numFmt w:val="lowerRoman"/>
      <w:start w:val="1"/>
    </w:lvl>
  </w:abstractNum>
  <w:abstractNum w:abstractNumId="92">
    <w:nsid w:val="298A92BA"/>
    <w:multiLevelType w:val="hybridMultilevel"/>
    <w:lvl w:ilvl="0">
      <w:lvlJc w:val="left"/>
      <w:lvlText w:val="%1"/>
      <w:numFmt w:val="lowerLetter"/>
      <w:start w:val="1"/>
    </w:lvl>
    <w:lvl w:ilvl="1">
      <w:lvlJc w:val="left"/>
      <w:lvlText w:val="(%2)"/>
      <w:numFmt w:val="lowerRoman"/>
      <w:start w:val="10"/>
    </w:lvl>
  </w:abstractNum>
  <w:abstractNum w:abstractNumId="93">
    <w:nsid w:val="6FE95EAC"/>
    <w:multiLevelType w:val="hybridMultilevel"/>
    <w:lvl w:ilvl="0">
      <w:lvlJc w:val="left"/>
      <w:lvlText w:val="(%1)"/>
      <w:numFmt w:val="lowerLetter"/>
      <w:start w:val="2"/>
    </w:lvl>
    <w:lvl w:ilvl="1">
      <w:lvlJc w:val="left"/>
      <w:lvlText w:val="(%2)"/>
      <w:numFmt w:val="lowerRoman"/>
      <w:start w:val="1"/>
    </w:lvl>
  </w:abstractNum>
  <w:abstractNum w:abstractNumId="94">
    <w:nsid w:val="4B697C7A"/>
    <w:multiLevelType w:val="hybridMultilevel"/>
    <w:lvl w:ilvl="0">
      <w:lvlJc w:val="left"/>
      <w:lvlText w:val="(%1)"/>
      <w:numFmt w:val="upperLetter"/>
      <w:start w:val="1"/>
    </w:lvl>
  </w:abstractNum>
  <w:abstractNum w:abstractNumId="95">
    <w:nsid w:val="51A27AA6"/>
    <w:multiLevelType w:val="hybridMultilevel"/>
    <w:lvl w:ilvl="0">
      <w:lvlJc w:val="left"/>
      <w:lvlText w:val="(%1)"/>
      <w:numFmt w:val="lowerLetter"/>
      <w:start w:val="2"/>
    </w:lvl>
  </w:abstractNum>
  <w:abstractNum w:abstractNumId="96">
    <w:nsid w:val="613183F2"/>
    <w:multiLevelType w:val="hybridMultilevel"/>
    <w:lvl w:ilvl="0">
      <w:lvlJc w:val="left"/>
      <w:lvlText w:val="(%1)"/>
      <w:numFmt w:val="lowerRoman"/>
      <w:start w:val="2"/>
    </w:lvl>
  </w:abstractNum>
  <w:abstractNum w:abstractNumId="97">
    <w:nsid w:val="634102B4"/>
    <w:multiLevelType w:val="hybridMultilevel"/>
    <w:lvl w:ilvl="0">
      <w:lvlJc w:val="left"/>
      <w:lvlText w:val="(%1)"/>
      <w:numFmt w:val="upperLetter"/>
      <w:start w:val="1"/>
    </w:lvl>
  </w:abstractNum>
  <w:abstractNum w:abstractNumId="98">
    <w:nsid w:val="65BF9DA8"/>
    <w:multiLevelType w:val="hybridMultilevel"/>
    <w:lvl w:ilvl="0">
      <w:lvlJc w:val="left"/>
      <w:lvlText w:val="(%1)"/>
      <w:numFmt w:val="upperLetter"/>
      <w:start w:val="3"/>
    </w:lvl>
  </w:abstractNum>
  <w:abstractNum w:abstractNumId="99">
    <w:nsid w:val="21A2ECCA"/>
    <w:multiLevelType w:val="hybridMultilevel"/>
    <w:lvl w:ilvl="0">
      <w:lvlJc w:val="left"/>
      <w:lvlText w:val="(%1)"/>
      <w:numFmt w:val="lowerLetter"/>
      <w:start w:val="1"/>
    </w:lvl>
  </w:abstractNum>
  <w:abstractNum w:abstractNumId="100">
    <w:nsid w:val="4D5C4899"/>
    <w:multiLevelType w:val="hybridMultilevel"/>
    <w:lvl w:ilvl="0">
      <w:lvlJc w:val="left"/>
      <w:lvlText w:val="(%1)"/>
      <w:numFmt w:val="lowerLetter"/>
      <w:start w:val="1"/>
    </w:lvl>
    <w:lvl w:ilvl="1">
      <w:lvlJc w:val="left"/>
      <w:lvlText w:val="(%2)"/>
      <w:numFmt w:val="lowerLetter"/>
      <w:start w:val="9"/>
    </w:lvl>
  </w:abstractNum>
  <w:abstractNum w:abstractNumId="101">
    <w:nsid w:val="3C3B72B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02">
    <w:nsid w:val="155EC4C2"/>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7"/>
    </w:lvl>
  </w:abstractNum>
  <w:abstractNum w:abstractNumId="103">
    <w:nsid w:val="65D2A13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04">
    <w:nsid w:val="6EBB1F2A"/>
    <w:multiLevelType w:val="hybridMultilevel"/>
    <w:lvl w:ilvl="0">
      <w:lvlJc w:val="left"/>
      <w:lvlText w:val="(%1)"/>
      <w:numFmt w:val="lowerRoman"/>
      <w:start w:val="4"/>
    </w:lvl>
  </w:abstractNum>
  <w:abstractNum w:abstractNumId="105">
    <w:nsid w:val="6FBF29CB"/>
    <w:multiLevelType w:val="hybridMultilevel"/>
    <w:lvl w:ilvl="0">
      <w:lvlJc w:val="left"/>
      <w:lvlText w:val="(%1)"/>
      <w:numFmt w:val="lowerLetter"/>
      <w:start w:val="5"/>
    </w:lvl>
  </w:abstractNum>
  <w:abstractNum w:abstractNumId="106">
    <w:nsid w:val="550B8808"/>
    <w:multiLevelType w:val="hybridMultilevel"/>
    <w:lvl w:ilvl="0">
      <w:lvlJc w:val="left"/>
      <w:lvlText w:val="(%1)"/>
      <w:numFmt w:val="lowerRoman"/>
      <w:start w:val="2"/>
    </w:lvl>
  </w:abstractNum>
  <w:abstractNum w:abstractNumId="107">
    <w:nsid w:val="34CC3ACF"/>
    <w:multiLevelType w:val="hybridMultilevel"/>
    <w:lvl w:ilvl="0">
      <w:lvlJc w:val="left"/>
      <w:lvlText w:val="(%1)"/>
      <w:numFmt w:val="lowerLetter"/>
      <w:start w:val="1"/>
    </w:lvl>
  </w:abstractNum>
  <w:abstractNum w:abstractNumId="108">
    <w:nsid w:val="4E556261"/>
    <w:multiLevelType w:val="hybridMultilevel"/>
    <w:lvl w:ilvl="0">
      <w:lvlJc w:val="left"/>
      <w:lvlText w:val="(%1)"/>
      <w:numFmt w:val="lowerLetter"/>
      <w:start w:val="6"/>
    </w:lvl>
  </w:abstractNum>
  <w:abstractNum w:abstractNumId="109">
    <w:nsid w:val="4C672FC9"/>
    <w:multiLevelType w:val="hybridMultilevel"/>
    <w:lvl w:ilvl="0">
      <w:lvlJc w:val="left"/>
      <w:lvlText w:val="(%1)"/>
      <w:numFmt w:val="lowerLetter"/>
      <w:start w:val="1"/>
    </w:lvl>
  </w:abstractNum>
  <w:abstractNum w:abstractNumId="110">
    <w:nsid w:val="52A311C3"/>
    <w:multiLevelType w:val="hybridMultilevel"/>
    <w:lvl w:ilvl="0">
      <w:lvlJc w:val="left"/>
      <w:lvlText w:val="(%1)"/>
      <w:numFmt w:val="lowerLetter"/>
      <w:start w:val="2"/>
    </w:lvl>
  </w:abstractNum>
  <w:abstractNum w:abstractNumId="111">
    <w:nsid w:val="44EF6B80"/>
    <w:multiLevelType w:val="hybridMultilevel"/>
    <w:lvl w:ilvl="0">
      <w:lvlJc w:val="left"/>
      <w:lvlText w:val="(%1)"/>
      <w:numFmt w:val="lowerLetter"/>
      <w:start w:val="1"/>
    </w:lvl>
  </w:abstractNum>
  <w:abstractNum w:abstractNumId="112">
    <w:nsid w:val="12FCDE5E"/>
    <w:multiLevelType w:val="hybridMultilevel"/>
    <w:lvl w:ilvl="0">
      <w:lvlJc w:val="left"/>
      <w:lvlText w:val="(%1)"/>
      <w:numFmt w:val="lowerLetter"/>
      <w:start w:val="2"/>
    </w:lvl>
  </w:abstractNum>
  <w:abstractNum w:abstractNumId="113">
    <w:nsid w:val="4A1D606E"/>
    <w:multiLevelType w:val="hybridMultilevel"/>
    <w:lvl w:ilvl="0">
      <w:lvlJc w:val="left"/>
      <w:lvlText w:val="(%1)"/>
      <w:numFmt w:val="lowerLetter"/>
      <w:start w:val="2"/>
    </w:lvl>
  </w:abstractNum>
  <w:abstractNum w:abstractNumId="114">
    <w:nsid w:val="4382503"/>
    <w:multiLevelType w:val="hybridMultilevel"/>
    <w:lvl w:ilvl="0">
      <w:lvlJc w:val="left"/>
      <w:lvlText w:val="(%1)"/>
      <w:numFmt w:val="lowerRoman"/>
      <w:start w:val="1"/>
    </w:lvl>
  </w:abstractNum>
  <w:abstractNum w:abstractNumId="115">
    <w:nsid w:val="59B76E28"/>
    <w:multiLevelType w:val="hybridMultilevel"/>
    <w:lvl w:ilvl="0">
      <w:lvlJc w:val="left"/>
      <w:lvlText w:val="(%1)"/>
      <w:numFmt w:val="lowerLetter"/>
      <w:start w:val="1"/>
    </w:lvl>
    <w:lvl w:ilvl="1">
      <w:lvlJc w:val="left"/>
      <w:lvlText w:val="(%2)"/>
      <w:numFmt w:val="lowerRoman"/>
      <w:start w:val="2"/>
    </w:lvl>
  </w:abstractNum>
  <w:abstractNum w:abstractNumId="116">
    <w:nsid w:val="4252C2DA"/>
    <w:multiLevelType w:val="hybridMultilevel"/>
    <w:lvl w:ilvl="0">
      <w:lvlJc w:val="left"/>
      <w:lvlText w:val="(%1)"/>
      <w:numFmt w:val="lowerLetter"/>
      <w:start w:val="3"/>
    </w:lvl>
  </w:abstractNum>
  <w:abstractNum w:abstractNumId="117">
    <w:nsid w:val="6A92EF4C"/>
    <w:multiLevelType w:val="hybridMultilevel"/>
    <w:lvl w:ilvl="0">
      <w:lvlJc w:val="left"/>
      <w:lvlText w:val="(%1)"/>
      <w:numFmt w:val="lowerLetter"/>
      <w:start w:val="2"/>
    </w:lvl>
  </w:abstractNum>
  <w:abstractNum w:abstractNumId="118">
    <w:nsid w:val="41ED20D7"/>
    <w:multiLevelType w:val="hybridMultilevel"/>
    <w:lvl w:ilvl="0">
      <w:lvlJc w:val="left"/>
      <w:lvlText w:val="(%1)"/>
      <w:numFmt w:val="lowerLetter"/>
      <w:start w:val="4"/>
    </w:lvl>
  </w:abstractNum>
  <w:abstractNum w:abstractNumId="119">
    <w:nsid w:val="E6B3F6A"/>
    <w:multiLevelType w:val="hybridMultilevel"/>
    <w:lvl w:ilvl="0">
      <w:lvlJc w:val="left"/>
      <w:lvlText w:val="(%1)"/>
      <w:numFmt w:val="lowerLetter"/>
      <w:start w:val="1"/>
    </w:lvl>
  </w:abstractNum>
  <w:abstractNum w:abstractNumId="120">
    <w:nsid w:val="3EB21819"/>
    <w:multiLevelType w:val="hybridMultilevel"/>
    <w:lvl w:ilvl="0">
      <w:lvlJc w:val="left"/>
      <w:lvlText w:val="(%1)"/>
      <w:numFmt w:val="lowerLetter"/>
      <w:start w:val="2"/>
    </w:lvl>
  </w:abstractNum>
  <w:abstractNum w:abstractNumId="121">
    <w:nsid w:val="41531DED"/>
    <w:multiLevelType w:val="hybridMultilevel"/>
    <w:lvl w:ilvl="0">
      <w:lvlJc w:val="left"/>
      <w:lvlText w:val="(%1)"/>
      <w:numFmt w:val="lowerLetter"/>
      <w:start w:val="1"/>
    </w:lvl>
  </w:abstractNum>
  <w:abstractNum w:abstractNumId="122">
    <w:nsid w:val="6353CD2"/>
    <w:multiLevelType w:val="hybridMultilevel"/>
    <w:lvl w:ilvl="0">
      <w:lvlJc w:val="left"/>
      <w:lvlText w:val="(%1)"/>
      <w:numFmt w:val="decimal"/>
      <w:start w:val="1"/>
    </w:lvl>
    <w:lvl w:ilvl="1">
      <w:lvlJc w:val="left"/>
      <w:lvlText w:val="(%2)"/>
      <w:numFmt w:val="lowerLetter"/>
      <w:start w:val="2"/>
    </w:lvl>
  </w:abstractNum>
  <w:abstractNum w:abstractNumId="123">
    <w:nsid w:val="683CAAD3"/>
    <w:multiLevelType w:val="hybridMultilevel"/>
    <w:lvl w:ilvl="0">
      <w:lvlJc w:val="left"/>
      <w:lvlText w:val="(%1)"/>
      <w:numFmt w:val="lowerLetter"/>
      <w:start w:val="7"/>
    </w:lvl>
  </w:abstractNum>
  <w:abstractNum w:abstractNumId="124">
    <w:nsid w:val="313C7C99"/>
    <w:multiLevelType w:val="hybridMultilevel"/>
    <w:lvl w:ilvl="0">
      <w:lvlJc w:val="left"/>
      <w:lvlText w:val="(%1)"/>
      <w:numFmt w:val="lowerLetter"/>
      <w:start w:val="1"/>
    </w:lvl>
    <w:lvl w:ilvl="1">
      <w:lvlJc w:val="left"/>
      <w:lvlText w:val="(%2)"/>
      <w:numFmt w:val="decimal"/>
    </w:lvl>
    <w:lvl w:ilvl="2">
      <w:lvlJc w:val="left"/>
      <w:lvlText w:val="(%3)"/>
      <w:numFmt w:val="lowerLetter"/>
      <w:start w:val="9"/>
    </w:lvl>
  </w:abstractNum>
  <w:abstractNum w:abstractNumId="125">
    <w:nsid w:val="519EB94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126">
    <w:nsid w:val="39DF2579"/>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127">
    <w:nsid w:val="126E008B"/>
    <w:multiLevelType w:val="hybridMultilevel"/>
    <w:lvl w:ilvl="0">
      <w:lvlJc w:val="left"/>
      <w:lvlText w:val="(%1)"/>
      <w:numFmt w:val="lowerRoman"/>
      <w:start w:val="2"/>
    </w:lvl>
  </w:abstractNum>
  <w:abstractNum w:abstractNumId="128">
    <w:nsid w:val="34DFBC00"/>
    <w:multiLevelType w:val="hybridMultilevel"/>
    <w:lvl w:ilvl="0">
      <w:lvlJc w:val="left"/>
      <w:lvlText w:val="(%1)"/>
      <w:numFmt w:val="lowerRoman"/>
      <w:start w:val="3"/>
    </w:lvl>
  </w:abstractNum>
  <w:abstractNum w:abstractNumId="129">
    <w:nsid w:val="1F9EC32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130">
    <w:nsid w:val="3410ED5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31">
    <w:nsid w:val="23C049A"/>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32">
    <w:nsid w:val="5BDA35D4"/>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33">
    <w:nsid w:val="496FB218"/>
    <w:multiLevelType w:val="hybridMultilevel"/>
    <w:lvl w:ilvl="0">
      <w:lvlJc w:val="left"/>
      <w:lvlText w:val="(%1)"/>
      <w:numFmt w:val="lowerRoman"/>
      <w:start w:val="1"/>
    </w:lvl>
  </w:abstractNum>
  <w:abstractNum w:abstractNumId="134">
    <w:nsid w:val="680EA5D1"/>
    <w:multiLevelType w:val="hybridMultilevel"/>
    <w:lvl w:ilvl="0">
      <w:lvlJc w:val="left"/>
      <w:lvlText w:val="(%1)"/>
      <w:numFmt w:val="lowerLetter"/>
      <w:start w:val="6"/>
    </w:lvl>
  </w:abstractNum>
  <w:abstractNum w:abstractNumId="135">
    <w:nsid w:val="4A9554FE"/>
    <w:multiLevelType w:val="hybridMultilevel"/>
    <w:lvl w:ilvl="0">
      <w:lvlJc w:val="left"/>
      <w:lvlText w:val="(%1)"/>
      <w:numFmt w:val="lowerLetter"/>
      <w:start w:val="7"/>
    </w:lvl>
  </w:abstractNum>
  <w:abstractNum w:abstractNumId="136">
    <w:nsid w:val="392EDBE4"/>
    <w:multiLevelType w:val="hybridMultilevel"/>
    <w:lvl w:ilvl="0">
      <w:lvlJc w:val="left"/>
      <w:lvlText w:val="(%1)"/>
      <w:numFmt w:val="lowerLetter"/>
      <w:start w:val="8"/>
    </w:lvl>
  </w:abstractNum>
  <w:abstractNum w:abstractNumId="137">
    <w:nsid w:val="3D1A2DD9"/>
    <w:multiLevelType w:val="hybridMultilevel"/>
    <w:lvl w:ilvl="0">
      <w:lvlJc w:val="left"/>
      <w:lvlText w:val="(%1)"/>
      <w:numFmt w:val="lowerLetter"/>
      <w:start w:val="13"/>
    </w:lvl>
  </w:abstractNum>
  <w:abstractNum w:abstractNumId="138">
    <w:nsid w:val="7F618FCD"/>
    <w:multiLevelType w:val="hybridMultilevel"/>
    <w:lvl w:ilvl="0">
      <w:lvlJc w:val="left"/>
      <w:lvlText w:val="(%1)"/>
      <w:numFmt w:val="lowerLetter"/>
      <w:start w:val="1"/>
    </w:lvl>
  </w:abstractNum>
  <w:abstractNum w:abstractNumId="139">
    <w:nsid w:val="7843E4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140">
    <w:nsid w:val="9815DA3"/>
    <w:multiLevelType w:val="hybridMultilevel"/>
    <w:lvl w:ilvl="0">
      <w:lvlJc w:val="left"/>
      <w:lvlText w:val="%1"/>
      <w:numFmt w:val="lowerLetter"/>
      <w:start w:val="1"/>
    </w:lvl>
    <w:lvl w:ilvl="1">
      <w:lvlJc w:val="left"/>
      <w:lvlText w:val="(%2)"/>
      <w:numFmt w:val="lowerRoman"/>
      <w:start w:val="4"/>
    </w:lvl>
  </w:abstractNum>
  <w:abstractNum w:abstractNumId="141">
    <w:nsid w:val="5204A191"/>
    <w:multiLevelType w:val="hybridMultilevel"/>
    <w:lvl w:ilvl="0">
      <w:lvlJc w:val="left"/>
      <w:lvlText w:val="(%1)"/>
      <w:numFmt w:val="lowerLetter"/>
      <w:start w:val="4"/>
    </w:lvl>
    <w:lvl w:ilvl="1">
      <w:lvlJc w:val="left"/>
      <w:lvlText w:val="(%2)"/>
      <w:numFmt w:val="lowerRoman"/>
      <w:start w:val="1"/>
    </w:lvl>
  </w:abstractNum>
  <w:abstractNum w:abstractNumId="142">
    <w:nsid w:val="4C73A9C6"/>
    <w:multiLevelType w:val="hybridMultilevel"/>
    <w:lvl w:ilvl="0">
      <w:lvlJc w:val="left"/>
      <w:lvlText w:val="(%1)"/>
      <w:numFmt w:val="lowerLetter"/>
      <w:start w:val="6"/>
    </w:lvl>
  </w:abstractNum>
  <w:abstractNum w:abstractNumId="143">
    <w:nsid w:val="1C7E3C0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44">
    <w:nsid w:val="1C2201F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45">
    <w:nsid w:val="50ABCEC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6">
    <w:nsid w:val="7635AA2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47">
    <w:nsid w:val="5E74C4D9"/>
    <w:multiLevelType w:val="hybridMultilevel"/>
    <w:lvl w:ilvl="0">
      <w:lvlJc w:val="left"/>
      <w:lvlText w:val="(%1)"/>
      <w:numFmt w:val="upperLetter"/>
      <w:start w:val="2"/>
    </w:lvl>
  </w:abstractNum>
  <w:abstractNum w:abstractNumId="148">
    <w:nsid w:val="3B3EBE15"/>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4"/>
    </w:lvl>
  </w:abstractNum>
  <w:abstractNum w:abstractNumId="149">
    <w:nsid w:val="3822CB01"/>
    <w:multiLevelType w:val="hybridMultilevel"/>
    <w:lvl w:ilvl="0">
      <w:lvlJc w:val="left"/>
      <w:lvlText w:val="(%1)"/>
      <w:numFmt w:val="lowerRoman"/>
      <w:start w:val="4"/>
    </w:lvl>
    <w:lvl w:ilvl="1">
      <w:lvlJc w:val="left"/>
      <w:lvlText w:val="(%2)"/>
      <w:numFmt w:val="lowerRoman"/>
      <w:start w:val="5"/>
    </w:lvl>
    <w:lvl w:ilvl="2">
      <w:lvlJc w:val="left"/>
      <w:lvlText w:val="(%3)"/>
      <w:numFmt w:val="lowerRoman"/>
      <w:start w:val="6"/>
    </w:lvl>
  </w:abstractNum>
  <w:abstractNum w:abstractNumId="150">
    <w:nsid w:val="6CE00443"/>
    <w:multiLevelType w:val="hybridMultilevel"/>
    <w:lvl w:ilvl="0">
      <w:lvlJc w:val="left"/>
      <w:lvlText w:val="(%1)"/>
      <w:numFmt w:val="lowerLetter"/>
      <w:start w:val="3"/>
    </w:lvl>
  </w:abstractNum>
  <w:abstractNum w:abstractNumId="151">
    <w:nsid w:val="79F0D62F"/>
    <w:multiLevelType w:val="hybridMultilevel"/>
    <w:lvl w:ilvl="0">
      <w:lvlJc w:val="left"/>
      <w:lvlText w:val="(%1)"/>
      <w:numFmt w:val="lowerLetter"/>
      <w:start w:val="1"/>
    </w:lvl>
  </w:abstractNum>
  <w:abstractNum w:abstractNumId="152">
    <w:nsid w:val="7975E8EE"/>
    <w:multiLevelType w:val="hybridMultilevel"/>
    <w:lvl w:ilvl="0">
      <w:lvlJc w:val="left"/>
      <w:lvlText w:val="(%1)"/>
      <w:numFmt w:val="lowerLetter"/>
      <w:start w:val="3"/>
    </w:lvl>
  </w:abstractNum>
  <w:abstractNum w:abstractNumId="153">
    <w:nsid w:val="73154115"/>
    <w:multiLevelType w:val="hybridMultilevel"/>
    <w:lvl w:ilvl="0">
      <w:lvlJc w:val="left"/>
      <w:lvlText w:val="(%1)"/>
      <w:numFmt w:val="lowerLetter"/>
      <w:start w:val="1"/>
    </w:lvl>
    <w:lvl w:ilvl="1">
      <w:lvlJc w:val="left"/>
      <w:lvlText w:val="(%2)"/>
      <w:numFmt w:val="lowerLetter"/>
      <w:start w:val="9"/>
    </w:lvl>
  </w:abstractNum>
  <w:abstractNum w:abstractNumId="154">
    <w:nsid w:val="622D8102"/>
    <w:multiLevelType w:val="hybridMultilevel"/>
    <w:lvl w:ilvl="0">
      <w:lvlJc w:val="left"/>
      <w:lvlText w:val="%1"/>
      <w:numFmt w:val="lowerLetter"/>
      <w:start w:val="1"/>
    </w:lvl>
    <w:lvl w:ilvl="1">
      <w:lvlJc w:val="left"/>
      <w:lvlText w:val="(%2)"/>
      <w:numFmt w:val="lowerLetter"/>
      <w:start w:val="35"/>
    </w:lvl>
  </w:abstractNum>
  <w:abstractNum w:abstractNumId="155">
    <w:nsid w:val="2AB26587"/>
    <w:multiLevelType w:val="hybridMultilevel"/>
    <w:lvl w:ilvl="0">
      <w:lvlJc w:val="left"/>
      <w:lvlText w:val="(%1)"/>
      <w:numFmt w:val="lowerLetter"/>
      <w:start w:val="2"/>
    </w:lvl>
    <w:lvl w:ilvl="1">
      <w:lvlJc w:val="left"/>
      <w:lvlText w:val="%2"/>
      <w:numFmt w:val="lowerLetter"/>
      <w:start w:val="1"/>
    </w:lvl>
  </w:abstractNum>
  <w:abstractNum w:abstractNumId="156">
    <w:nsid w:val="44B3FA61"/>
    <w:multiLevelType w:val="hybridMultilevel"/>
    <w:lvl w:ilvl="0">
      <w:lvlJc w:val="left"/>
      <w:lvlText w:val="(%1)"/>
      <w:numFmt w:val="lowerLetter"/>
      <w:start w:val="2"/>
    </w:lvl>
  </w:abstractNum>
  <w:abstractNum w:abstractNumId="157">
    <w:nsid w:val="1C0CA67C"/>
    <w:multiLevelType w:val="hybridMultilevel"/>
    <w:lvl w:ilvl="0">
      <w:lvlJc w:val="left"/>
      <w:lvlText w:val="(%1)"/>
      <w:numFmt w:val="lowerLetter"/>
      <w:start w:val="1"/>
    </w:lvl>
  </w:abstractNum>
  <w:abstractNum w:abstractNumId="158">
    <w:nsid w:val="3D206613"/>
    <w:multiLevelType w:val="hybridMultilevel"/>
    <w:lvl w:ilvl="0">
      <w:lvlJc w:val="left"/>
      <w:lvlText w:val="(%1)"/>
      <w:numFmt w:val="lowerLetter"/>
      <w:start w:val="2"/>
    </w:lvl>
  </w:abstractNum>
  <w:abstractNum w:abstractNumId="159">
    <w:nsid w:val="7993B662"/>
    <w:multiLevelType w:val="hybridMultilevel"/>
    <w:lvl w:ilvl="0">
      <w:lvlJc w:val="left"/>
      <w:lvlText w:val="(%1)"/>
      <w:numFmt w:val="lowerLetter"/>
      <w:start w:val="2"/>
    </w:lvl>
  </w:abstractNum>
  <w:abstractNum w:abstractNumId="160">
    <w:nsid w:val="3BAB699E"/>
    <w:multiLevelType w:val="hybridMultilevel"/>
    <w:lvl w:ilvl="0">
      <w:lvlJc w:val="left"/>
      <w:lvlText w:val="(%1)"/>
      <w:numFmt w:val="lowerLetter"/>
      <w:start w:val="3"/>
    </w:lvl>
  </w:abstractNum>
  <w:abstractNum w:abstractNumId="161">
    <w:nsid w:val="71315369"/>
    <w:multiLevelType w:val="hybridMultilevel"/>
    <w:lvl w:ilvl="0">
      <w:lvlJc w:val="left"/>
      <w:lvlText w:val="(%1)"/>
      <w:numFmt w:val="lowerLetter"/>
      <w:start w:val="2"/>
    </w:lvl>
    <w:lvl w:ilvl="1">
      <w:lvlJc w:val="left"/>
      <w:lvlText w:val="(%2)"/>
      <w:numFmt w:val="lowerRoman"/>
      <w:start w:val="1"/>
    </w:lvl>
  </w:abstractNum>
  <w:abstractNum w:abstractNumId="162">
    <w:nsid w:val="7BCFBAFC"/>
    <w:multiLevelType w:val="hybridMultilevel"/>
    <w:lvl w:ilvl="0">
      <w:lvlJc w:val="left"/>
      <w:lvlText w:val="(%1)"/>
      <w:numFmt w:val="lowerLetter"/>
      <w:start w:val="4"/>
    </w:lvl>
  </w:abstractNum>
  <w:abstractNum w:abstractNumId="163">
    <w:nsid w:val="17859F72"/>
    <w:multiLevelType w:val="hybridMultilevel"/>
    <w:lvl w:ilvl="0">
      <w:lvlJc w:val="left"/>
      <w:lvlText w:val="(%1)"/>
      <w:numFmt w:val="lowerLetter"/>
      <w:start w:val="8"/>
    </w:lvl>
  </w:abstractNum>
  <w:abstractNum w:abstractNumId="164">
    <w:nsid w:val="3AA10581"/>
    <w:multiLevelType w:val="hybridMultilevel"/>
    <w:lvl w:ilvl="0">
      <w:lvlJc w:val="left"/>
      <w:lvlText w:val="(%1)"/>
      <w:numFmt w:val="lowerLetter"/>
      <w:start w:val="1"/>
    </w:lvl>
  </w:abstractNum>
  <w:abstractNum w:abstractNumId="165">
    <w:nsid w:val="63DE60CD"/>
    <w:multiLevelType w:val="hybridMultilevel"/>
    <w:lvl w:ilvl="0">
      <w:lvlJc w:val="left"/>
      <w:lvlText w:val="(%1)"/>
      <w:numFmt w:val="lowerRoman"/>
      <w:start w:val="3"/>
    </w:lvl>
    <w:lvl w:ilvl="1">
      <w:lvlJc w:val="left"/>
      <w:lvlText w:val="(%2)"/>
      <w:numFmt w:val="lowerLetter"/>
      <w:start w:val="2"/>
    </w:lvl>
  </w:abstractNum>
  <w:abstractNum w:abstractNumId="166">
    <w:nsid w:val="621AF471"/>
    <w:multiLevelType w:val="hybridMultilevel"/>
    <w:lvl w:ilvl="0">
      <w:lvlJc w:val="left"/>
      <w:lvlText w:val="(%1)"/>
      <w:numFmt w:val="upperLetter"/>
      <w:start w:val="35"/>
    </w:lvl>
    <w:lvl w:ilvl="1">
      <w:lvlJc w:val="left"/>
      <w:lvlText w:val="(%2)"/>
      <w:numFmt w:val="lowerLetter"/>
      <w:start w:val="3"/>
    </w:lvl>
  </w:abstractNum>
  <w:abstractNum w:abstractNumId="167">
    <w:nsid w:val="73CFE165"/>
    <w:multiLevelType w:val="hybridMultilevel"/>
    <w:lvl w:ilvl="0">
      <w:lvlJc w:val="left"/>
      <w:lvlText w:val="%1"/>
      <w:numFmt w:val="lowerLetter"/>
      <w:start w:val="1"/>
    </w:lvl>
    <w:lvl w:ilvl="1">
      <w:lvlJc w:val="left"/>
      <w:lvlText w:val="(%2)"/>
      <w:numFmt w:val="lowerLetter"/>
      <w:start w:val="4"/>
    </w:lvl>
  </w:abstractNum>
  <w:abstractNum w:abstractNumId="168">
    <w:nsid w:val="20F88EA6"/>
    <w:multiLevelType w:val="hybridMultilevel"/>
    <w:lvl w:ilvl="0">
      <w:lvlJc w:val="left"/>
      <w:lvlText w:val="(%1)"/>
      <w:numFmt w:val="lowerLetter"/>
      <w:start w:val="35"/>
    </w:lvl>
    <w:lvl w:ilvl="1">
      <w:lvlJc w:val="left"/>
      <w:lvlText w:val="%2"/>
      <w:numFmt w:val="lowerLetter"/>
      <w:start w:val="1"/>
    </w:lvl>
  </w:abstractNum>
  <w:abstractNum w:abstractNumId="169">
    <w:nsid w:val="617C843E"/>
    <w:multiLevelType w:val="hybridMultilevel"/>
    <w:lvl w:ilvl="0">
      <w:lvlJc w:val="left"/>
      <w:lvlText w:val="(%1)"/>
      <w:numFmt w:val="lowerLetter"/>
      <w:start w:val="5"/>
    </w:lvl>
  </w:abstractNum>
  <w:abstractNum w:abstractNumId="170">
    <w:nsid w:val="7B541FAB"/>
    <w:multiLevelType w:val="hybridMultilevel"/>
    <w:lvl w:ilvl="0">
      <w:lvlJc w:val="left"/>
      <w:lvlText w:val="(%1)"/>
      <w:numFmt w:val="lowerLetter"/>
      <w:start w:val="1"/>
    </w:lvl>
  </w:abstractNum>
  <w:abstractNum w:abstractNumId="171">
    <w:nsid w:val="2A79EC49"/>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172">
    <w:nsid w:val="338125CF"/>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73">
    <w:nsid w:val="47C7C97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4">
    <w:nsid w:val="46F8284B"/>
    <w:multiLevelType w:val="hybridMultilevel"/>
    <w:lvl w:ilvl="0">
      <w:lvlJc w:val="left"/>
      <w:lvlText w:val="%1"/>
      <w:numFmt w:val="lowerRoman"/>
      <w:start w:val="1"/>
    </w:lvl>
    <w:lvl w:ilvl="1">
      <w:lvlJc w:val="left"/>
      <w:lvlText w:val="(%2)"/>
      <w:numFmt w:val="upperLetter"/>
      <w:start w:val="6"/>
    </w:lvl>
  </w:abstractNum>
  <w:abstractNum w:abstractNumId="175">
    <w:nsid w:val="4FA327CE"/>
    <w:multiLevelType w:val="hybridMultilevel"/>
    <w:lvl w:ilvl="0">
      <w:lvlJc w:val="left"/>
      <w:lvlText w:val="(%1)"/>
      <w:numFmt w:val="lowerRoman"/>
      <w:start w:val="2"/>
    </w:lvl>
    <w:lvl w:ilvl="1">
      <w:lvlJc w:val="left"/>
      <w:lvlText w:val="%2"/>
      <w:numFmt w:val="upperLetter"/>
      <w:start w:val="1"/>
    </w:lvl>
  </w:abstractNum>
  <w:abstractNum w:abstractNumId="176">
    <w:nsid w:val="1873983A"/>
    <w:multiLevelType w:val="hybridMultilevel"/>
    <w:lvl w:ilvl="0">
      <w:lvlJc w:val="left"/>
      <w:lvlText w:val="(%1)"/>
      <w:numFmt w:val="lowerRoman"/>
      <w:start w:val="3"/>
    </w:lvl>
  </w:abstractNum>
  <w:abstractNum w:abstractNumId="177">
    <w:nsid w:val="3D2DD275"/>
    <w:multiLevelType w:val="hybridMultilevel"/>
    <w:lvl w:ilvl="0">
      <w:lvlJc w:val="left"/>
      <w:lvlText w:val="(%1)"/>
      <w:numFmt w:val="lowerLetter"/>
      <w:start w:val="6"/>
    </w:lvl>
  </w:abstractNum>
  <w:abstractNum w:abstractNumId="178">
    <w:nsid w:val="2E17ECA7"/>
    <w:multiLevelType w:val="hybridMultilevel"/>
    <w:lvl w:ilvl="0">
      <w:lvlJc w:val="left"/>
      <w:lvlText w:val="(%1)"/>
      <w:numFmt w:val="upperLetter"/>
      <w:start w:val="3"/>
    </w:lvl>
  </w:abstractNum>
  <w:abstractNum w:abstractNumId="179">
    <w:nsid w:val="53B2564F"/>
    <w:multiLevelType w:val="hybridMultilevel"/>
    <w:lvl w:ilvl="0">
      <w:lvlJc w:val="left"/>
      <w:lvlText w:val="(%1)"/>
      <w:numFmt w:val="lowerLetter"/>
      <w:start w:val="2"/>
    </w:lvl>
  </w:abstractNum>
  <w:abstractNum w:abstractNumId="180">
    <w:nsid w:val="75509D76"/>
    <w:multiLevelType w:val="hybridMultilevel"/>
    <w:lvl w:ilvl="0">
      <w:lvlJc w:val="left"/>
      <w:lvlText w:val="(%1)"/>
      <w:numFmt w:val="lowerLetter"/>
      <w:start w:val="1"/>
    </w:lvl>
    <w:lvl w:ilvl="1">
      <w:lvlJc w:val="left"/>
      <w:lvlText w:val="(%2)"/>
      <w:numFmt w:val="lowerRoman"/>
      <w:start w:val="1"/>
    </w:lvl>
  </w:abstractNum>
  <w:abstractNum w:abstractNumId="181">
    <w:nsid w:val="1AF7F0EA"/>
    <w:multiLevelType w:val="hybridMultilevel"/>
    <w:lvl w:ilvl="0">
      <w:lvlJc w:val="left"/>
      <w:lvlText w:val="(%1)"/>
      <w:numFmt w:val="lowerRoman"/>
      <w:start w:val="10"/>
    </w:lvl>
    <w:lvl w:ilvl="1">
      <w:lvlJc w:val="left"/>
      <w:lvlText w:val="%2"/>
      <w:numFmt w:val="lowerRoman"/>
      <w:start w:val="1"/>
    </w:lvl>
  </w:abstractNum>
  <w:abstractNum w:abstractNumId="182">
    <w:nsid w:val="4DA32C7E"/>
    <w:multiLevelType w:val="hybridMultilevel"/>
    <w:lvl w:ilvl="0">
      <w:lvlJc w:val="left"/>
      <w:lvlText w:val="(%1)"/>
      <w:numFmt w:val="lowerRoman"/>
      <w:start w:val="2"/>
    </w:lvl>
    <w:lvl w:ilvl="1">
      <w:lvlJc w:val="left"/>
      <w:lvlText w:val="(%2)"/>
      <w:numFmt w:val="lowerRoman"/>
      <w:start w:val="3"/>
    </w:lvl>
  </w:abstractNum>
  <w:abstractNum w:abstractNumId="183">
    <w:nsid w:val="6EC68664"/>
    <w:multiLevelType w:val="hybridMultilevel"/>
    <w:lvl w:ilvl="0">
      <w:lvlJc w:val="left"/>
      <w:lvlText w:val="%1"/>
      <w:numFmt w:val="lowerLetter"/>
      <w:start w:val="1"/>
    </w:lvl>
    <w:lvl w:ilvl="1">
      <w:lvlJc w:val="left"/>
      <w:lvlText w:val="(%2)"/>
      <w:numFmt w:val="lowerRoman"/>
      <w:start w:val="4"/>
    </w:lvl>
  </w:abstractNum>
  <w:abstractNum w:abstractNumId="184">
    <w:nsid w:val="E0D31FF"/>
    <w:multiLevelType w:val="hybridMultilevel"/>
    <w:lvl w:ilvl="0">
      <w:lvlJc w:val="left"/>
      <w:lvlText w:val="(%1)"/>
      <w:numFmt w:val="lowerLetter"/>
      <w:start w:val="2"/>
    </w:lvl>
    <w:lvl w:ilvl="1">
      <w:lvlJc w:val="left"/>
      <w:lvlText w:val="%2"/>
      <w:numFmt w:val="lowerRoman"/>
      <w:start w:val="1"/>
    </w:lvl>
  </w:abstractNum>
  <w:abstractNum w:abstractNumId="185">
    <w:nsid w:val="2FD0AD81"/>
    <w:multiLevelType w:val="hybridMultilevel"/>
    <w:lvl w:ilvl="0">
      <w:lvlJc w:val="left"/>
      <w:lvlText w:val="(%1)"/>
      <w:numFmt w:val="lowerLetter"/>
      <w:start w:val="2"/>
    </w:lvl>
  </w:abstractNum>
  <w:abstractNum w:abstractNumId="186">
    <w:nsid w:val="1978EBEB"/>
    <w:multiLevelType w:val="hybridMultilevel"/>
    <w:lvl w:ilvl="0">
      <w:lvlJc w:val="left"/>
      <w:lvlText w:val="(%1)"/>
      <w:numFmt w:val="lowerLetter"/>
      <w:start w:val="3"/>
    </w:lvl>
  </w:abstractNum>
  <w:abstractNum w:abstractNumId="187">
    <w:nsid w:val="52C12C61"/>
    <w:multiLevelType w:val="hybridMultilevel"/>
    <w:lvl w:ilvl="0">
      <w:lvlJc w:val="left"/>
      <w:lvlText w:val="(%1)"/>
      <w:numFmt w:val="lowerLetter"/>
      <w:start w:val="7"/>
    </w:lvl>
    <w:lvl w:ilvl="1">
      <w:lvlJc w:val="left"/>
      <w:lvlText w:val="(%2)"/>
      <w:numFmt w:val="lowerLetter"/>
      <w:start w:val="35"/>
    </w:lvl>
    <w:lvl w:ilvl="2">
      <w:lvlJc w:val="left"/>
      <w:lvlText w:val="(%3)"/>
      <w:numFmt w:val="lowerLetter"/>
      <w:start w:val="24"/>
    </w:lvl>
    <w:lvl w:ilvl="3">
      <w:lvlJc w:val="left"/>
      <w:lvlText w:val="(%4)"/>
      <w:numFmt w:val="upperLetter"/>
      <w:start w:val="1"/>
    </w:lvl>
  </w:abstractNum>
  <w:abstractNum w:abstractNumId="188">
    <w:nsid w:val="4BDD53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189">
    <w:nsid w:val="569951FE"/>
    <w:multiLevelType w:val="hybridMultilevel"/>
    <w:lvl w:ilvl="0">
      <w:lvlJc w:val="left"/>
      <w:lvlText w:val="(%1)"/>
      <w:numFmt w:val="lowerRoman"/>
      <w:start w:val="3"/>
    </w:lvl>
  </w:abstractNum>
  <w:abstractNum w:abstractNumId="190">
    <w:nsid w:val="4C54E2C3"/>
    <w:multiLevelType w:val="hybridMultilevel"/>
    <w:lvl w:ilvl="0">
      <w:lvlJc w:val="left"/>
      <w:lvlText w:val="(%1)"/>
      <w:numFmt w:val="lowerLetter"/>
      <w:start w:val="8"/>
    </w:lvl>
  </w:abstractNum>
  <w:abstractNum w:abstractNumId="191">
    <w:nsid w:val="788BD9B"/>
    <w:multiLevelType w:val="hybridMultilevel"/>
    <w:lvl w:ilvl="0">
      <w:lvlJc w:val="left"/>
      <w:lvlText w:val="(%1)"/>
      <w:numFmt w:val="lowerLetter"/>
      <w:start w:val="2"/>
    </w:lvl>
  </w:abstractNum>
  <w:abstractNum w:abstractNumId="192">
    <w:nsid w:val="47CAA567"/>
    <w:multiLevelType w:val="hybridMultilevel"/>
    <w:lvl w:ilvl="0">
      <w:lvlJc w:val="left"/>
      <w:lvlText w:val="(%1)"/>
      <w:numFmt w:val="lowerLetter"/>
      <w:start w:val="2"/>
    </w:lvl>
  </w:abstractNum>
  <w:abstractNum w:abstractNumId="193">
    <w:nsid w:val="48249DBF"/>
    <w:multiLevelType w:val="hybridMultilevel"/>
    <w:lvl w:ilvl="0">
      <w:lvlJc w:val="left"/>
      <w:lvlText w:val="(%1)"/>
      <w:numFmt w:val="lowerLetter"/>
      <w:start w:val="3"/>
    </w:lvl>
  </w:abstractNum>
  <w:abstractNum w:abstractNumId="194">
    <w:nsid w:val="1F0E5D0D"/>
    <w:multiLevelType w:val="hybridMultilevel"/>
    <w:lvl w:ilvl="0">
      <w:lvlJc w:val="left"/>
      <w:lvlText w:val="(%1)"/>
      <w:numFmt w:val="lowerRoman"/>
      <w:start w:val="1"/>
    </w:lvl>
  </w:abstractNum>
  <w:abstractNum w:abstractNumId="195">
    <w:nsid w:val="26BAAE9"/>
    <w:multiLevelType w:val="hybridMultilevel"/>
    <w:lvl w:ilvl="0">
      <w:lvlJc w:val="left"/>
      <w:lvlText w:val="(%1)"/>
      <w:numFmt w:val="lowerLetter"/>
      <w:start w:val="2"/>
    </w:lvl>
    <w:lvl w:ilvl="1">
      <w:lvlJc w:val="left"/>
      <w:lvlText w:val="(%2)"/>
      <w:numFmt w:val="lowerRoman"/>
      <w:start w:val="1"/>
    </w:lvl>
  </w:abstractNum>
  <w:abstractNum w:abstractNumId="196">
    <w:nsid w:val="2C02FE8C"/>
    <w:multiLevelType w:val="hybridMultilevel"/>
    <w:lvl w:ilvl="0">
      <w:lvlJc w:val="left"/>
      <w:lvlText w:val="(%1)"/>
      <w:numFmt w:val="lowerLetter"/>
      <w:start w:val="9"/>
    </w:lvl>
    <w:lvl w:ilvl="1">
      <w:lvlJc w:val="left"/>
      <w:lvlText w:val="(%2)"/>
      <w:numFmt w:val="lowerLetter"/>
      <w:start w:val="2"/>
    </w:lvl>
  </w:abstractNum>
  <w:abstractNum w:abstractNumId="197">
    <w:nsid w:val="129517E"/>
    <w:multiLevelType w:val="hybridMultilevel"/>
    <w:lvl w:ilvl="0">
      <w:lvlJc w:val="left"/>
      <w:lvlText w:val="(%1)"/>
      <w:numFmt w:val="lowerLetter"/>
      <w:start w:val="4"/>
    </w:lvl>
  </w:abstractNum>
  <w:abstractNum w:abstractNumId="198">
    <w:nsid w:val="763B8C4E"/>
    <w:multiLevelType w:val="hybridMultilevel"/>
    <w:lvl w:ilvl="0">
      <w:lvlJc w:val="left"/>
      <w:lvlText w:val="(%1)"/>
      <w:numFmt w:val="lowerLetter"/>
      <w:start w:val="1"/>
    </w:lvl>
    <w:lvl w:ilvl="1">
      <w:lvlJc w:val="left"/>
      <w:lvlText w:val="(%2)"/>
      <w:numFmt w:val="lowerLetter"/>
      <w:start w:val="9"/>
    </w:lvl>
  </w:abstractNum>
  <w:abstractNum w:abstractNumId="199">
    <w:nsid w:val="4CFB8D32"/>
    <w:multiLevelType w:val="hybridMultilevel"/>
    <w:lvl w:ilvl="0">
      <w:lvlJc w:val="left"/>
      <w:lvlText w:val="%1"/>
      <w:numFmt w:val="lowerLetter"/>
      <w:start w:val="1"/>
    </w:lvl>
    <w:lvl w:ilvl="1">
      <w:lvlJc w:val="left"/>
      <w:lvlText w:val="(%2)"/>
      <w:numFmt w:val="lowerRoman"/>
      <w:start w:val="2"/>
    </w:lvl>
  </w:abstractNum>
  <w:abstractNum w:abstractNumId="200">
    <w:nsid w:val="62A5D5BD"/>
    <w:multiLevelType w:val="hybridMultilevel"/>
    <w:lvl w:ilvl="0">
      <w:lvlJc w:val="left"/>
      <w:lvlText w:val="(%1)"/>
      <w:numFmt w:val="lowerLetter"/>
      <w:start w:val="3"/>
    </w:lvl>
    <w:lvl w:ilvl="1">
      <w:lvlJc w:val="left"/>
      <w:lvlText w:val="(%2)"/>
      <w:numFmt w:val="lowerRoman"/>
      <w:start w:val="1"/>
    </w:lvl>
  </w:abstractNum>
  <w:abstractNum w:abstractNumId="201">
    <w:nsid w:val="718FABF9"/>
    <w:multiLevelType w:val="hybridMultilevel"/>
    <w:lvl w:ilvl="0">
      <w:lvlJc w:val="left"/>
      <w:lvlText w:val="%1"/>
      <w:numFmt w:val="lowerLetter"/>
      <w:start w:val="1"/>
    </w:lvl>
    <w:lvl w:ilvl="1">
      <w:lvlJc w:val="left"/>
      <w:lvlText w:val="(%2)"/>
      <w:numFmt w:val="lowerRoman"/>
      <w:start w:val="5"/>
    </w:lvl>
  </w:abstractNum>
  <w:abstractNum w:abstractNumId="202">
    <w:nsid w:val="7775797C"/>
    <w:multiLevelType w:val="hybridMultilevel"/>
    <w:lvl w:ilvl="0">
      <w:lvlJc w:val="left"/>
      <w:lvlText w:val="(%1)"/>
      <w:numFmt w:val="lowerLetter"/>
      <w:start w:val="4"/>
    </w:lvl>
    <w:lvl w:ilvl="1">
      <w:lvlJc w:val="left"/>
      <w:lvlText w:val="(%2)"/>
      <w:numFmt w:val="lowerRoman"/>
      <w:start w:val="1"/>
    </w:lvl>
  </w:abstractNum>
  <w:abstractNum w:abstractNumId="203">
    <w:nsid w:val="1626FB8C"/>
    <w:multiLevelType w:val="hybridMultilevel"/>
    <w:lvl w:ilvl="0">
      <w:lvlJc w:val="left"/>
      <w:lvlText w:val="%1"/>
      <w:numFmt w:val="lowerLetter"/>
      <w:start w:val="1"/>
    </w:lvl>
    <w:lvl w:ilvl="1">
      <w:lvlJc w:val="left"/>
      <w:lvlText w:val="(%2)"/>
      <w:numFmt w:val="lowerLetter"/>
      <w:start w:val="61"/>
    </w:lvl>
  </w:abstractNum>
  <w:abstractNum w:abstractNumId="204">
    <w:nsid w:val="3957756A"/>
    <w:multiLevelType w:val="hybridMultilevel"/>
    <w:lvl w:ilvl="0">
      <w:lvlJc w:val="left"/>
      <w:lvlText w:val="(%1)"/>
      <w:numFmt w:val="lowerLetter"/>
      <w:start w:val="6"/>
    </w:lvl>
    <w:lvl w:ilvl="1">
      <w:lvlJc w:val="left"/>
      <w:lvlText w:val="(%2)"/>
      <w:numFmt w:val="lowerLetter"/>
      <w:start w:val="9"/>
    </w:lvl>
  </w:abstractNum>
  <w:abstractNum w:abstractNumId="205">
    <w:nsid w:val="3E6DA1C7"/>
    <w:multiLevelType w:val="hybridMultilevel"/>
    <w:lvl w:ilvl="0">
      <w:lvlJc w:val="left"/>
      <w:lvlText w:val="(%1)"/>
      <w:numFmt w:val="lowerRoman"/>
      <w:start w:val="2"/>
    </w:lvl>
  </w:abstractNum>
  <w:abstractNum w:abstractNumId="206">
    <w:nsid w:val="65CA235B"/>
    <w:multiLevelType w:val="hybridMultilevel"/>
    <w:lvl w:ilvl="0">
      <w:lvlJc w:val="left"/>
      <w:lvlText w:val="(%1)"/>
      <w:numFmt w:val="lowerLetter"/>
      <w:start w:val="1"/>
    </w:lvl>
  </w:abstractNum>
  <w:abstractNum w:abstractNumId="207">
    <w:nsid w:val="51CB0DA4"/>
    <w:multiLevelType w:val="hybridMultilevel"/>
    <w:lvl w:ilvl="0">
      <w:lvlJc w:val="left"/>
      <w:lvlText w:val="(%1)"/>
      <w:numFmt w:val="lowerLetter"/>
      <w:start w:val="2"/>
    </w:lvl>
  </w:abstractNum>
  <w:abstractNum w:abstractNumId="208">
    <w:nsid w:val="7B9B743C"/>
    <w:multiLevelType w:val="hybridMultilevel"/>
    <w:lvl w:ilvl="0">
      <w:lvlJc w:val="left"/>
      <w:lvlText w:val="%1"/>
      <w:numFmt w:val="lowerLetter"/>
      <w:start w:val="1"/>
    </w:lvl>
    <w:lvl w:ilvl="1">
      <w:lvlJc w:val="left"/>
      <w:lvlText w:val="(%2)"/>
      <w:numFmt w:val="lowerLetter"/>
      <w:start w:val="2"/>
    </w:lvl>
  </w:abstractNum>
  <w:abstractNum w:abstractNumId="209">
    <w:nsid w:val="13E21002"/>
    <w:multiLevelType w:val="hybridMultilevel"/>
    <w:lvl w:ilvl="0">
      <w:lvlJc w:val="left"/>
      <w:lvlText w:val="(%1)"/>
      <w:numFmt w:val="lowerLetter"/>
      <w:start w:val="61"/>
    </w:lvl>
    <w:lvl w:ilvl="1">
      <w:lvlJc w:val="left"/>
      <w:lvlText w:val="(%2)"/>
      <w:numFmt w:val="lowerLetter"/>
      <w:start w:val="4"/>
    </w:lvl>
  </w:abstractNum>
  <w:abstractNum w:abstractNumId="210">
    <w:nsid w:val="257D63F4"/>
    <w:multiLevelType w:val="hybridMultilevel"/>
    <w:lvl w:ilvl="0">
      <w:lvlJc w:val="left"/>
      <w:lvlText w:val="(%1)"/>
      <w:numFmt w:val="lowerLetter"/>
      <w:start w:val="5"/>
    </w:lvl>
  </w:abstractNum>
  <w:abstractNum w:abstractNumId="211">
    <w:nsid w:val="70EC11B2"/>
    <w:multiLevelType w:val="hybridMultilevel"/>
    <w:lvl w:ilvl="0">
      <w:lvlJc w:val="left"/>
      <w:lvlText w:val="(%1)"/>
      <w:numFmt w:val="lowerLetter"/>
      <w:start w:val="2"/>
    </w:lvl>
  </w:abstractNum>
  <w:abstractNum w:abstractNumId="212">
    <w:nsid w:val="2EDA00ED"/>
    <w:multiLevelType w:val="hybridMultilevel"/>
    <w:lvl w:ilvl="0">
      <w:lvlJc w:val="left"/>
      <w:lvlText w:val="(%1)"/>
      <w:numFmt w:val="lowerLetter"/>
      <w:start w:val="2"/>
    </w:lvl>
  </w:abstractNum>
  <w:abstractNum w:abstractNumId="213">
    <w:nsid w:val="73209072"/>
    <w:multiLevelType w:val="hybridMultilevel"/>
    <w:lvl w:ilvl="0">
      <w:lvlJc w:val="left"/>
      <w:lvlText w:val="%1"/>
      <w:numFmt w:val="upperLetter"/>
      <w:start w:val="1"/>
    </w:lvl>
    <w:lvl w:ilvl="1">
      <w:lvlJc w:val="left"/>
      <w:lvlText w:val="(%2)"/>
      <w:numFmt w:val="lowerLetter"/>
      <w:start w:val="2"/>
    </w:lvl>
  </w:abstractNum>
  <w:abstractNum w:abstractNumId="214">
    <w:nsid w:val="5FB29816"/>
    <w:multiLevelType w:val="hybridMultilevel"/>
    <w:lvl w:ilvl="0">
      <w:lvlJc w:val="left"/>
      <w:lvlText w:val="(%1)"/>
      <w:numFmt w:val="upperLetter"/>
      <w:start w:val="2"/>
    </w:lvl>
    <w:lvl w:ilvl="1">
      <w:lvlJc w:val="left"/>
      <w:lvlText w:val="(%2)"/>
      <w:numFmt w:val="lowerLetter"/>
      <w:start w:val="3"/>
    </w:lvl>
  </w:abstractNum>
  <w:abstractNum w:abstractNumId="215">
    <w:nsid w:val="3CE732EC"/>
    <w:multiLevelType w:val="hybridMultilevel"/>
    <w:lvl w:ilvl="0">
      <w:lvlJc w:val="left"/>
      <w:lvlText w:val="(%1)"/>
      <w:numFmt w:val="lowerLetter"/>
      <w:start w:val="1"/>
    </w:lvl>
  </w:abstractNum>
  <w:abstractNum w:abstractNumId="216">
    <w:nsid w:val="22F13DF3"/>
    <w:multiLevelType w:val="hybridMultilevel"/>
    <w:lvl w:ilvl="0">
      <w:lvlJc w:val="left"/>
      <w:lvlText w:val="(%1)"/>
      <w:numFmt w:val="lowerLetter"/>
      <w:start w:val="1"/>
    </w:lvl>
  </w:abstractNum>
  <w:abstractNum w:abstractNumId="217">
    <w:nsid w:val="792B8401"/>
    <w:multiLevelType w:val="hybridMultilevel"/>
    <w:lvl w:ilvl="0">
      <w:lvlJc w:val="left"/>
      <w:lvlText w:val="(%1)"/>
      <w:numFmt w:val="lowerLetter"/>
      <w:start w:val="6"/>
    </w:lvl>
  </w:abstractNum>
  <w:abstractNum w:abstractNumId="218">
    <w:nsid w:val="FA85F4D"/>
    <w:multiLevelType w:val="hybridMultilevel"/>
    <w:lvl w:ilvl="0">
      <w:lvlJc w:val="left"/>
      <w:lvlText w:val="(%1)"/>
      <w:numFmt w:val="lowerLetter"/>
      <w:start w:val="1"/>
    </w:lvl>
  </w:abstractNum>
  <w:abstractNum w:abstractNumId="219">
    <w:nsid w:val="6ECE91F0"/>
    <w:multiLevelType w:val="hybridMultilevel"/>
    <w:lvl w:ilvl="0">
      <w:lvlJc w:val="left"/>
      <w:lvlText w:val="(%1)"/>
      <w:numFmt w:val="lowerLetter"/>
      <w:start w:val="2"/>
    </w:lvl>
  </w:abstractNum>
  <w:abstractNum w:abstractNumId="220">
    <w:nsid w:val="4FC4D6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1">
    <w:nsid w:val="5BFD421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upperLetter"/>
      <w:start w:val="3"/>
    </w:lvl>
  </w:abstractNum>
  <w:abstractNum w:abstractNumId="222">
    <w:nsid w:val="76574F8B"/>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lvl w:ilvl="3">
      <w:lvlJc w:val="left"/>
      <w:lvlText w:val="%4"/>
      <w:numFmt w:val="upperLetter"/>
      <w:start w:val="1"/>
    </w:lvl>
  </w:abstractNum>
  <w:abstractNum w:abstractNumId="223">
    <w:nsid w:val="178F7B67"/>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upperLetter"/>
      <w:start w:val="1"/>
    </w:lvl>
  </w:abstractNum>
  <w:abstractNum w:abstractNumId="224">
    <w:nsid w:val="2421DFCF"/>
    <w:multiLevelType w:val="hybridMultilevel"/>
    <w:lvl w:ilvl="0">
      <w:lvlJc w:val="left"/>
      <w:lvlText w:val="(%1)"/>
      <w:numFmt w:val="lowerLetter"/>
      <w:start w:val="2"/>
    </w:lvl>
    <w:lvl w:ilvl="1">
      <w:lvlJc w:val="left"/>
      <w:lvlText w:val="(%2)"/>
      <w:numFmt w:val="upperLetter"/>
      <w:start w:val="1"/>
    </w:lvl>
  </w:abstractNum>
  <w:abstractNum w:abstractNumId="225">
    <w:nsid w:val="1565AC99"/>
    <w:multiLevelType w:val="hybridMultilevel"/>
    <w:lvl w:ilvl="0">
      <w:lvlJc w:val="left"/>
      <w:lvlText w:val="(%1)"/>
      <w:numFmt w:val="upperLetter"/>
      <w:start w:val="3"/>
    </w:lvl>
  </w:abstractNum>
  <w:abstractNum w:abstractNumId="226">
    <w:nsid w:val="19FB2650"/>
    <w:multiLevelType w:val="hybridMultilevel"/>
    <w:lvl w:ilvl="0">
      <w:lvlJc w:val="left"/>
      <w:lvlText w:val="(%1)"/>
      <w:numFmt w:val="lowerLetter"/>
      <w:start w:val="1"/>
    </w:lvl>
  </w:abstractNum>
  <w:abstractNum w:abstractNumId="227">
    <w:nsid w:val="5024DE5B"/>
    <w:multiLevelType w:val="hybridMultilevel"/>
    <w:lvl w:ilvl="0">
      <w:lvlJc w:val="left"/>
      <w:lvlText w:val="(%1)"/>
      <w:numFmt w:val="lowerLetter"/>
      <w:start w:val="7"/>
    </w:lvl>
  </w:abstractNum>
  <w:abstractNum w:abstractNumId="228">
    <w:nsid w:val="168EFE17"/>
    <w:multiLevelType w:val="hybridMultilevel"/>
    <w:lvl w:ilvl="0">
      <w:lvlJc w:val="left"/>
      <w:lvlText w:val="%1"/>
      <w:numFmt w:val="lowerLetter"/>
      <w:start w:val="1"/>
    </w:lvl>
    <w:lvl w:ilvl="1">
      <w:lvlJc w:val="left"/>
      <w:lvlText w:val="(%2)"/>
      <w:numFmt w:val="lowerLetter"/>
      <w:start w:val="15"/>
    </w:lvl>
  </w:abstractNum>
  <w:abstractNum w:abstractNumId="229">
    <w:nsid w:val="1036B29F"/>
    <w:multiLevelType w:val="hybridMultilevel"/>
    <w:lvl w:ilvl="0">
      <w:lvlJc w:val="left"/>
      <w:lvlText w:val="(%1)"/>
      <w:numFmt w:val="lowerLetter"/>
      <w:start w:val="25"/>
    </w:lvl>
    <w:lvl w:ilvl="1">
      <w:lvlJc w:val="left"/>
      <w:lvlText w:val="(%2)"/>
      <w:numFmt w:val="lowerLetter"/>
      <w:start w:val="17"/>
    </w:lvl>
  </w:abstractNum>
  <w:abstractNum w:abstractNumId="230">
    <w:nsid w:val="1D206B8E"/>
    <w:multiLevelType w:val="hybridMultilevel"/>
    <w:lvl w:ilvl="0">
      <w:lvlJc w:val="left"/>
      <w:lvlText w:val="(%1)"/>
      <w:numFmt w:val="lowerLetter"/>
      <w:start w:val="24"/>
    </w:lvl>
  </w:abstractNum>
  <w:abstractNum w:abstractNumId="231">
    <w:nsid w:val="7934D3D4"/>
    <w:multiLevelType w:val="hybridMultilevel"/>
    <w:lvl w:ilvl="0">
      <w:lvlJc w:val="left"/>
      <w:lvlText w:val="(%1)"/>
      <w:numFmt w:val="lowerLetter"/>
      <w:start w:val="27"/>
    </w:lvl>
  </w:abstractNum>
  <w:abstractNum w:abstractNumId="232">
    <w:nsid w:val="1C65E98"/>
    <w:multiLevelType w:val="hybridMultilevel"/>
    <w:lvl w:ilvl="0">
      <w:lvlJc w:val="left"/>
      <w:lvlText w:val="(%1)"/>
      <w:numFmt w:val="lowerLetter"/>
      <w:start w:val="1"/>
    </w:lvl>
  </w:abstractNum>
  <w:abstractNum w:abstractNumId="233">
    <w:nsid w:val="1495E50A"/>
    <w:multiLevelType w:val="hybridMultilevel"/>
    <w:lvl w:ilvl="0">
      <w:lvlJc w:val="left"/>
      <w:lvlText w:val="(%1)"/>
      <w:numFmt w:val="lowerLetter"/>
      <w:start w:val="2"/>
    </w:lvl>
  </w:abstractNum>
  <w:abstractNum w:abstractNumId="234">
    <w:nsid w:val="F5BCF61"/>
    <w:multiLevelType w:val="hybridMultilevel"/>
    <w:lvl w:ilvl="0">
      <w:lvlJc w:val="left"/>
      <w:lvlText w:val="(%1)"/>
      <w:numFmt w:val="lowerLetter"/>
      <w:start w:val="4"/>
    </w:lvl>
    <w:lvl w:ilvl="1">
      <w:lvlJc w:val="left"/>
      <w:lvlText w:val="(%2)"/>
      <w:numFmt w:val="upperLetter"/>
      <w:start w:val="1"/>
    </w:lvl>
  </w:abstractNum>
  <w:abstractNum w:abstractNumId="235">
    <w:nsid w:val="3B1DD403"/>
    <w:multiLevelType w:val="hybridMultilevel"/>
    <w:lvl w:ilvl="0">
      <w:lvlJc w:val="left"/>
      <w:lvlText w:val="(%1)"/>
      <w:numFmt w:val="lowerLetter"/>
      <w:start w:val="9"/>
    </w:lvl>
    <w:lvl w:ilvl="1">
      <w:lvlJc w:val="left"/>
      <w:lvlText w:val="(%2)"/>
      <w:numFmt w:val="upperLetter"/>
      <w:start w:val="1"/>
    </w:lvl>
  </w:abstractNum>
  <w:abstractNum w:abstractNumId="236">
    <w:nsid w:val="530386D1"/>
    <w:multiLevelType w:val="hybridMultilevel"/>
    <w:lvl w:ilvl="0">
      <w:lvlJc w:val="left"/>
      <w:lvlText w:val="(%1)"/>
      <w:numFmt w:val="lowerLetter"/>
      <w:start w:val="12"/>
    </w:lvl>
  </w:abstractNum>
  <w:abstractNum w:abstractNumId="237">
    <w:nsid w:val="7525F2BC"/>
    <w:multiLevelType w:val="hybridMultilevel"/>
    <w:lvl w:ilvl="0">
      <w:lvlJc w:val="left"/>
      <w:lvlText w:val="%1"/>
      <w:numFmt w:val="lowerLetter"/>
      <w:start w:val="1"/>
    </w:lvl>
    <w:lvl w:ilvl="1">
      <w:lvlJc w:val="left"/>
      <w:lvlText w:val="(%2)"/>
      <w:numFmt w:val="lowerLetter"/>
      <w:start w:val="1"/>
    </w:lvl>
  </w:abstractNum>
  <w:abstractNum w:abstractNumId="238">
    <w:nsid w:val="CE8E1A7"/>
    <w:multiLevelType w:val="hybridMultilevel"/>
    <w:lvl w:ilvl="0">
      <w:lvlJc w:val="left"/>
      <w:lvlText w:val="(%1)"/>
      <w:numFmt w:val="lowerLetter"/>
      <w:start w:val="20"/>
    </w:lvl>
    <w:lvl w:ilvl="1">
      <w:lvlJc w:val="left"/>
      <w:lvlText w:val="(%2)"/>
      <w:numFmt w:val="lowerLetter"/>
      <w:start w:val="4"/>
    </w:lvl>
  </w:abstractNum>
  <w:abstractNum w:abstractNumId="239">
    <w:nsid w:val="4E9EFB0D"/>
    <w:multiLevelType w:val="hybridMultilevel"/>
    <w:lvl w:ilvl="0">
      <w:lvlJc w:val="left"/>
      <w:lvlText w:val="(%1)"/>
      <w:numFmt w:val="lowerLetter"/>
      <w:start w:val="9"/>
    </w:lvl>
    <w:lvl w:ilvl="1">
      <w:lvlJc w:val="left"/>
      <w:lvlText w:val="(%2)"/>
      <w:numFmt w:val="lowerLetter"/>
      <w:start w:val="6"/>
    </w:lvl>
  </w:abstractNum>
  <w:abstractNum w:abstractNumId="240">
    <w:nsid w:val="90802BE"/>
    <w:multiLevelType w:val="hybridMultilevel"/>
    <w:lvl w:ilvl="0">
      <w:lvlJc w:val="left"/>
      <w:lvlText w:val="(%1)"/>
      <w:numFmt w:val="lowerLetter"/>
      <w:start w:val="8"/>
    </w:lvl>
  </w:abstractNum>
  <w:abstractNum w:abstractNumId="241">
    <w:nsid w:val="3266459B"/>
    <w:multiLevelType w:val="hybridMultilevel"/>
    <w:lvl w:ilvl="0">
      <w:lvlJc w:val="left"/>
      <w:lvlText w:val="(%1)"/>
      <w:numFmt w:val="lowerLetter"/>
      <w:start w:val="11"/>
    </w:lvl>
  </w:abstractNum>
  <w:abstractNum w:abstractNumId="242">
    <w:nsid w:val="3F8B0CBF"/>
    <w:multiLevelType w:val="hybridMultilevel"/>
    <w:lvl w:ilvl="0">
      <w:lvlJc w:val="left"/>
      <w:lvlText w:val="(%1)"/>
      <w:numFmt w:val="lowerLetter"/>
      <w:start w:val="20"/>
    </w:lvl>
  </w:abstractNum>
  <w:abstractNum w:abstractNumId="243">
    <w:nsid w:val="37E203AB"/>
    <w:multiLevelType w:val="hybridMultilevel"/>
    <w:lvl w:ilvl="0">
      <w:lvlJc w:val="left"/>
      <w:lvlText w:val="(%1)"/>
      <w:numFmt w:val="lowerLetter"/>
      <w:start w:val="23"/>
    </w:lvl>
  </w:abstractNum>
  <w:abstractNum w:abstractNumId="244">
    <w:nsid w:val="2586D60E"/>
    <w:multiLevelType w:val="hybridMultilevel"/>
    <w:lvl w:ilvl="0">
      <w:lvlJc w:val="left"/>
      <w:lvlText w:val="(%1)"/>
      <w:numFmt w:val="lowerLetter"/>
      <w:start w:val="1"/>
    </w:lvl>
  </w:abstractNum>
  <w:abstractNum w:abstractNumId="245">
    <w:nsid w:val="1F3DA4D5"/>
    <w:multiLevelType w:val="hybridMultilevel"/>
    <w:lvl w:ilvl="0">
      <w:lvlJc w:val="left"/>
      <w:lvlText w:val="(%1)"/>
      <w:numFmt w:val="lowerLetter"/>
      <w:start w:val="5"/>
    </w:lvl>
  </w:abstractNum>
  <w:abstractNum w:abstractNumId="246">
    <w:nsid w:val="74C93698"/>
    <w:multiLevelType w:val="hybridMultilevel"/>
    <w:lvl w:ilvl="0">
      <w:lvlJc w:val="left"/>
      <w:lvlText w:val="%1"/>
      <w:numFmt w:val="lowerLetter"/>
      <w:start w:val="1"/>
    </w:lvl>
    <w:lvl w:ilvl="1">
      <w:lvlJc w:val="left"/>
      <w:lvlText w:val="(%2)"/>
      <w:numFmt w:val="lowerLetter"/>
      <w:start w:val="1"/>
    </w:lvl>
  </w:abstractNum>
  <w:abstractNum w:abstractNumId="247">
    <w:nsid w:val="48781401"/>
    <w:multiLevelType w:val="hybridMultilevel"/>
    <w:lvl w:ilvl="0">
      <w:lvlJc w:val="left"/>
      <w:lvlText w:val="(%1)"/>
      <w:numFmt w:val="lowerLetter"/>
      <w:start w:val="9"/>
    </w:lvl>
    <w:lvl w:ilvl="1">
      <w:lvlJc w:val="left"/>
      <w:lvlText w:val="(%2)"/>
      <w:numFmt w:val="lowerLetter"/>
      <w:start w:val="7"/>
    </w:lvl>
  </w:abstractNum>
  <w:abstractNum w:abstractNumId="248">
    <w:nsid w:val="186928D6"/>
    <w:multiLevelType w:val="hybridMultilevel"/>
    <w:lvl w:ilvl="0">
      <w:lvlJc w:val="left"/>
      <w:lvlText w:val="(%1)"/>
      <w:numFmt w:val="lowerLetter"/>
      <w:start w:val="8"/>
    </w:lvl>
  </w:abstractNum>
  <w:abstractNum w:abstractNumId="249">
    <w:nsid w:val="47195E5"/>
    <w:multiLevelType w:val="hybridMultilevel"/>
    <w:lvl w:ilvl="0">
      <w:lvlJc w:val="left"/>
      <w:lvlText w:val="(%1)"/>
      <w:numFmt w:val="lowerLetter"/>
      <w:start w:val="16"/>
    </w:lvl>
  </w:abstractNum>
  <w:abstractNum w:abstractNumId="250">
    <w:nsid w:val="3746A5F2"/>
    <w:multiLevelType w:val="hybridMultilevel"/>
    <w:lvl w:ilvl="0">
      <w:lvlJc w:val="left"/>
      <w:lvlText w:val="(%1)"/>
      <w:numFmt w:val="lowerLetter"/>
      <w:start w:val="15"/>
    </w:lvl>
  </w:abstractNum>
  <w:abstractNum w:abstractNumId="251">
    <w:nsid w:val="682DFED6"/>
    <w:multiLevelType w:val="hybridMultilevel"/>
    <w:lvl w:ilvl="0">
      <w:lvlJc w:val="left"/>
      <w:lvlText w:val="(%1)"/>
      <w:numFmt w:val="lowerLetter"/>
      <w:start w:val="1"/>
    </w:lvl>
  </w:abstractNum>
  <w:abstractNum w:abstractNumId="252">
    <w:nsid w:val="606ED7F6"/>
    <w:multiLevelType w:val="hybridMultilevel"/>
    <w:lvl w:ilvl="0">
      <w:lvlJc w:val="left"/>
      <w:lvlText w:val="(%1)"/>
      <w:numFmt w:val="lowerLetter"/>
      <w:start w:val="7"/>
    </w:lvl>
  </w:abstractNum>
  <w:abstractNum w:abstractNumId="253">
    <w:nsid w:val="2D9DF57D"/>
    <w:multiLevelType w:val="hybridMultilevel"/>
    <w:lvl w:ilvl="0">
      <w:lvlJc w:val="left"/>
      <w:lvlText w:val="(%1)"/>
      <w:numFmt w:val="lowerLetter"/>
      <w:start w:val="2"/>
    </w:lvl>
  </w:abstractNum>
  <w:abstractNum w:abstractNumId="254">
    <w:nsid w:val="7FBD7A3E"/>
    <w:multiLevelType w:val="hybridMultilevel"/>
    <w:lvl w:ilvl="0">
      <w:lvlJc w:val="left"/>
      <w:lvlText w:val="(%1)"/>
      <w:numFmt w:val="lowerLetter"/>
      <w:start w:val="2"/>
    </w:lvl>
  </w:abstractNum>
  <w:abstractNum w:abstractNumId="255">
    <w:nsid w:val="490B7C5"/>
    <w:multiLevelType w:val="hybridMultilevel"/>
    <w:lvl w:ilvl="0">
      <w:lvlJc w:val="left"/>
      <w:lvlText w:val="(%1)"/>
      <w:numFmt w:val="lowerLetter"/>
      <w:start w:val="1"/>
    </w:lvl>
  </w:abstractNum>
  <w:abstractNum w:abstractNumId="256">
    <w:nsid w:val="4303A216"/>
    <w:multiLevelType w:val="hybridMultilevel"/>
    <w:lvl w:ilvl="0">
      <w:lvlJc w:val="left"/>
      <w:lvlText w:val="(%1)"/>
      <w:numFmt w:val="lowerLetter"/>
      <w:start w:val="1"/>
    </w:lvl>
  </w:abstractNum>
  <w:abstractNum w:abstractNumId="257">
    <w:nsid w:val="19B8A08E"/>
    <w:multiLevelType w:val="hybridMultilevel"/>
    <w:lvl w:ilvl="0">
      <w:lvlJc w:val="left"/>
      <w:lvlText w:val="%1"/>
      <w:numFmt w:val="decimal"/>
      <w:start w:val="1"/>
    </w:lvl>
    <w:lvl w:ilvl="1">
      <w:lvlJc w:val="left"/>
      <w:lvlText w:val="(%2)"/>
      <w:numFmt w:val="lowerLetter"/>
      <w:start w:val="6"/>
    </w:lvl>
  </w:abstractNum>
  <w:abstractNum w:abstractNumId="258">
    <w:nsid w:val="54B59621"/>
    <w:multiLevelType w:val="hybridMultilevel"/>
    <w:lvl w:ilvl="0">
      <w:lvlJc w:val="left"/>
      <w:lvlText w:val="(%1)"/>
      <w:numFmt w:val="decimal"/>
      <w:start w:val="60"/>
    </w:lvl>
    <w:lvl w:ilvl="1">
      <w:lvlJc w:val="left"/>
      <w:lvlText w:val="(%2)"/>
      <w:numFmt w:val="lowerLetter"/>
      <w:start w:val="9"/>
    </w:lvl>
  </w:abstractNum>
  <w:abstractNum w:abstractNumId="259">
    <w:nsid w:val="5992A02E"/>
    <w:multiLevelType w:val="hybridMultilevel"/>
    <w:lvl w:ilvl="0">
      <w:lvlJc w:val="left"/>
      <w:lvlText w:val="(%1)"/>
      <w:numFmt w:val="lowerLetter"/>
      <w:start w:val="11"/>
    </w:lvl>
  </w:abstractNum>
  <w:abstractNum w:abstractNumId="260">
    <w:nsid w:val="29EF532D"/>
    <w:multiLevelType w:val="hybridMultilevel"/>
    <w:lvl w:ilvl="0">
      <w:lvlJc w:val="left"/>
      <w:lvlText w:val="(%1)"/>
      <w:numFmt w:val="lowerLetter"/>
      <w:start w:val="1"/>
    </w:lvl>
  </w:abstractNum>
  <w:abstractNum w:abstractNumId="261">
    <w:nsid w:val="71D601AF"/>
    <w:multiLevelType w:val="hybridMultilevel"/>
    <w:lvl w:ilvl="0">
      <w:lvlJc w:val="left"/>
      <w:lvlText w:val="%1"/>
      <w:numFmt w:val="lowerLetter"/>
      <w:start w:val="1"/>
    </w:lvl>
    <w:lvl w:ilvl="1">
      <w:lvlJc w:val="left"/>
      <w:lvlText w:val="(%2)"/>
      <w:numFmt w:val="lowerLetter"/>
      <w:start w:val="2"/>
    </w:lvl>
  </w:abstractNum>
  <w:abstractNum w:abstractNumId="262">
    <w:nsid w:val="52C77402"/>
    <w:multiLevelType w:val="hybridMultilevel"/>
    <w:lvl w:ilvl="0">
      <w:lvlJc w:val="left"/>
      <w:lvlText w:val="(%1)"/>
      <w:numFmt w:val="lowerLetter"/>
      <w:start w:val="35"/>
    </w:lvl>
    <w:lvl w:ilvl="1">
      <w:lvlJc w:val="left"/>
      <w:lvlText w:val="(%2)"/>
      <w:numFmt w:val="lowerLetter"/>
      <w:start w:val="3"/>
    </w:lvl>
  </w:abstractNum>
  <w:abstractNum w:abstractNumId="263">
    <w:nsid w:val="2BB5B1C6"/>
    <w:multiLevelType w:val="hybridMultilevel"/>
    <w:lvl w:ilvl="0">
      <w:lvlJc w:val="left"/>
      <w:lvlText w:val="(%1)"/>
      <w:numFmt w:val="lowerLetter"/>
      <w:start w:val="2"/>
    </w:lvl>
  </w:abstractNum>
  <w:abstractNum w:abstractNumId="264">
    <w:nsid w:val="66BE6B9"/>
    <w:multiLevelType w:val="hybridMultilevel"/>
    <w:lvl w:ilvl="0">
      <w:lvlJc w:val="left"/>
      <w:lvlText w:val="(%1)"/>
      <w:numFmt w:val="lowerLetter"/>
      <w:start w:val="1"/>
    </w:lvl>
  </w:abstractNum>
  <w:abstractNum w:abstractNumId="265">
    <w:nsid w:val="62234363"/>
    <w:multiLevelType w:val="hybridMultilevel"/>
    <w:lvl w:ilvl="0">
      <w:lvlJc w:val="left"/>
      <w:lvlText w:val="(%1)"/>
      <w:numFmt w:val="lowerLetter"/>
      <w:start w:val="1"/>
    </w:lvl>
  </w:abstractNum>
  <w:abstractNum w:abstractNumId="266">
    <w:nsid w:val="66D385C9"/>
    <w:multiLevelType w:val="hybridMultilevel"/>
    <w:lvl w:ilvl="0">
      <w:lvlJc w:val="left"/>
      <w:lvlText w:val="(%1)"/>
      <w:numFmt w:val="lowerLetter"/>
      <w:start w:val="2"/>
    </w:lvl>
  </w:abstractNum>
  <w:abstractNum w:abstractNumId="267">
    <w:nsid w:val="596F6D8A"/>
    <w:multiLevelType w:val="hybridMultilevel"/>
    <w:lvl w:ilvl="0">
      <w:lvlJc w:val="left"/>
      <w:lvlText w:val="%1"/>
      <w:numFmt w:val="lowerRoman"/>
      <w:start w:val="1"/>
    </w:lvl>
    <w:lvl w:ilvl="1">
      <w:lvlJc w:val="left"/>
      <w:lvlText w:val="(%2)"/>
      <w:numFmt w:val="lowerLetter"/>
      <w:start w:val="2"/>
    </w:lvl>
  </w:abstractNum>
  <w:abstractNum w:abstractNumId="268">
    <w:nsid w:val="5749361F"/>
    <w:multiLevelType w:val="hybridMultilevel"/>
    <w:lvl w:ilvl="0">
      <w:lvlJc w:val="left"/>
      <w:lvlText w:val="(%1)"/>
      <w:numFmt w:val="lowerRoman"/>
      <w:start w:val="1"/>
    </w:lvl>
    <w:lvl w:ilvl="1">
      <w:lvlJc w:val="left"/>
      <w:lvlText w:val="(%2)"/>
      <w:numFmt w:val="lowerLetter"/>
      <w:start w:val="3"/>
    </w:lvl>
  </w:abstractNum>
  <w:abstractNum w:abstractNumId="269">
    <w:nsid w:val="73BC6770"/>
    <w:multiLevelType w:val="hybridMultilevel"/>
    <w:lvl w:ilvl="0">
      <w:lvlJc w:val="left"/>
      <w:lvlText w:val="(%1)"/>
      <w:numFmt w:val="lowerLetter"/>
      <w:start w:val="1"/>
    </w:lvl>
    <w:lvl w:ilvl="1">
      <w:lvlJc w:val="left"/>
      <w:lvlText w:val="(%2)"/>
      <w:numFmt w:val="lowerRoman"/>
      <w:start w:val="1"/>
    </w:lvl>
  </w:abstractNum>
  <w:abstractNum w:abstractNumId="270">
    <w:nsid w:val="280E6897"/>
    <w:multiLevelType w:val="hybridMultilevel"/>
    <w:lvl w:ilvl="0">
      <w:lvlJc w:val="left"/>
      <w:lvlText w:val="%1"/>
      <w:numFmt w:val="upperLetter"/>
      <w:start w:val="1"/>
    </w:lvl>
    <w:lvl w:ilvl="1">
      <w:lvlJc w:val="left"/>
      <w:lvlText w:val="(%2)"/>
      <w:numFmt w:val="lowerRoman"/>
      <w:start w:val="3"/>
    </w:lvl>
  </w:abstractNum>
  <w:abstractNum w:abstractNumId="271">
    <w:nsid w:val="605138DE"/>
    <w:multiLevelType w:val="hybridMultilevel"/>
    <w:lvl w:ilvl="0">
      <w:lvlJc w:val="left"/>
      <w:lvlText w:val="(%1)"/>
      <w:numFmt w:val="upperLetter"/>
      <w:start w:val="3"/>
    </w:lvl>
    <w:lvl w:ilvl="1">
      <w:lvlJc w:val="left"/>
      <w:lvlText w:val="(%2)"/>
      <w:numFmt w:val="lowerRoman"/>
      <w:start w:val="4"/>
    </w:lvl>
  </w:abstractNum>
  <w:abstractNum w:abstractNumId="272">
    <w:nsid w:val="2622AD0C"/>
    <w:multiLevelType w:val="hybridMultilevel"/>
    <w:lvl w:ilvl="0">
      <w:lvlJc w:val="left"/>
      <w:lvlText w:val="(%1)"/>
      <w:numFmt w:val="lowerLetter"/>
      <w:start w:val="2"/>
    </w:lvl>
    <w:lvl w:ilvl="1">
      <w:lvlJc w:val="left"/>
      <w:lvlText w:val="(%2)"/>
      <w:numFmt w:val="lowerRoman"/>
      <w:start w:val="1"/>
    </w:lvl>
  </w:abstractNum>
  <w:abstractNum w:abstractNumId="273">
    <w:nsid w:val="67997556"/>
    <w:multiLevelType w:val="hybridMultilevel"/>
    <w:lvl w:ilvl="0">
      <w:lvlJc w:val="left"/>
      <w:lvlText w:val="%1"/>
      <w:numFmt w:val="lowerLetter"/>
      <w:start w:val="1"/>
    </w:lvl>
    <w:lvl w:ilvl="1">
      <w:lvlJc w:val="left"/>
      <w:lvlText w:val="(%2)"/>
      <w:numFmt w:val="lowerLetter"/>
      <w:start w:val="22"/>
    </w:lvl>
  </w:abstractNum>
  <w:abstractNum w:abstractNumId="274">
    <w:nsid w:val="18333C89"/>
    <w:multiLevelType w:val="hybridMultilevel"/>
    <w:lvl w:ilvl="0">
      <w:lvlJc w:val="left"/>
      <w:lvlText w:val="(%1)"/>
      <w:numFmt w:val="lowerLetter"/>
      <w:start w:val="3"/>
    </w:lvl>
    <w:lvl w:ilvl="1">
      <w:lvlJc w:val="left"/>
      <w:lvlText w:val="%2"/>
      <w:numFmt w:val="lowerLetter"/>
      <w:start w:val="1"/>
    </w:lvl>
  </w:abstractNum>
  <w:abstractNum w:abstractNumId="275">
    <w:nsid w:val="4BA9831A"/>
    <w:multiLevelType w:val="hybridMultilevel"/>
    <w:lvl w:ilvl="0">
      <w:lvlJc w:val="left"/>
      <w:lvlText w:val="(%1)"/>
      <w:numFmt w:val="lowerLetter"/>
      <w:start w:val="1"/>
    </w:lvl>
  </w:abstractNum>
  <w:abstractNum w:abstractNumId="276">
    <w:nsid w:val="6D71A2B"/>
    <w:multiLevelType w:val="hybridMultilevel"/>
    <w:lvl w:ilvl="0">
      <w:lvlJc w:val="left"/>
      <w:lvlText w:val="(%1)"/>
      <w:numFmt w:val="lowerLetter"/>
      <w:start w:val="4"/>
    </w:lvl>
  </w:abstractNum>
  <w:abstractNum w:abstractNumId="277">
    <w:nsid w:val="CFC7321"/>
    <w:multiLevelType w:val="hybridMultilevel"/>
    <w:lvl w:ilvl="0">
      <w:lvlJc w:val="left"/>
      <w:lvlText w:val="(%1)"/>
      <w:numFmt w:val="lowerLetter"/>
      <w:start w:val="10"/>
    </w:lvl>
  </w:abstractNum>
  <w:abstractNum w:abstractNumId="278">
    <w:nsid w:val="1421971B"/>
    <w:multiLevelType w:val="hybridMultilevel"/>
    <w:lvl w:ilvl="0">
      <w:lvlJc w:val="left"/>
      <w:lvlText w:val="(%1)"/>
      <w:numFmt w:val="lowerLetter"/>
      <w:start w:val="1"/>
    </w:lvl>
    <w:lvl w:ilvl="1">
      <w:lvlJc w:val="left"/>
      <w:lvlText w:val="(%2)"/>
      <w:numFmt w:val="lowerLetter"/>
      <w:start w:val="9"/>
    </w:lvl>
  </w:abstractNum>
  <w:abstractNum w:abstractNumId="279">
    <w:nsid w:val="1F404301"/>
    <w:multiLevelType w:val="hybridMultilevel"/>
    <w:lvl w:ilvl="0">
      <w:lvlJc w:val="left"/>
      <w:lvlText w:val="(%1)"/>
      <w:numFmt w:val="lowerRoman"/>
      <w:start w:val="1"/>
    </w:lvl>
  </w:abstractNum>
  <w:abstractNum w:abstractNumId="280">
    <w:nsid w:val="116E0907"/>
    <w:multiLevelType w:val="hybridMultilevel"/>
    <w:lvl w:ilvl="0">
      <w:lvlJc w:val="left"/>
      <w:lvlText w:val="(%1)"/>
      <w:numFmt w:val="lowerLetter"/>
      <w:start w:val="2"/>
    </w:lvl>
  </w:abstractNum>
  <w:abstractNum w:abstractNumId="281">
    <w:nsid w:val="4B683D0D"/>
    <w:multiLevelType w:val="hybridMultilevel"/>
    <w:lvl w:ilvl="0">
      <w:lvlJc w:val="left"/>
      <w:lvlText w:val="(%1)"/>
      <w:numFmt w:val="lowerLetter"/>
      <w:start w:val="2"/>
    </w:lvl>
    <w:lvl w:ilvl="1">
      <w:lvlJc w:val="left"/>
      <w:lvlText w:val="(%2)"/>
      <w:numFmt w:val="upperLetter"/>
      <w:start w:val="1"/>
    </w:lvl>
  </w:abstractNum>
  <w:abstractNum w:abstractNumId="282">
    <w:nsid w:val="76E41D8"/>
    <w:multiLevelType w:val="hybridMultilevel"/>
    <w:lvl w:ilvl="0">
      <w:lvlJc w:val="left"/>
      <w:lvlText w:val="%1"/>
      <w:numFmt w:val="lowerRoman"/>
      <w:start w:val="1"/>
    </w:lvl>
    <w:lvl w:ilvl="1">
      <w:lvlJc w:val="left"/>
      <w:lvlText w:val="(%2)"/>
      <w:numFmt w:val="upperLetter"/>
      <w:start w:val="3"/>
    </w:lvl>
  </w:abstractNum>
  <w:abstractNum w:abstractNumId="283">
    <w:nsid w:val="71DCE0FD"/>
    <w:multiLevelType w:val="hybridMultilevel"/>
    <w:lvl w:ilvl="0">
      <w:lvlJc w:val="left"/>
      <w:lvlText w:val="(%1)"/>
      <w:numFmt w:val="lowerRoman"/>
      <w:start w:val="2"/>
    </w:lvl>
    <w:lvl w:ilvl="1">
      <w:lvlJc w:val="left"/>
      <w:lvlText w:val="(%2)"/>
      <w:numFmt w:val="upperLetter"/>
      <w:start w:val="1"/>
    </w:lvl>
  </w:abstractNum>
  <w:abstractNum w:abstractNumId="284">
    <w:nsid w:val="7906328B"/>
    <w:multiLevelType w:val="hybridMultilevel"/>
    <w:lvl w:ilvl="0">
      <w:lvlJc w:val="left"/>
      <w:lvlText w:val="(%1)"/>
      <w:numFmt w:val="lowerLetter"/>
      <w:start w:val="3"/>
    </w:lvl>
  </w:abstractNum>
  <w:abstractNum w:abstractNumId="285">
    <w:nsid w:val="72BBC16"/>
    <w:multiLevelType w:val="hybridMultilevel"/>
    <w:lvl w:ilvl="0">
      <w:lvlJc w:val="left"/>
      <w:lvlText w:val="(%1)"/>
      <w:numFmt w:val="lowerLetter"/>
      <w:start w:val="6"/>
    </w:lvl>
  </w:abstractNum>
  <w:abstractNum w:abstractNumId="286">
    <w:nsid w:val="766D98C2"/>
    <w:multiLevelType w:val="hybridMultilevel"/>
    <w:lvl w:ilvl="0">
      <w:lvlJc w:val="left"/>
      <w:lvlText w:val="%1"/>
      <w:numFmt w:val="decimal"/>
      <w:start w:val="1"/>
    </w:lvl>
    <w:lvl w:ilvl="1">
      <w:lvlJc w:val="left"/>
      <w:lvlText w:val="(%2)"/>
      <w:numFmt w:val="lowerLetter"/>
      <w:start w:val="9"/>
    </w:lvl>
  </w:abstractNum>
  <w:abstractNum w:abstractNumId="287">
    <w:nsid w:val="3C09D4A1"/>
    <w:multiLevelType w:val="hybridMultilevel"/>
    <w:lvl w:ilvl="0">
      <w:lvlJc w:val="left"/>
      <w:lvlText w:val="(%1)"/>
      <w:numFmt w:val="decimal"/>
      <w:start w:val="30"/>
    </w:lvl>
    <w:lvl w:ilvl="1">
      <w:lvlJc w:val="left"/>
      <w:lvlText w:val="%2"/>
      <w:numFmt w:val="lowerLetter"/>
      <w:start w:val="1"/>
    </w:lvl>
  </w:abstractNum>
  <w:abstractNum w:abstractNumId="288">
    <w:nsid w:val="20E45CA4"/>
    <w:multiLevelType w:val="hybridMultilevel"/>
    <w:lvl w:ilvl="0">
      <w:lvlJc w:val="left"/>
      <w:lvlText w:val="(%1)"/>
      <w:numFmt w:val="lowerLetter"/>
      <w:start w:val="8"/>
    </w:lvl>
  </w:abstractNum>
  <w:abstractNum w:abstractNumId="289">
    <w:nsid w:val="4B232EE3"/>
    <w:multiLevelType w:val="hybridMultilevel"/>
    <w:lvl w:ilvl="0">
      <w:lvlJc w:val="left"/>
      <w:lvlText w:val="(%1)"/>
      <w:numFmt w:val="lowerLetter"/>
      <w:start w:val="2"/>
    </w:lvl>
  </w:abstractNum>
  <w:abstractNum w:abstractNumId="290">
    <w:nsid w:val="159C74CF"/>
    <w:multiLevelType w:val="hybridMultilevel"/>
    <w:lvl w:ilvl="0">
      <w:lvlJc w:val="left"/>
      <w:lvlText w:val="(%1)"/>
      <w:numFmt w:val="lowerLetter"/>
      <w:start w:val="1"/>
    </w:lvl>
  </w:abstractNum>
  <w:abstractNum w:abstractNumId="291">
    <w:nsid w:val="4AD3AFD2"/>
    <w:multiLevelType w:val="hybridMultilevel"/>
    <w:lvl w:ilvl="0">
      <w:lvlJc w:val="left"/>
      <w:lvlText w:val="(%1)"/>
      <w:numFmt w:val="lowerLetter"/>
      <w:start w:val="2"/>
    </w:lvl>
  </w:abstractNum>
  <w:abstractNum w:abstractNumId="292">
    <w:nsid w:val="3CF93092"/>
    <w:multiLevelType w:val="hybridMultilevel"/>
    <w:lvl w:ilvl="0">
      <w:lvlJc w:val="left"/>
      <w:lvlText w:val="(%1)"/>
      <w:numFmt w:val="lowerLetter"/>
      <w:start w:val="4"/>
    </w:lvl>
  </w:abstractNum>
  <w:abstractNum w:abstractNumId="293">
    <w:nsid w:val="6863E8D2"/>
    <w:multiLevelType w:val="hybridMultilevel"/>
    <w:lvl w:ilvl="0">
      <w:lvlJc w:val="left"/>
      <w:lvlText w:val="(%1)"/>
      <w:numFmt w:val="lowerLetter"/>
      <w:start w:val="2"/>
    </w:lvl>
  </w:abstractNum>
  <w:abstractNum w:abstractNumId="294">
    <w:nsid w:val="76896198"/>
    <w:multiLevelType w:val="hybridMultilevel"/>
    <w:lvl w:ilvl="0">
      <w:lvlJc w:val="left"/>
      <w:lvlText w:val="(%1)"/>
      <w:numFmt w:val="lowerLetter"/>
      <w:start w:val="1"/>
    </w:lvl>
  </w:abstractNum>
  <w:abstractNum w:abstractNumId="295">
    <w:nsid w:val="4365174B"/>
    <w:multiLevelType w:val="hybridMultilevel"/>
    <w:lvl w:ilvl="0">
      <w:lvlJc w:val="left"/>
      <w:lvlText w:val="(%1)"/>
      <w:numFmt w:val="lowerRoman"/>
      <w:start w:val="4"/>
    </w:lvl>
    <w:lvl w:ilvl="1">
      <w:lvlJc w:val="left"/>
      <w:lvlText w:val="(%2)"/>
      <w:numFmt w:val="lowerLetter"/>
      <w:start w:val="2"/>
    </w:lvl>
  </w:abstractNum>
  <w:abstractNum w:abstractNumId="296">
    <w:nsid w:val="4A872C35"/>
    <w:multiLevelType w:val="hybridMultilevel"/>
    <w:lvl w:ilvl="0">
      <w:lvlJc w:val="left"/>
      <w:lvlText w:val="(%1)"/>
      <w:numFmt w:val="lowerLetter"/>
      <w:start w:val="1"/>
    </w:lvl>
    <w:lvl w:ilvl="1">
      <w:lvlJc w:val="left"/>
      <w:lvlText w:val="(%2)"/>
      <w:numFmt w:val="lowerRoman"/>
      <w:start w:val="1"/>
    </w:lvl>
  </w:abstractNum>
  <w:abstractNum w:abstractNumId="297">
    <w:nsid w:val="5D5CE761"/>
    <w:multiLevelType w:val="hybridMultilevel"/>
    <w:lvl w:ilvl="0">
      <w:lvlJc w:val="left"/>
      <w:lvlText w:val="(%1)"/>
      <w:numFmt w:val="lowerRoman"/>
      <w:start w:val="3"/>
    </w:lvl>
  </w:abstractNum>
  <w:abstractNum w:abstractNumId="298">
    <w:nsid w:val="1CD484D5"/>
    <w:multiLevelType w:val="hybridMultilevel"/>
    <w:lvl w:ilvl="0">
      <w:lvlJc w:val="left"/>
      <w:lvlText w:val="%1."/>
      <w:numFmt w:val="upperLetter"/>
      <w:start w:val="1"/>
    </w:lvl>
  </w:abstractNum>
  <w:abstractNum w:abstractNumId="299">
    <w:nsid w:val="21D06255"/>
    <w:multiLevelType w:val="hybridMultilevel"/>
    <w:lvl w:ilvl="0">
      <w:lvlJc w:val="left"/>
      <w:lvlText w:val="%1."/>
      <w:numFmt w:val="upperLetter"/>
      <w:start w:val="2"/>
    </w:lvl>
  </w:abstractNum>
  <w:abstractNum w:abstractNumId="300">
    <w:nsid w:val="51194ED1"/>
    <w:multiLevelType w:val="hybridMultilevel"/>
    <w:lvl w:ilvl="0">
      <w:lvlJc w:val="left"/>
      <w:lvlText w:val="1"/>
      <w:numFmt w:val="bullet"/>
      <w:start w:val="1"/>
    </w:lvl>
  </w:abstractNum>
  <w:abstractNum w:abstractNumId="301">
    <w:nsid w:val="44E2ED6C"/>
    <w:multiLevelType w:val="hybridMultilevel"/>
    <w:lvl w:ilvl="0">
      <w:lvlJc w:val="left"/>
      <w:lvlText w:val="%1."/>
      <w:numFmt w:val="decimal"/>
      <w:start w:val="1"/>
    </w:lvl>
    <w:lvl w:ilvl="1">
      <w:lvlJc w:val="left"/>
      <w:lvlText w:val="%2."/>
      <w:numFmt w:val="lowerLetter"/>
      <w:start w:val="1"/>
    </w:lvl>
  </w:abstractNum>
  <w:abstractNum w:abstractNumId="302">
    <w:nsid w:val="2219B33"/>
    <w:multiLevelType w:val="hybridMultilevel"/>
    <w:lvl w:ilvl="0">
      <w:lvlJc w:val="left"/>
      <w:lvlText w:val="%1."/>
      <w:numFmt w:val="lowerLetter"/>
      <w:start w:val="6"/>
    </w:lvl>
  </w:abstractNum>
  <w:abstractNum w:abstractNumId="303">
    <w:nsid w:val="773BFBDD"/>
    <w:multiLevelType w:val="hybridMultilevel"/>
    <w:lvl w:ilvl="0">
      <w:lvlJc w:val="left"/>
      <w:lvlText w:val="%1."/>
      <w:numFmt w:val="decimal"/>
      <w:start w:val="1"/>
    </w:lvl>
  </w:abstractNum>
  <w:abstractNum w:abstractNumId="304">
    <w:nsid w:val="2C7C62C2"/>
    <w:multiLevelType w:val="hybridMultilevel"/>
    <w:lvl w:ilvl="0">
      <w:lvlJc w:val="left"/>
      <w:lvlText w:val="%1."/>
      <w:numFmt w:val="decimal"/>
      <w:start w:val="1"/>
    </w:lvl>
  </w:abstractNum>
  <w:abstractNum w:abstractNumId="305">
    <w:nsid w:val="1A54D7BC"/>
    <w:multiLevelType w:val="hybridMultilevel"/>
    <w:lvl w:ilvl="0">
      <w:lvlJc w:val="left"/>
      <w:lvlText w:val="%1."/>
      <w:numFmt w:val="decimal"/>
      <w:start w:val="1"/>
    </w:lvl>
    <w:lvl w:ilvl="1">
      <w:lvlJc w:val="left"/>
      <w:lvlText w:val="%2."/>
      <w:numFmt w:val="lowerLetter"/>
      <w:start w:val="1"/>
    </w:lvl>
  </w:abstractNum>
  <w:abstractNum w:abstractNumId="306">
    <w:nsid w:val="42E57EF7"/>
    <w:multiLevelType w:val="hybridMultilevel"/>
    <w:lvl w:ilvl="0">
      <w:lvlJc w:val="left"/>
      <w:lvlText w:val="-"/>
      <w:numFmt w:val="bullet"/>
      <w:start w:val="1"/>
    </w:lvl>
  </w:abstractNum>
  <w:abstractNum w:abstractNumId="307">
    <w:nsid w:val="33537CED"/>
    <w:multiLevelType w:val="hybridMultilevel"/>
    <w:lvl w:ilvl="0">
      <w:lvlJc w:val="left"/>
      <w:lvlText w:val="(%1)"/>
      <w:numFmt w:val="upperLetter"/>
      <w:start w:val="1"/>
    </w:lvl>
  </w:abstractNum>
  <w:abstractNum w:abstractNumId="308">
    <w:nsid w:val="27514ADE"/>
    <w:multiLevelType w:val="hybridMultilevel"/>
    <w:lvl w:ilvl="0">
      <w:lvlJc w:val="left"/>
      <w:lvlText w:val="1"/>
      <w:numFmt w:val="bullet"/>
      <w:start w:val="1"/>
    </w:lvl>
  </w:abstractNum>
  <w:abstractNum w:abstractNumId="309">
    <w:nsid w:val="57071613"/>
    <w:multiLevelType w:val="hybridMultilevel"/>
    <w:lvl w:ilvl="0">
      <w:lvlJc w:val="left"/>
      <w:lvlText w:val="2"/>
      <w:numFmt w:val="bullet"/>
      <w:start w:val="1"/>
    </w:lvl>
  </w:abstractNum>
  <w:abstractNum w:abstractNumId="310">
    <w:nsid w:val="5293BFEF"/>
    <w:multiLevelType w:val="hybridMultilevel"/>
    <w:lvl w:ilvl="0">
      <w:lvlJc w:val="left"/>
      <w:lvlText w:val="3"/>
      <w:numFmt w:val="bullet"/>
      <w:start w:val="1"/>
    </w:lvl>
  </w:abstractNum>
  <w:abstractNum w:abstractNumId="311">
    <w:nsid w:val="38BF53E5"/>
    <w:multiLevelType w:val="hybridMultilevel"/>
    <w:lvl w:ilvl="0">
      <w:lvlJc w:val="left"/>
      <w:lvlText w:val="(%1)"/>
      <w:numFmt w:val="upperLetter"/>
      <w:start w:val="1"/>
    </w:lvl>
  </w:abstractNum>
  <w:abstractNum w:abstractNumId="312">
    <w:nsid w:val="226F5320"/>
    <w:multiLevelType w:val="hybridMultilevel"/>
    <w:lvl w:ilvl="0">
      <w:lvlJc w:val="left"/>
      <w:lvlText w:val="1"/>
      <w:numFmt w:val="bullet"/>
      <w:start w:val="1"/>
    </w:lvl>
  </w:abstractNum>
  <w:abstractNum w:abstractNumId="313">
    <w:nsid w:val="5A0201C7"/>
    <w:multiLevelType w:val="hybridMultilevel"/>
    <w:lvl w:ilvl="0">
      <w:lvlJc w:val="left"/>
      <w:lvlText w:val="2"/>
      <w:numFmt w:val="bullet"/>
      <w:start w:val="1"/>
    </w:lvl>
  </w:abstractNum>
  <w:abstractNum w:abstractNumId="314">
    <w:nsid w:val="2A9C34E2"/>
    <w:multiLevelType w:val="hybridMultilevel"/>
    <w:lvl w:ilvl="0">
      <w:lvlJc w:val="left"/>
      <w:lvlText w:val="%1."/>
      <w:numFmt w:val="decimal"/>
      <w:start w:val="1"/>
    </w:lvl>
  </w:abstractNum>
  <w:abstractNum w:abstractNumId="315">
    <w:nsid w:val="1B7585AB"/>
    <w:multiLevelType w:val="hybridMultilevel"/>
    <w:lvl w:ilvl="0">
      <w:lvlJc w:val="left"/>
      <w:lvlText w:val="%1."/>
      <w:numFmt w:val="decimal"/>
      <w:start w:val="3"/>
    </w:lvl>
  </w:abstractNum>
  <w:abstractNum w:abstractNumId="316">
    <w:nsid w:val="612DBDDD"/>
    <w:multiLevelType w:val="hybridMultilevel"/>
    <w:lvl w:ilvl="0">
      <w:lvlJc w:val="left"/>
      <w:lvlText w:val="%1."/>
      <w:numFmt w:val="decimal"/>
      <w:start w:val="4"/>
    </w:lvl>
  </w:abstractNum>
  <w:abstractNum w:abstractNumId="317">
    <w:nsid w:val="2109CDA4"/>
    <w:multiLevelType w:val="hybridMultilevel"/>
    <w:lvl w:ilvl="0">
      <w:lvlJc w:val="left"/>
      <w:lvlText w:val="(%1)"/>
      <w:numFmt w:val="lowerRoman"/>
      <w:start w:val="1"/>
    </w:lvl>
  </w:abstractNum>
  <w:abstractNum w:abstractNumId="318">
    <w:nsid w:val="577F5A4D"/>
    <w:multiLevelType w:val="hybridMultilevel"/>
    <w:lvl w:ilvl="0">
      <w:lvlJc w:val="left"/>
      <w:lvlText w:val="%1."/>
      <w:numFmt w:val="decimal"/>
      <w:start w:val="5"/>
    </w:lvl>
    <w:lvl w:ilvl="1">
      <w:lvlJc w:val="left"/>
      <w:lvlText w:val="(%2)"/>
      <w:numFmt w:val="lowerRoman"/>
      <w:start w:val="1"/>
    </w:lvl>
  </w:abstractNum>
  <w:abstractNum w:abstractNumId="319">
    <w:nsid w:val="2121A81"/>
    <w:multiLevelType w:val="hybridMultilevel"/>
    <w:lvl w:ilvl="0">
      <w:lvlJc w:val="left"/>
      <w:lvlText w:val="%1."/>
      <w:numFmt w:val="decimal"/>
      <w:start w:val="6"/>
    </w:lvl>
    <w:lvl w:ilvl="1">
      <w:lvlJc w:val="left"/>
      <w:lvlText w:val="(%2)"/>
      <w:numFmt w:val="lowerRoman"/>
      <w:start w:val="1"/>
    </w:lvl>
    <w:lvl w:ilvl="2">
      <w:lvlJc w:val="left"/>
      <w:lvlText w:val="*"/>
      <w:numFmt w:val="bullet"/>
      <w:start w:val="1"/>
    </w:lvl>
  </w:abstractNum>
  <w:abstractNum w:abstractNumId="320">
    <w:nsid w:val="6C2CFC88"/>
    <w:multiLevelType w:val="hybridMultilevel"/>
    <w:lvl w:ilvl="0">
      <w:lvlJc w:val="left"/>
      <w:lvlText w:val="1"/>
      <w:numFmt w:val="bullet"/>
      <w:start w:val="1"/>
    </w:lvl>
  </w:abstractNum>
  <w:abstractNum w:abstractNumId="321">
    <w:nsid w:val="6D1BCF1C"/>
    <w:multiLevelType w:val="hybridMultilevel"/>
    <w:lvl w:ilvl="0">
      <w:lvlJc w:val="left"/>
      <w:lvlText w:val="5"/>
      <w:numFmt w:val="bullet"/>
      <w:start w:val="1"/>
    </w:lvl>
  </w:abstractNum>
  <w:abstractNum w:abstractNumId="322">
    <w:nsid w:val="4CE5CA53"/>
    <w:multiLevelType w:val="hybridMultilevel"/>
    <w:lvl w:ilvl="0">
      <w:lvlJc w:val="left"/>
      <w:lvlText w:val="(%1)"/>
      <w:numFmt w:val="lowerRoman"/>
      <w:start w:val="1"/>
    </w:lvl>
    <w:lvl w:ilvl="1">
      <w:lvlJc w:val="left"/>
      <w:lvlText w:val="%2."/>
      <w:numFmt w:val="decimal"/>
      <w:start w:val="1"/>
    </w:lvl>
  </w:abstractNum>
  <w:abstractNum w:abstractNumId="323">
    <w:nsid w:val="29262D1A"/>
    <w:multiLevelType w:val="hybridMultilevel"/>
    <w:lvl w:ilvl="0">
      <w:lvlJc w:val="left"/>
      <w:lvlText w:val="%1."/>
      <w:numFmt w:val="decimal"/>
      <w:start w:val="3"/>
    </w:lvl>
  </w:abstractNum>
  <w:abstractNum w:abstractNumId="324">
    <w:nsid w:val="557FB7EE"/>
    <w:multiLevelType w:val="hybridMultilevel"/>
    <w:lvl w:ilvl="0">
      <w:lvlJc w:val="left"/>
      <w:lvlText w:val="4"/>
      <w:numFmt w:val="bullet"/>
      <w:start w:val="1"/>
    </w:lvl>
  </w:abstractNum>
  <w:abstractNum w:abstractNumId="325">
    <w:nsid w:val="436F2BEB"/>
    <w:multiLevelType w:val="hybridMultilevel"/>
    <w:lvl w:ilvl="0">
      <w:lvlJc w:val="left"/>
      <w:lvlText w:val="%1."/>
      <w:numFmt w:val="decimal"/>
      <w:start w:val="1"/>
    </w:lvl>
  </w:abstractNum>
  <w:abstractNum w:abstractNumId="326">
    <w:nsid w:val="6C8B4466"/>
    <w:multiLevelType w:val="hybridMultilevel"/>
    <w:lvl w:ilvl="0">
      <w:lvlJc w:val="left"/>
      <w:lvlText w:val="(%1)"/>
      <w:numFmt w:val="lowerRoman"/>
      <w:start w:val="2"/>
    </w:lvl>
  </w:abstractNum>
  <w:abstractNum w:abstractNumId="327">
    <w:nsid w:val="2006E424"/>
    <w:multiLevelType w:val="hybridMultilevel"/>
    <w:lvl w:ilvl="0">
      <w:lvlJc w:val="left"/>
      <w:lvlText w:val="(%1)"/>
      <w:numFmt w:val="lowerRoman"/>
      <w:start w:val="2"/>
    </w:lvl>
    <w:lvl w:ilvl="1">
      <w:lvlJc w:val="left"/>
      <w:lvlText w:val="%2."/>
      <w:numFmt w:val="decimal"/>
      <w:start w:val="2"/>
    </w:lvl>
  </w:abstractNum>
  <w:abstractNum w:abstractNumId="328">
    <w:nsid w:val="20CC134C"/>
    <w:multiLevelType w:val="hybridMultilevel"/>
    <w:lvl w:ilvl="0">
      <w:lvlJc w:val="left"/>
      <w:lvlText w:val="1"/>
      <w:numFmt w:val="bullet"/>
      <w:start w:val="1"/>
    </w:lvl>
  </w:abstractNum>
  <w:abstractNum w:abstractNumId="329">
    <w:nsid w:val="95FC93B"/>
    <w:multiLevelType w:val="hybridMultilevel"/>
    <w:lvl w:ilvl="0">
      <w:lvlJc w:val="left"/>
      <w:lvlText w:val="%1."/>
      <w:numFmt w:val="decimal"/>
      <w:start w:val="3"/>
    </w:lvl>
  </w:abstractNum>
  <w:abstractNum w:abstractNumId="330">
    <w:nsid w:val="41D74679"/>
    <w:multiLevelType w:val="hybridMultilevel"/>
    <w:lvl w:ilvl="0">
      <w:lvlJc w:val="left"/>
      <w:lvlText w:val="(%1)"/>
      <w:numFmt w:val="lowerLetter"/>
      <w:start w:val="2"/>
    </w:lvl>
  </w:abstractNum>
  <w:abstractNum w:abstractNumId="331">
    <w:nsid w:val="71E5621E"/>
    <w:multiLevelType w:val="hybridMultilevel"/>
    <w:lvl w:ilvl="0">
      <w:lvlJc w:val="left"/>
      <w:lvlText w:val="(%1)"/>
      <w:numFmt w:val="lowerLetter"/>
      <w:start w:val="25"/>
    </w:lvl>
  </w:abstractNum>
  <w:abstractNum w:abstractNumId="332">
    <w:nsid w:val="4E42B6A8"/>
    <w:multiLevelType w:val="hybridMultilevel"/>
    <w:lvl w:ilvl="0">
      <w:lvlJc w:val="left"/>
      <w:lvlText w:val="(%1)"/>
      <w:numFmt w:val="lowerLetter"/>
      <w:start w:val="2"/>
    </w:lvl>
  </w:abstractNum>
  <w:abstractNum w:abstractNumId="333">
    <w:nsid w:val="43F8E1AC"/>
    <w:multiLevelType w:val="hybridMultilevel"/>
    <w:lvl w:ilvl="0">
      <w:lvlJc w:val="left"/>
      <w:lvlText w:val="(%1)"/>
      <w:numFmt w:val="lowerLetter"/>
      <w:start w:val="6"/>
    </w:lvl>
  </w:abstractNum>
  <w:abstractNum w:abstractNumId="334">
    <w:nsid w:val="69215DFB"/>
    <w:multiLevelType w:val="hybridMultilevel"/>
    <w:lvl w:ilvl="0">
      <w:lvlJc w:val="left"/>
      <w:lvlText w:val="(%1)"/>
      <w:numFmt w:val="lowerLetter"/>
      <w:start w:val="2"/>
    </w:lvl>
  </w:abstractNum>
  <w:abstractNum w:abstractNumId="335">
    <w:nsid w:val="7ABF196A"/>
    <w:multiLevelType w:val="hybridMultilevel"/>
    <w:lvl w:ilvl="0">
      <w:lvlJc w:val="left"/>
      <w:lvlText w:val="(%1)"/>
      <w:numFmt w:val="lowerLetter"/>
      <w:start w:val="2"/>
    </w:lvl>
  </w:abstractNum>
  <w:abstractNum w:abstractNumId="336">
    <w:nsid w:val="5E4DB968"/>
    <w:multiLevelType w:val="hybridMultilevel"/>
    <w:lvl w:ilvl="0">
      <w:lvlJc w:val="left"/>
      <w:lvlText w:val="(%1)"/>
      <w:numFmt w:val="lowerLetter"/>
      <w:start w:val="2"/>
    </w:lvl>
  </w:abstractNum>
  <w:abstractNum w:abstractNumId="337">
    <w:nsid w:val="2C06DCF3"/>
    <w:multiLevelType w:val="hybridMultilevel"/>
    <w:lvl w:ilvl="0">
      <w:lvlJc w:val="left"/>
      <w:lvlText w:val="%1."/>
      <w:numFmt w:val="decimal"/>
      <w:start w:val="1"/>
    </w:lvl>
  </w:abstractNum>
  <w:abstractNum w:abstractNumId="338">
    <w:nsid w:val="2E129658"/>
    <w:multiLevelType w:val="hybridMultilevel"/>
    <w:lvl w:ilvl="0">
      <w:lvlJc w:val="left"/>
      <w:lvlText w:val="%1."/>
      <w:numFmt w:val="decimal"/>
      <w:start w:val="25"/>
    </w:lvl>
  </w:abstractNum>
  <w:abstractNum w:abstractNumId="339">
    <w:nsid w:val="59F0446"/>
    <w:multiLevelType w:val="hybridMultilevel"/>
    <w:lvl w:ilvl="0">
      <w:lvlJc w:val="left"/>
      <w:lvlText w:val="%1."/>
      <w:numFmt w:val="decimal"/>
      <w:start w:val="51"/>
    </w:lvl>
  </w:abstractNum>
  <w:abstractNum w:abstractNumId="340">
    <w:nsid w:val="30DF306"/>
    <w:multiLevelType w:val="hybridMultilevel"/>
    <w:lvl w:ilvl="0">
      <w:lvlJc w:val="left"/>
      <w:lvlText w:val="%1."/>
      <w:numFmt w:val="upperLetter"/>
      <w:start w:val="1"/>
    </w:lvl>
  </w:abstractNum>
  <w:abstractNum w:abstractNumId="341">
    <w:nsid w:val="A65647"/>
    <w:multiLevelType w:val="hybridMultilevel"/>
    <w:lvl w:ilvl="0">
      <w:lvlJc w:val="left"/>
      <w:lvlText w:val="(%1)"/>
      <w:numFmt w:val="upperLetter"/>
      <w:start w:val="1"/>
    </w:lvl>
  </w:abstractNum>
  <w:abstractNum w:abstractNumId="342">
    <w:nsid w:val="3E5E582B"/>
    <w:multiLevelType w:val="hybridMultilevel"/>
    <w:lvl w:ilvl="0">
      <w:lvlJc w:val="left"/>
      <w:lvlText w:val="(%1)"/>
      <w:numFmt w:val="lowerLetter"/>
      <w:start w:val="2"/>
    </w:lvl>
  </w:abstractNum>
  <w:abstractNum w:abstractNumId="343">
    <w:nsid w:val="257D4626"/>
    <w:multiLevelType w:val="hybridMultilevel"/>
    <w:lvl w:ilvl="0">
      <w:lvlJc w:val="left"/>
      <w:lvlText w:val="(%1)"/>
      <w:numFmt w:val="lowerLetter"/>
      <w:start w:val="1"/>
    </w:lvl>
  </w:abstractNum>
  <w:abstractNum w:abstractNumId="344">
    <w:nsid w:val="5AA8580E"/>
    <w:multiLevelType w:val="hybridMultilevel"/>
    <w:lvl w:ilvl="0">
      <w:lvlJc w:val="left"/>
      <w:lvlText w:val="(%1)"/>
      <w:numFmt w:val="lowerLetter"/>
      <w:start w:val="7"/>
    </w:lvl>
  </w:abstractNum>
  <w:abstractNum w:abstractNumId="345">
    <w:nsid w:val="68FA8D0D"/>
    <w:multiLevelType w:val="hybridMultilevel"/>
    <w:lvl w:ilvl="0">
      <w:lvlJc w:val="left"/>
      <w:lvlText w:val="(%1)"/>
      <w:numFmt w:val="lowerRoman"/>
      <w:start w:val="1"/>
    </w:lvl>
  </w:abstractNum>
  <w:abstractNum w:abstractNumId="346">
    <w:nsid w:val="40F2CBD2"/>
    <w:multiLevelType w:val="hybridMultilevel"/>
    <w:lvl w:ilvl="0">
      <w:lvlJc w:val="left"/>
      <w:lvlText w:val="%1"/>
      <w:numFmt w:val="lowerLetter"/>
      <w:start w:val="1"/>
    </w:lvl>
    <w:lvl w:ilvl="1">
      <w:lvlJc w:val="left"/>
      <w:lvlText w:val="(%2)"/>
      <w:numFmt w:val="lowerRoman"/>
      <w:start w:val="2"/>
    </w:lvl>
  </w:abstractNum>
  <w:abstractNum w:abstractNumId="347">
    <w:nsid w:val="3BD615EB"/>
    <w:multiLevelType w:val="hybridMultilevel"/>
    <w:lvl w:ilvl="0">
      <w:lvlJc w:val="left"/>
      <w:lvlText w:val="(%1)"/>
      <w:numFmt w:val="lowerLetter"/>
      <w:start w:val="2"/>
    </w:lvl>
    <w:lvl w:ilvl="1">
      <w:lvlJc w:val="left"/>
      <w:lvlText w:val="%2"/>
      <w:numFmt w:val="lowerRoman"/>
      <w:start w:val="1"/>
    </w:lvl>
  </w:abstractNum>
  <w:abstractNum w:abstractNumId="348">
    <w:nsid w:val="A045AB2"/>
    <w:multiLevelType w:val="hybridMultilevel"/>
    <w:lvl w:ilvl="0">
      <w:lvlJc w:val="left"/>
      <w:lvlText w:val="(%1)"/>
      <w:numFmt w:val="lowerLetter"/>
      <w:start w:val="9"/>
    </w:lvl>
    <w:lvl w:ilvl="1">
      <w:lvlJc w:val="left"/>
      <w:lvlText w:val="%2"/>
      <w:numFmt w:val="lowerLetter"/>
      <w:start w:val="1"/>
    </w:lvl>
  </w:abstractNum>
  <w:abstractNum w:abstractNumId="349">
    <w:nsid w:val="1872261F"/>
    <w:multiLevelType w:val="hybridMultilevel"/>
    <w:lvl w:ilvl="0">
      <w:lvlJc w:val="left"/>
      <w:lvlText w:val="(%1)"/>
      <w:numFmt w:val="lowerLetter"/>
      <w:start w:val="9"/>
    </w:lvl>
    <w:lvl w:ilvl="1">
      <w:lvlJc w:val="left"/>
      <w:lvlText w:val="(%2)"/>
      <w:numFmt w:val="lowerLetter"/>
      <w:start w:val="4"/>
    </w:lvl>
  </w:abstractNum>
  <w:abstractNum w:abstractNumId="350">
    <w:nsid w:val="3DE8306C"/>
    <w:multiLevelType w:val="hybridMultilevel"/>
    <w:lvl w:ilvl="0">
      <w:lvlJc w:val="left"/>
      <w:lvlText w:val="(%1)"/>
      <w:numFmt w:val="lowerRoman"/>
      <w:start w:val="1"/>
    </w:lvl>
  </w:abstractNum>
  <w:abstractNum w:abstractNumId="351">
    <w:nsid w:val="763157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52">
    <w:nsid w:val="58DF53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53">
    <w:nsid w:val="ACDFAC0"/>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54">
    <w:nsid w:val="1F578454"/>
    <w:multiLevelType w:val="hybridMultilevel"/>
    <w:lvl w:ilvl="0">
      <w:lvlJc w:val="left"/>
      <w:lvlText w:val="(%1)"/>
      <w:numFmt w:val="lowerLetter"/>
      <w:start w:val="4"/>
    </w:lvl>
  </w:abstractNum>
  <w:abstractNum w:abstractNumId="355">
    <w:nsid w:val="5B0DAD2A"/>
    <w:multiLevelType w:val="hybridMultilevel"/>
    <w:lvl w:ilvl="0">
      <w:lvlJc w:val="left"/>
      <w:lvlText w:val="(%1)"/>
      <w:numFmt w:val="lowerLetter"/>
      <w:start w:val="1"/>
    </w:lvl>
  </w:abstractNum>
  <w:abstractNum w:abstractNumId="356">
    <w:nsid w:val="4E3D26AB"/>
    <w:multiLevelType w:val="hybridMultilevel"/>
    <w:lvl w:ilvl="0">
      <w:lvlJc w:val="left"/>
      <w:lvlText w:val="%1"/>
      <w:numFmt w:val="lowerLetter"/>
      <w:start w:val="1"/>
    </w:lvl>
    <w:lvl w:ilvl="1">
      <w:lvlJc w:val="left"/>
      <w:lvlText w:val="(%2)"/>
      <w:numFmt w:val="lowerLetter"/>
      <w:start w:val="4"/>
    </w:lvl>
  </w:abstractNum>
  <w:abstractNum w:abstractNumId="357">
    <w:nsid w:val="BE2C8BA"/>
    <w:multiLevelType w:val="hybridMultilevel"/>
    <w:lvl w:ilvl="0">
      <w:lvlJc w:val="left"/>
      <w:lvlText w:val="(%1)"/>
      <w:numFmt w:val="lowerLetter"/>
      <w:start w:val="61"/>
    </w:lvl>
    <w:lvl w:ilvl="1">
      <w:lvlJc w:val="left"/>
      <w:lvlText w:val="(%2)"/>
      <w:numFmt w:val="lowerLetter"/>
      <w:start w:val="5"/>
    </w:lvl>
  </w:abstractNum>
  <w:abstractNum w:abstractNumId="358">
    <w:nsid w:val="7B14914E"/>
    <w:multiLevelType w:val="hybridMultilevel"/>
    <w:lvl w:ilvl="0">
      <w:lvlJc w:val="left"/>
      <w:lvlText w:val="%1"/>
      <w:numFmt w:val="lowerLetter"/>
      <w:start w:val="1"/>
    </w:lvl>
    <w:lvl w:ilvl="1">
      <w:lvlJc w:val="left"/>
      <w:lvlText w:val="(%2)"/>
      <w:numFmt w:val="lowerLetter"/>
      <w:start w:val="2"/>
    </w:lvl>
  </w:abstractNum>
  <w:abstractNum w:abstractNumId="359">
    <w:nsid w:val="6F0939F8"/>
    <w:multiLevelType w:val="hybridMultilevel"/>
    <w:lvl w:ilvl="0">
      <w:lvlJc w:val="left"/>
      <w:lvlText w:val="(%1)"/>
      <w:numFmt w:val="lowerLetter"/>
      <w:start w:val="24"/>
    </w:lvl>
    <w:lvl w:ilvl="1">
      <w:lvlJc w:val="left"/>
      <w:lvlText w:val="(%2)"/>
      <w:numFmt w:val="lowerLetter"/>
      <w:start w:val="3"/>
    </w:lvl>
  </w:abstractNum>
  <w:abstractNum w:abstractNumId="360">
    <w:nsid w:val="154291F6"/>
    <w:multiLevelType w:val="hybridMultilevel"/>
    <w:lvl w:ilvl="0">
      <w:lvlJc w:val="left"/>
      <w:lvlText w:val="(%1)"/>
      <w:numFmt w:val="lowerLetter"/>
      <w:start w:val="4"/>
    </w:lvl>
  </w:abstractNum>
  <w:abstractNum w:abstractNumId="361">
    <w:nsid w:val="3CEBD7C7"/>
    <w:multiLevelType w:val="hybridMultilevel"/>
    <w:lvl w:ilvl="0">
      <w:lvlJc w:val="left"/>
      <w:lvlText w:val="(%1)"/>
      <w:numFmt w:val="lowerLetter"/>
      <w:start w:val="1"/>
    </w:lvl>
  </w:abstractNum>
  <w:abstractNum w:abstractNumId="362">
    <w:nsid w:val="60EE9C16"/>
    <w:multiLevelType w:val="hybridMultilevel"/>
    <w:lvl w:ilvl="0">
      <w:lvlJc w:val="left"/>
      <w:lvlText w:val="(%1)"/>
      <w:numFmt w:val="lowerLetter"/>
      <w:start w:val="4"/>
    </w:lvl>
  </w:abstractNum>
  <w:abstractNum w:abstractNumId="363">
    <w:nsid w:val="6385489E"/>
    <w:multiLevelType w:val="hybridMultilevel"/>
    <w:lvl w:ilvl="0">
      <w:lvlJc w:val="left"/>
      <w:lvlText w:val="(%1)"/>
      <w:numFmt w:val="lowerLetter"/>
      <w:start w:val="2"/>
    </w:lvl>
  </w:abstractNum>
  <w:abstractNum w:abstractNumId="364">
    <w:nsid w:val="E4B973"/>
    <w:multiLevelType w:val="hybridMultilevel"/>
    <w:lvl w:ilvl="0">
      <w:lvlJc w:val="left"/>
      <w:lvlText w:val="(%1)"/>
      <w:numFmt w:val="lowerLetter"/>
      <w:start w:val="3"/>
    </w:lvl>
  </w:abstractNum>
  <w:abstractNum w:abstractNumId="365">
    <w:nsid w:val="4A0FFA11"/>
    <w:multiLevelType w:val="hybridMultilevel"/>
    <w:lvl w:ilvl="0">
      <w:lvlJc w:val="left"/>
      <w:lvlText w:val="(%1)"/>
      <w:numFmt w:val="lowerLetter"/>
      <w:start w:val="2"/>
    </w:lvl>
  </w:abstractNum>
  <w:abstractNum w:abstractNumId="366">
    <w:nsid w:val="5E446208"/>
    <w:multiLevelType w:val="hybridMultilevel"/>
    <w:lvl w:ilvl="0">
      <w:lvlJc w:val="left"/>
      <w:lvlText w:val="(%1)"/>
      <w:numFmt w:val="lowerLetter"/>
      <w:start w:val="2"/>
    </w:lvl>
  </w:abstractNum>
  <w:abstractNum w:abstractNumId="367">
    <w:nsid w:val="5F3272DB"/>
    <w:multiLevelType w:val="hybridMultilevel"/>
    <w:lvl w:ilvl="0">
      <w:lvlJc w:val="left"/>
      <w:lvlText w:val="(%1)"/>
      <w:numFmt w:val="lowerLetter"/>
      <w:start w:val="3"/>
    </w:lvl>
  </w:abstractNum>
  <w:abstractNum w:abstractNumId="368">
    <w:nsid w:val="7616D704"/>
    <w:multiLevelType w:val="hybridMultilevel"/>
    <w:lvl w:ilvl="0">
      <w:lvlJc w:val="left"/>
      <w:lvlText w:val="(%1)"/>
      <w:numFmt w:val="lowerLetter"/>
      <w:start w:val="2"/>
    </w:lvl>
  </w:abstractNum>
  <w:abstractNum w:abstractNumId="369">
    <w:nsid w:val="C56F860"/>
    <w:multiLevelType w:val="hybridMultilevel"/>
    <w:lvl w:ilvl="0">
      <w:lvlJc w:val="left"/>
      <w:lvlText w:val="(%1)"/>
      <w:numFmt w:val="lowerLetter"/>
      <w:start w:val="6"/>
    </w:lvl>
  </w:abstractNum>
  <w:abstractNum w:abstractNumId="370">
    <w:nsid w:val="64D17722"/>
    <w:multiLevelType w:val="hybridMultilevel"/>
    <w:lvl w:ilvl="0">
      <w:lvlJc w:val="left"/>
      <w:lvlText w:val="%1."/>
      <w:numFmt w:val="decimal"/>
      <w:start w:val="1"/>
    </w:lvl>
  </w:abstractNum>
  <w:abstractNum w:abstractNumId="371">
    <w:nsid w:val="7924CA0A"/>
    <w:multiLevelType w:val="hybridMultilevel"/>
    <w:lvl w:ilvl="0">
      <w:lvlJc w:val="left"/>
      <w:lvlText w:val="%1."/>
      <w:numFmt w:val="decimal"/>
      <w:start w:val="23"/>
    </w:lvl>
  </w:abstractNum>
  <w:abstractNum w:abstractNumId="372">
    <w:nsid w:val="CFD4EA7"/>
    <w:multiLevelType w:val="hybridMultilevel"/>
    <w:lvl w:ilvl="0">
      <w:lvlJc w:val="left"/>
      <w:lvlText w:val="%1."/>
      <w:numFmt w:val="decimal"/>
      <w:start w:val="50"/>
    </w:lvl>
  </w:abstractNum>
  <w:abstractNum w:abstractNumId="373">
    <w:nsid w:val="232FCF4D"/>
    <w:multiLevelType w:val="hybridMultilevel"/>
    <w:lvl w:ilvl="0">
      <w:lvlJc w:val="left"/>
      <w:lvlText w:val="%1."/>
      <w:numFmt w:val="upperLetter"/>
      <w:start w:val="1"/>
    </w:lvl>
  </w:abstractNum>
  <w:abstractNum w:abstractNumId="374">
    <w:nsid w:val="1EA21031"/>
    <w:multiLevelType w:val="hybridMultilevel"/>
    <w:lvl w:ilvl="0">
      <w:lvlJc w:val="left"/>
      <w:lvlText w:val="%1."/>
      <w:numFmt w:val="decimal"/>
      <w:start w:val="1"/>
    </w:lvl>
    <w:lvl w:ilvl="1">
      <w:lvlJc w:val="left"/>
      <w:lvlText w:val="(%2)"/>
      <w:numFmt w:val="lowerLetter"/>
      <w:start w:val="1"/>
    </w:lvl>
  </w:abstractNum>
  <w:abstractNum w:abstractNumId="375">
    <w:nsid w:val="67A5A6B5"/>
    <w:multiLevelType w:val="hybridMultilevel"/>
    <w:lvl w:ilvl="0">
      <w:lvlJc w:val="left"/>
      <w:lvlText w:val="(%1)"/>
      <w:numFmt w:val="lowerLetter"/>
      <w:start w:val="2"/>
    </w:lvl>
  </w:abstractNum>
  <w:abstractNum w:abstractNumId="376">
    <w:nsid w:val="C2A5C5B"/>
    <w:multiLevelType w:val="hybridMultilevel"/>
    <w:lvl w:ilvl="0">
      <w:lvlJc w:val="left"/>
      <w:lvlText w:val="(%1)"/>
      <w:numFmt w:val="lowerLetter"/>
      <w:start w:val="3"/>
    </w:lvl>
  </w:abstractNum>
  <w:abstractNum w:abstractNumId="377">
    <w:nsid w:val="5F94DC03"/>
    <w:multiLevelType w:val="hybridMultilevel"/>
    <w:lvl w:ilvl="0">
      <w:lvlJc w:val="left"/>
      <w:lvlText w:val="(%1)"/>
      <w:numFmt w:val="lowerLetter"/>
      <w:start w:val="4"/>
    </w:lvl>
  </w:abstractNum>
  <w:abstractNum w:abstractNumId="378">
    <w:nsid w:val="237BBCA0"/>
    <w:multiLevelType w:val="hybridMultilevel"/>
    <w:lvl w:ilvl="0">
      <w:lvlJc w:val="left"/>
      <w:lvlText w:val="%1."/>
      <w:numFmt w:val="decimal"/>
      <w:start w:val="3"/>
    </w:lvl>
  </w:abstractNum>
  <w:abstractNum w:abstractNumId="379">
    <w:nsid w:val="162EB70D"/>
    <w:multiLevelType w:val="hybridMultilevel"/>
    <w:lvl w:ilvl="0">
      <w:lvlJc w:val="left"/>
      <w:lvlText w:val="%1."/>
      <w:numFmt w:val="decimal"/>
      <w:start w:val="8"/>
    </w:lvl>
  </w:abstractNum>
  <w:abstractNum w:abstractNumId="380">
    <w:nsid w:val="78070222"/>
    <w:multiLevelType w:val="hybridMultilevel"/>
    <w:lvl w:ilvl="0">
      <w:lvlJc w:val="left"/>
      <w:lvlText w:val="(%1)"/>
      <w:numFmt w:val="lowerLetter"/>
      <w:start w:val="2"/>
    </w:lvl>
  </w:abstractNum>
  <w:abstractNum w:abstractNumId="381">
    <w:nsid w:val="6163ED0D"/>
    <w:multiLevelType w:val="hybridMultilevel"/>
    <w:lvl w:ilvl="0">
      <w:lvlJc w:val="left"/>
      <w:lvlText w:val="%1"/>
      <w:numFmt w:val="lowerLetter"/>
      <w:start w:val="1"/>
    </w:lvl>
    <w:lvl w:ilvl="1">
      <w:lvlJc w:val="left"/>
      <w:lvlText w:val="(%2)"/>
      <w:numFmt w:val="lowerLetter"/>
      <w:start w:val="9"/>
    </w:lvl>
  </w:abstractNum>
  <w:abstractNum w:abstractNumId="382">
    <w:nsid w:val="C600E47"/>
    <w:multiLevelType w:val="hybridMultilevel"/>
    <w:lvl w:ilvl="0">
      <w:lvlJc w:val="left"/>
      <w:lvlText w:val="(%1)"/>
      <w:numFmt w:val="lowerLetter"/>
      <w:start w:val="25"/>
    </w:lvl>
    <w:lvl w:ilvl="1">
      <w:lvlJc w:val="left"/>
      <w:lvlText w:val="(%2)"/>
      <w:numFmt w:val="lowerLetter"/>
      <w:start w:val="35"/>
    </w:lvl>
  </w:abstractNum>
  <w:abstractNum w:abstractNumId="383">
    <w:nsid w:val="7D94F75D"/>
    <w:multiLevelType w:val="hybridMultilevel"/>
    <w:lvl w:ilvl="0">
      <w:lvlJc w:val="left"/>
      <w:lvlText w:val="(%1)"/>
      <w:numFmt w:val="lowerRoman"/>
      <w:start w:val="3"/>
    </w:lvl>
  </w:abstractNum>
  <w:abstractNum w:abstractNumId="384">
    <w:nsid w:val="6C31E7CD"/>
    <w:multiLevelType w:val="hybridMultilevel"/>
    <w:lvl w:ilvl="0">
      <w:lvlJc w:val="left"/>
      <w:lvlText w:val="(%1)"/>
      <w:numFmt w:val="decimal"/>
      <w:start w:val="1"/>
    </w:lvl>
  </w:abstractNum>
  <w:abstractNum w:abstractNumId="385">
    <w:nsid w:val="2BB7929B"/>
    <w:multiLevelType w:val="hybridMultilevel"/>
    <w:lvl w:ilvl="0">
      <w:lvlJc w:val="left"/>
      <w:lvlText w:val="(%1)"/>
      <w:numFmt w:val="lowerRoman"/>
      <w:start w:val="1"/>
    </w:lvl>
  </w:abstractNum>
  <w:abstractNum w:abstractNumId="386">
    <w:nsid w:val="58A2A487"/>
    <w:multiLevelType w:val="hybridMultilevel"/>
    <w:lvl w:ilvl="0">
      <w:lvlJc w:val="left"/>
      <w:lvlText w:val="(%1)"/>
      <w:numFmt w:val="lowerRoman"/>
      <w:start w:val="2"/>
    </w:lvl>
  </w:abstractNum>
  <w:abstractNum w:abstractNumId="387">
    <w:nsid w:val="3A6F0E78"/>
    <w:multiLevelType w:val="hybridMultilevel"/>
    <w:lvl w:ilvl="0">
      <w:lvlJc w:val="left"/>
      <w:lvlText w:val="(%1)"/>
      <w:numFmt w:val="lowerLetter"/>
      <w:start w:val="1"/>
    </w:lvl>
  </w:abstractNum>
  <w:abstractNum w:abstractNumId="388">
    <w:nsid w:val="379A5B56"/>
    <w:multiLevelType w:val="hybridMultilevel"/>
    <w:lvl w:ilvl="0">
      <w:lvlJc w:val="left"/>
      <w:lvlText w:val="(%1)"/>
      <w:numFmt w:val="lowerLetter"/>
      <w:start w:val="1"/>
    </w:lvl>
  </w:abstractNum>
  <w:abstractNum w:abstractNumId="389">
    <w:nsid w:val="53B735D5"/>
    <w:multiLevelType w:val="hybridMultilevel"/>
    <w:lvl w:ilvl="0">
      <w:lvlJc w:val="left"/>
      <w:lvlText w:val="(%1)"/>
      <w:numFmt w:val="lowerLetter"/>
      <w:start w:val="5"/>
    </w:lvl>
  </w:abstractNum>
  <w:abstractNum w:abstractNumId="390">
    <w:nsid w:val="29784870"/>
    <w:multiLevelType w:val="hybridMultilevel"/>
    <w:lvl w:ilvl="0">
      <w:lvlJc w:val="left"/>
      <w:lvlText w:val="(%1)"/>
      <w:numFmt w:val="lowerLetter"/>
      <w:start w:val="1"/>
    </w:lvl>
  </w:abstractNum>
  <w:abstractNum w:abstractNumId="391">
    <w:nsid w:val="4CDCED4C"/>
    <w:multiLevelType w:val="hybridMultilevel"/>
    <w:lvl w:ilvl="0">
      <w:lvlJc w:val="left"/>
      <w:lvlText w:val="(%1)"/>
      <w:numFmt w:val="lowerLetter"/>
      <w:start w:val="1"/>
    </w:lvl>
  </w:abstractNum>
  <w:abstractNum w:abstractNumId="392">
    <w:nsid w:val="10A30D9C"/>
    <w:multiLevelType w:val="hybridMultilevel"/>
    <w:lvl w:ilvl="0">
      <w:lvlJc w:val="left"/>
      <w:lvlText w:val="(%1)"/>
      <w:numFmt w:val="lowerLetter"/>
      <w:start w:val="1"/>
    </w:lvl>
  </w:abstractNum>
  <w:abstractNum w:abstractNumId="393">
    <w:nsid w:val="A66E486"/>
    <w:multiLevelType w:val="hybridMultilevel"/>
    <w:lvl w:ilvl="0">
      <w:lvlJc w:val="left"/>
      <w:lvlText w:val="(%1)"/>
      <w:numFmt w:val="lowerLetter"/>
      <w:start w:val="1"/>
    </w:lvl>
  </w:abstractNum>
  <w:abstractNum w:abstractNumId="394">
    <w:nsid w:val="306235EA"/>
    <w:multiLevelType w:val="hybridMultilevel"/>
    <w:lvl w:ilvl="0">
      <w:lvlJc w:val="left"/>
      <w:lvlText w:val="(%1)"/>
      <w:numFmt w:val="lowerLetter"/>
      <w:start w:val="3"/>
    </w:lvl>
  </w:abstractNum>
  <w:abstractNum w:abstractNumId="395">
    <w:nsid w:val="1187C70F"/>
    <w:multiLevelType w:val="hybridMultilevel"/>
    <w:lvl w:ilvl="0">
      <w:lvlJc w:val="left"/>
      <w:lvlText w:val="(%1)"/>
      <w:numFmt w:val="lowerLetter"/>
      <w:start w:val="1"/>
    </w:lvl>
  </w:abstractNum>
  <w:abstractNum w:abstractNumId="396">
    <w:nsid w:val="5476DE98"/>
    <w:multiLevelType w:val="hybridMultilevel"/>
    <w:lvl w:ilvl="0">
      <w:lvlJc w:val="left"/>
      <w:lvlText w:val="(%1)"/>
      <w:numFmt w:val="lowerLetter"/>
      <w:start w:val="1"/>
    </w:lvl>
  </w:abstractNum>
  <w:abstractNum w:abstractNumId="397">
    <w:nsid w:val="EA697F2"/>
    <w:multiLevelType w:val="hybridMultilevel"/>
    <w:lvl w:ilvl="0">
      <w:lvlJc w:val="left"/>
      <w:lvlText w:val="(%1)"/>
      <w:numFmt w:val="lowerRoman"/>
      <w:start w:val="1"/>
    </w:lvl>
  </w:abstractNum>
  <w:abstractNum w:abstractNumId="398">
    <w:nsid w:val="70BA39EB"/>
    <w:multiLevelType w:val="hybridMultilevel"/>
    <w:lvl w:ilvl="0">
      <w:lvlJc w:val="left"/>
      <w:lvlText w:val="%1"/>
      <w:numFmt w:val="lowerLetter"/>
      <w:start w:val="1"/>
    </w:lvl>
    <w:lvl w:ilvl="1">
      <w:lvlJc w:val="left"/>
      <w:lvlText w:val="(%2)"/>
      <w:numFmt w:val="lowerRoman"/>
      <w:start w:val="8"/>
    </w:lvl>
  </w:abstractNum>
  <w:abstractNum w:abstractNumId="399">
    <w:nsid w:val="4A8DB59C"/>
    <w:multiLevelType w:val="hybridMultilevel"/>
    <w:lvl w:ilvl="0">
      <w:lvlJc w:val="left"/>
      <w:lvlText w:val="(%1)"/>
      <w:numFmt w:val="lowerLetter"/>
      <w:start w:val="2"/>
    </w:lvl>
    <w:lvl w:ilvl="1">
      <w:lvlJc w:val="left"/>
      <w:lvlText w:val="%2"/>
      <w:numFmt w:val="lowerRoman"/>
      <w:start w:val="1"/>
    </w:lvl>
  </w:abstractNum>
  <w:abstractNum w:abstractNumId="400">
    <w:nsid w:val="1AFD9053"/>
    <w:multiLevelType w:val="hybridMultilevel"/>
    <w:lvl w:ilvl="0">
      <w:lvlJc w:val="left"/>
      <w:lvlText w:val="(%1)"/>
      <w:numFmt w:val="lowerRoman"/>
      <w:start w:val="1"/>
    </w:lvl>
  </w:abstractNum>
  <w:abstractNum w:abstractNumId="401">
    <w:nsid w:val="558BB10D"/>
    <w:multiLevelType w:val="hybridMultilevel"/>
    <w:lvl w:ilvl="0">
      <w:lvlJc w:val="left"/>
      <w:lvlText w:val="(%1)"/>
      <w:numFmt w:val="lowerLetter"/>
      <w:start w:val="3"/>
    </w:lvl>
  </w:abstractNum>
  <w:abstractNum w:abstractNumId="402">
    <w:nsid w:val="43B27FA7"/>
    <w:multiLevelType w:val="hybridMultilevel"/>
    <w:lvl w:ilvl="0">
      <w:lvlJc w:val="left"/>
      <w:lvlText w:val="(%1)"/>
      <w:numFmt w:val="lowerLetter"/>
      <w:start w:val="1"/>
    </w:lvl>
  </w:abstractNum>
  <w:abstractNum w:abstractNumId="403">
    <w:nsid w:val="27FADEFA"/>
    <w:multiLevelType w:val="hybridMultilevel"/>
    <w:lvl w:ilvl="0">
      <w:lvlJc w:val="left"/>
      <w:lvlText w:val="(%1)"/>
      <w:numFmt w:val="lowerLetter"/>
      <w:start w:val="4"/>
    </w:lvl>
  </w:abstractNum>
  <w:abstractNum w:abstractNumId="404">
    <w:nsid w:val="78BB805A"/>
    <w:multiLevelType w:val="hybridMultilevel"/>
    <w:lvl w:ilvl="0">
      <w:lvlJc w:val="left"/>
      <w:lvlText w:val="(%1)"/>
      <w:numFmt w:val="lowerLetter"/>
      <w:start w:val="1"/>
    </w:lvl>
  </w:abstractNum>
  <w:abstractNum w:abstractNumId="405">
    <w:nsid w:val="62548FD8"/>
    <w:multiLevelType w:val="hybridMultilevel"/>
    <w:lvl w:ilvl="0">
      <w:lvlJc w:val="left"/>
      <w:lvlText w:val="(%1)"/>
      <w:numFmt w:val="lowerLetter"/>
      <w:start w:val="2"/>
    </w:lvl>
  </w:abstractNum>
  <w:abstractNum w:abstractNumId="406">
    <w:nsid w:val="FA085B0"/>
    <w:multiLevelType w:val="hybridMultilevel"/>
    <w:lvl w:ilvl="0">
      <w:lvlJc w:val="left"/>
      <w:lvlText w:val="(%1)"/>
      <w:numFmt w:val="lowerRoman"/>
      <w:start w:val="1"/>
    </w:lvl>
  </w:abstractNum>
  <w:abstractNum w:abstractNumId="407">
    <w:nsid w:val="4E5DCB5"/>
    <w:multiLevelType w:val="hybridMultilevel"/>
    <w:lvl w:ilvl="0">
      <w:lvlJc w:val="left"/>
      <w:lvlText w:val="(%1)"/>
      <w:numFmt w:val="lowerLetter"/>
      <w:start w:val="2"/>
    </w:lvl>
  </w:abstractNum>
  <w:abstractNum w:abstractNumId="408">
    <w:nsid w:val="41E96BDB"/>
    <w:multiLevelType w:val="hybridMultilevel"/>
    <w:lvl w:ilvl="0">
      <w:lvlJc w:val="left"/>
      <w:lvlText w:val="%1."/>
      <w:numFmt w:val="upperLetter"/>
      <w:start w:val="1"/>
    </w:lvl>
  </w:abstractNum>
  <w:abstractNum w:abstractNumId="409">
    <w:nsid w:val="331C4250"/>
    <w:multiLevelType w:val="hybridMultilevel"/>
    <w:lvl w:ilvl="0">
      <w:lvlJc w:val="left"/>
      <w:lvlText w:val="1"/>
      <w:numFmt w:val="bullet"/>
      <w:start w:val="1"/>
    </w:lvl>
  </w:abstractNum>
  <w:abstractNum w:abstractNumId="410">
    <w:nsid w:val="1B1493C2"/>
    <w:multiLevelType w:val="hybridMultilevel"/>
    <w:lvl w:ilvl="0">
      <w:lvlJc w:val="left"/>
      <w:lvlText w:val="(%1)"/>
      <w:numFmt w:val="lowerRoman"/>
      <w:start w:val="2"/>
    </w:lvl>
  </w:abstractNum>
  <w:abstractNum w:abstractNumId="411">
    <w:nsid w:val="39F06DFD"/>
    <w:multiLevelType w:val="hybridMultilevel"/>
    <w:lvl w:ilvl="0">
      <w:lvlJc w:val="left"/>
      <w:lvlText w:val="%1."/>
      <w:numFmt w:val="upperLetter"/>
      <w:start w:val="1"/>
    </w:lvl>
  </w:abstractNum>
  <w:abstractNum w:abstractNumId="412">
    <w:nsid w:val="14802F5D"/>
    <w:multiLevelType w:val="hybridMultilevel"/>
    <w:lvl w:ilvl="0">
      <w:lvlJc w:val="left"/>
      <w:lvlText w:val="(%1)"/>
      <w:numFmt w:val="lowerRoman"/>
      <w:start w:val="2"/>
    </w:lvl>
  </w:abstractNum>
  <w:abstractNum w:abstractNumId="413">
    <w:nsid w:val="2774A209"/>
    <w:multiLevelType w:val="hybridMultilevel"/>
    <w:lvl w:ilvl="0">
      <w:lvlJc w:val="left"/>
      <w:lvlText w:val="(%1)"/>
      <w:numFmt w:val="lowerRoman"/>
      <w:start w:val="3"/>
    </w:lvl>
  </w:abstractNum>
  <w:abstractNum w:abstractNumId="414">
    <w:nsid w:val="3785655A"/>
    <w:multiLevelType w:val="hybridMultilevel"/>
    <w:lvl w:ilvl="0">
      <w:lvlJc w:val="left"/>
      <w:lvlText w:val="%1."/>
      <w:numFmt w:val="decimal"/>
      <w:start w:val="1"/>
    </w:lvl>
  </w:abstractNum>
  <w:abstractNum w:abstractNumId="415">
    <w:nsid w:val="B2172A"/>
    <w:multiLevelType w:val="hybridMultilevel"/>
    <w:lvl w:ilvl="0">
      <w:lvlJc w:val="left"/>
      <w:lvlText w:val="%1."/>
      <w:numFmt w:val="decimal"/>
      <w:start w:val="4"/>
    </w:lvl>
  </w:abstractNum>
  <w:abstractNum w:abstractNumId="416">
    <w:nsid w:val="532C34A5"/>
    <w:multiLevelType w:val="hybridMultilevel"/>
    <w:lvl w:ilvl="0">
      <w:lvlJc w:val="left"/>
      <w:lvlText w:val="%1."/>
      <w:numFmt w:val="decimal"/>
      <w:start w:val="5"/>
    </w:lvl>
  </w:abstractNum>
  <w:abstractNum w:abstractNumId="417">
    <w:nsid w:val="102809E2"/>
    <w:multiLevelType w:val="hybridMultilevel"/>
    <w:lvl w:ilvl="0">
      <w:lvlJc w:val="left"/>
      <w:lvlText w:val="%1."/>
      <w:numFmt w:val="decimal"/>
      <w:start w:val="7"/>
    </w:lvl>
  </w:abstractNum>
  <w:abstractNum w:abstractNumId="418">
    <w:nsid w:val="3B2125A3"/>
    <w:multiLevelType w:val="hybridMultilevel"/>
    <w:lvl w:ilvl="0">
      <w:lvlJc w:val="left"/>
      <w:lvlText w:val="%1."/>
      <w:numFmt w:val="decimal"/>
      <w:start w:val="8"/>
    </w:lvl>
  </w:abstractNum>
  <w:abstractNum w:abstractNumId="419">
    <w:nsid w:val="AC68FFB"/>
    <w:multiLevelType w:val="hybridMultilevel"/>
    <w:lvl w:ilvl="0">
      <w:lvlJc w:val="left"/>
      <w:lvlText w:val="%1."/>
      <w:numFmt w:val="decimal"/>
      <w:start w:val="10"/>
    </w:lvl>
  </w:abstractNum>
  <w:abstractNum w:abstractNumId="420">
    <w:nsid w:val="63DF3FB7"/>
    <w:multiLevelType w:val="hybridMultilevel"/>
    <w:lvl w:ilvl="0">
      <w:lvlJc w:val="left"/>
      <w:lvlText w:val="%1."/>
      <w:numFmt w:val="decimal"/>
      <w:start w:val="16"/>
    </w:lvl>
  </w:abstractNum>
  <w:abstractNum w:abstractNumId="421">
    <w:nsid w:val="64996E13"/>
    <w:multiLevelType w:val="hybridMultilevel"/>
    <w:lvl w:ilvl="0">
      <w:lvlJc w:val="left"/>
      <w:lvlText w:val="%1."/>
      <w:numFmt w:val="decimal"/>
      <w:start w:val="1"/>
    </w:lvl>
  </w:abstractNum>
  <w:abstractNum w:abstractNumId="422">
    <w:nsid w:val="57A37D47"/>
    <w:multiLevelType w:val="hybridMultilevel"/>
    <w:lvl w:ilvl="0">
      <w:lvlJc w:val="left"/>
      <w:lvlText w:val="%1."/>
      <w:numFmt w:val="decimal"/>
      <w:start w:val="4"/>
    </w:lvl>
  </w:abstractNum>
  <w:abstractNum w:abstractNumId="423">
    <w:nsid w:val="74824D54"/>
    <w:multiLevelType w:val="hybridMultilevel"/>
    <w:lvl w:ilvl="0">
      <w:lvlJc w:val="left"/>
      <w:lvlText w:val="%1."/>
      <w:numFmt w:val="decimal"/>
      <w:start w:val="5"/>
    </w:lvl>
  </w:abstractNum>
  <w:abstractNum w:abstractNumId="424">
    <w:nsid w:val="6F00529A"/>
    <w:multiLevelType w:val="hybridMultilevel"/>
    <w:lvl w:ilvl="0">
      <w:lvlJc w:val="left"/>
      <w:lvlText w:val="%1."/>
      <w:numFmt w:val="decimal"/>
      <w:start w:val="8"/>
    </w:lvl>
  </w:abstractNum>
  <w:abstractNum w:abstractNumId="425">
    <w:nsid w:val="805B331"/>
    <w:multiLevelType w:val="hybridMultilevel"/>
    <w:lvl w:ilvl="0">
      <w:lvlJc w:val="left"/>
      <w:lvlText w:val="%1."/>
      <w:numFmt w:val="decimal"/>
      <w:start w:val="12"/>
    </w:lvl>
  </w:abstractNum>
  <w:abstractNum w:abstractNumId="426">
    <w:nsid w:val="60A1463"/>
    <w:multiLevelType w:val="hybridMultilevel"/>
    <w:lvl w:ilvl="0">
      <w:lvlJc w:val="left"/>
      <w:lvlText w:val="%1."/>
      <w:numFmt w:val="decimal"/>
      <w:start w:val="19"/>
    </w:lvl>
  </w:abstractNum>
  <w:abstractNum w:abstractNumId="427">
    <w:nsid w:val="43773132"/>
    <w:multiLevelType w:val="hybridMultilevel"/>
    <w:lvl w:ilvl="0">
      <w:lvlJc w:val="left"/>
      <w:lvlText w:val="%1."/>
      <w:numFmt w:val="decimal"/>
      <w:start w:val="1"/>
    </w:lvl>
    <w:lvl w:ilvl="1">
      <w:lvlJc w:val="left"/>
      <w:lvlText w:val="(%2)"/>
      <w:numFmt w:val="lowerLetter"/>
      <w:start w:val="1"/>
    </w:lvl>
  </w:abstractNum>
  <w:abstractNum w:abstractNumId="428">
    <w:nsid w:val="16AC4B23"/>
    <w:multiLevelType w:val="hybridMultilevel"/>
    <w:lvl w:ilvl="0">
      <w:lvlJc w:val="left"/>
      <w:lvlText w:val="%1."/>
      <w:numFmt w:val="decimal"/>
      <w:start w:val="1"/>
    </w:lvl>
    <w:lvl w:ilvl="1">
      <w:lvlJc w:val="left"/>
      <w:lvlText w:val="(%2)"/>
      <w:numFmt w:val="lowerLetter"/>
      <w:start w:val="1"/>
    </w:lvl>
  </w:abstractNum>
  <w:abstractNum w:abstractNumId="429">
    <w:nsid w:val="76C44E4E"/>
    <w:multiLevelType w:val="hybridMultilevel"/>
    <w:lvl w:ilvl="0">
      <w:lvlJc w:val="left"/>
      <w:lvlText w:val="(%1)"/>
      <w:numFmt w:val="decimal"/>
      <w:start w:val="1"/>
    </w:lvl>
  </w:abstractNum>
  <w:abstractNum w:abstractNumId="430">
    <w:nsid w:val="E04E6C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jpe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68" Type="http://schemas.openxmlformats.org/officeDocument/2006/relationships/hyperlink" Target="http://www.sec.gov/Archives/edgar/data/1546417/000119312512352193/d394531dex41.htm" TargetMode="External"/><Relationship Id="rId69" Type="http://schemas.openxmlformats.org/officeDocument/2006/relationships/hyperlink" Target="http://www.sec.gov/Archives/edgar/data/1546417/000119312512352193/d394531dex42.htm" TargetMode="External"/><Relationship Id="rId70" Type="http://schemas.openxmlformats.org/officeDocument/2006/relationships/hyperlink" Target="http://www.sec.gov/Archives/edgar/data/1546417/000119312512306157/d319863dex41.htm" TargetMode="External"/><Relationship Id="rId71" Type="http://schemas.openxmlformats.org/officeDocument/2006/relationships/hyperlink" Target="http://www.sec.gov/Archives/edgar/data/1546417/000119312512153440/d319863dex106.htm" TargetMode="External"/><Relationship Id="rId72" Type="http://schemas.openxmlformats.org/officeDocument/2006/relationships/hyperlink" Target="http://www.sec.gov/Archives/edgar/data/1546417/000154641714000131/blmn-62914_ex106.htm" TargetMode="External"/><Relationship Id="rId73" Type="http://schemas.openxmlformats.org/officeDocument/2006/relationships/hyperlink" Target="http://www.sec.gov/Archives/edgar/data/1546417/000154641717000069/blmn-062517_ex101.htm" TargetMode="External"/><Relationship Id="rId74" Type="http://schemas.openxmlformats.org/officeDocument/2006/relationships/hyperlink" Target="http://www.sec.gov/Archives/edgar/data/1546417/000119312512153440/d319863dex108.htm" TargetMode="External"/><Relationship Id="rId75" Type="http://schemas.openxmlformats.org/officeDocument/2006/relationships/hyperlink" Target="http://www.sec.gov/Archives/edgar/data/1546417/000119312512236988/d319863dex1052.htm" TargetMode="External"/><Relationship Id="rId76" Type="http://schemas.openxmlformats.org/officeDocument/2006/relationships/hyperlink" Target="http://www.sec.gov/Archives/edgar/data/1546417/000154641714000056/blmn-123113_ex1028.htm" TargetMode="External"/><Relationship Id="rId77" Type="http://schemas.openxmlformats.org/officeDocument/2006/relationships/hyperlink" Target="http://www.sec.gov/Archives/edgar/data/1546417/000119312512153440/d319863dex1046.htm" TargetMode="External"/><Relationship Id="rId78" Type="http://schemas.openxmlformats.org/officeDocument/2006/relationships/hyperlink" Target="http://www.sec.gov/Archives/edgar/data/1546417/000119312512153440/d319863dex101.htm" TargetMode="External"/><Relationship Id="rId79" Type="http://schemas.openxmlformats.org/officeDocument/2006/relationships/hyperlink" Target="http://www.sec.gov/Archives/edgar/data/1546417/000119312512153440/d319863dex1042.htm" TargetMode="External"/><Relationship Id="rId80" Type="http://schemas.openxmlformats.org/officeDocument/2006/relationships/hyperlink" Target="http://www.sec.gov/Archives/edgar/data/1546417/000119312512306157/d319863dex102.htm" TargetMode="External"/><Relationship Id="rId81" Type="http://schemas.openxmlformats.org/officeDocument/2006/relationships/hyperlink" Target="http://www.sec.gov/Archives/edgar/data/1546417/000154641712000034/exhibit102-formofnonqualif.htm" TargetMode="External"/><Relationship Id="rId82" Type="http://schemas.openxmlformats.org/officeDocument/2006/relationships/hyperlink" Target="http://www.sec.gov/Archives/edgar/data/1546417/000154641712000034/exhibit103-formofrestricte.htm" TargetMode="External"/><Relationship Id="rId83" Type="http://schemas.openxmlformats.org/officeDocument/2006/relationships/hyperlink" Target="http://www.sec.gov/Archives/edgar/data/1546417/000154641712000034/exhibit104-formofrestricte.htm" TargetMode="External"/><Relationship Id="rId84" Type="http://schemas.openxmlformats.org/officeDocument/2006/relationships/hyperlink" Target="http://www.sec.gov/Archives/edgar/data/1546417/000154641713000118/blmn-93013_ex101.htm" TargetMode="External"/><Relationship Id="rId85" Type="http://schemas.openxmlformats.org/officeDocument/2006/relationships/hyperlink" Target="http://www.sec.gov/Archives/edgar/data/1546417/000154641713000118/blmn-93013_ex102.htm" TargetMode="External"/><Relationship Id="rId86" Type="http://schemas.openxmlformats.org/officeDocument/2006/relationships/hyperlink" Target="http://www.sec.gov/Archives/edgar/data/1546417/000154641712000034/exhibit105-formofperforman.htm" TargetMode="External"/><Relationship Id="rId87" Type="http://schemas.openxmlformats.org/officeDocument/2006/relationships/hyperlink" Target="http://www.sec.gov/Archives/edgar/data/1546417/000119312512306157/d319863dex1039.htm" TargetMode="External"/><Relationship Id="rId88" Type="http://schemas.openxmlformats.org/officeDocument/2006/relationships/hyperlink" Target="http://www.sec.gov/Archives/edgar/data/1546417/000119312516500868/d94759ddef14a.htm" TargetMode="External"/><Relationship Id="rId89" Type="http://schemas.openxmlformats.org/officeDocument/2006/relationships/hyperlink" Target="http://www.sec.gov/Archives/edgar/data/1546417/000154641716000179/blmn-62616_ex102.htm" TargetMode="External"/><Relationship Id="rId90" Type="http://schemas.openxmlformats.org/officeDocument/2006/relationships/hyperlink" Target="http://www.sec.gov/Archives/edgar/data/1546417/000154641716000179/blmn-62616_ex103.htm" TargetMode="External"/><Relationship Id="rId91" Type="http://schemas.openxmlformats.org/officeDocument/2006/relationships/hyperlink" Target="http://www.sec.gov/Archives/edgar/data/1546417/000154641716000179/blmn-62616_ex104.htm" TargetMode="External"/><Relationship Id="rId92" Type="http://schemas.openxmlformats.org/officeDocument/2006/relationships/hyperlink" Target="http://www.sec.gov/Archives/edgar/data/1546417/000154641716000179/blmn-62616_ex105.htm" TargetMode="External"/><Relationship Id="rId93" Type="http://schemas.openxmlformats.org/officeDocument/2006/relationships/hyperlink" Target="http://www.sec.gov/Archives/edgar/data/1546417/000154641717000056/blmn-032617_ex101.htm" TargetMode="External"/><Relationship Id="rId94" Type="http://schemas.openxmlformats.org/officeDocument/2006/relationships/hyperlink" Target="http://www.sec.gov/Archives/edgar/data/1546417/000154641712000034/exhibit101-executivechange.htm" TargetMode="External"/><Relationship Id="rId95" Type="http://schemas.openxmlformats.org/officeDocument/2006/relationships/hyperlink" Target="http://www.sec.gov/Archives/edgar/data/1546417/000154641712000011/blmn-63012_ex101.htm" TargetMode="External"/><Relationship Id="rId96" Type="http://schemas.openxmlformats.org/officeDocument/2006/relationships/hyperlink" Target="http://www.sec.gov/Archives/edgar/data/1546417/000119312512153440/d319863dex1040.htm" TargetMode="External"/><Relationship Id="rId97" Type="http://schemas.openxmlformats.org/officeDocument/2006/relationships/hyperlink" Target="http://www.sec.gov/Archives/edgar/data/1546417/000119312512153440/d319863dex1041.htm" TargetMode="External"/><Relationship Id="rId98" Type="http://schemas.openxmlformats.org/officeDocument/2006/relationships/hyperlink" Target="http://www.sec.gov/Archives/edgar/data/1546417/000119312512236988/d319863dex1053.htm" TargetMode="External"/><Relationship Id="rId99" Type="http://schemas.openxmlformats.org/officeDocument/2006/relationships/hyperlink" Target="http://www.sec.gov/Archives/edgar/data/1546417/000154641714000131/blmn-62914_ex107.htm" TargetMode="External"/><Relationship Id="rId100" Type="http://schemas.openxmlformats.org/officeDocument/2006/relationships/hyperlink" Target="http://www.sec.gov/Archives/edgar/data/1546417/000119312512153440/d319863dex1029.htm" TargetMode="External"/><Relationship Id="rId101" Type="http://schemas.openxmlformats.org/officeDocument/2006/relationships/hyperlink" Target="http://www.sec.gov/Archives/edgar/data/1546417/000119312512153440/d319863dex1048.htm" TargetMode="External"/><Relationship Id="rId102" Type="http://schemas.openxmlformats.org/officeDocument/2006/relationships/hyperlink" Target="http://www.sec.gov/Archives/edgar/data/1546417/000154641715000027/blmn-122814_ex1058.htm" TargetMode="External"/><Relationship Id="rId103" Type="http://schemas.openxmlformats.org/officeDocument/2006/relationships/hyperlink" Target="http://www.sec.gov/Archives/edgar/data/1546417/000154641716000109/blmn-122715_ex1057.htm" TargetMode="External"/><Relationship Id="rId104" Type="http://schemas.openxmlformats.org/officeDocument/2006/relationships/hyperlink" Target="http://www.sec.gov/Archives/edgar/data/1546417/000154641716000154/blmn-32716_ex103.htm" TargetMode="External"/><Relationship Id="rId105" Type="http://schemas.openxmlformats.org/officeDocument/2006/relationships/hyperlink" Target="http://www.sec.gov/Archives/edgar/data/1546417/000154641716000209/blmn-92516_ex102.htm" TargetMode="External"/><Relationship Id="rId106" Type="http://schemas.openxmlformats.org/officeDocument/2006/relationships/hyperlink" Target="http://www.sec.gov/Archives/edgar/data/1546417/000154641716000209/blmn-92516_ex103.htm" TargetMode="External"/><Relationship Id="rId107" Type="http://schemas.openxmlformats.org/officeDocument/2006/relationships/hyperlink" Target="http://www.sec.gov/Archives/edgar/data/1546417/000154641714000111/ex103registrationrights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2019-12-29T01:08:38Z</dcterms:created>
  <dcterms:modified xsi:type="dcterms:W3CDTF">2019-12-29T01:08:38Z</dcterms:modified>
</cp:coreProperties>
</file>