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4720.xml.htm"/>
      <w:bookmarkStart w:id="1" w:name="kswkform4_1788904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Pace Philip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60,287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3, 2024, these restricted stock units ("RSU") were granted in the original amount of 12,962, which vest 50% on the 12-month anniversary of the grant date; 25% on the 18-month anniversary of the grant date; and 25% on the 24-month anniversary of the grant date; with a final vesting in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722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3684</Characters>
  <CharactersWithSpaces>4292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