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Bloomin'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JEFFREY C. SMITH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STARBOARD VALUE LP, 777 Third Avenue,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212-845-7977</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MEAGAN REDA,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Value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(7)(9)(11)(13): Possesses economic exposure to an aggregate of 7,980,992 Shares (representing</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approximately 9.3% of the outstanding Shares) due to certain cash-settled total return swaps as further explained in</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Item 6. The aggregate percentage of Shares reported owned by each person named herein is based upon 85,614,287</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outstanding, as of May 4, 2026, as reported in the Issuer's Quarterly Report on Form 10-Q filed with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Securities and Exchange Commission on May 7,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VALUE &amp; OPPORTUNITY MASTER FUND LTD</w:t>
      </w:r>
    </w:p>
    <w:p>
      <w:pPr>
        <w:sectPr>
          <w:pgSz w:w="11900" w:h="16838" w:orient="portrait"/>
          <w:cols w:equalWidth="0" w:num="1">
            <w:col w:w="11240"/>
          </w:cols>
          <w:pgMar w:left="320" w:top="110" w:right="339" w:bottom="0" w:gutter="0" w:footer="0" w:header="0"/>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2,608,403.00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2,608,403.00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2,608,403.00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Note to rows (7)(9)(11)(13): Possesses economic exposure to an aggregate of 4,979,116 Shares (representing approximately 5.8% of the outstanding Shares) due to certain cash-settled total return swaps as further explained in Item 6. The aggregate percentage of Shares reported owned by each person named herein is based upon 85,614,287</w:t>
      </w:r>
    </w:p>
    <w:p>
      <w:pPr>
        <w:spacing w:after="0" w:line="1" w:lineRule="exact"/>
        <w:rPr>
          <w:sz w:val="20"/>
          <w:szCs w:val="20"/>
          <w:color w:val="auto"/>
        </w:rPr>
      </w:pPr>
    </w:p>
    <w:p>
      <w:pPr>
        <w:sectPr>
          <w:pgSz w:w="11900" w:h="16838" w:orient="portrait"/>
          <w:cols w:equalWidth="0" w:num="2">
            <w:col w:w="820" w:space="100"/>
            <w:col w:w="10320"/>
          </w:cols>
          <w:pgMar w:left="320" w:top="111" w:right="339" w:bottom="0" w:gutter="0" w:footer="0" w:header="0"/>
          <w:type w:val="continuous"/>
        </w:sectPr>
      </w:pPr>
    </w:p>
    <w:p>
      <w:pPr>
        <w:spacing w:after="0" w:line="184"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outstanding, as of May 4, 2026, as reported in the Issuer's Quarterly Report on Form 10-Q filed with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Securities and Exchange Commission on May 7, 2026.</w:t>
      </w: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VALUE &amp; OPPORTUNITY 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ectPr>
          <w:pgSz w:w="11900" w:h="16838" w:orient="portrait"/>
          <w:cols w:equalWidth="0" w:num="1">
            <w:col w:w="11240"/>
          </w:cols>
          <w:pgMar w:left="320" w:top="111" w:right="339" w:bottom="0" w:gutter="0" w:footer="0" w:header="0"/>
          <w:type w:val="continuous"/>
        </w:sectPr>
      </w:pPr>
    </w:p>
    <w:bookmarkStart w:id="3" w:name="page4"/>
    <w:bookmarkEnd w:id="3"/>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315,176.00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315,176.00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315,176.00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Note to rows (7)(9)(11)(13): Possesses economic exposure to an aggregate of 601,631 Shares (representing approximately 0.7% of the outstanding Shares) due to certain cash-settled total return swaps as further explained in Item 6. The aggregate percentage of Shares reported owned by each person named herein is based upon 85,614,287</w:t>
      </w:r>
    </w:p>
    <w:p>
      <w:pPr>
        <w:spacing w:after="0" w:line="1" w:lineRule="exact"/>
        <w:rPr>
          <w:sz w:val="20"/>
          <w:szCs w:val="20"/>
          <w:color w:val="auto"/>
        </w:rPr>
      </w:pPr>
    </w:p>
    <w:p>
      <w:pPr>
        <w:sectPr>
          <w:pgSz w:w="11900" w:h="16838" w:orient="portrait"/>
          <w:cols w:equalWidth="0" w:num="2">
            <w:col w:w="820" w:space="100"/>
            <w:col w:w="10320"/>
          </w:cols>
          <w:pgMar w:left="320" w:top="112" w:right="339" w:bottom="0" w:gutter="0" w:footer="0" w:header="0"/>
          <w:type w:val="continuous"/>
        </w:sectPr>
      </w:pPr>
    </w:p>
    <w:p>
      <w:pPr>
        <w:spacing w:after="0" w:line="184"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outstanding, as of May 4, 2026, as reported in the Issuer's Quarterly Report on Form 10-Q filed with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Securities and Exchange Commission on May 7, 2026.</w:t>
      </w: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Value &amp; Opportunity C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112" w:right="339" w:bottom="0" w:gutter="0" w:footer="0" w:header="0"/>
          <w:type w:val="continuous"/>
        </w:sectPr>
      </w:pPr>
    </w:p>
    <w:bookmarkStart w:id="4" w:name="page5"/>
    <w:bookmarkEnd w:id="4"/>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3"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Starboard Value 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3"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56" w:lineRule="exact"/>
        <w:rPr>
          <w:sz w:val="20"/>
          <w:szCs w:val="20"/>
          <w:color w:val="auto"/>
        </w:rPr>
      </w:pPr>
    </w:p>
    <w:p>
      <w:pPr>
        <w:sectPr>
          <w:pgSz w:w="11900" w:h="16873" w:orient="portrait"/>
          <w:cols w:equalWidth="0" w:num="2">
            <w:col w:w="1060" w:space="60"/>
            <w:col w:w="8979"/>
          </w:cols>
          <w:pgMar w:left="360" w:top="112" w:right="1440" w:bottom="0" w:gutter="0" w:footer="0" w:header="0"/>
          <w:type w:val="continuous"/>
        </w:sectPr>
      </w:pPr>
    </w:p>
    <w:p>
      <w:pPr>
        <w:ind w:left="1120"/>
        <w:spacing w:after="0"/>
        <w:rPr>
          <w:sz w:val="20"/>
          <w:szCs w:val="20"/>
          <w:color w:val="auto"/>
        </w:rPr>
      </w:pPr>
      <w:r>
        <w:rPr>
          <w:rFonts w:ascii="Times New Roman" w:cs="Times New Roman" w:eastAsia="Times New Roman" w:hAnsi="Times New Roman"/>
          <w:sz w:val="21"/>
          <w:szCs w:val="21"/>
          <w:color w:val="auto"/>
        </w:rPr>
        <w:t>0.00</w:t>
      </w:r>
    </w:p>
    <w:p>
      <w:pPr>
        <w:sectPr>
          <w:pgSz w:w="11900" w:h="16873" w:orient="portrait"/>
          <w:cols w:equalWidth="0" w:num="1">
            <w:col w:w="10099"/>
          </w:cols>
          <w:pgMar w:left="360" w:top="112" w:right="1440" w:bottom="0" w:gutter="0" w:footer="0" w:header="0"/>
          <w:type w:val="continuous"/>
        </w:sectPr>
      </w:pPr>
    </w:p>
    <w:bookmarkStart w:id="5" w:name="page6"/>
    <w:bookmarkEnd w:id="5"/>
    <w:p>
      <w:pPr>
        <w:jc w:val="right"/>
        <w:ind w:right="270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Value &amp; Opportunity Master Fund 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135,816.00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135,816.00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135,816.00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3"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Note to rows (7)(9)(11)(13): Possesses economic exposure to an aggregate of 259,257 Shares (representing approximately 0.3% of the outstanding Shares) due to certain cash-settled total return swaps as further explained in Item 6. The aggregate percentage of Shares reported owned by each person named herein is based upon 85,614,287</w:t>
      </w:r>
    </w:p>
    <w:p>
      <w:pPr>
        <w:sectPr>
          <w:pgSz w:w="11900" w:h="16838" w:orient="portrait"/>
          <w:cols w:equalWidth="0" w:num="2">
            <w:col w:w="820" w:space="100"/>
            <w:col w:w="10320"/>
          </w:cols>
          <w:pgMar w:left="320" w:top="113" w:right="339" w:bottom="0" w:gutter="0" w:footer="0" w:header="0"/>
          <w:type w:val="continuous"/>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Reporting </w:t>
      </w:r>
      <w:r>
        <w:rPr>
          <w:rFonts w:ascii="Times New Roman" w:cs="Times New Roman" w:eastAsia="Times New Roman" w:hAnsi="Times New Roman"/>
          <w:sz w:val="21"/>
          <w:szCs w:val="21"/>
          <w:color w:val="auto"/>
        </w:rPr>
        <w:t>Shares outstanding, as of May 4, 2026, as reported in the Issuer's Quarterly Report on Form 10-Q filed with the</w:t>
      </w:r>
      <w:r>
        <w:rPr>
          <w:rFonts w:ascii="Times New Roman" w:cs="Times New Roman" w:eastAsia="Times New Roman" w:hAnsi="Times New Roman"/>
          <w:sz w:val="19"/>
          <w:szCs w:val="19"/>
          <w:b w:val="1"/>
          <w:bCs w:val="1"/>
          <w:color w:val="auto"/>
        </w:rPr>
        <w:t xml:space="preserve"> Person: </w:t>
      </w:r>
      <w:r>
        <w:rPr>
          <w:rFonts w:ascii="Times New Roman" w:cs="Times New Roman" w:eastAsia="Times New Roman" w:hAnsi="Times New Roman"/>
          <w:sz w:val="21"/>
          <w:szCs w:val="21"/>
          <w:color w:val="auto"/>
        </w:rPr>
        <w:t>Securities and Exchange Commission on May 7, 2026.</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Value 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135,816.00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135,816.00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135,816.00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(7)(9)(11)(13): Possesses economic exposure to an aggregate of 259,257 Shares (representing</w:t>
      </w:r>
    </w:p>
    <w:p>
      <w:pPr>
        <w:spacing w:after="0" w:line="234" w:lineRule="auto"/>
        <w:tabs>
          <w:tab w:leader="none" w:pos="900" w:val="left"/>
        </w:tabs>
        <w:rPr>
          <w:sz w:val="20"/>
          <w:szCs w:val="20"/>
          <w:color w:val="auto"/>
        </w:rPr>
      </w:pPr>
      <w:r>
        <w:rPr>
          <w:rFonts w:ascii="Times New Roman" w:cs="Times New Roman" w:eastAsia="Times New Roman" w:hAnsi="Times New Roman"/>
          <w:sz w:val="19"/>
          <w:szCs w:val="19"/>
          <w:b w:val="1"/>
          <w:bCs w:val="1"/>
          <w:color w:val="auto"/>
        </w:rPr>
        <w:t>for Type</w:t>
      </w:r>
      <w:r>
        <w:rPr>
          <w:sz w:val="20"/>
          <w:szCs w:val="20"/>
          <w:color w:val="auto"/>
        </w:rPr>
        <w:tab/>
      </w:r>
      <w:r>
        <w:rPr>
          <w:rFonts w:ascii="Times New Roman" w:cs="Times New Roman" w:eastAsia="Times New Roman" w:hAnsi="Times New Roman"/>
          <w:sz w:val="22"/>
          <w:szCs w:val="22"/>
          <w:color w:val="auto"/>
        </w:rPr>
        <w:t>approximately 0.3% of the outstanding Shares) due to certain cash-settled total return swaps as further explained in</w:t>
      </w:r>
    </w:p>
    <w:p>
      <w:pPr>
        <w:spacing w:after="0" w:line="192" w:lineRule="auto"/>
        <w:tabs>
          <w:tab w:leader="none" w:pos="900" w:val="left"/>
        </w:tabs>
        <w:rPr>
          <w:sz w:val="20"/>
          <w:szCs w:val="20"/>
          <w:color w:val="auto"/>
        </w:rPr>
      </w:pPr>
      <w:r>
        <w:rPr>
          <w:rFonts w:ascii="Times New Roman" w:cs="Times New Roman" w:eastAsia="Times New Roman" w:hAnsi="Times New Roman"/>
          <w:sz w:val="25"/>
          <w:szCs w:val="25"/>
          <w:b w:val="1"/>
          <w:bCs w:val="1"/>
          <w:color w:val="auto"/>
          <w:vertAlign w:val="superscript"/>
        </w:rPr>
        <w:t>of</w:t>
      </w:r>
      <w:r>
        <w:rPr>
          <w:sz w:val="20"/>
          <w:szCs w:val="20"/>
          <w:color w:val="auto"/>
        </w:rPr>
        <w:tab/>
      </w:r>
      <w:r>
        <w:rPr>
          <w:rFonts w:ascii="Times New Roman" w:cs="Times New Roman" w:eastAsia="Times New Roman" w:hAnsi="Times New Roman"/>
          <w:sz w:val="16"/>
          <w:szCs w:val="16"/>
          <w:color w:val="auto"/>
        </w:rPr>
        <w:t>Item 6. The aggregate percentage of Shares reported owned by each person named herein is based upon 85,614,287</w:t>
      </w:r>
    </w:p>
    <w:p>
      <w:pPr>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outstanding, as of May 4, 2026, as reported in the Issuer's Quarterly Report on Form 10-Q filed with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Securities and Exchange Commission on May 7,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1" w:right="339" w:bottom="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11" w:right="33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Value R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135,816.00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135,816.00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135,816.00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639" w:right="339" w:bottom="262"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Note to rows (7)(9)(11)(13): Possesses economic exposure to an aggregate of 259,257 Shares (representing approximately 0.3% of the outstanding Shares) due to certain cash-settled total return swaps as further explained in Item 6. The aggregate percentage of Shares reported owned by each person named herein is based upon 85,614,287</w:t>
      </w:r>
    </w:p>
    <w:p>
      <w:pPr>
        <w:spacing w:after="0" w:line="1" w:lineRule="exact"/>
        <w:rPr>
          <w:sz w:val="20"/>
          <w:szCs w:val="20"/>
          <w:color w:val="auto"/>
        </w:rPr>
      </w:pPr>
    </w:p>
    <w:p>
      <w:pPr>
        <w:sectPr>
          <w:pgSz w:w="11900" w:h="16838" w:orient="portrait"/>
          <w:cols w:equalWidth="0" w:num="2">
            <w:col w:w="820" w:space="100"/>
            <w:col w:w="10320"/>
          </w:cols>
          <w:pgMar w:left="320" w:top="639" w:right="339" w:bottom="262" w:gutter="0" w:footer="0" w:header="0"/>
          <w:type w:val="continuous"/>
        </w:sectPr>
      </w:pPr>
    </w:p>
    <w:p>
      <w:pPr>
        <w:spacing w:after="0" w:line="184"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outstanding, as of May 4, 2026, as reported in the Issuer's Quarterly Report on Form 10-Q filed with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Securities and Exchange Commission on May 7, 2026.</w:t>
      </w: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X Master Fund Ltd</w:t>
      </w:r>
    </w:p>
    <w:p>
      <w:pPr>
        <w:spacing w:after="0" w:line="2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639" w:right="339" w:bottom="262" w:gutter="0" w:footer="0" w:header="0"/>
          <w:type w:val="continuous"/>
        </w:sectPr>
      </w:pPr>
    </w:p>
    <w:bookmarkStart w:id="8" w:name="page9"/>
    <w:bookmarkEnd w:id="8"/>
    <w:p>
      <w:pPr>
        <w:ind w:left="1160"/>
        <w:spacing w:after="0"/>
        <w:rPr>
          <w:sz w:val="20"/>
          <w:szCs w:val="20"/>
          <w:color w:val="auto"/>
        </w:rPr>
      </w:pPr>
      <w:r>
        <w:rPr>
          <w:sz w:val="1"/>
          <w:szCs w:val="1"/>
          <w:color w:val="auto"/>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660,072.00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660,072.00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660,072.00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26"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Note to rows (7)(9)(11)(13): Possesses economic exposure to an aggregate of 1,259,995 Shares (representing approximately 1.5% of the outstanding Shares) due to certain cash-settled total return swaps as further explained in Item 6. The aggregate percentage of Shares reported owned by each person named herein is based upon 85,614,287</w:t>
      </w:r>
    </w:p>
    <w:p>
      <w:pPr>
        <w:spacing w:after="0" w:line="1" w:lineRule="exact"/>
        <w:rPr>
          <w:sz w:val="20"/>
          <w:szCs w:val="20"/>
          <w:color w:val="auto"/>
        </w:rPr>
      </w:pPr>
    </w:p>
    <w:p>
      <w:pPr>
        <w:sectPr>
          <w:pgSz w:w="11900" w:h="16838" w:orient="portrait"/>
          <w:cols w:equalWidth="0" w:num="2">
            <w:col w:w="820" w:space="100"/>
            <w:col w:w="10320"/>
          </w:cols>
          <w:pgMar w:left="320" w:top="126" w:right="339" w:bottom="0" w:gutter="0" w:footer="0" w:header="0"/>
          <w:type w:val="continuous"/>
        </w:sectPr>
      </w:pPr>
    </w:p>
    <w:p>
      <w:pPr>
        <w:spacing w:after="0" w:line="184"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outstanding, as of May 4, 2026, as reported in the Issuer's Quarterly Report on Form 10-Q filed with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Securities and Exchange Commission on May 7, 2026.</w:t>
      </w: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Value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type w:val="continuous"/>
        </w:sectPr>
      </w:pPr>
    </w:p>
    <w:bookmarkStart w:id="9" w:name="page10"/>
    <w:bookmarkEnd w:id="9"/>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69"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Note to rows (7)(9)(11)(13): Possesses economic exposure to an aggregate of 7,980,992 Shares (representing approximately 9.3% of the outstanding Shares) due to certain cash-settled total return swaps as further explained in Item 6. The aggregate percentage of Shares reported owned by each person named herein is based upon 85,614,287</w:t>
      </w:r>
    </w:p>
    <w:p>
      <w:pPr>
        <w:spacing w:after="0" w:line="1" w:lineRule="exact"/>
        <w:rPr>
          <w:sz w:val="20"/>
          <w:szCs w:val="20"/>
          <w:color w:val="auto"/>
        </w:rPr>
      </w:pPr>
    </w:p>
    <w:p>
      <w:pPr>
        <w:sectPr>
          <w:pgSz w:w="11900" w:h="16838" w:orient="portrait"/>
          <w:cols w:equalWidth="0" w:num="2">
            <w:col w:w="820" w:space="100"/>
            <w:col w:w="10320"/>
          </w:cols>
          <w:pgMar w:left="320" w:top="369" w:right="339" w:bottom="0" w:gutter="0" w:footer="0" w:header="0"/>
          <w:type w:val="continuous"/>
        </w:sectPr>
      </w:pPr>
    </w:p>
    <w:p>
      <w:pPr>
        <w:spacing w:after="0" w:line="184"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outstanding, as of May 4, 2026, as reported in the Issuer's Quarterly Report on Form 10-Q filed with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Securities and Exchange Commission on May 7, 2026.</w:t>
      </w: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Principal Co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9" w:right="339" w:bottom="0" w:gutter="0" w:footer="0" w:header="0"/>
          <w:type w:val="continuous"/>
        </w:sectPr>
      </w:pPr>
    </w:p>
    <w:bookmarkStart w:id="10" w:name="page11"/>
    <w:bookmarkEnd w:id="1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4.9 %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(7)(9)(11)(13): Possesses economic exposure to an aggregate of 7,980,992 Shares (representing</w:t>
      </w:r>
    </w:p>
    <w:p>
      <w:pPr>
        <w:spacing w:after="0" w:line="234" w:lineRule="auto"/>
        <w:tabs>
          <w:tab w:leader="none" w:pos="900" w:val="left"/>
        </w:tabs>
        <w:rPr>
          <w:sz w:val="20"/>
          <w:szCs w:val="20"/>
          <w:color w:val="auto"/>
        </w:rPr>
      </w:pPr>
      <w:r>
        <w:rPr>
          <w:rFonts w:ascii="Times New Roman" w:cs="Times New Roman" w:eastAsia="Times New Roman" w:hAnsi="Times New Roman"/>
          <w:sz w:val="19"/>
          <w:szCs w:val="19"/>
          <w:b w:val="1"/>
          <w:bCs w:val="1"/>
          <w:color w:val="auto"/>
        </w:rPr>
        <w:t>for Type</w:t>
      </w:r>
      <w:r>
        <w:rPr>
          <w:sz w:val="20"/>
          <w:szCs w:val="20"/>
          <w:color w:val="auto"/>
        </w:rPr>
        <w:tab/>
      </w:r>
      <w:r>
        <w:rPr>
          <w:rFonts w:ascii="Times New Roman" w:cs="Times New Roman" w:eastAsia="Times New Roman" w:hAnsi="Times New Roman"/>
          <w:sz w:val="22"/>
          <w:szCs w:val="22"/>
          <w:color w:val="auto"/>
        </w:rPr>
        <w:t>approximately 9.3% of the outstanding Shares) due to certain cash-settled total return swaps as further explained in</w:t>
      </w:r>
    </w:p>
    <w:p>
      <w:pPr>
        <w:spacing w:after="0" w:line="192" w:lineRule="auto"/>
        <w:tabs>
          <w:tab w:leader="none" w:pos="900" w:val="left"/>
        </w:tabs>
        <w:rPr>
          <w:sz w:val="20"/>
          <w:szCs w:val="20"/>
          <w:color w:val="auto"/>
        </w:rPr>
      </w:pPr>
      <w:r>
        <w:rPr>
          <w:rFonts w:ascii="Times New Roman" w:cs="Times New Roman" w:eastAsia="Times New Roman" w:hAnsi="Times New Roman"/>
          <w:sz w:val="25"/>
          <w:szCs w:val="25"/>
          <w:b w:val="1"/>
          <w:bCs w:val="1"/>
          <w:color w:val="auto"/>
          <w:vertAlign w:val="superscript"/>
        </w:rPr>
        <w:t>of</w:t>
      </w:r>
      <w:r>
        <w:rPr>
          <w:sz w:val="20"/>
          <w:szCs w:val="20"/>
          <w:color w:val="auto"/>
        </w:rPr>
        <w:tab/>
      </w:r>
      <w:r>
        <w:rPr>
          <w:rFonts w:ascii="Times New Roman" w:cs="Times New Roman" w:eastAsia="Times New Roman" w:hAnsi="Times New Roman"/>
          <w:sz w:val="16"/>
          <w:szCs w:val="16"/>
          <w:color w:val="auto"/>
        </w:rPr>
        <w:t>Item 6. The aggregate percentage of Shares reported owned by each person named herein is based upon 85,614,287</w:t>
      </w:r>
    </w:p>
    <w:p>
      <w:pPr>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outstanding, as of May 4, 2026, as reported in the Issuer's Quarterly Report on Form 10-Q filed with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Securities and Exchange Commission on May 7,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Starboard Principal Co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4,180,992.00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4,180,992.00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sectPr>
          <w:pgSz w:w="11900" w:h="16838" w:orient="portrait"/>
          <w:cols w:equalWidth="0" w:num="2">
            <w:col w:w="1100" w:space="60"/>
            <w:col w:w="10080"/>
          </w:cols>
          <w:pgMar w:left="320" w:top="102" w:right="339"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02" w:right="339" w:bottom="0" w:gutter="0" w:footer="0" w:header="0"/>
          <w:type w:val="continuous"/>
        </w:sectPr>
      </w:pPr>
    </w:p>
    <w:bookmarkStart w:id="11" w:name="page12"/>
    <w:bookmarkEnd w:id="11"/>
    <w:p>
      <w:pPr>
        <w:ind w:left="1160" w:right="4580" w:hanging="1112"/>
        <w:spacing w:after="0" w:line="371" w:lineRule="auto"/>
        <w:tabs>
          <w:tab w:leader="none" w:pos="11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4,180,992.00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(7)(9)(11)(13): Possesses economic exposure to an aggregate of 7,980,992 Shares (representing</w:t>
      </w:r>
    </w:p>
    <w:p>
      <w:pPr>
        <w:spacing w:after="0" w:line="234" w:lineRule="auto"/>
        <w:tabs>
          <w:tab w:leader="none" w:pos="900" w:val="left"/>
        </w:tabs>
        <w:rPr>
          <w:sz w:val="20"/>
          <w:szCs w:val="20"/>
          <w:color w:val="auto"/>
        </w:rPr>
      </w:pPr>
      <w:r>
        <w:rPr>
          <w:rFonts w:ascii="Times New Roman" w:cs="Times New Roman" w:eastAsia="Times New Roman" w:hAnsi="Times New Roman"/>
          <w:sz w:val="19"/>
          <w:szCs w:val="19"/>
          <w:b w:val="1"/>
          <w:bCs w:val="1"/>
          <w:color w:val="auto"/>
        </w:rPr>
        <w:t>for Type</w:t>
      </w:r>
      <w:r>
        <w:rPr>
          <w:sz w:val="20"/>
          <w:szCs w:val="20"/>
          <w:color w:val="auto"/>
        </w:rPr>
        <w:tab/>
      </w:r>
      <w:r>
        <w:rPr>
          <w:rFonts w:ascii="Times New Roman" w:cs="Times New Roman" w:eastAsia="Times New Roman" w:hAnsi="Times New Roman"/>
          <w:sz w:val="22"/>
          <w:szCs w:val="22"/>
          <w:color w:val="auto"/>
        </w:rPr>
        <w:t>approximately 9.3% of the outstanding Shares) due to certain cash-settled total return swaps as further explained in</w:t>
      </w:r>
    </w:p>
    <w:p>
      <w:pPr>
        <w:spacing w:after="0" w:line="192" w:lineRule="auto"/>
        <w:tabs>
          <w:tab w:leader="none" w:pos="900" w:val="left"/>
        </w:tabs>
        <w:rPr>
          <w:sz w:val="20"/>
          <w:szCs w:val="20"/>
          <w:color w:val="auto"/>
        </w:rPr>
      </w:pPr>
      <w:r>
        <w:rPr>
          <w:rFonts w:ascii="Times New Roman" w:cs="Times New Roman" w:eastAsia="Times New Roman" w:hAnsi="Times New Roman"/>
          <w:sz w:val="25"/>
          <w:szCs w:val="25"/>
          <w:b w:val="1"/>
          <w:bCs w:val="1"/>
          <w:color w:val="auto"/>
          <w:vertAlign w:val="superscript"/>
        </w:rPr>
        <w:t>of</w:t>
      </w:r>
      <w:r>
        <w:rPr>
          <w:sz w:val="20"/>
          <w:szCs w:val="20"/>
          <w:color w:val="auto"/>
        </w:rPr>
        <w:tab/>
      </w:r>
      <w:r>
        <w:rPr>
          <w:rFonts w:ascii="Times New Roman" w:cs="Times New Roman" w:eastAsia="Times New Roman" w:hAnsi="Times New Roman"/>
          <w:sz w:val="16"/>
          <w:szCs w:val="16"/>
          <w:color w:val="auto"/>
        </w:rPr>
        <w:t>Item 6. The aggregate percentage of Shares reported owned by each person named herein is based upon 85,614,287</w:t>
      </w:r>
    </w:p>
    <w:p>
      <w:pPr>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outstanding, as of May 4, 2026, as reported in the Issuer's Quarterly Report on Form 10-Q filed with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Securities and Exchange Commission on May 7,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Smith Jeffrey 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46"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4,180,992.00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4,180,992.00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4,180,992.00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2" w:right="339" w:bottom="46" w:gutter="0" w:footer="0" w:header="0"/>
          <w:type w:val="continuous"/>
        </w:sectPr>
      </w:pPr>
    </w:p>
    <w:bookmarkStart w:id="12" w:name="page13"/>
    <w:bookmarkEnd w:id="12"/>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Note to rows (7)(9)(11)(13): Possesses economic exposure to an aggregate of 7,980,992 Shares (representing approximately 9.3% of the outstanding Shares) due to certain cash-settled total return swaps as further explained in Item 6. The aggregate percentage of Shares reported owned by each person named herein is based upon 85,614,287</w:t>
      </w:r>
    </w:p>
    <w:p>
      <w:pPr>
        <w:spacing w:after="0" w:line="1" w:lineRule="exact"/>
        <w:rPr>
          <w:sz w:val="20"/>
          <w:szCs w:val="20"/>
          <w:color w:val="auto"/>
        </w:rPr>
      </w:pPr>
    </w:p>
    <w:p>
      <w:pPr>
        <w:sectPr>
          <w:pgSz w:w="11900" w:h="16838" w:orient="portrait"/>
          <w:cols w:equalWidth="0" w:num="2">
            <w:col w:w="820" w:space="100"/>
            <w:col w:w="10320"/>
          </w:cols>
          <w:pgMar w:left="320" w:top="112" w:right="339" w:bottom="0" w:gutter="0" w:footer="0" w:header="0"/>
          <w:type w:val="continuous"/>
        </w:sectPr>
      </w:pPr>
    </w:p>
    <w:p>
      <w:pPr>
        <w:spacing w:after="0" w:line="184"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Shares outstanding, as of May 4, 2026, as reported in the Issuer's Quarterly Report on Form 10-Q filed with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Securities and Exchange Commission on May 7, 2026.</w:t>
      </w: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Feld Peter 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4,180,992.00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type w:val="continuous"/>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Note to rows (7)(9)(11)(13): Possesses economic exposure to an aggregate of 7,980,992 Shares (representing approximately 9.3% of the outstanding Shares) due to certain cash-settled total return swaps as further explained in Item 6. The aggregate percentage of Shares reported owned by each person named herein is based upon 85,614,287</w:t>
      </w:r>
    </w:p>
    <w:p>
      <w:pPr>
        <w:sectPr>
          <w:pgSz w:w="11900" w:h="16838" w:orient="portrait"/>
          <w:cols w:equalWidth="0" w:num="2">
            <w:col w:w="820" w:space="100"/>
            <w:col w:w="10320"/>
          </w:cols>
          <w:pgMar w:left="320" w:top="112" w:right="339" w:bottom="0" w:gutter="0" w:footer="0" w:header="0"/>
          <w:type w:val="continuous"/>
        </w:sectPr>
      </w:pPr>
    </w:p>
    <w:bookmarkStart w:id="13" w:name="page14"/>
    <w:bookmarkEnd w:id="13"/>
    <w:p>
      <w:pPr>
        <w:spacing w:after="0" w:line="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Reporting </w:t>
      </w:r>
      <w:r>
        <w:rPr>
          <w:rFonts w:ascii="Times New Roman" w:cs="Times New Roman" w:eastAsia="Times New Roman" w:hAnsi="Times New Roman"/>
          <w:sz w:val="21"/>
          <w:szCs w:val="21"/>
          <w:color w:val="auto"/>
        </w:rPr>
        <w:t>Shares outstanding, as of May 4, 2026, as reported in the Issuer's Quarterly Report on Form 10-Q filed with the</w:t>
      </w:r>
      <w:r>
        <w:rPr>
          <w:rFonts w:ascii="Times New Roman" w:cs="Times New Roman" w:eastAsia="Times New Roman" w:hAnsi="Times New Roman"/>
          <w:sz w:val="19"/>
          <w:szCs w:val="19"/>
          <w:b w:val="1"/>
          <w:bCs w:val="1"/>
          <w:color w:val="auto"/>
        </w:rPr>
        <w:t xml:space="preserve"> Person: </w:t>
      </w:r>
      <w:r>
        <w:rPr>
          <w:rFonts w:ascii="Times New Roman" w:cs="Times New Roman" w:eastAsia="Times New Roman" w:hAnsi="Times New Roman"/>
          <w:sz w:val="21"/>
          <w:szCs w:val="21"/>
          <w:color w:val="auto"/>
        </w:rPr>
        <w:t>Securities and Exchange Commission on May 7, 2026.</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Sagal Jonathan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57" w:orient="portrait"/>
          <w:cols w:equalWidth="0" w:num="1">
            <w:col w:w="11240"/>
          </w:cols>
          <w:pgMar w:left="320" w:top="112" w:right="3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27,119.00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27,119.00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7" w:orient="portrait"/>
          <w:cols w:equalWidth="0" w:num="2">
            <w:col w:w="1100" w:space="60"/>
            <w:col w:w="10080"/>
          </w:cols>
          <w:pgMar w:left="320" w:top="112"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1"/>
          <w:szCs w:val="21"/>
          <w:color w:val="auto"/>
        </w:rPr>
        <w:t>Common Stock, $0.01 par value per share</w:t>
      </w:r>
    </w:p>
    <w:p>
      <w:pPr>
        <w:spacing w:after="0" w:line="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Bloomin' Brands, Inc.</w:t>
      </w:r>
    </w:p>
    <w:p>
      <w:pPr>
        <w:sectPr>
          <w:pgSz w:w="11900" w:h="16857" w:orient="portrait"/>
          <w:cols w:equalWidth="0" w:num="1">
            <w:col w:w="11240"/>
          </w:cols>
          <w:pgMar w:left="320" w:top="112" w:right="339" w:bottom="0" w:gutter="0" w:footer="0" w:header="0"/>
          <w:type w:val="continuous"/>
        </w:sectPr>
      </w:pPr>
    </w:p>
    <w:bookmarkStart w:id="14" w:name="page15"/>
    <w:bookmarkEnd w:id="14"/>
    <w:p>
      <w:pPr>
        <w:spacing w:after="0" w:line="8" w:lineRule="exact"/>
        <w:rPr>
          <w:sz w:val="20"/>
          <w:szCs w:val="20"/>
          <w:color w:val="auto"/>
        </w:rPr>
      </w:pPr>
    </w:p>
    <w:p>
      <w:pPr>
        <w:ind w:left="940" w:hanging="932"/>
        <w:spacing w:after="0"/>
        <w:tabs>
          <w:tab w:leader="none" w:pos="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2202 NORTH WEST SHORE BOULEVARD, SUITE 500, TAMPA, FLORIDA , 33607.</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2(b) is hereby amended to add the following: The officers and directors of Starboard V&amp;O Master Fund and</w:t>
      </w:r>
    </w:p>
    <w:p>
      <w:pPr>
        <w:spacing w:after="0" w:line="14" w:lineRule="exact"/>
        <w:rPr>
          <w:sz w:val="20"/>
          <w:szCs w:val="20"/>
          <w:color w:val="auto"/>
        </w:rPr>
      </w:pPr>
    </w:p>
    <w:p>
      <w:pPr>
        <w:ind w:left="940" w:right="180" w:hanging="932"/>
        <w:spacing w:after="0" w:line="237" w:lineRule="auto"/>
        <w:tabs>
          <w:tab w:leader="none" w:pos="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Starboard X Master and their principal occupations and business addresses are set forth on Exhibit 1 attached hereto and are incorporated by reference in this Item 2.</w:t>
      </w:r>
    </w:p>
    <w:p>
      <w:pPr>
        <w:sectPr>
          <w:pgSz w:w="11900" w:h="16847" w:orient="portrait"/>
          <w:cols w:equalWidth="0" w:num="1">
            <w:col w:w="11160"/>
          </w:cols>
          <w:pgMar w:left="360" w:top="112" w:right="379" w:bottom="0" w:gutter="0" w:footer="0" w:header="0"/>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Times New Roman" w:cs="Times New Roman" w:eastAsia="Times New Roman" w:hAnsi="Times New Roman"/>
          <w:sz w:val="22"/>
          <w:szCs w:val="22"/>
          <w:color w:val="auto"/>
        </w:rPr>
        <w:t>Item 2(f) is hereby amended to add the following: The citizenship of the persons listed on Exhibit 1, attached hereto, is set forth therein and is incorporated by reference in this Item 2.</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is hereby amended and restated to read as follows: The Shares purchased by each of Starboard V&amp;O Fund,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Starboard S LLC, Starboard L Master, Starboard X Master and held in the Starboard Value LP Account were</w:t>
      </w:r>
    </w:p>
    <w:p>
      <w:pPr>
        <w:spacing w:after="0"/>
        <w:rPr>
          <w:sz w:val="20"/>
          <w:szCs w:val="20"/>
          <w:color w:val="auto"/>
        </w:rPr>
      </w:pPr>
      <w:r>
        <w:rPr>
          <w:rFonts w:ascii="Times New Roman" w:cs="Times New Roman" w:eastAsia="Times New Roman" w:hAnsi="Times New Roman"/>
          <w:sz w:val="21"/>
          <w:szCs w:val="21"/>
          <w:color w:val="auto"/>
        </w:rPr>
        <w:t>purchased with working capital (which may, at any given time, include margin loans made by brokerage firms in the</w:t>
      </w:r>
    </w:p>
    <w:p>
      <w:pPr>
        <w:spacing w:after="0" w:line="231" w:lineRule="auto"/>
        <w:rPr>
          <w:sz w:val="20"/>
          <w:szCs w:val="20"/>
          <w:color w:val="auto"/>
        </w:rPr>
      </w:pPr>
      <w:r>
        <w:rPr>
          <w:rFonts w:ascii="Times New Roman" w:cs="Times New Roman" w:eastAsia="Times New Roman" w:hAnsi="Times New Roman"/>
          <w:sz w:val="22"/>
          <w:szCs w:val="22"/>
          <w:color w:val="auto"/>
        </w:rPr>
        <w:t>ordinary course of business) in open market purchases, except as otherwise noted, as set forth in Exhibit 2, which is</w:t>
      </w:r>
    </w:p>
    <w:p>
      <w:pPr>
        <w:spacing w:after="0" w:line="231" w:lineRule="auto"/>
        <w:rPr>
          <w:sz w:val="20"/>
          <w:szCs w:val="20"/>
          <w:color w:val="auto"/>
        </w:rPr>
      </w:pPr>
      <w:r>
        <w:rPr>
          <w:rFonts w:ascii="Times New Roman" w:cs="Times New Roman" w:eastAsia="Times New Roman" w:hAnsi="Times New Roman"/>
          <w:sz w:val="22"/>
          <w:szCs w:val="22"/>
          <w:color w:val="auto"/>
        </w:rPr>
        <w:t>incorporated by reference herein. The aggregate purchase price of the 2,608,403 Shares beneficially owned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Starboard V&amp;O Fund is approximately $64,989,467, excluding brokerage commissions. The aggregate purchase price</w:t>
      </w:r>
    </w:p>
    <w:p>
      <w:pPr>
        <w:spacing w:after="0" w:line="231" w:lineRule="auto"/>
        <w:rPr>
          <w:sz w:val="20"/>
          <w:szCs w:val="20"/>
          <w:color w:val="auto"/>
        </w:rPr>
      </w:pPr>
      <w:r>
        <w:rPr>
          <w:rFonts w:ascii="Times New Roman" w:cs="Times New Roman" w:eastAsia="Times New Roman" w:hAnsi="Times New Roman"/>
          <w:sz w:val="22"/>
          <w:szCs w:val="22"/>
          <w:color w:val="auto"/>
        </w:rPr>
        <w:t>of the 315,176 Shares beneficially owned by Starboard S LLC is approximately $7,993,687, excluding brokerage</w:t>
      </w:r>
    </w:p>
    <w:p>
      <w:pPr>
        <w:spacing w:after="0" w:line="231" w:lineRule="auto"/>
        <w:rPr>
          <w:sz w:val="20"/>
          <w:szCs w:val="20"/>
          <w:color w:val="auto"/>
        </w:rPr>
      </w:pPr>
      <w:r>
        <w:rPr>
          <w:rFonts w:ascii="Times New Roman" w:cs="Times New Roman" w:eastAsia="Times New Roman" w:hAnsi="Times New Roman"/>
          <w:sz w:val="22"/>
          <w:szCs w:val="22"/>
          <w:color w:val="auto"/>
        </w:rPr>
        <w:t>commissions. The aggregate purchase price of the 135,816 Shares beneficially owned by Starboard L Master is</w:t>
      </w:r>
    </w:p>
    <w:p>
      <w:pPr>
        <w:spacing w:after="0" w:line="231" w:lineRule="auto"/>
        <w:rPr>
          <w:sz w:val="20"/>
          <w:szCs w:val="20"/>
          <w:color w:val="auto"/>
        </w:rPr>
      </w:pPr>
      <w:r>
        <w:rPr>
          <w:rFonts w:ascii="Times New Roman" w:cs="Times New Roman" w:eastAsia="Times New Roman" w:hAnsi="Times New Roman"/>
          <w:sz w:val="22"/>
          <w:szCs w:val="22"/>
          <w:color w:val="auto"/>
        </w:rPr>
        <w:t>approximately $3,444,053, excluding brokerage commissions. The aggregate purchase price of the 660,072 Shares</w:t>
      </w:r>
    </w:p>
    <w:p>
      <w:pPr>
        <w:spacing w:after="0" w:line="230" w:lineRule="auto"/>
        <w:rPr>
          <w:sz w:val="20"/>
          <w:szCs w:val="20"/>
          <w:color w:val="auto"/>
        </w:rPr>
      </w:pPr>
      <w:r>
        <w:rPr>
          <w:rFonts w:ascii="Times New Roman" w:cs="Times New Roman" w:eastAsia="Times New Roman" w:hAnsi="Times New Roman"/>
          <w:sz w:val="22"/>
          <w:szCs w:val="22"/>
          <w:color w:val="auto"/>
        </w:rPr>
        <w:t>beneficially owned by Starboard X Master is approximately $16,773,849, excluding brokerage commissions. The</w:t>
      </w:r>
    </w:p>
    <w:p>
      <w:pPr>
        <w:spacing w:after="0" w:line="231" w:lineRule="auto"/>
        <w:rPr>
          <w:sz w:val="20"/>
          <w:szCs w:val="20"/>
          <w:color w:val="auto"/>
        </w:rPr>
      </w:pPr>
      <w:r>
        <w:rPr>
          <w:rFonts w:ascii="Times New Roman" w:cs="Times New Roman" w:eastAsia="Times New Roman" w:hAnsi="Times New Roman"/>
          <w:sz w:val="22"/>
          <w:szCs w:val="22"/>
          <w:color w:val="auto"/>
        </w:rPr>
        <w:t>aggregate purchase price of the 461,525 Shares held in the Starboard Value LP Account is approximately</w:t>
      </w:r>
    </w:p>
    <w:p>
      <w:pPr>
        <w:spacing w:after="0"/>
        <w:rPr>
          <w:sz w:val="20"/>
          <w:szCs w:val="20"/>
          <w:color w:val="auto"/>
        </w:rPr>
      </w:pPr>
      <w:r>
        <w:rPr>
          <w:rFonts w:ascii="Times New Roman" w:cs="Times New Roman" w:eastAsia="Times New Roman" w:hAnsi="Times New Roman"/>
          <w:sz w:val="21"/>
          <w:szCs w:val="21"/>
          <w:color w:val="auto"/>
        </w:rPr>
        <w:t>$12,325,805, excluding brokerage commissions. The 27,119 Shares owned directly by Mr. Sagal were granted to him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his former capacity as a director of the Issuer.</w:t>
      </w:r>
    </w:p>
    <w:p>
      <w:pPr>
        <w:spacing w:after="0" w:line="20" w:lineRule="exact"/>
        <w:rPr>
          <w:sz w:val="20"/>
          <w:szCs w:val="20"/>
          <w:color w:val="auto"/>
        </w:rPr>
      </w:pPr>
    </w:p>
    <w:p>
      <w:pPr>
        <w:sectPr>
          <w:pgSz w:w="11900" w:h="16847" w:orient="portrait"/>
          <w:cols w:equalWidth="0" w:num="2">
            <w:col w:w="620" w:space="320"/>
            <w:col w:w="10220"/>
          </w:cols>
          <w:pgMar w:left="360" w:top="112" w:right="37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spacing w:after="0" w:line="247"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percentages used in this Schedule 13D are based upon 85,614,287 Shares outstanding, as of May 4, 2026, as reported in the Issuer's Quarterly Report on Form 10-Q filed with the Securities and Exchange Commission on May 7, 2026. See rows (11) and (13) of the cover pages to this Schedule 13D for the aggregate number of Shares and percentage of the Shares beneficially owned by each of the</w:t>
      </w:r>
    </w:p>
    <w:p>
      <w:pPr>
        <w:spacing w:after="0" w:line="2" w:lineRule="exact"/>
        <w:rPr>
          <w:sz w:val="20"/>
          <w:szCs w:val="20"/>
          <w:color w:val="auto"/>
        </w:rPr>
      </w:pPr>
    </w:p>
    <w:p>
      <w:pPr>
        <w:ind w:left="940" w:right="40" w:hanging="932"/>
        <w:spacing w:after="0" w:line="233" w:lineRule="auto"/>
        <w:tabs>
          <w:tab w:leader="none" w:pos="9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as of the close of business on May 8, 2026.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7"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5(b) is hereby amended and restated to read as follows: See rows (7) through (10) of the cover pages to this</w:t>
      </w:r>
    </w:p>
    <w:p>
      <w:pPr>
        <w:spacing w:after="0" w:line="14" w:lineRule="exact"/>
        <w:rPr>
          <w:rFonts w:ascii="Times New Roman" w:cs="Times New Roman" w:eastAsia="Times New Roman" w:hAnsi="Times New Roman"/>
          <w:sz w:val="22"/>
          <w:szCs w:val="22"/>
          <w:color w:val="auto"/>
        </w:rPr>
      </w:pPr>
    </w:p>
    <w:p>
      <w:pPr>
        <w:ind w:left="940" w:right="360" w:hanging="932"/>
        <w:spacing w:after="0" w:line="237" w:lineRule="auto"/>
        <w:tabs>
          <w:tab w:leader="none" w:pos="9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13D for the number of Shares as to which each Reporting Person has the sole or shared power to vote or direct the vote and the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5(c) is hereby amended and restated to read as follows: Information concerning transactions in the securities of</w:t>
      </w:r>
    </w:p>
    <w:p>
      <w:pPr>
        <w:spacing w:after="0" w:line="25" w:lineRule="exact"/>
        <w:rPr>
          <w:rFonts w:ascii="Times New Roman" w:cs="Times New Roman" w:eastAsia="Times New Roman" w:hAnsi="Times New Roman"/>
          <w:sz w:val="22"/>
          <w:szCs w:val="22"/>
          <w:color w:val="auto"/>
        </w:rPr>
      </w:pPr>
    </w:p>
    <w:p>
      <w:pPr>
        <w:ind w:left="940" w:right="20" w:hanging="932"/>
        <w:spacing w:after="0" w:line="184" w:lineRule="auto"/>
        <w:tabs>
          <w:tab w:leader="none" w:pos="940" w:val="left"/>
        </w:tabs>
        <w:numPr>
          <w:ilvl w:val="0"/>
          <w:numId w:val="3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Issuer effected by the Reporting Persons during the past sixty days is set forth in Exhibit 2 attached hereto and is incorporated herein by reference. Except as otherwise noted, all of the transactions in the securities of the Issuer listed therein were effected in the open market through various brokerage entities.</w:t>
      </w:r>
    </w:p>
    <w:p>
      <w:pPr>
        <w:sectPr>
          <w:pgSz w:w="11900" w:h="16847" w:orient="portrait"/>
          <w:cols w:equalWidth="0" w:num="1">
            <w:col w:w="11160"/>
          </w:cols>
          <w:pgMar w:left="360" w:top="112" w:right="379" w:bottom="0" w:gutter="0" w:footer="0" w:header="0"/>
          <w:type w:val="continuous"/>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460"/>
        <w:spacing w:after="0" w:line="256" w:lineRule="auto"/>
        <w:rPr>
          <w:sz w:val="20"/>
          <w:szCs w:val="20"/>
          <w:color w:val="auto"/>
        </w:rPr>
      </w:pPr>
      <w:r>
        <w:rPr>
          <w:rFonts w:ascii="Times New Roman" w:cs="Times New Roman" w:eastAsia="Times New Roman" w:hAnsi="Times New Roman"/>
          <w:sz w:val="22"/>
          <w:szCs w:val="22"/>
          <w:color w:val="auto"/>
        </w:rPr>
        <w:t>Item 5(e) is hereby amended and restated to read as follows: As of May 8, 2026, the Reporting Persons ceased to beneficially own more than 5% of the outstanding Shares of the Issuer.</w:t>
      </w: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Item 6 is hereby amended to add the following: Starboard V&amp;O Fund has entered into certain cash-settled total return swap agreements with a certain unaffiliated third party financial institution as the counterparty that constitutes economic exposure to an aggregate of 2,370,713 notional Shares, which have a maturity date of November 8, 2027. Starboard S LLC has entered into certain cash-settled total return swap agreements with a certain unaffiliated third party financial institution as the counterparty that constitutes economic exposure to an aggregate of 286,455 notional Shares, which have a maturity date of November 8, 2027. Starboard L Master has entered into certain cash-settled total return swap agreements with a certain unaffiliated third party financial institution as the counterparty that constitutes economic exposure to an aggregate of 123,441 notional Shares, which have a maturity date of November 8, 2027. Starboard X Master has entered into certain cash-settled total return swap agreements with a certain unaffiliated third party financial institution as the counterparty that constitutes economic exposure to an aggregate of 599,923 notional Shares, which have a maturity date of November 8, 2027. Starboard Value LP through the Starboard Value LP Account has entered into certain cash-settled total return swap agreements with a certain unaffiliated third party financial institution as the counterparty that constitutes economic exposure to an aggregate of 419,468 notional Shares, which have a maturity date of November 8, 2027. Each of the foregoing swaps provides each of Starboard V&amp;O Fund, Starboard S LLC, Starboard L Master, Starboard X Master and Starboard Value LP with economic results that are comparable to the economic results of ownership but do not provide it with the power to vote or direct the voting or dispose of or direct the disposition of the Shares that are the subject of such swaps (such shares, the "Subject Shares"). None of Starboard V&amp;O Fund, Starboard S LLC, Starboard L Master, Starboard X Master or Starboard Value LP have the right to convert the foregoing swaps into Shares at any time. Taking into account the Subject Shares, the Reporting Persons collectively have economic exposure to an aggregate of 8,008,111 Shares, representing approximately 9.3% of the outstanding Shares.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 to be Filed as Exhibits.</w:t>
      </w:r>
    </w:p>
    <w:p>
      <w:pPr>
        <w:sectPr>
          <w:pgSz w:w="11900" w:h="16847" w:orient="portrait"/>
          <w:cols w:equalWidth="0" w:num="2">
            <w:col w:w="620" w:space="320"/>
            <w:col w:w="10220"/>
          </w:cols>
          <w:pgMar w:left="360" w:top="112" w:right="379" w:bottom="0" w:gutter="0" w:footer="0" w:header="0"/>
          <w:type w:val="continuous"/>
        </w:sectPr>
      </w:pPr>
    </w:p>
    <w:bookmarkStart w:id="15" w:name="page16"/>
    <w:bookmarkEnd w:id="15"/>
    <w:p>
      <w:pPr>
        <w:ind w:left="720"/>
        <w:spacing w:after="0"/>
        <w:rPr>
          <w:sz w:val="20"/>
          <w:szCs w:val="20"/>
          <w:color w:val="auto"/>
        </w:rPr>
      </w:pPr>
      <w:r>
        <w:rPr>
          <w:rFonts w:ascii="Times New Roman" w:cs="Times New Roman" w:eastAsia="Times New Roman" w:hAnsi="Times New Roman"/>
          <w:sz w:val="21"/>
          <w:szCs w:val="21"/>
          <w:color w:val="auto"/>
        </w:rPr>
        <w:t>Item 7 is hereby amended to add the following exhibits: 1 - Directors and Officers. 2 - Transactions in the Securities.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Starboard Value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Value GP LLC,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1"/>
          <w:szCs w:val="21"/>
          <w:color w:val="auto"/>
        </w:rPr>
        <w:t>STARBOARD VALUE &amp; OPPORTUNITY MASTER FUND</w:t>
      </w:r>
    </w:p>
    <w:p>
      <w:pPr>
        <w:spacing w:after="0" w:line="2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LTD</w:t>
      </w:r>
    </w:p>
    <w:p>
      <w:pPr>
        <w:spacing w:after="0" w:line="128"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Value LP, its investment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STARBOARD VALUE &amp; OPPORTUNITY S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Value LP, its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Starboard Value &amp; Opportunity C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Value R LP,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Starboard Value R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Value R GP LLC,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Starboard Value &amp; Opportunity Master Fund L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Value L LP,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Starboard Value L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Value R GP LLC,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Starboard Value R GP LLC</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Lindsey Cara, Authorized Signatory</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Starboard X Master Fund Ltd</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Lindsey Cara, Authorized Signatory of Starboard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Value LP, its investment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ectPr>
          <w:pgSz w:w="11900" w:h="16838" w:orient="portrait"/>
          <w:cols w:equalWidth="0" w:num="1">
            <w:col w:w="10920"/>
          </w:cols>
          <w:pgMar w:left="580" w:top="112" w:right="399" w:bottom="0" w:gutter="0" w:footer="0" w:header="0"/>
        </w:sectPr>
      </w:pPr>
    </w:p>
    <w:bookmarkStart w:id="16" w:name="page17"/>
    <w:bookmarkEnd w:id="16"/>
    <w:tbl>
      <w:tblPr>
        <w:tblLayout w:type="fixed"/>
        <w:tblInd w:w="480" w:type="dxa"/>
        <w:tblCellMar>
          <w:top w:w="0" w:type="dxa"/>
          <w:left w:w="0" w:type="dxa"/>
          <w:bottom w:w="0" w:type="dxa"/>
          <w:right w:w="0" w:type="dxa"/>
        </w:tblCellMar>
      </w:tblPr>
      <w:tr>
        <w:trPr>
          <w:trHeight w:val="283"/>
        </w:trPr>
        <w:tc>
          <w:tcPr>
            <w:tcW w:w="384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Starboard Value GP LLC</w:t>
            </w: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Signature:</w:t>
            </w: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Lindsey Cara</w:t>
            </w:r>
          </w:p>
        </w:tc>
        <w:tc>
          <w:tcPr>
            <w:tcW w:w="0" w:type="dxa"/>
            <w:vAlign w:val="bottom"/>
          </w:tcPr>
          <w:p>
            <w:pPr>
              <w:spacing w:after="0"/>
              <w:rPr>
                <w:sz w:val="1"/>
                <w:szCs w:val="1"/>
                <w:color w:val="auto"/>
              </w:rPr>
            </w:pPr>
          </w:p>
        </w:tc>
      </w:tr>
      <w:tr>
        <w:trPr>
          <w:trHeight w:val="258"/>
        </w:trPr>
        <w:tc>
          <w:tcPr>
            <w:tcW w:w="3840" w:type="dxa"/>
            <w:vAlign w:val="bottom"/>
          </w:tcPr>
          <w:p>
            <w:pPr>
              <w:spacing w:after="0"/>
              <w:rPr>
                <w:sz w:val="22"/>
                <w:szCs w:val="22"/>
                <w:color w:val="auto"/>
              </w:rPr>
            </w:pPr>
          </w:p>
        </w:tc>
        <w:tc>
          <w:tcPr>
            <w:tcW w:w="13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Name/Title:</w:t>
            </w: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Lindsey Cara, Authorized Signatory of Starboard</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Principal Co LP, its member</w:t>
            </w: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Date:</w:t>
            </w: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05/08/2026</w:t>
            </w:r>
          </w:p>
        </w:tc>
        <w:tc>
          <w:tcPr>
            <w:tcW w:w="0" w:type="dxa"/>
            <w:vAlign w:val="bottom"/>
          </w:tcPr>
          <w:p>
            <w:pPr>
              <w:spacing w:after="0"/>
              <w:rPr>
                <w:sz w:val="1"/>
                <w:szCs w:val="1"/>
                <w:color w:val="auto"/>
              </w:rPr>
            </w:pPr>
          </w:p>
        </w:tc>
      </w:tr>
      <w:tr>
        <w:trPr>
          <w:trHeight w:val="405"/>
        </w:trPr>
        <w:tc>
          <w:tcPr>
            <w:tcW w:w="3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Starboard Principal Co LP</w:t>
            </w: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Signature:</w:t>
            </w: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Lindsey Cara</w:t>
            </w:r>
          </w:p>
        </w:tc>
        <w:tc>
          <w:tcPr>
            <w:tcW w:w="0" w:type="dxa"/>
            <w:vAlign w:val="bottom"/>
          </w:tcPr>
          <w:p>
            <w:pPr>
              <w:spacing w:after="0"/>
              <w:rPr>
                <w:sz w:val="1"/>
                <w:szCs w:val="1"/>
                <w:color w:val="auto"/>
              </w:rPr>
            </w:pPr>
          </w:p>
        </w:tc>
      </w:tr>
      <w:tr>
        <w:trPr>
          <w:trHeight w:val="258"/>
        </w:trPr>
        <w:tc>
          <w:tcPr>
            <w:tcW w:w="3840" w:type="dxa"/>
            <w:vAlign w:val="bottom"/>
          </w:tcPr>
          <w:p>
            <w:pPr>
              <w:spacing w:after="0"/>
              <w:rPr>
                <w:sz w:val="22"/>
                <w:szCs w:val="22"/>
                <w:color w:val="auto"/>
              </w:rPr>
            </w:pPr>
          </w:p>
        </w:tc>
        <w:tc>
          <w:tcPr>
            <w:tcW w:w="13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Name/Title:</w:t>
            </w: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Lindsey Cara, Authorized Signatory of Starboard</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Principal Co GP LLC, its general partner</w:t>
            </w: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Date:</w:t>
            </w: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05/08/2026</w:t>
            </w:r>
          </w:p>
        </w:tc>
        <w:tc>
          <w:tcPr>
            <w:tcW w:w="0" w:type="dxa"/>
            <w:vAlign w:val="bottom"/>
          </w:tcPr>
          <w:p>
            <w:pPr>
              <w:spacing w:after="0"/>
              <w:rPr>
                <w:sz w:val="1"/>
                <w:szCs w:val="1"/>
                <w:color w:val="auto"/>
              </w:rPr>
            </w:pPr>
          </w:p>
        </w:tc>
      </w:tr>
      <w:tr>
        <w:trPr>
          <w:trHeight w:val="405"/>
        </w:trPr>
        <w:tc>
          <w:tcPr>
            <w:tcW w:w="5160" w:type="dxa"/>
            <w:vAlign w:val="bottom"/>
            <w:gridSpan w:val="2"/>
          </w:tcPr>
          <w:p>
            <w:pPr>
              <w:ind w:left="1400"/>
              <w:spacing w:after="0"/>
              <w:rPr>
                <w:sz w:val="20"/>
                <w:szCs w:val="20"/>
                <w:color w:val="auto"/>
              </w:rPr>
            </w:pPr>
            <w:r>
              <w:rPr>
                <w:rFonts w:ascii="Times New Roman" w:cs="Times New Roman" w:eastAsia="Times New Roman" w:hAnsi="Times New Roman"/>
                <w:sz w:val="22"/>
                <w:szCs w:val="22"/>
                <w:color w:val="auto"/>
              </w:rPr>
              <w:t>Starboard Principal Co GP LLC</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ind w:left="2840"/>
              <w:spacing w:after="0"/>
              <w:rPr>
                <w:sz w:val="20"/>
                <w:szCs w:val="20"/>
                <w:color w:val="auto"/>
              </w:rPr>
            </w:pPr>
            <w:r>
              <w:rPr>
                <w:rFonts w:ascii="Times New Roman" w:cs="Times New Roman" w:eastAsia="Times New Roman" w:hAnsi="Times New Roman"/>
                <w:sz w:val="22"/>
                <w:szCs w:val="22"/>
                <w:color w:val="auto"/>
              </w:rPr>
              <w:t>Signature:</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 Lindsey Cara</w:t>
            </w:r>
          </w:p>
        </w:tc>
        <w:tc>
          <w:tcPr>
            <w:tcW w:w="0" w:type="dxa"/>
            <w:vAlign w:val="bottom"/>
          </w:tcPr>
          <w:p>
            <w:pPr>
              <w:spacing w:after="0"/>
              <w:rPr>
                <w:sz w:val="1"/>
                <w:szCs w:val="1"/>
                <w:color w:val="auto"/>
              </w:rPr>
            </w:pPr>
          </w:p>
        </w:tc>
      </w:tr>
      <w:tr>
        <w:trPr>
          <w:trHeight w:val="297"/>
        </w:trPr>
        <w:tc>
          <w:tcPr>
            <w:tcW w:w="9440" w:type="dxa"/>
            <w:vAlign w:val="bottom"/>
            <w:gridSpan w:val="3"/>
          </w:tcPr>
          <w:p>
            <w:pPr>
              <w:ind w:left="2840"/>
              <w:spacing w:after="0"/>
              <w:rPr>
                <w:sz w:val="20"/>
                <w:szCs w:val="20"/>
                <w:color w:val="auto"/>
              </w:rPr>
            </w:pPr>
            <w:r>
              <w:rPr>
                <w:rFonts w:ascii="Times New Roman" w:cs="Times New Roman" w:eastAsia="Times New Roman" w:hAnsi="Times New Roman"/>
                <w:sz w:val="22"/>
                <w:szCs w:val="22"/>
                <w:color w:val="auto"/>
              </w:rPr>
              <w:t>Name/Title: Lindsey Cara, Authorized Signatory</w:t>
            </w:r>
          </w:p>
        </w:tc>
        <w:tc>
          <w:tcPr>
            <w:tcW w:w="0" w:type="dxa"/>
            <w:vAlign w:val="bottom"/>
          </w:tcPr>
          <w:p>
            <w:pPr>
              <w:spacing w:after="0"/>
              <w:rPr>
                <w:sz w:val="1"/>
                <w:szCs w:val="1"/>
                <w:color w:val="auto"/>
              </w:rPr>
            </w:pPr>
          </w:p>
        </w:tc>
      </w:tr>
      <w:tr>
        <w:trPr>
          <w:trHeight w:val="297"/>
        </w:trPr>
        <w:tc>
          <w:tcPr>
            <w:tcW w:w="3840" w:type="dxa"/>
            <w:vAlign w:val="bottom"/>
          </w:tcPr>
          <w:p>
            <w:pPr>
              <w:ind w:left="2840"/>
              <w:spacing w:after="0"/>
              <w:rPr>
                <w:sz w:val="20"/>
                <w:szCs w:val="20"/>
                <w:color w:val="auto"/>
              </w:rPr>
            </w:pPr>
            <w:r>
              <w:rPr>
                <w:rFonts w:ascii="Times New Roman" w:cs="Times New Roman" w:eastAsia="Times New Roman" w:hAnsi="Times New Roman"/>
                <w:sz w:val="22"/>
                <w:szCs w:val="22"/>
                <w:color w:val="auto"/>
              </w:rPr>
              <w:t>Date:</w:t>
            </w:r>
          </w:p>
        </w:tc>
        <w:tc>
          <w:tcPr>
            <w:tcW w:w="1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05/08/2026</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Smith Jeffrey C</w:t>
            </w:r>
          </w:p>
        </w:tc>
        <w:tc>
          <w:tcPr>
            <w:tcW w:w="13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Signature:</w:t>
            </w: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Lindsey Cara</w:t>
            </w:r>
          </w:p>
        </w:tc>
        <w:tc>
          <w:tcPr>
            <w:tcW w:w="0" w:type="dxa"/>
            <w:vAlign w:val="bottom"/>
          </w:tcPr>
          <w:p>
            <w:pPr>
              <w:spacing w:after="0"/>
              <w:rPr>
                <w:sz w:val="1"/>
                <w:szCs w:val="1"/>
                <w:color w:val="auto"/>
              </w:rPr>
            </w:pPr>
          </w:p>
        </w:tc>
      </w:tr>
      <w:tr>
        <w:trPr>
          <w:trHeight w:val="258"/>
        </w:trPr>
        <w:tc>
          <w:tcPr>
            <w:tcW w:w="3840" w:type="dxa"/>
            <w:vAlign w:val="bottom"/>
          </w:tcPr>
          <w:p>
            <w:pPr>
              <w:spacing w:after="0"/>
              <w:rPr>
                <w:sz w:val="22"/>
                <w:szCs w:val="22"/>
                <w:color w:val="auto"/>
              </w:rPr>
            </w:pPr>
          </w:p>
        </w:tc>
        <w:tc>
          <w:tcPr>
            <w:tcW w:w="13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Name/Title:</w:t>
            </w: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Lindsey Cara, Attorney-in-Fact for Jeffrey C.</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Smith</w:t>
            </w: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Date:</w:t>
            </w:r>
          </w:p>
        </w:tc>
        <w:tc>
          <w:tcPr>
            <w:tcW w:w="4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05/08/2026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Feld Peter A</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Lindsey Cara, Attorney-in-Fact for Peter A. Feld</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Sagal Jonathan</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Lindsey Cara</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Lindsey</w:t>
      </w:r>
      <w:r>
        <w:rPr>
          <w:rFonts w:ascii="Times New Roman" w:cs="Times New Roman" w:eastAsia="Times New Roman" w:hAnsi="Times New Roman"/>
          <w:sz w:val="37"/>
          <w:szCs w:val="37"/>
          <w:color w:val="auto"/>
          <w:vertAlign w:val="subscript"/>
        </w:rPr>
        <w:t>Sagal</w:t>
      </w:r>
      <w:r>
        <w:rPr>
          <w:rFonts w:ascii="Times New Roman" w:cs="Times New Roman" w:eastAsia="Times New Roman" w:hAnsi="Times New Roman"/>
          <w:sz w:val="19"/>
          <w:szCs w:val="19"/>
          <w:color w:val="auto"/>
        </w:rPr>
        <w:t xml:space="preserve"> Cara, Attorney-in-Fact for Jonathan</w:t>
      </w:r>
    </w:p>
    <w:p>
      <w:pPr>
        <w:spacing w:after="0" w:line="129"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ectPr>
          <w:pgSz w:w="11900" w:h="16838" w:orient="portrait"/>
          <w:cols w:equalWidth="0" w:num="1">
            <w:col w:w="9920"/>
          </w:cols>
          <w:pgMar w:left="1440" w:top="112" w:right="5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Officers of Starboard Value and Opportunity Master Fund Ltd and Starboard X Master Fund Ltd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and Position</w:t>
            </w:r>
          </w:p>
        </w:tc>
        <w:tc>
          <w:tcPr>
            <w:tcW w:w="3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Principal Occupation</w:t>
            </w:r>
          </w:p>
        </w:tc>
        <w:tc>
          <w:tcPr>
            <w:tcW w:w="2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Business Address</w:t>
            </w:r>
          </w:p>
        </w:tc>
        <w:tc>
          <w:tcPr>
            <w:tcW w:w="3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Citizenship</w:t>
            </w:r>
          </w:p>
        </w:tc>
      </w:tr>
      <w:tr>
        <w:trPr>
          <w:trHeight w:val="237"/>
        </w:trPr>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900" w:type="dxa"/>
            <w:vAlign w:val="bottom"/>
          </w:tcPr>
          <w:p>
            <w:pPr>
              <w:spacing w:after="0"/>
              <w:rPr>
                <w:sz w:val="20"/>
                <w:szCs w:val="20"/>
                <w:color w:val="auto"/>
              </w:rPr>
            </w:pPr>
          </w:p>
        </w:tc>
      </w:tr>
      <w:tr>
        <w:trPr>
          <w:trHeight w:val="198"/>
        </w:trPr>
        <w:tc>
          <w:tcPr>
            <w:tcW w:w="220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Patrick Agemian</w:t>
            </w:r>
          </w:p>
        </w:tc>
        <w:tc>
          <w:tcPr>
            <w:tcW w:w="3340" w:type="dxa"/>
            <w:vAlign w:val="bottom"/>
            <w:gridSpan w:val="3"/>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Director of Global Funds</w:t>
            </w:r>
          </w:p>
        </w:tc>
        <w:tc>
          <w:tcPr>
            <w:tcW w:w="26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PO Box 10034, Buckingham</w:t>
            </w:r>
          </w:p>
        </w:tc>
        <w:tc>
          <w:tcPr>
            <w:tcW w:w="3040" w:type="dxa"/>
            <w:vAlign w:val="bottom"/>
            <w:gridSpan w:val="3"/>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2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Management, Ltd.</w:t>
            </w: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Square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2nd Floor</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720A West Bay Road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Grand Cayman</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Cayman Islands, KY1-1001</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198"/>
        </w:trPr>
        <w:tc>
          <w:tcPr>
            <w:tcW w:w="22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Lindsey Cara</w:t>
            </w:r>
          </w:p>
        </w:tc>
        <w:tc>
          <w:tcPr>
            <w:tcW w:w="3340" w:type="dxa"/>
            <w:vAlign w:val="bottom"/>
            <w:gridSpan w:val="3"/>
          </w:tcPr>
          <w:p>
            <w:pPr>
              <w:ind w:left="720"/>
              <w:spacing w:after="0" w:line="198" w:lineRule="exact"/>
              <w:rPr>
                <w:sz w:val="20"/>
                <w:szCs w:val="20"/>
                <w:color w:val="auto"/>
              </w:rPr>
            </w:pPr>
            <w:r>
              <w:rPr>
                <w:rFonts w:ascii="Times New Roman" w:cs="Times New Roman" w:eastAsia="Times New Roman" w:hAnsi="Times New Roman"/>
                <w:sz w:val="18"/>
                <w:szCs w:val="18"/>
                <w:color w:val="auto"/>
              </w:rPr>
              <w:t>General Counsel, Starboard Value</w:t>
            </w:r>
          </w:p>
        </w:tc>
        <w:tc>
          <w:tcPr>
            <w:tcW w:w="266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Starboard Value LP</w:t>
            </w:r>
          </w:p>
        </w:tc>
        <w:tc>
          <w:tcPr>
            <w:tcW w:w="3040" w:type="dxa"/>
            <w:vAlign w:val="bottom"/>
            <w:gridSpan w:val="3"/>
          </w:tcPr>
          <w:p>
            <w:pPr>
              <w:ind w:left="320"/>
              <w:spacing w:after="0" w:line="198" w:lineRule="exact"/>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LP</w:t>
            </w:r>
          </w:p>
        </w:tc>
        <w:tc>
          <w:tcPr>
            <w:tcW w:w="2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777 Third Avenue, 18th Floor</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New York, New York 10017</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98"/>
        </w:trPr>
        <w:tc>
          <w:tcPr>
            <w:tcW w:w="220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Alaina Danley</w:t>
            </w:r>
          </w:p>
        </w:tc>
        <w:tc>
          <w:tcPr>
            <w:tcW w:w="3340" w:type="dxa"/>
            <w:vAlign w:val="bottom"/>
            <w:gridSpan w:val="3"/>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Managing Director of Waystone</w:t>
            </w:r>
          </w:p>
        </w:tc>
        <w:tc>
          <w:tcPr>
            <w:tcW w:w="26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Waystone Governance Ltd.</w:t>
            </w:r>
          </w:p>
        </w:tc>
        <w:tc>
          <w:tcPr>
            <w:tcW w:w="3040" w:type="dxa"/>
            <w:vAlign w:val="bottom"/>
            <w:gridSpan w:val="3"/>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2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Governance Ltd.</w:t>
            </w: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Suite 5B201, 2nd Floor</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One Nexus Way</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 Box 2587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Grand Cayman</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Cayman Islands, KY1-1103</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Exhibit 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80" w:type="dxa"/>
            <w:vAlign w:val="bottom"/>
            <w:gridSpan w:val="1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During the Past Sixty Days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34"/>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80" w:type="dxa"/>
            <w:vAlign w:val="bottom"/>
            <w:tcBorders>
              <w:top w:val="single" w:sz="8" w:color="auto"/>
            </w:tcBorders>
            <w:gridSpan w:val="7"/>
          </w:tcPr>
          <w:p>
            <w:pPr>
              <w:jc w:val="center"/>
              <w:ind w:right="116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100" w:type="dxa"/>
            <w:vAlign w:val="bottom"/>
          </w:tcPr>
          <w:p>
            <w:pPr>
              <w:spacing w:after="0"/>
              <w:rPr>
                <w:sz w:val="16"/>
                <w:szCs w:val="16"/>
                <w:color w:val="auto"/>
              </w:rPr>
            </w:pPr>
          </w:p>
        </w:tc>
        <w:tc>
          <w:tcPr>
            <w:tcW w:w="2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Nature of the Transaction</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80" w:type="dxa"/>
            <w:vAlign w:val="bottom"/>
            <w:gridSpan w:val="6"/>
          </w:tcPr>
          <w:p>
            <w:pPr>
              <w:jc w:val="center"/>
              <w:ind w:right="1760"/>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2180" w:type="dxa"/>
            <w:vAlign w:val="bottom"/>
            <w:gridSpan w:val="7"/>
          </w:tcPr>
          <w:p>
            <w:pPr>
              <w:jc w:val="center"/>
              <w:ind w:right="1400"/>
              <w:spacing w:after="0" w:line="194" w:lineRule="exact"/>
              <w:rPr>
                <w:sz w:val="20"/>
                <w:szCs w:val="20"/>
                <w:color w:val="auto"/>
              </w:rPr>
            </w:pPr>
            <w:r>
              <w:rPr>
                <w:rFonts w:ascii="Times New Roman" w:cs="Times New Roman" w:eastAsia="Times New Roman" w:hAnsi="Times New Roman"/>
                <w:sz w:val="18"/>
                <w:szCs w:val="18"/>
                <w:color w:val="auto"/>
                <w:w w:val="99"/>
              </w:rPr>
              <w:t xml:space="preserve">Price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2420" w:type="dxa"/>
            <w:vAlign w:val="bottom"/>
            <w:gridSpan w:val="3"/>
          </w:tcPr>
          <w:p>
            <w:pPr>
              <w:jc w:val="center"/>
              <w:ind w:right="38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80" w:type="dxa"/>
            <w:vAlign w:val="bottom"/>
            <w:gridSpan w:val="1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STARBOARD VALUE AND OPPORTUNITY MASTER FUND LTD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900" w:type="dxa"/>
            <w:vAlign w:val="bottom"/>
            <w:gridSpan w:val="7"/>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(2,370,713)</w:t>
            </w:r>
          </w:p>
        </w:tc>
        <w:tc>
          <w:tcPr>
            <w:tcW w:w="18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8.1200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05/08/2026</w:t>
            </w:r>
          </w:p>
        </w:tc>
        <w:tc>
          <w:tcPr>
            <w:tcW w:w="900" w:type="dxa"/>
            <w:vAlign w:val="bottom"/>
            <w:shd w:val="clear" w:color="auto" w:fill="CCEEFF"/>
          </w:tcPr>
          <w:p>
            <w:pPr>
              <w:spacing w:after="0"/>
              <w:rPr>
                <w:sz w:val="18"/>
                <w:szCs w:val="18"/>
                <w:color w:val="auto"/>
              </w:rPr>
            </w:pPr>
          </w:p>
        </w:tc>
      </w:tr>
      <w:tr>
        <w:trPr>
          <w:trHeight w:val="198"/>
        </w:trPr>
        <w:tc>
          <w:tcPr>
            <w:tcW w:w="29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 of Cash-Settled Total</w:t>
            </w:r>
          </w:p>
        </w:tc>
        <w:tc>
          <w:tcPr>
            <w:tcW w:w="1660" w:type="dxa"/>
            <w:vAlign w:val="bottom"/>
            <w:gridSpan w:val="6"/>
          </w:tcPr>
          <w:p>
            <w:pPr>
              <w:jc w:val="center"/>
              <w:ind w:left="810"/>
              <w:spacing w:after="0" w:line="198" w:lineRule="exact"/>
              <w:rPr>
                <w:sz w:val="20"/>
                <w:szCs w:val="20"/>
                <w:color w:val="auto"/>
              </w:rPr>
            </w:pPr>
            <w:r>
              <w:rPr>
                <w:rFonts w:ascii="Times New Roman" w:cs="Times New Roman" w:eastAsia="Times New Roman" w:hAnsi="Times New Roman"/>
                <w:sz w:val="18"/>
                <w:szCs w:val="18"/>
                <w:color w:val="auto"/>
                <w:w w:val="99"/>
              </w:rPr>
              <w:t>2,370,713</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0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8.1200</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2"/>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w w:val="99"/>
              </w:rPr>
              <w:t>05/08/2026</w:t>
            </w:r>
          </w:p>
        </w:tc>
        <w:tc>
          <w:tcPr>
            <w:tcW w:w="900" w:type="dxa"/>
            <w:vAlign w:val="bottom"/>
          </w:tcPr>
          <w:p>
            <w:pPr>
              <w:spacing w:after="0"/>
              <w:rPr>
                <w:sz w:val="17"/>
                <w:szCs w:val="17"/>
                <w:color w:val="auto"/>
              </w:rPr>
            </w:pPr>
          </w:p>
        </w:tc>
      </w:tr>
      <w:tr>
        <w:trPr>
          <w:trHeight w:val="234"/>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Return Swap</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1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STARBOARD VALUE AND OPPORTUNITY S LLC</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6"/>
        </w:trPr>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60" w:type="dxa"/>
            <w:vAlign w:val="bottom"/>
            <w:gridSpan w:val="6"/>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(286,455)</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8.1200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05/08/2026</w:t>
            </w:r>
          </w:p>
        </w:tc>
        <w:tc>
          <w:tcPr>
            <w:tcW w:w="900" w:type="dxa"/>
            <w:vAlign w:val="bottom"/>
            <w:shd w:val="clear" w:color="auto" w:fill="CCEEFF"/>
          </w:tcPr>
          <w:p>
            <w:pPr>
              <w:spacing w:after="0"/>
              <w:rPr>
                <w:sz w:val="18"/>
                <w:szCs w:val="18"/>
                <w:color w:val="auto"/>
              </w:rPr>
            </w:pPr>
          </w:p>
        </w:tc>
      </w:tr>
      <w:tr>
        <w:trPr>
          <w:trHeight w:val="198"/>
        </w:trPr>
        <w:tc>
          <w:tcPr>
            <w:tcW w:w="29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 of Cash-Settled Total</w:t>
            </w:r>
          </w:p>
        </w:tc>
        <w:tc>
          <w:tcPr>
            <w:tcW w:w="1660" w:type="dxa"/>
            <w:vAlign w:val="bottom"/>
            <w:gridSpan w:val="6"/>
          </w:tcPr>
          <w:p>
            <w:pPr>
              <w:jc w:val="center"/>
              <w:ind w:left="810"/>
              <w:spacing w:after="0" w:line="198" w:lineRule="exact"/>
              <w:rPr>
                <w:sz w:val="20"/>
                <w:szCs w:val="20"/>
                <w:color w:val="auto"/>
              </w:rPr>
            </w:pPr>
            <w:r>
              <w:rPr>
                <w:rFonts w:ascii="Times New Roman" w:cs="Times New Roman" w:eastAsia="Times New Roman" w:hAnsi="Times New Roman"/>
                <w:sz w:val="18"/>
                <w:szCs w:val="18"/>
                <w:color w:val="auto"/>
              </w:rPr>
              <w:t>286,455</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0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8.1200</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2"/>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w w:val="99"/>
              </w:rPr>
              <w:t>05/08/2026</w:t>
            </w:r>
          </w:p>
        </w:tc>
        <w:tc>
          <w:tcPr>
            <w:tcW w:w="900" w:type="dxa"/>
            <w:vAlign w:val="bottom"/>
          </w:tcPr>
          <w:p>
            <w:pPr>
              <w:spacing w:after="0"/>
              <w:rPr>
                <w:sz w:val="17"/>
                <w:szCs w:val="17"/>
                <w:color w:val="auto"/>
              </w:rPr>
            </w:pPr>
          </w:p>
        </w:tc>
      </w:tr>
      <w:tr>
        <w:trPr>
          <w:trHeight w:val="234"/>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Return Swap</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80" w:type="dxa"/>
            <w:vAlign w:val="bottom"/>
            <w:gridSpan w:val="1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STARBOARD VALUE AND OPPORTUNITY MASTER FUND L LP</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6"/>
        </w:trPr>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60" w:type="dxa"/>
            <w:vAlign w:val="bottom"/>
            <w:gridSpan w:val="6"/>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(123,441)</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8.1200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05/08/2026</w:t>
            </w:r>
          </w:p>
        </w:tc>
        <w:tc>
          <w:tcPr>
            <w:tcW w:w="900" w:type="dxa"/>
            <w:vAlign w:val="bottom"/>
            <w:shd w:val="clear" w:color="auto" w:fill="CCEEFF"/>
          </w:tcPr>
          <w:p>
            <w:pPr>
              <w:spacing w:after="0"/>
              <w:rPr>
                <w:sz w:val="18"/>
                <w:szCs w:val="18"/>
                <w:color w:val="auto"/>
              </w:rPr>
            </w:pPr>
          </w:p>
        </w:tc>
      </w:tr>
      <w:tr>
        <w:trPr>
          <w:trHeight w:val="198"/>
        </w:trPr>
        <w:tc>
          <w:tcPr>
            <w:tcW w:w="29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 of Cash-Settled Total</w:t>
            </w:r>
          </w:p>
        </w:tc>
        <w:tc>
          <w:tcPr>
            <w:tcW w:w="1660" w:type="dxa"/>
            <w:vAlign w:val="bottom"/>
            <w:gridSpan w:val="6"/>
          </w:tcPr>
          <w:p>
            <w:pPr>
              <w:jc w:val="center"/>
              <w:ind w:left="810"/>
              <w:spacing w:after="0" w:line="198" w:lineRule="exact"/>
              <w:rPr>
                <w:sz w:val="20"/>
                <w:szCs w:val="20"/>
                <w:color w:val="auto"/>
              </w:rPr>
            </w:pPr>
            <w:r>
              <w:rPr>
                <w:rFonts w:ascii="Times New Roman" w:cs="Times New Roman" w:eastAsia="Times New Roman" w:hAnsi="Times New Roman"/>
                <w:sz w:val="18"/>
                <w:szCs w:val="18"/>
                <w:color w:val="auto"/>
              </w:rPr>
              <w:t>123,441</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0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8.1200</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2"/>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w w:val="99"/>
              </w:rPr>
              <w:t>05/08/2026</w:t>
            </w:r>
          </w:p>
        </w:tc>
        <w:tc>
          <w:tcPr>
            <w:tcW w:w="900" w:type="dxa"/>
            <w:vAlign w:val="bottom"/>
          </w:tcPr>
          <w:p>
            <w:pPr>
              <w:spacing w:after="0"/>
              <w:rPr>
                <w:sz w:val="17"/>
                <w:szCs w:val="17"/>
                <w:color w:val="auto"/>
              </w:rPr>
            </w:pPr>
          </w:p>
        </w:tc>
      </w:tr>
      <w:tr>
        <w:trPr>
          <w:trHeight w:val="234"/>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Return Swap</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20" w:type="dxa"/>
            <w:vAlign w:val="bottom"/>
            <w:gridSpan w:val="10"/>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STARBOARD X MASTER FUND LTD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6"/>
        </w:trPr>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60" w:type="dxa"/>
            <w:vAlign w:val="bottom"/>
            <w:gridSpan w:val="6"/>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(599,923)</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8.1200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05/08/2026</w:t>
            </w:r>
          </w:p>
        </w:tc>
        <w:tc>
          <w:tcPr>
            <w:tcW w:w="900" w:type="dxa"/>
            <w:vAlign w:val="bottom"/>
            <w:shd w:val="clear" w:color="auto" w:fill="CCEEFF"/>
          </w:tcPr>
          <w:p>
            <w:pPr>
              <w:spacing w:after="0"/>
              <w:rPr>
                <w:sz w:val="18"/>
                <w:szCs w:val="18"/>
                <w:color w:val="auto"/>
              </w:rPr>
            </w:pPr>
          </w:p>
        </w:tc>
      </w:tr>
      <w:tr>
        <w:trPr>
          <w:trHeight w:val="198"/>
        </w:trPr>
        <w:tc>
          <w:tcPr>
            <w:tcW w:w="29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 of Cash-Settled Total</w:t>
            </w:r>
          </w:p>
        </w:tc>
        <w:tc>
          <w:tcPr>
            <w:tcW w:w="1660" w:type="dxa"/>
            <w:vAlign w:val="bottom"/>
            <w:gridSpan w:val="6"/>
          </w:tcPr>
          <w:p>
            <w:pPr>
              <w:jc w:val="center"/>
              <w:ind w:left="810"/>
              <w:spacing w:after="0" w:line="198" w:lineRule="exact"/>
              <w:rPr>
                <w:sz w:val="20"/>
                <w:szCs w:val="20"/>
                <w:color w:val="auto"/>
              </w:rPr>
            </w:pPr>
            <w:r>
              <w:rPr>
                <w:rFonts w:ascii="Times New Roman" w:cs="Times New Roman" w:eastAsia="Times New Roman" w:hAnsi="Times New Roman"/>
                <w:sz w:val="18"/>
                <w:szCs w:val="18"/>
                <w:color w:val="auto"/>
              </w:rPr>
              <w:t>599,923</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0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8.1200</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2"/>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w w:val="99"/>
              </w:rPr>
              <w:t>05/08/2026</w:t>
            </w:r>
          </w:p>
        </w:tc>
        <w:tc>
          <w:tcPr>
            <w:tcW w:w="900" w:type="dxa"/>
            <w:vAlign w:val="bottom"/>
          </w:tcPr>
          <w:p>
            <w:pPr>
              <w:spacing w:after="0"/>
              <w:rPr>
                <w:sz w:val="17"/>
                <w:szCs w:val="17"/>
                <w:color w:val="auto"/>
              </w:rPr>
            </w:pPr>
          </w:p>
        </w:tc>
      </w:tr>
      <w:tr>
        <w:trPr>
          <w:trHeight w:val="234"/>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Return Swap</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STARBOARD VALUE LP</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gridSpan w:val="12"/>
          </w:tcPr>
          <w:p>
            <w:pPr>
              <w:jc w:val="center"/>
              <w:ind w:right="11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(Through the Starboard Value LP Account)</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60" w:type="dxa"/>
            <w:vAlign w:val="bottom"/>
            <w:gridSpan w:val="6"/>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(419,468)</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8.1200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05/08/2026</w:t>
            </w:r>
          </w:p>
        </w:tc>
        <w:tc>
          <w:tcPr>
            <w:tcW w:w="900" w:type="dxa"/>
            <w:vAlign w:val="bottom"/>
            <w:shd w:val="clear" w:color="auto" w:fill="CCEEFF"/>
          </w:tcPr>
          <w:p>
            <w:pPr>
              <w:spacing w:after="0"/>
              <w:rPr>
                <w:sz w:val="18"/>
                <w:szCs w:val="18"/>
                <w:color w:val="auto"/>
              </w:rPr>
            </w:pPr>
          </w:p>
        </w:tc>
      </w:tr>
      <w:tr>
        <w:trPr>
          <w:trHeight w:val="198"/>
        </w:trPr>
        <w:tc>
          <w:tcPr>
            <w:tcW w:w="294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 of Cash-Settled Total</w:t>
            </w:r>
          </w:p>
        </w:tc>
        <w:tc>
          <w:tcPr>
            <w:tcW w:w="1660" w:type="dxa"/>
            <w:vAlign w:val="bottom"/>
            <w:gridSpan w:val="6"/>
          </w:tcPr>
          <w:p>
            <w:pPr>
              <w:jc w:val="center"/>
              <w:ind w:left="810"/>
              <w:spacing w:after="0" w:line="198" w:lineRule="exact"/>
              <w:rPr>
                <w:sz w:val="20"/>
                <w:szCs w:val="20"/>
                <w:color w:val="auto"/>
              </w:rPr>
            </w:pPr>
            <w:r>
              <w:rPr>
                <w:rFonts w:ascii="Times New Roman" w:cs="Times New Roman" w:eastAsia="Times New Roman" w:hAnsi="Times New Roman"/>
                <w:sz w:val="18"/>
                <w:szCs w:val="18"/>
                <w:color w:val="auto"/>
              </w:rPr>
              <w:t>419,468</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0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8.1200</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2"/>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w w:val="99"/>
              </w:rPr>
              <w:t>05/08/2026</w:t>
            </w:r>
          </w:p>
        </w:tc>
        <w:tc>
          <w:tcPr>
            <w:tcW w:w="900" w:type="dxa"/>
            <w:vAlign w:val="bottom"/>
          </w:tcPr>
          <w:p>
            <w:pPr>
              <w:spacing w:after="0"/>
              <w:rPr>
                <w:sz w:val="17"/>
                <w:szCs w:val="17"/>
                <w:color w:val="auto"/>
              </w:rPr>
            </w:pPr>
          </w:p>
        </w:tc>
      </w:tr>
      <w:tr>
        <w:trPr>
          <w:trHeight w:val="234"/>
        </w:trPr>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Return Swap</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2"/>
      <w:numFmt w:val="bullet"/>
      <w:start w:val="1"/>
    </w:lvl>
  </w:abstractNum>
  <w:abstractNum w:abstractNumId="1">
    <w:nsid w:val="6B68079A"/>
    <w:multiLevelType w:val="hybridMultilevel"/>
    <w:lvl w:ilvl="0">
      <w:lvlJc w:val="left"/>
      <w:lvlText w:val="3"/>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3"/>
      <w:numFmt w:val="bullet"/>
      <w:start w:val="1"/>
    </w:lvl>
  </w:abstractNum>
  <w:abstractNum w:abstractNumId="4">
    <w:nsid w:val="519B500D"/>
    <w:multiLevelType w:val="hybridMultilevel"/>
    <w:lvl w:ilvl="0">
      <w:lvlJc w:val="left"/>
      <w:lvlText w:val="2"/>
      <w:numFmt w:val="bullet"/>
      <w:start w:val="1"/>
    </w:lvl>
  </w:abstractNum>
  <w:abstractNum w:abstractNumId="5">
    <w:nsid w:val="431BD7B7"/>
    <w:multiLevelType w:val="hybridMultilevel"/>
    <w:lvl w:ilvl="0">
      <w:lvlJc w:val="left"/>
      <w:lvlText w:val="3"/>
      <w:numFmt w:val="bullet"/>
      <w:start w:val="1"/>
    </w:lvl>
  </w:abstractNum>
  <w:abstractNum w:abstractNumId="6">
    <w:nsid w:val="3F2DBA31"/>
    <w:multiLevelType w:val="hybridMultilevel"/>
    <w:lvl w:ilvl="0">
      <w:lvlJc w:val="left"/>
      <w:lvlText w:val="5"/>
      <w:numFmt w:val="bullet"/>
      <w:start w:val="1"/>
    </w:lvl>
  </w:abstractNum>
  <w:abstractNum w:abstractNumId="7">
    <w:nsid w:val="7C83E458"/>
    <w:multiLevelType w:val="hybridMultilevel"/>
    <w:lvl w:ilvl="0">
      <w:lvlJc w:val="left"/>
      <w:lvlText w:val="2"/>
      <w:numFmt w:val="bullet"/>
      <w:start w:val="1"/>
    </w:lvl>
  </w:abstractNum>
  <w:abstractNum w:abstractNumId="8">
    <w:nsid w:val="257130A3"/>
    <w:multiLevelType w:val="hybridMultilevel"/>
    <w:lvl w:ilvl="0">
      <w:lvlJc w:val="left"/>
      <w:lvlText w:val="3"/>
      <w:numFmt w:val="bullet"/>
      <w:start w:val="1"/>
    </w:lvl>
  </w:abstractNum>
  <w:abstractNum w:abstractNumId="9">
    <w:nsid w:val="62BBD95A"/>
    <w:multiLevelType w:val="hybridMultilevel"/>
    <w:lvl w:ilvl="0">
      <w:lvlJc w:val="left"/>
      <w:lvlText w:val="2"/>
      <w:numFmt w:val="bullet"/>
      <w:start w:val="1"/>
    </w:lvl>
  </w:abstractNum>
  <w:abstractNum w:abstractNumId="10">
    <w:nsid w:val="436C6125"/>
    <w:multiLevelType w:val="hybridMultilevel"/>
    <w:lvl w:ilvl="0">
      <w:lvlJc w:val="left"/>
      <w:lvlText w:val="3"/>
      <w:numFmt w:val="bullet"/>
      <w:start w:val="1"/>
    </w:lvl>
  </w:abstractNum>
  <w:abstractNum w:abstractNumId="11">
    <w:nsid w:val="628C895D"/>
    <w:multiLevelType w:val="hybridMultilevel"/>
    <w:lvl w:ilvl="0">
      <w:lvlJc w:val="left"/>
      <w:lvlText w:val="2"/>
      <w:numFmt w:val="bullet"/>
      <w:start w:val="1"/>
    </w:lvl>
  </w:abstractNum>
  <w:abstractNum w:abstractNumId="12">
    <w:nsid w:val="333AB105"/>
    <w:multiLevelType w:val="hybridMultilevel"/>
    <w:lvl w:ilvl="0">
      <w:lvlJc w:val="left"/>
      <w:lvlText w:val="3"/>
      <w:numFmt w:val="bullet"/>
      <w:start w:val="1"/>
    </w:lvl>
  </w:abstractNum>
  <w:abstractNum w:abstractNumId="13">
    <w:nsid w:val="721DA317"/>
    <w:multiLevelType w:val="hybridMultilevel"/>
    <w:lvl w:ilvl="0">
      <w:lvlJc w:val="left"/>
      <w:lvlText w:val="2"/>
      <w:numFmt w:val="bullet"/>
      <w:start w:val="1"/>
    </w:lvl>
  </w:abstractNum>
  <w:abstractNum w:abstractNumId="14">
    <w:nsid w:val="2443A858"/>
    <w:multiLevelType w:val="hybridMultilevel"/>
    <w:lvl w:ilvl="0">
      <w:lvlJc w:val="left"/>
      <w:lvlText w:val="3"/>
      <w:numFmt w:val="bullet"/>
      <w:start w:val="1"/>
    </w:lvl>
  </w:abstractNum>
  <w:abstractNum w:abstractNumId="15">
    <w:nsid w:val="2D1D5AE9"/>
    <w:multiLevelType w:val="hybridMultilevel"/>
    <w:lvl w:ilvl="0">
      <w:lvlJc w:val="left"/>
      <w:lvlText w:val="2"/>
      <w:numFmt w:val="bullet"/>
      <w:start w:val="1"/>
    </w:lvl>
  </w:abstractNum>
  <w:abstractNum w:abstractNumId="16">
    <w:nsid w:val="6763845E"/>
    <w:multiLevelType w:val="hybridMultilevel"/>
    <w:lvl w:ilvl="0">
      <w:lvlJc w:val="left"/>
      <w:lvlText w:val="3"/>
      <w:numFmt w:val="bullet"/>
      <w:start w:val="1"/>
    </w:lvl>
  </w:abstractNum>
  <w:abstractNum w:abstractNumId="17">
    <w:nsid w:val="75A2A8D4"/>
    <w:multiLevelType w:val="hybridMultilevel"/>
    <w:lvl w:ilvl="0">
      <w:lvlJc w:val="left"/>
      <w:lvlText w:val="2"/>
      <w:numFmt w:val="bullet"/>
      <w:start w:val="1"/>
    </w:lvl>
  </w:abstractNum>
  <w:abstractNum w:abstractNumId="18">
    <w:nsid w:val="8EDBDAB"/>
    <w:multiLevelType w:val="hybridMultilevel"/>
    <w:lvl w:ilvl="0">
      <w:lvlJc w:val="left"/>
      <w:lvlText w:val="3"/>
      <w:numFmt w:val="bullet"/>
      <w:start w:val="1"/>
    </w:lvl>
  </w:abstractNum>
  <w:abstractNum w:abstractNumId="19">
    <w:nsid w:val="79838CB2"/>
    <w:multiLevelType w:val="hybridMultilevel"/>
    <w:lvl w:ilvl="0">
      <w:lvlJc w:val="left"/>
      <w:lvlText w:val="5"/>
      <w:numFmt w:val="bullet"/>
      <w:start w:val="1"/>
    </w:lvl>
  </w:abstractNum>
  <w:abstractNum w:abstractNumId="20">
    <w:nsid w:val="4353D0CD"/>
    <w:multiLevelType w:val="hybridMultilevel"/>
    <w:lvl w:ilvl="0">
      <w:lvlJc w:val="left"/>
      <w:lvlText w:val="2"/>
      <w:numFmt w:val="bullet"/>
      <w:start w:val="1"/>
    </w:lvl>
  </w:abstractNum>
  <w:abstractNum w:abstractNumId="21">
    <w:nsid w:val="B03E0C6"/>
    <w:multiLevelType w:val="hybridMultilevel"/>
    <w:lvl w:ilvl="0">
      <w:lvlJc w:val="left"/>
      <w:lvlText w:val="3"/>
      <w:numFmt w:val="bullet"/>
      <w:start w:val="1"/>
    </w:lvl>
  </w:abstractNum>
  <w:abstractNum w:abstractNumId="22">
    <w:nsid w:val="189A769B"/>
    <w:multiLevelType w:val="hybridMultilevel"/>
    <w:lvl w:ilvl="0">
      <w:lvlJc w:val="left"/>
      <w:lvlText w:val="2"/>
      <w:numFmt w:val="bullet"/>
      <w:start w:val="1"/>
    </w:lvl>
  </w:abstractNum>
  <w:abstractNum w:abstractNumId="23">
    <w:nsid w:val="54E49EB4"/>
    <w:multiLevelType w:val="hybridMultilevel"/>
    <w:lvl w:ilvl="0">
      <w:lvlJc w:val="left"/>
      <w:lvlText w:val="%1"/>
      <w:numFmt w:val="decimal"/>
      <w:start w:val="11"/>
    </w:lvl>
  </w:abstractNum>
  <w:abstractNum w:abstractNumId="24">
    <w:nsid w:val="71F32454"/>
    <w:multiLevelType w:val="hybridMultilevel"/>
    <w:lvl w:ilvl="0">
      <w:lvlJc w:val="left"/>
      <w:lvlText w:val="2"/>
      <w:numFmt w:val="bullet"/>
      <w:start w:val="1"/>
    </w:lvl>
  </w:abstractNum>
  <w:abstractNum w:abstractNumId="25">
    <w:nsid w:val="2CA88611"/>
    <w:multiLevelType w:val="hybridMultilevel"/>
    <w:lvl w:ilvl="0">
      <w:lvlJc w:val="left"/>
      <w:lvlText w:val="2"/>
      <w:numFmt w:val="bullet"/>
      <w:start w:val="1"/>
    </w:lvl>
  </w:abstractNum>
  <w:abstractNum w:abstractNumId="26">
    <w:nsid w:val="836C40E"/>
    <w:multiLevelType w:val="hybridMultilevel"/>
    <w:lvl w:ilvl="0">
      <w:lvlJc w:val="left"/>
      <w:lvlText w:val="3"/>
      <w:numFmt w:val="bullet"/>
      <w:start w:val="1"/>
    </w:lvl>
  </w:abstractNum>
  <w:abstractNum w:abstractNumId="27">
    <w:nsid w:val="2901D82"/>
    <w:multiLevelType w:val="hybridMultilevel"/>
    <w:lvl w:ilvl="0">
      <w:lvlJc w:val="left"/>
      <w:lvlText w:val="(%1)"/>
      <w:numFmt w:val="lowerLetter"/>
      <w:start w:val="3"/>
    </w:lvl>
  </w:abstractNum>
  <w:abstractNum w:abstractNumId="28">
    <w:nsid w:val="3A95F874"/>
    <w:multiLevelType w:val="hybridMultilevel"/>
    <w:lvl w:ilvl="0">
      <w:lvlJc w:val="left"/>
      <w:lvlText w:val="(%1)"/>
      <w:numFmt w:val="lowerLetter"/>
      <w:start w:val="2"/>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2026-05-08T20:46:49Z</dcterms:created>
  <dcterms:modified xsi:type="dcterms:W3CDTF">2026-05-08T20:46:49Z</dcterms:modified>
</cp:coreProperties>
</file>