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0"/>
          <w:szCs w:val="20"/>
          <w:b w:val="1"/>
          <w:bCs w:val="1"/>
          <w:color w:val="auto"/>
        </w:rPr>
        <w:t>(Mark One)</w:t>
      </w:r>
    </w:p>
    <w:p>
      <w:pPr>
        <w:spacing w:after="0" w:line="54" w:lineRule="exact"/>
        <w:rPr>
          <w:sz w:val="24"/>
          <w:szCs w:val="24"/>
          <w:color w:val="auto"/>
        </w:rPr>
      </w:pPr>
    </w:p>
    <w:p>
      <w:pPr>
        <w:ind w:left="1700" w:right="900" w:hanging="796"/>
        <w:spacing w:after="0" w:line="267" w:lineRule="auto"/>
        <w:tabs>
          <w:tab w:leader="none" w:pos="170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7" w:lineRule="exact"/>
        <w:rPr>
          <w:rFonts w:ascii="Arial" w:cs="Arial" w:eastAsia="Arial" w:hAnsi="Arial"/>
          <w:sz w:val="20"/>
          <w:szCs w:val="20"/>
          <w:color w:val="auto"/>
        </w:rPr>
      </w:pPr>
    </w:p>
    <w:p>
      <w:pPr>
        <w:ind w:left="1700"/>
        <w:spacing w:after="0"/>
        <w:rPr>
          <w:rFonts w:ascii="Arial" w:cs="Arial" w:eastAsia="Arial" w:hAnsi="Arial"/>
          <w:sz w:val="20"/>
          <w:szCs w:val="20"/>
          <w:color w:val="auto"/>
        </w:rPr>
      </w:pPr>
      <w:r>
        <w:rPr>
          <w:rFonts w:ascii="Arial" w:cs="Arial" w:eastAsia="Arial" w:hAnsi="Arial"/>
          <w:sz w:val="20"/>
          <w:szCs w:val="20"/>
          <w:color w:val="auto"/>
        </w:rPr>
        <w:t>For the quarterly period ended July 1, 2018</w:t>
      </w:r>
    </w:p>
    <w:p>
      <w:pPr>
        <w:spacing w:after="0" w:line="54" w:lineRule="exact"/>
        <w:rPr>
          <w:sz w:val="24"/>
          <w:szCs w:val="24"/>
          <w:color w:val="auto"/>
        </w:rPr>
      </w:pPr>
    </w:p>
    <w:p>
      <w:pPr>
        <w:ind w:left="6180"/>
        <w:spacing w:after="0"/>
        <w:rPr>
          <w:sz w:val="20"/>
          <w:szCs w:val="20"/>
          <w:color w:val="auto"/>
        </w:rPr>
      </w:pPr>
      <w:r>
        <w:rPr>
          <w:rFonts w:ascii="Arial" w:cs="Arial" w:eastAsia="Arial" w:hAnsi="Arial"/>
          <w:sz w:val="20"/>
          <w:szCs w:val="20"/>
          <w:color w:val="auto"/>
        </w:rPr>
        <w:t>or</w:t>
      </w:r>
    </w:p>
    <w:p>
      <w:pPr>
        <w:spacing w:after="0" w:line="48" w:lineRule="exact"/>
        <w:rPr>
          <w:sz w:val="24"/>
          <w:szCs w:val="24"/>
          <w:color w:val="auto"/>
        </w:rPr>
      </w:pPr>
    </w:p>
    <w:p>
      <w:pPr>
        <w:ind w:left="1100" w:hanging="174"/>
        <w:spacing w:after="0"/>
        <w:tabs>
          <w:tab w:leader="none" w:pos="1100" w:val="left"/>
        </w:tabs>
        <w:numPr>
          <w:ilvl w:val="0"/>
          <w:numId w:val="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9"/>
          <w:szCs w:val="19"/>
          <w:b w:val="1"/>
          <w:bCs w:val="1"/>
          <w:color w:val="auto"/>
        </w:rPr>
        <w:t>TRANSITION REPORT PURSUANT TO SECTION 13 OR 15(d) OF THE SECURITIES EXCHANGE</w:t>
      </w:r>
    </w:p>
    <w:p>
      <w:pPr>
        <w:spacing w:after="0" w:line="21" w:lineRule="exact"/>
        <w:rPr>
          <w:rFonts w:ascii="Arial" w:cs="Arial" w:eastAsia="Arial" w:hAnsi="Arial"/>
          <w:sz w:val="20"/>
          <w:szCs w:val="20"/>
          <w:color w:val="auto"/>
        </w:rPr>
      </w:pPr>
    </w:p>
    <w:p>
      <w:pPr>
        <w:ind w:left="1700"/>
        <w:spacing w:after="0"/>
        <w:rPr>
          <w:rFonts w:ascii="Arial" w:cs="Arial" w:eastAsia="Arial" w:hAnsi="Arial"/>
          <w:sz w:val="20"/>
          <w:szCs w:val="20"/>
          <w:color w:val="auto"/>
        </w:rPr>
      </w:pPr>
      <w:r>
        <w:rPr>
          <w:rFonts w:ascii="Arial" w:cs="Arial" w:eastAsia="Arial" w:hAnsi="Arial"/>
          <w:sz w:val="20"/>
          <w:szCs w:val="20"/>
          <w:b w:val="1"/>
          <w:bCs w:val="1"/>
          <w:color w:val="auto"/>
        </w:rPr>
        <w:t>ACT OF 1934</w:t>
      </w:r>
    </w:p>
    <w:p>
      <w:pPr>
        <w:spacing w:after="0" w:line="38" w:lineRule="exact"/>
        <w:rPr>
          <w:sz w:val="24"/>
          <w:szCs w:val="24"/>
          <w:color w:val="auto"/>
        </w:rPr>
      </w:pPr>
    </w:p>
    <w:p>
      <w:pPr>
        <w:ind w:left="1700"/>
        <w:spacing w:after="0"/>
        <w:rPr>
          <w:sz w:val="20"/>
          <w:szCs w:val="20"/>
          <w:color w:val="auto"/>
        </w:rPr>
      </w:pPr>
      <w:r>
        <w:rPr>
          <w:rFonts w:ascii="Arial" w:cs="Arial" w:eastAsia="Arial" w:hAnsi="Arial"/>
          <w:sz w:val="20"/>
          <w:szCs w:val="20"/>
          <w:color w:val="auto"/>
        </w:rPr>
        <w:t>For the transition period from ______ to ______</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Commission File Number: 001-35625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156210</wp:posOffset>
            </wp:positionV>
            <wp:extent cx="866140" cy="1380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6140" cy="13804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BLOOMIN’ BRANDS,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724" w:right="239" w:bottom="1440" w:gutter="0" w:footer="0" w:header="0"/>
        </w:sectPr>
      </w:pPr>
    </w:p>
    <w:p>
      <w:pPr>
        <w:spacing w:after="0" w:line="149" w:lineRule="exact"/>
        <w:rPr>
          <w:sz w:val="24"/>
          <w:szCs w:val="24"/>
          <w:color w:val="auto"/>
        </w:rPr>
      </w:pPr>
    </w:p>
    <w:p>
      <w:pPr>
        <w:ind w:left="25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20-8023465</w:t>
      </w:r>
    </w:p>
    <w:p>
      <w:pPr>
        <w:spacing w:after="0" w:line="113" w:lineRule="exact"/>
        <w:rPr>
          <w:sz w:val="24"/>
          <w:szCs w:val="24"/>
          <w:color w:val="auto"/>
        </w:rPr>
      </w:pPr>
    </w:p>
    <w:p>
      <w:pPr>
        <w:sectPr>
          <w:pgSz w:w="11900" w:h="16838" w:orient="portrait"/>
          <w:cols w:equalWidth="0" w:num="2">
            <w:col w:w="7420" w:space="720"/>
            <w:col w:w="3280"/>
          </w:cols>
          <w:pgMar w:left="240" w:top="724" w:right="239" w:bottom="1440" w:gutter="0" w:footer="0" w:header="0"/>
          <w:type w:val="continuous"/>
        </w:sectPr>
      </w:pPr>
    </w:p>
    <w:p>
      <w:pPr>
        <w:ind w:left="96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58" w:lineRule="exact"/>
        <w:rPr>
          <w:sz w:val="24"/>
          <w:szCs w:val="24"/>
          <w:color w:val="auto"/>
        </w:rPr>
      </w:pPr>
    </w:p>
    <w:p>
      <w:pPr>
        <w:sectPr>
          <w:pgSz w:w="11900" w:h="16838" w:orient="portrait"/>
          <w:cols w:equalWidth="0" w:num="2">
            <w:col w:w="6700" w:space="720"/>
            <w:col w:w="4000"/>
          </w:cols>
          <w:pgMar w:left="240" w:top="724" w:right="239" w:bottom="1440" w:gutter="0" w:footer="0" w:header="0"/>
          <w:type w:val="continuous"/>
        </w:sectPr>
      </w:pPr>
    </w:p>
    <w:p>
      <w:pPr>
        <w:jc w:val="center"/>
        <w:ind w:right="-19"/>
        <w:spacing w:after="0"/>
        <w:rPr>
          <w:sz w:val="20"/>
          <w:szCs w:val="20"/>
          <w:color w:val="auto"/>
        </w:rPr>
      </w:pPr>
      <w:r>
        <w:rPr>
          <w:rFonts w:ascii="Arial" w:cs="Arial" w:eastAsia="Arial" w:hAnsi="Arial"/>
          <w:sz w:val="20"/>
          <w:szCs w:val="20"/>
          <w:b w:val="1"/>
          <w:bCs w:val="1"/>
          <w:color w:val="auto"/>
        </w:rPr>
        <w:t>2202 North West Shore Boulevard, Suite 500, Tampa, Florida 33607</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(Zip Code)</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(813) 282-1225</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N/A</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03"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Large accelerated filer x Accelerated filer o Non-accelerated filer o (Do not check if a smaller reporting company)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Smaller reporting company o Emerging growth company o</w:t>
      </w:r>
    </w:p>
    <w:p>
      <w:pPr>
        <w:spacing w:after="0" w:line="211"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July 31, 2018, 92,538,341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type w:val="continuous"/>
        </w:sectPr>
      </w:pPr>
    </w:p>
    <w:bookmarkStart w:id="1" w:name="page2"/>
    <w:bookmarkEnd w:id="1"/>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bl>
      <w:tblPr>
        <w:tblLayout w:type="fixed"/>
        <w:tblInd w:w="0" w:type="dxa"/>
        <w:tblCellMar>
          <w:top w:w="0" w:type="dxa"/>
          <w:left w:w="0" w:type="dxa"/>
          <w:bottom w:w="0" w:type="dxa"/>
          <w:right w:w="0" w:type="dxa"/>
        </w:tblCellMar>
      </w:tblPr>
      <w:tr>
        <w:trPr>
          <w:trHeight w:val="276"/>
        </w:trPr>
        <w:tc>
          <w:tcPr>
            <w:tcW w:w="10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00" w:type="dxa"/>
            <w:vAlign w:val="bottom"/>
            <w:gridSpan w:val="10"/>
          </w:tcPr>
          <w:p>
            <w:pPr>
              <w:jc w:val="center"/>
              <w:ind w:right="2520"/>
              <w:spacing w:after="0"/>
              <w:rPr>
                <w:sz w:val="20"/>
                <w:szCs w:val="20"/>
                <w:color w:val="auto"/>
              </w:rPr>
            </w:pPr>
            <w:r>
              <w:rPr>
                <w:rFonts w:ascii="Arial" w:cs="Arial" w:eastAsia="Arial" w:hAnsi="Arial"/>
                <w:sz w:val="20"/>
                <w:szCs w:val="20"/>
                <w:b w:val="1"/>
                <w:bCs w:val="1"/>
                <w:color w:val="auto"/>
                <w:w w:val="99"/>
              </w:rPr>
              <w:t>BLOOMIN’ BRANDS, INC.</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62"/>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00" w:type="dxa"/>
            <w:vAlign w:val="bottom"/>
            <w:gridSpan w:val="14"/>
          </w:tcPr>
          <w:p>
            <w:pPr>
              <w:jc w:val="center"/>
              <w:ind w:right="1520"/>
              <w:spacing w:after="0"/>
              <w:rPr>
                <w:sz w:val="20"/>
                <w:szCs w:val="20"/>
                <w:color w:val="auto"/>
              </w:rPr>
            </w:pPr>
            <w:r>
              <w:rPr>
                <w:rFonts w:ascii="Arial" w:cs="Arial" w:eastAsia="Arial" w:hAnsi="Arial"/>
                <w:sz w:val="20"/>
                <w:szCs w:val="20"/>
                <w:color w:val="auto"/>
                <w:w w:val="94"/>
              </w:rPr>
              <w:t>INDEX TO QUARTERLY REPORT ON FORM 10-Q</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980" w:type="dxa"/>
            <w:vAlign w:val="bottom"/>
            <w:gridSpan w:val="12"/>
          </w:tcPr>
          <w:p>
            <w:pPr>
              <w:jc w:val="center"/>
              <w:ind w:right="2220"/>
              <w:spacing w:after="0"/>
              <w:rPr>
                <w:sz w:val="20"/>
                <w:szCs w:val="20"/>
                <w:color w:val="auto"/>
              </w:rPr>
            </w:pPr>
            <w:r>
              <w:rPr>
                <w:rFonts w:ascii="Arial" w:cs="Arial" w:eastAsia="Arial" w:hAnsi="Arial"/>
                <w:sz w:val="20"/>
                <w:szCs w:val="20"/>
                <w:color w:val="auto"/>
                <w:w w:val="89"/>
              </w:rPr>
              <w:t>For the Quarterly Period Ended July 1, 2018</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0"/>
        </w:trPr>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20" w:type="dxa"/>
            <w:vAlign w:val="bottom"/>
            <w:gridSpan w:val="9"/>
          </w:tcPr>
          <w:p>
            <w:pPr>
              <w:jc w:val="center"/>
              <w:ind w:right="3380"/>
              <w:spacing w:after="0"/>
              <w:rPr>
                <w:sz w:val="20"/>
                <w:szCs w:val="20"/>
                <w:color w:val="auto"/>
              </w:rPr>
            </w:pPr>
            <w:r>
              <w:rPr>
                <w:rFonts w:ascii="Arial" w:cs="Arial" w:eastAsia="Arial" w:hAnsi="Arial"/>
                <w:sz w:val="20"/>
                <w:szCs w:val="20"/>
                <w:color w:val="auto"/>
                <w:w w:val="91"/>
              </w:rPr>
              <w:t>(Unaudited)</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446"/>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00" w:type="dxa"/>
            <w:vAlign w:val="bottom"/>
            <w:gridSpan w:val="10"/>
          </w:tcPr>
          <w:p>
            <w:pPr>
              <w:jc w:val="center"/>
              <w:ind w:right="2500"/>
              <w:spacing w:after="0"/>
              <w:rPr>
                <w:sz w:val="20"/>
                <w:szCs w:val="20"/>
                <w:color w:val="auto"/>
              </w:rPr>
            </w:pPr>
            <w:r>
              <w:rPr>
                <w:rFonts w:ascii="Arial" w:cs="Arial" w:eastAsia="Arial" w:hAnsi="Arial"/>
                <w:sz w:val="20"/>
                <w:szCs w:val="20"/>
                <w:color w:val="auto"/>
                <w:w w:val="94"/>
              </w:rPr>
              <w:t>TABLE OF CONTENTS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63"/>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00" w:type="dxa"/>
            <w:vAlign w:val="bottom"/>
            <w:gridSpan w:val="14"/>
          </w:tcPr>
          <w:p>
            <w:pPr>
              <w:jc w:val="center"/>
              <w:ind w:right="1960"/>
              <w:spacing w:after="0"/>
              <w:rPr>
                <w:rFonts w:ascii="Arial" w:cs="Arial" w:eastAsia="Arial" w:hAnsi="Arial"/>
                <w:sz w:val="20"/>
                <w:szCs w:val="20"/>
                <w:color w:val="0000FF"/>
                <w:w w:val="97"/>
              </w:rPr>
            </w:pPr>
            <w:hyperlink w:anchor="page3">
              <w:r>
                <w:rPr>
                  <w:rFonts w:ascii="Arial" w:cs="Arial" w:eastAsia="Arial" w:hAnsi="Arial"/>
                  <w:sz w:val="20"/>
                  <w:szCs w:val="20"/>
                  <w:color w:val="0000FF"/>
                  <w:w w:val="97"/>
                </w:rPr>
                <w:t>PART I — FINANCIAL INFORMATION</w:t>
              </w:r>
            </w:hyperlink>
          </w:p>
        </w:tc>
        <w:tc>
          <w:tcPr>
            <w:tcW w:w="1600" w:type="dxa"/>
            <w:vAlign w:val="bottom"/>
            <w:gridSpan w:val="3"/>
          </w:tcPr>
          <w:p>
            <w:pPr>
              <w:ind w:left="440"/>
              <w:spacing w:after="0"/>
              <w:rPr>
                <w:sz w:val="20"/>
                <w:szCs w:val="20"/>
                <w:color w:val="auto"/>
              </w:rPr>
            </w:pPr>
            <w:r>
              <w:rPr>
                <w:rFonts w:ascii="Arial" w:cs="Arial" w:eastAsia="Arial" w:hAnsi="Arial"/>
                <w:sz w:val="20"/>
                <w:szCs w:val="20"/>
                <w:color w:val="auto"/>
              </w:rPr>
              <w:t>Page No.</w:t>
            </w:r>
          </w:p>
        </w:tc>
      </w:tr>
      <w:tr>
        <w:trPr>
          <w:trHeight w:val="55"/>
        </w:trPr>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338"/>
        </w:trPr>
        <w:tc>
          <w:tcPr>
            <w:tcW w:w="1020" w:type="dxa"/>
            <w:vAlign w:val="bottom"/>
          </w:tcPr>
          <w:p>
            <w:pPr>
              <w:ind w:left="40"/>
              <w:spacing w:after="0"/>
              <w:rPr>
                <w:sz w:val="20"/>
                <w:szCs w:val="20"/>
                <w:color w:val="auto"/>
              </w:rPr>
            </w:pPr>
            <w:r>
              <w:rPr>
                <w:rFonts w:ascii="Arial" w:cs="Arial" w:eastAsia="Arial" w:hAnsi="Arial"/>
                <w:sz w:val="20"/>
                <w:szCs w:val="20"/>
                <w:color w:val="auto"/>
              </w:rPr>
              <w:t>Item 1.</w:t>
            </w:r>
          </w:p>
        </w:tc>
        <w:tc>
          <w:tcPr>
            <w:tcW w:w="160" w:type="dxa"/>
            <w:vAlign w:val="bottom"/>
          </w:tcPr>
          <w:p>
            <w:pPr>
              <w:spacing w:after="0"/>
              <w:rPr>
                <w:sz w:val="24"/>
                <w:szCs w:val="24"/>
                <w:color w:val="auto"/>
              </w:rPr>
            </w:pPr>
          </w:p>
        </w:tc>
        <w:tc>
          <w:tcPr>
            <w:tcW w:w="8640" w:type="dxa"/>
            <w:vAlign w:val="bottom"/>
            <w:gridSpan w:val="21"/>
          </w:tcPr>
          <w:p>
            <w:pPr>
              <w:spacing w:after="0"/>
              <w:rPr>
                <w:rFonts w:ascii="Arial" w:cs="Arial" w:eastAsia="Arial" w:hAnsi="Arial"/>
                <w:sz w:val="20"/>
                <w:szCs w:val="20"/>
                <w:color w:val="0000EE"/>
              </w:rPr>
            </w:pPr>
            <w:hyperlink w:anchor="page3">
              <w:r>
                <w:rPr>
                  <w:rFonts w:ascii="Arial" w:cs="Arial" w:eastAsia="Arial" w:hAnsi="Arial"/>
                  <w:sz w:val="20"/>
                  <w:szCs w:val="20"/>
                  <w:color w:val="0000EE"/>
                </w:rPr>
                <w:t>Financial Statements (Unaudited)</w:t>
              </w:r>
            </w:hyperlink>
          </w:p>
        </w:tc>
        <w:tc>
          <w:tcPr>
            <w:tcW w:w="860" w:type="dxa"/>
            <w:vAlign w:val="bottom"/>
            <w:gridSpan w:val="2"/>
          </w:tcPr>
          <w:p>
            <w:pPr>
              <w:jc w:val="center"/>
              <w:ind w:left="661"/>
              <w:spacing w:after="0"/>
              <w:rPr>
                <w:rFonts w:ascii="Arial" w:cs="Arial" w:eastAsia="Arial" w:hAnsi="Arial"/>
                <w:sz w:val="20"/>
                <w:szCs w:val="20"/>
                <w:color w:val="0000EE"/>
                <w:w w:val="89"/>
              </w:rPr>
            </w:pPr>
            <w:hyperlink w:anchor="page3">
              <w:r>
                <w:rPr>
                  <w:rFonts w:ascii="Arial" w:cs="Arial" w:eastAsia="Arial" w:hAnsi="Arial"/>
                  <w:sz w:val="20"/>
                  <w:szCs w:val="20"/>
                  <w:color w:val="0000EE"/>
                  <w:w w:val="89"/>
                </w:rPr>
                <w:t>3</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40" w:type="dxa"/>
            <w:vAlign w:val="bottom"/>
            <w:gridSpan w:val="21"/>
          </w:tcPr>
          <w:p>
            <w:pPr>
              <w:ind w:left="140"/>
              <w:spacing w:after="0"/>
              <w:rPr>
                <w:rFonts w:ascii="Arial" w:cs="Arial" w:eastAsia="Arial" w:hAnsi="Arial"/>
                <w:sz w:val="20"/>
                <w:szCs w:val="20"/>
                <w:color w:val="0000EE"/>
              </w:rPr>
            </w:pPr>
            <w:hyperlink w:anchor="page3">
              <w:r>
                <w:rPr>
                  <w:rFonts w:ascii="Arial" w:cs="Arial" w:eastAsia="Arial" w:hAnsi="Arial"/>
                  <w:sz w:val="20"/>
                  <w:szCs w:val="20"/>
                  <w:color w:val="0000EE"/>
                </w:rPr>
                <w:t>Consolidated Financial Statements:</w:t>
              </w:r>
            </w:hyperlink>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80" w:type="dxa"/>
            <w:vAlign w:val="bottom"/>
            <w:gridSpan w:val="19"/>
          </w:tcPr>
          <w:p>
            <w:pPr>
              <w:spacing w:after="0"/>
              <w:rPr>
                <w:rFonts w:ascii="Arial" w:cs="Arial" w:eastAsia="Arial" w:hAnsi="Arial"/>
                <w:sz w:val="20"/>
                <w:szCs w:val="20"/>
                <w:color w:val="0000EE"/>
              </w:rPr>
            </w:pPr>
            <w:hyperlink w:anchor="page3">
              <w:r>
                <w:rPr>
                  <w:rFonts w:ascii="Arial" w:cs="Arial" w:eastAsia="Arial" w:hAnsi="Arial"/>
                  <w:sz w:val="20"/>
                  <w:szCs w:val="20"/>
                  <w:color w:val="0000EE"/>
                </w:rPr>
                <w:t>Consolidated Balance Sheets — July 1, 2018 and December 31, 2017</w:t>
              </w:r>
            </w:hyperlink>
          </w:p>
        </w:tc>
        <w:tc>
          <w:tcPr>
            <w:tcW w:w="860" w:type="dxa"/>
            <w:vAlign w:val="bottom"/>
            <w:gridSpan w:val="2"/>
          </w:tcPr>
          <w:p>
            <w:pPr>
              <w:jc w:val="center"/>
              <w:ind w:left="661"/>
              <w:spacing w:after="0"/>
              <w:rPr>
                <w:rFonts w:ascii="Arial" w:cs="Arial" w:eastAsia="Arial" w:hAnsi="Arial"/>
                <w:sz w:val="20"/>
                <w:szCs w:val="20"/>
                <w:color w:val="0000EE"/>
                <w:w w:val="89"/>
              </w:rPr>
            </w:pPr>
            <w:hyperlink w:anchor="page3">
              <w:r>
                <w:rPr>
                  <w:rFonts w:ascii="Arial" w:cs="Arial" w:eastAsia="Arial" w:hAnsi="Arial"/>
                  <w:sz w:val="20"/>
                  <w:szCs w:val="20"/>
                  <w:color w:val="0000EE"/>
                  <w:w w:val="89"/>
                </w:rPr>
                <w:t>3</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80" w:type="dxa"/>
            <w:vAlign w:val="bottom"/>
            <w:gridSpan w:val="19"/>
          </w:tcPr>
          <w:p>
            <w:pPr>
              <w:spacing w:after="0"/>
              <w:rPr>
                <w:rFonts w:ascii="Arial" w:cs="Arial" w:eastAsia="Arial" w:hAnsi="Arial"/>
                <w:sz w:val="20"/>
                <w:szCs w:val="20"/>
                <w:color w:val="0000EE"/>
              </w:rPr>
            </w:pPr>
            <w:hyperlink w:anchor="page4">
              <w:r>
                <w:rPr>
                  <w:rFonts w:ascii="Arial" w:cs="Arial" w:eastAsia="Arial" w:hAnsi="Arial"/>
                  <w:sz w:val="20"/>
                  <w:szCs w:val="20"/>
                  <w:color w:val="0000EE"/>
                </w:rPr>
                <w:t>Consolidated Statements of Operations and Comprehensive (Loss) Income —</w:t>
              </w:r>
            </w:hyperlink>
          </w:p>
        </w:tc>
        <w:tc>
          <w:tcPr>
            <w:tcW w:w="860" w:type="dxa"/>
            <w:vAlign w:val="bottom"/>
            <w:gridSpan w:val="2"/>
          </w:tcPr>
          <w:p>
            <w:pPr>
              <w:jc w:val="center"/>
              <w:ind w:left="661"/>
              <w:spacing w:after="0"/>
              <w:rPr>
                <w:rFonts w:ascii="Arial" w:cs="Arial" w:eastAsia="Arial" w:hAnsi="Arial"/>
                <w:sz w:val="20"/>
                <w:szCs w:val="20"/>
                <w:color w:val="0000EE"/>
                <w:w w:val="89"/>
              </w:rPr>
            </w:pPr>
            <w:hyperlink w:anchor="page4">
              <w:r>
                <w:rPr>
                  <w:rFonts w:ascii="Arial" w:cs="Arial" w:eastAsia="Arial" w:hAnsi="Arial"/>
                  <w:sz w:val="20"/>
                  <w:szCs w:val="20"/>
                  <w:color w:val="0000EE"/>
                  <w:w w:val="89"/>
                </w:rPr>
                <w:t>4</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80" w:type="dxa"/>
            <w:vAlign w:val="bottom"/>
            <w:gridSpan w:val="19"/>
          </w:tcPr>
          <w:p>
            <w:pPr>
              <w:spacing w:after="0" w:line="209" w:lineRule="exact"/>
              <w:rPr>
                <w:rFonts w:ascii="Arial" w:cs="Arial" w:eastAsia="Arial" w:hAnsi="Arial"/>
                <w:sz w:val="20"/>
                <w:szCs w:val="20"/>
                <w:color w:val="0000EE"/>
              </w:rPr>
            </w:pPr>
            <w:hyperlink w:anchor="page4">
              <w:r>
                <w:rPr>
                  <w:rFonts w:ascii="Arial" w:cs="Arial" w:eastAsia="Arial" w:hAnsi="Arial"/>
                  <w:sz w:val="20"/>
                  <w:szCs w:val="20"/>
                  <w:color w:val="0000EE"/>
                </w:rPr>
                <w:t>For the Thirteen and Twenty-Six Weeks Ended July 1, 2018 and June 25, 2017</w:t>
              </w:r>
            </w:hyperlink>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547"/>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80" w:type="dxa"/>
            <w:vAlign w:val="bottom"/>
            <w:tcBorders>
              <w:top w:val="single" w:sz="8" w:color="0000EE"/>
            </w:tcBorders>
            <w:gridSpan w:val="12"/>
          </w:tcPr>
          <w:p>
            <w:pPr>
              <w:spacing w:after="0"/>
              <w:rPr>
                <w:rFonts w:ascii="Arial" w:cs="Arial" w:eastAsia="Arial" w:hAnsi="Arial"/>
                <w:sz w:val="20"/>
                <w:szCs w:val="20"/>
                <w:color w:val="0000EE"/>
                <w:w w:val="89"/>
              </w:rPr>
            </w:pPr>
            <w:hyperlink w:anchor="page5">
              <w:r>
                <w:rPr>
                  <w:rFonts w:ascii="Arial" w:cs="Arial" w:eastAsia="Arial" w:hAnsi="Arial"/>
                  <w:sz w:val="20"/>
                  <w:szCs w:val="20"/>
                  <w:color w:val="0000EE"/>
                  <w:w w:val="89"/>
                </w:rPr>
                <w:t>Consolidated Statements of Changes in Stockholders’ Equity —</w:t>
              </w:r>
            </w:hyperlink>
          </w:p>
        </w:tc>
        <w:tc>
          <w:tcPr>
            <w:tcW w:w="1140" w:type="dxa"/>
            <w:vAlign w:val="bottom"/>
            <w:tcBorders>
              <w:top w:val="single" w:sz="8" w:color="0000EE"/>
            </w:tcBorders>
            <w:gridSpan w:val="5"/>
          </w:tcPr>
          <w:p>
            <w:pPr>
              <w:spacing w:after="0"/>
              <w:rPr>
                <w:sz w:val="24"/>
                <w:szCs w:val="24"/>
                <w:color w:val="auto"/>
              </w:rPr>
            </w:pPr>
          </w:p>
        </w:tc>
        <w:tc>
          <w:tcPr>
            <w:tcW w:w="2060" w:type="dxa"/>
            <w:vAlign w:val="bottom"/>
            <w:gridSpan w:val="2"/>
          </w:tcPr>
          <w:p>
            <w:pPr>
              <w:spacing w:after="0"/>
              <w:rPr>
                <w:sz w:val="24"/>
                <w:szCs w:val="24"/>
                <w:color w:val="auto"/>
              </w:rPr>
            </w:pPr>
          </w:p>
        </w:tc>
        <w:tc>
          <w:tcPr>
            <w:tcW w:w="860" w:type="dxa"/>
            <w:vAlign w:val="bottom"/>
            <w:gridSpan w:val="2"/>
          </w:tcPr>
          <w:p>
            <w:pPr>
              <w:jc w:val="center"/>
              <w:ind w:left="661"/>
              <w:spacing w:after="0"/>
              <w:rPr>
                <w:rFonts w:ascii="Arial" w:cs="Arial" w:eastAsia="Arial" w:hAnsi="Arial"/>
                <w:sz w:val="20"/>
                <w:szCs w:val="20"/>
                <w:color w:val="0000EE"/>
                <w:w w:val="89"/>
              </w:rPr>
            </w:pPr>
            <w:hyperlink w:anchor="page5">
              <w:r>
                <w:rPr>
                  <w:rFonts w:ascii="Arial" w:cs="Arial" w:eastAsia="Arial" w:hAnsi="Arial"/>
                  <w:sz w:val="20"/>
                  <w:szCs w:val="20"/>
                  <w:color w:val="0000EE"/>
                  <w:w w:val="89"/>
                </w:rPr>
                <w:t>5</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Borders>
              <w:bottom w:val="single" w:sz="8" w:color="0000EE"/>
            </w:tcBorders>
            <w:gridSpan w:val="13"/>
          </w:tcPr>
          <w:p>
            <w:pPr>
              <w:spacing w:after="0" w:line="209" w:lineRule="exact"/>
              <w:rPr>
                <w:rFonts w:ascii="Arial" w:cs="Arial" w:eastAsia="Arial" w:hAnsi="Arial"/>
                <w:sz w:val="20"/>
                <w:szCs w:val="20"/>
                <w:color w:val="0000EE"/>
                <w:w w:val="88"/>
              </w:rPr>
            </w:pPr>
            <w:hyperlink w:anchor="page5">
              <w:r>
                <w:rPr>
                  <w:rFonts w:ascii="Arial" w:cs="Arial" w:eastAsia="Arial" w:hAnsi="Arial"/>
                  <w:sz w:val="20"/>
                  <w:szCs w:val="20"/>
                  <w:color w:val="0000EE"/>
                  <w:w w:val="88"/>
                </w:rPr>
                <w:t>For the Twenty-Six Weeks Ended July 1, 2018 and June 25, 2017</w:t>
              </w:r>
            </w:hyperlink>
          </w:p>
        </w:tc>
        <w:tc>
          <w:tcPr>
            <w:tcW w:w="3100" w:type="dxa"/>
            <w:vAlign w:val="bottom"/>
            <w:gridSpan w:val="6"/>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gridSpan w:val="11"/>
          </w:tcPr>
          <w:p>
            <w:pPr>
              <w:spacing w:after="0"/>
              <w:rPr>
                <w:rFonts w:ascii="Arial" w:cs="Arial" w:eastAsia="Arial" w:hAnsi="Arial"/>
                <w:sz w:val="20"/>
                <w:szCs w:val="20"/>
                <w:color w:val="0000EE"/>
                <w:w w:val="88"/>
              </w:rPr>
            </w:pPr>
            <w:hyperlink w:anchor="page7">
              <w:r>
                <w:rPr>
                  <w:rFonts w:ascii="Arial" w:cs="Arial" w:eastAsia="Arial" w:hAnsi="Arial"/>
                  <w:sz w:val="20"/>
                  <w:szCs w:val="20"/>
                  <w:color w:val="0000EE"/>
                  <w:w w:val="88"/>
                </w:rPr>
                <w:t>Condensed Consolidated Statements of Cash Flows —</w:t>
              </w:r>
            </w:hyperlink>
          </w:p>
        </w:tc>
        <w:tc>
          <w:tcPr>
            <w:tcW w:w="3900" w:type="dxa"/>
            <w:vAlign w:val="bottom"/>
            <w:gridSpan w:val="8"/>
          </w:tcPr>
          <w:p>
            <w:pPr>
              <w:spacing w:after="0"/>
              <w:rPr>
                <w:sz w:val="24"/>
                <w:szCs w:val="24"/>
                <w:color w:val="auto"/>
              </w:rPr>
            </w:pPr>
          </w:p>
        </w:tc>
        <w:tc>
          <w:tcPr>
            <w:tcW w:w="860" w:type="dxa"/>
            <w:vAlign w:val="bottom"/>
            <w:gridSpan w:val="2"/>
          </w:tcPr>
          <w:p>
            <w:pPr>
              <w:jc w:val="center"/>
              <w:ind w:left="661"/>
              <w:spacing w:after="0"/>
              <w:rPr>
                <w:rFonts w:ascii="Arial" w:cs="Arial" w:eastAsia="Arial" w:hAnsi="Arial"/>
                <w:sz w:val="20"/>
                <w:szCs w:val="20"/>
                <w:color w:val="0000EE"/>
                <w:w w:val="89"/>
              </w:rPr>
            </w:pPr>
            <w:hyperlink w:anchor="page7">
              <w:r>
                <w:rPr>
                  <w:rFonts w:ascii="Arial" w:cs="Arial" w:eastAsia="Arial" w:hAnsi="Arial"/>
                  <w:sz w:val="20"/>
                  <w:szCs w:val="20"/>
                  <w:color w:val="0000EE"/>
                  <w:w w:val="89"/>
                </w:rPr>
                <w:t>7</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Borders>
              <w:bottom w:val="single" w:sz="8" w:color="0000EE"/>
            </w:tcBorders>
            <w:gridSpan w:val="13"/>
          </w:tcPr>
          <w:p>
            <w:pPr>
              <w:spacing w:after="0" w:line="209" w:lineRule="exact"/>
              <w:rPr>
                <w:rFonts w:ascii="Arial" w:cs="Arial" w:eastAsia="Arial" w:hAnsi="Arial"/>
                <w:sz w:val="20"/>
                <w:szCs w:val="20"/>
                <w:color w:val="0000EE"/>
                <w:w w:val="88"/>
              </w:rPr>
            </w:pPr>
            <w:hyperlink w:anchor="page7">
              <w:r>
                <w:rPr>
                  <w:rFonts w:ascii="Arial" w:cs="Arial" w:eastAsia="Arial" w:hAnsi="Arial"/>
                  <w:sz w:val="20"/>
                  <w:szCs w:val="20"/>
                  <w:color w:val="0000EE"/>
                  <w:w w:val="88"/>
                </w:rPr>
                <w:t>For the Twenty-Six Weeks Ended July 1, 2018 and June 25, 2017</w:t>
              </w:r>
            </w:hyperlink>
          </w:p>
        </w:tc>
        <w:tc>
          <w:tcPr>
            <w:tcW w:w="3100" w:type="dxa"/>
            <w:vAlign w:val="bottom"/>
            <w:gridSpan w:val="6"/>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547"/>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gridSpan w:val="10"/>
          </w:tcPr>
          <w:p>
            <w:pPr>
              <w:spacing w:after="0"/>
              <w:rPr>
                <w:rFonts w:ascii="Arial" w:cs="Arial" w:eastAsia="Arial" w:hAnsi="Arial"/>
                <w:sz w:val="20"/>
                <w:szCs w:val="20"/>
                <w:color w:val="0000EE"/>
                <w:w w:val="88"/>
              </w:rPr>
            </w:pPr>
            <w:hyperlink w:anchor="page9">
              <w:r>
                <w:rPr>
                  <w:rFonts w:ascii="Arial" w:cs="Arial" w:eastAsia="Arial" w:hAnsi="Arial"/>
                  <w:sz w:val="20"/>
                  <w:szCs w:val="20"/>
                  <w:color w:val="0000EE"/>
                  <w:w w:val="88"/>
                </w:rPr>
                <w:t>Notes to Consolidated Financial Statements</w:t>
              </w:r>
            </w:hyperlink>
          </w:p>
        </w:tc>
        <w:tc>
          <w:tcPr>
            <w:tcW w:w="4820" w:type="dxa"/>
            <w:vAlign w:val="bottom"/>
            <w:gridSpan w:val="9"/>
          </w:tcPr>
          <w:p>
            <w:pPr>
              <w:spacing w:after="0"/>
              <w:rPr>
                <w:sz w:val="24"/>
                <w:szCs w:val="24"/>
                <w:color w:val="auto"/>
              </w:rPr>
            </w:pPr>
          </w:p>
        </w:tc>
        <w:tc>
          <w:tcPr>
            <w:tcW w:w="860" w:type="dxa"/>
            <w:vAlign w:val="bottom"/>
            <w:gridSpan w:val="2"/>
          </w:tcPr>
          <w:p>
            <w:pPr>
              <w:jc w:val="center"/>
              <w:ind w:left="661"/>
              <w:spacing w:after="0"/>
              <w:rPr>
                <w:rFonts w:ascii="Arial" w:cs="Arial" w:eastAsia="Arial" w:hAnsi="Arial"/>
                <w:sz w:val="20"/>
                <w:szCs w:val="20"/>
                <w:color w:val="0000EE"/>
                <w:w w:val="89"/>
              </w:rPr>
            </w:pPr>
            <w:hyperlink w:anchor="page9">
              <w:r>
                <w:rPr>
                  <w:rFonts w:ascii="Arial" w:cs="Arial" w:eastAsia="Arial" w:hAnsi="Arial"/>
                  <w:sz w:val="20"/>
                  <w:szCs w:val="20"/>
                  <w:color w:val="0000EE"/>
                  <w:w w:val="89"/>
                </w:rPr>
                <w:t>9</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Arial" w:cs="Arial" w:eastAsia="Arial" w:hAnsi="Arial"/>
                <w:sz w:val="20"/>
                <w:szCs w:val="20"/>
                <w:color w:val="auto"/>
              </w:rPr>
              <w:t>Item 2.</w:t>
            </w:r>
          </w:p>
        </w:tc>
        <w:tc>
          <w:tcPr>
            <w:tcW w:w="160" w:type="dxa"/>
            <w:vAlign w:val="bottom"/>
          </w:tcPr>
          <w:p>
            <w:pPr>
              <w:spacing w:after="0"/>
              <w:rPr>
                <w:sz w:val="24"/>
                <w:szCs w:val="24"/>
                <w:color w:val="auto"/>
              </w:rPr>
            </w:pPr>
          </w:p>
        </w:tc>
        <w:tc>
          <w:tcPr>
            <w:tcW w:w="8640" w:type="dxa"/>
            <w:vAlign w:val="bottom"/>
            <w:gridSpan w:val="21"/>
          </w:tcPr>
          <w:p>
            <w:pPr>
              <w:spacing w:after="0"/>
              <w:rPr>
                <w:rFonts w:ascii="Arial" w:cs="Arial" w:eastAsia="Arial" w:hAnsi="Arial"/>
                <w:sz w:val="20"/>
                <w:szCs w:val="20"/>
                <w:color w:val="0000EE"/>
              </w:rPr>
            </w:pPr>
            <w:hyperlink w:anchor="page28">
              <w:r>
                <w:rPr>
                  <w:rFonts w:ascii="Arial" w:cs="Arial" w:eastAsia="Arial" w:hAnsi="Arial"/>
                  <w:sz w:val="20"/>
                  <w:szCs w:val="20"/>
                  <w:color w:val="0000EE"/>
                </w:rPr>
                <w:t>Management’s Discussion and Analysis of Financial Condition and Results of Operations</w:t>
              </w:r>
            </w:hyperlink>
          </w:p>
        </w:tc>
        <w:tc>
          <w:tcPr>
            <w:tcW w:w="1600" w:type="dxa"/>
            <w:vAlign w:val="bottom"/>
            <w:gridSpan w:val="3"/>
          </w:tcPr>
          <w:p>
            <w:pPr>
              <w:jc w:val="center"/>
              <w:spacing w:after="0"/>
              <w:rPr>
                <w:rFonts w:ascii="Arial" w:cs="Arial" w:eastAsia="Arial" w:hAnsi="Arial"/>
                <w:sz w:val="20"/>
                <w:szCs w:val="20"/>
                <w:color w:val="0000EE"/>
                <w:w w:val="89"/>
              </w:rPr>
            </w:pPr>
            <w:hyperlink w:anchor="page28">
              <w:r>
                <w:rPr>
                  <w:rFonts w:ascii="Arial" w:cs="Arial" w:eastAsia="Arial" w:hAnsi="Arial"/>
                  <w:sz w:val="20"/>
                  <w:szCs w:val="20"/>
                  <w:color w:val="0000EE"/>
                  <w:w w:val="89"/>
                </w:rPr>
                <w:t>28</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Arial" w:cs="Arial" w:eastAsia="Arial" w:hAnsi="Arial"/>
                <w:sz w:val="20"/>
                <w:szCs w:val="20"/>
                <w:color w:val="auto"/>
              </w:rPr>
              <w:t>Item 3.</w:t>
            </w:r>
          </w:p>
        </w:tc>
        <w:tc>
          <w:tcPr>
            <w:tcW w:w="160" w:type="dxa"/>
            <w:vAlign w:val="bottom"/>
          </w:tcPr>
          <w:p>
            <w:pPr>
              <w:spacing w:after="0"/>
              <w:rPr>
                <w:sz w:val="24"/>
                <w:szCs w:val="24"/>
                <w:color w:val="auto"/>
              </w:rPr>
            </w:pPr>
          </w:p>
        </w:tc>
        <w:tc>
          <w:tcPr>
            <w:tcW w:w="4740" w:type="dxa"/>
            <w:vAlign w:val="bottom"/>
            <w:gridSpan w:val="13"/>
          </w:tcPr>
          <w:p>
            <w:pPr>
              <w:spacing w:after="0"/>
              <w:rPr>
                <w:rFonts w:ascii="Arial" w:cs="Arial" w:eastAsia="Arial" w:hAnsi="Arial"/>
                <w:sz w:val="20"/>
                <w:szCs w:val="20"/>
                <w:color w:val="0000EE"/>
                <w:w w:val="89"/>
              </w:rPr>
            </w:pPr>
            <w:hyperlink w:anchor="page50">
              <w:r>
                <w:rPr>
                  <w:rFonts w:ascii="Arial" w:cs="Arial" w:eastAsia="Arial" w:hAnsi="Arial"/>
                  <w:sz w:val="20"/>
                  <w:szCs w:val="20"/>
                  <w:color w:val="0000EE"/>
                  <w:w w:val="89"/>
                </w:rPr>
                <w:t>Quantitative and Qualitative Disclosures About Market Risk</w:t>
              </w:r>
            </w:hyperlink>
          </w:p>
        </w:tc>
        <w:tc>
          <w:tcPr>
            <w:tcW w:w="2360" w:type="dxa"/>
            <w:vAlign w:val="bottom"/>
            <w:gridSpan w:val="7"/>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2"/>
          </w:tcPr>
          <w:p>
            <w:pPr>
              <w:jc w:val="center"/>
              <w:ind w:right="700"/>
              <w:spacing w:after="0"/>
              <w:rPr>
                <w:rFonts w:ascii="Arial" w:cs="Arial" w:eastAsia="Arial" w:hAnsi="Arial"/>
                <w:sz w:val="16"/>
                <w:szCs w:val="16"/>
                <w:color w:val="0000EE"/>
                <w:w w:val="78"/>
              </w:rPr>
            </w:pPr>
            <w:hyperlink w:anchor="page50">
              <w:r>
                <w:rPr>
                  <w:rFonts w:ascii="Arial" w:cs="Arial" w:eastAsia="Arial" w:hAnsi="Arial"/>
                  <w:sz w:val="16"/>
                  <w:szCs w:val="16"/>
                  <w:color w:val="0000EE"/>
                  <w:w w:val="78"/>
                </w:rPr>
                <w:t>50</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Arial" w:cs="Arial" w:eastAsia="Arial" w:hAnsi="Arial"/>
                <w:sz w:val="20"/>
                <w:szCs w:val="20"/>
                <w:color w:val="auto"/>
              </w:rPr>
              <w:t>Item 4.</w:t>
            </w:r>
          </w:p>
        </w:tc>
        <w:tc>
          <w:tcPr>
            <w:tcW w:w="160" w:type="dxa"/>
            <w:vAlign w:val="bottom"/>
          </w:tcPr>
          <w:p>
            <w:pPr>
              <w:spacing w:after="0"/>
              <w:rPr>
                <w:sz w:val="24"/>
                <w:szCs w:val="24"/>
                <w:color w:val="auto"/>
              </w:rPr>
            </w:pPr>
          </w:p>
        </w:tc>
        <w:tc>
          <w:tcPr>
            <w:tcW w:w="4740" w:type="dxa"/>
            <w:vAlign w:val="bottom"/>
            <w:gridSpan w:val="13"/>
          </w:tcPr>
          <w:p>
            <w:pPr>
              <w:spacing w:after="0"/>
              <w:rPr>
                <w:rFonts w:ascii="Arial" w:cs="Arial" w:eastAsia="Arial" w:hAnsi="Arial"/>
                <w:sz w:val="20"/>
                <w:szCs w:val="20"/>
                <w:color w:val="0000FF"/>
              </w:rPr>
            </w:pPr>
            <w:hyperlink w:anchor="page50">
              <w:r>
                <w:rPr>
                  <w:rFonts w:ascii="Arial" w:cs="Arial" w:eastAsia="Arial" w:hAnsi="Arial"/>
                  <w:sz w:val="20"/>
                  <w:szCs w:val="20"/>
                  <w:color w:val="0000FF"/>
                </w:rPr>
                <w:t>Controls and Procedures</w:t>
              </w:r>
            </w:hyperlink>
          </w:p>
        </w:tc>
        <w:tc>
          <w:tcPr>
            <w:tcW w:w="3900" w:type="dxa"/>
            <w:vAlign w:val="bottom"/>
            <w:gridSpan w:val="8"/>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2"/>
          </w:tcPr>
          <w:p>
            <w:pPr>
              <w:jc w:val="center"/>
              <w:ind w:right="700"/>
              <w:spacing w:after="0"/>
              <w:rPr>
                <w:rFonts w:ascii="Arial" w:cs="Arial" w:eastAsia="Arial" w:hAnsi="Arial"/>
                <w:sz w:val="16"/>
                <w:szCs w:val="16"/>
                <w:color w:val="0000EE"/>
                <w:w w:val="78"/>
              </w:rPr>
            </w:pPr>
            <w:hyperlink w:anchor="page50">
              <w:r>
                <w:rPr>
                  <w:rFonts w:ascii="Arial" w:cs="Arial" w:eastAsia="Arial" w:hAnsi="Arial"/>
                  <w:sz w:val="16"/>
                  <w:szCs w:val="16"/>
                  <w:color w:val="0000EE"/>
                  <w:w w:val="78"/>
                </w:rPr>
                <w:t>50</w:t>
              </w:r>
            </w:hyperlink>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40" w:type="dxa"/>
            <w:vAlign w:val="bottom"/>
            <w:gridSpan w:val="11"/>
          </w:tcPr>
          <w:p>
            <w:pPr>
              <w:jc w:val="center"/>
              <w:ind w:right="2820"/>
              <w:spacing w:after="0"/>
              <w:rPr>
                <w:rFonts w:ascii="Arial" w:cs="Arial" w:eastAsia="Arial" w:hAnsi="Arial"/>
                <w:sz w:val="20"/>
                <w:szCs w:val="20"/>
                <w:color w:val="0000FF"/>
                <w:w w:val="95"/>
              </w:rPr>
            </w:pPr>
            <w:hyperlink w:anchor="page51">
              <w:r>
                <w:rPr>
                  <w:rFonts w:ascii="Arial" w:cs="Arial" w:eastAsia="Arial" w:hAnsi="Arial"/>
                  <w:sz w:val="20"/>
                  <w:szCs w:val="20"/>
                  <w:color w:val="0000FF"/>
                  <w:w w:val="95"/>
                </w:rPr>
                <w:t>PART II — OTHER INFORMATION</w:t>
              </w:r>
            </w:hyperlink>
          </w:p>
        </w:tc>
        <w:tc>
          <w:tcPr>
            <w:tcW w:w="7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r>
      <w:tr>
        <w:trPr>
          <w:trHeight w:val="264"/>
        </w:trPr>
        <w:tc>
          <w:tcPr>
            <w:tcW w:w="1020" w:type="dxa"/>
            <w:vAlign w:val="bottom"/>
          </w:tcPr>
          <w:p>
            <w:pPr>
              <w:ind w:left="40"/>
              <w:spacing w:after="0"/>
              <w:rPr>
                <w:sz w:val="20"/>
                <w:szCs w:val="20"/>
                <w:color w:val="auto"/>
              </w:rPr>
            </w:pPr>
            <w:r>
              <w:rPr>
                <w:rFonts w:ascii="Arial" w:cs="Arial" w:eastAsia="Arial" w:hAnsi="Arial"/>
                <w:sz w:val="20"/>
                <w:szCs w:val="20"/>
                <w:color w:val="auto"/>
              </w:rPr>
              <w:t>Item 1.</w:t>
            </w:r>
          </w:p>
        </w:tc>
        <w:tc>
          <w:tcPr>
            <w:tcW w:w="160" w:type="dxa"/>
            <w:vAlign w:val="bottom"/>
          </w:tcPr>
          <w:p>
            <w:pPr>
              <w:spacing w:after="0"/>
              <w:rPr>
                <w:sz w:val="22"/>
                <w:szCs w:val="22"/>
                <w:color w:val="auto"/>
              </w:rPr>
            </w:pPr>
          </w:p>
        </w:tc>
        <w:tc>
          <w:tcPr>
            <w:tcW w:w="1480" w:type="dxa"/>
            <w:vAlign w:val="bottom"/>
            <w:gridSpan w:val="6"/>
          </w:tcPr>
          <w:p>
            <w:pPr>
              <w:spacing w:after="0"/>
              <w:rPr>
                <w:rFonts w:ascii="Arial" w:cs="Arial" w:eastAsia="Arial" w:hAnsi="Arial"/>
                <w:sz w:val="20"/>
                <w:szCs w:val="20"/>
                <w:color w:val="0000FF"/>
                <w:w w:val="88"/>
              </w:rPr>
            </w:pPr>
            <w:hyperlink w:anchor="page51">
              <w:r>
                <w:rPr>
                  <w:rFonts w:ascii="Arial" w:cs="Arial" w:eastAsia="Arial" w:hAnsi="Arial"/>
                  <w:sz w:val="20"/>
                  <w:szCs w:val="20"/>
                  <w:color w:val="0000FF"/>
                  <w:w w:val="88"/>
                </w:rPr>
                <w:t>Legal Proceedings</w:t>
              </w:r>
            </w:hyperlink>
          </w:p>
        </w:tc>
        <w:tc>
          <w:tcPr>
            <w:tcW w:w="1320" w:type="dxa"/>
            <w:vAlign w:val="bottom"/>
            <w:gridSpan w:val="4"/>
          </w:tcPr>
          <w:p>
            <w:pPr>
              <w:spacing w:after="0"/>
              <w:rPr>
                <w:sz w:val="22"/>
                <w:szCs w:val="22"/>
                <w:color w:val="auto"/>
              </w:rPr>
            </w:pPr>
          </w:p>
        </w:tc>
        <w:tc>
          <w:tcPr>
            <w:tcW w:w="3060" w:type="dxa"/>
            <w:vAlign w:val="bottom"/>
            <w:tcBorders>
              <w:top w:val="single" w:sz="8" w:color="0000FF"/>
            </w:tcBorders>
            <w:gridSpan w:val="6"/>
          </w:tcPr>
          <w:p>
            <w:pPr>
              <w:spacing w:after="0"/>
              <w:rPr>
                <w:sz w:val="22"/>
                <w:szCs w:val="22"/>
                <w:color w:val="auto"/>
              </w:rPr>
            </w:pPr>
          </w:p>
        </w:tc>
        <w:tc>
          <w:tcPr>
            <w:tcW w:w="2780" w:type="dxa"/>
            <w:vAlign w:val="bottom"/>
            <w:gridSpan w:val="5"/>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gridSpan w:val="2"/>
          </w:tcPr>
          <w:p>
            <w:pPr>
              <w:jc w:val="center"/>
              <w:ind w:right="700"/>
              <w:spacing w:after="0"/>
              <w:rPr>
                <w:rFonts w:ascii="Arial" w:cs="Arial" w:eastAsia="Arial" w:hAnsi="Arial"/>
                <w:sz w:val="16"/>
                <w:szCs w:val="16"/>
                <w:color w:val="0000EE"/>
                <w:w w:val="78"/>
              </w:rPr>
            </w:pPr>
            <w:hyperlink w:anchor="page51">
              <w:r>
                <w:rPr>
                  <w:rFonts w:ascii="Arial" w:cs="Arial" w:eastAsia="Arial" w:hAnsi="Arial"/>
                  <w:sz w:val="16"/>
                  <w:szCs w:val="16"/>
                  <w:color w:val="0000EE"/>
                  <w:w w:val="78"/>
                </w:rPr>
                <w:t>51</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Arial" w:cs="Arial" w:eastAsia="Arial" w:hAnsi="Arial"/>
                <w:sz w:val="20"/>
                <w:szCs w:val="20"/>
                <w:color w:val="auto"/>
              </w:rPr>
              <w:t>Item 1A.</w:t>
            </w:r>
          </w:p>
        </w:tc>
        <w:tc>
          <w:tcPr>
            <w:tcW w:w="160" w:type="dxa"/>
            <w:vAlign w:val="bottom"/>
          </w:tcPr>
          <w:p>
            <w:pPr>
              <w:spacing w:after="0"/>
              <w:rPr>
                <w:sz w:val="24"/>
                <w:szCs w:val="24"/>
                <w:color w:val="auto"/>
              </w:rPr>
            </w:pPr>
          </w:p>
        </w:tc>
        <w:tc>
          <w:tcPr>
            <w:tcW w:w="1000" w:type="dxa"/>
            <w:vAlign w:val="bottom"/>
            <w:gridSpan w:val="5"/>
          </w:tcPr>
          <w:p>
            <w:pPr>
              <w:spacing w:after="0"/>
              <w:rPr>
                <w:rFonts w:ascii="Arial" w:cs="Arial" w:eastAsia="Arial" w:hAnsi="Arial"/>
                <w:sz w:val="20"/>
                <w:szCs w:val="20"/>
                <w:color w:val="0000FF"/>
                <w:w w:val="88"/>
              </w:rPr>
            </w:pPr>
            <w:hyperlink w:anchor="page51">
              <w:r>
                <w:rPr>
                  <w:rFonts w:ascii="Arial" w:cs="Arial" w:eastAsia="Arial" w:hAnsi="Arial"/>
                  <w:sz w:val="20"/>
                  <w:szCs w:val="20"/>
                  <w:color w:val="0000FF"/>
                  <w:w w:val="88"/>
                </w:rPr>
                <w:t>Risk Factors</w:t>
              </w:r>
            </w:hyperlink>
          </w:p>
        </w:tc>
        <w:tc>
          <w:tcPr>
            <w:tcW w:w="480" w:type="dxa"/>
            <w:vAlign w:val="bottom"/>
          </w:tcPr>
          <w:p>
            <w:pPr>
              <w:spacing w:after="0"/>
              <w:rPr>
                <w:sz w:val="24"/>
                <w:szCs w:val="24"/>
                <w:color w:val="auto"/>
              </w:rPr>
            </w:pPr>
          </w:p>
        </w:tc>
        <w:tc>
          <w:tcPr>
            <w:tcW w:w="7160" w:type="dxa"/>
            <w:vAlign w:val="bottom"/>
            <w:gridSpan w:val="15"/>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2"/>
          </w:tcPr>
          <w:p>
            <w:pPr>
              <w:jc w:val="center"/>
              <w:ind w:right="700"/>
              <w:spacing w:after="0"/>
              <w:rPr>
                <w:rFonts w:ascii="Arial" w:cs="Arial" w:eastAsia="Arial" w:hAnsi="Arial"/>
                <w:sz w:val="16"/>
                <w:szCs w:val="16"/>
                <w:color w:val="0000EE"/>
                <w:w w:val="78"/>
              </w:rPr>
            </w:pPr>
            <w:hyperlink w:anchor="page51">
              <w:r>
                <w:rPr>
                  <w:rFonts w:ascii="Arial" w:cs="Arial" w:eastAsia="Arial" w:hAnsi="Arial"/>
                  <w:sz w:val="16"/>
                  <w:szCs w:val="16"/>
                  <w:color w:val="0000EE"/>
                  <w:w w:val="78"/>
                </w:rPr>
                <w:t>51</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740" w:type="dxa"/>
            <w:vAlign w:val="bottom"/>
            <w:gridSpan w:val="8"/>
          </w:tcPr>
          <w:p>
            <w:pPr>
              <w:spacing w:after="0" w:line="20" w:lineRule="exact"/>
              <w:rPr>
                <w:sz w:val="1"/>
                <w:szCs w:val="1"/>
                <w:color w:val="auto"/>
              </w:rPr>
            </w:pPr>
          </w:p>
        </w:tc>
        <w:tc>
          <w:tcPr>
            <w:tcW w:w="3900" w:type="dxa"/>
            <w:vAlign w:val="bottom"/>
            <w:gridSpan w:val="8"/>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Arial" w:cs="Arial" w:eastAsia="Arial" w:hAnsi="Arial"/>
                <w:sz w:val="20"/>
                <w:szCs w:val="20"/>
                <w:color w:val="auto"/>
              </w:rPr>
              <w:t>Item 2.</w:t>
            </w:r>
          </w:p>
        </w:tc>
        <w:tc>
          <w:tcPr>
            <w:tcW w:w="160" w:type="dxa"/>
            <w:vAlign w:val="bottom"/>
          </w:tcPr>
          <w:p>
            <w:pPr>
              <w:spacing w:after="0"/>
              <w:rPr>
                <w:sz w:val="24"/>
                <w:szCs w:val="24"/>
                <w:color w:val="auto"/>
              </w:rPr>
            </w:pPr>
          </w:p>
        </w:tc>
        <w:tc>
          <w:tcPr>
            <w:tcW w:w="8640" w:type="dxa"/>
            <w:vAlign w:val="bottom"/>
            <w:gridSpan w:val="21"/>
          </w:tcPr>
          <w:p>
            <w:pPr>
              <w:spacing w:after="0"/>
              <w:rPr>
                <w:rFonts w:ascii="Arial" w:cs="Arial" w:eastAsia="Arial" w:hAnsi="Arial"/>
                <w:sz w:val="20"/>
                <w:szCs w:val="20"/>
                <w:color w:val="0000FF"/>
              </w:rPr>
            </w:pPr>
            <w:hyperlink w:anchor="page51">
              <w:r>
                <w:rPr>
                  <w:rFonts w:ascii="Arial" w:cs="Arial" w:eastAsia="Arial" w:hAnsi="Arial"/>
                  <w:sz w:val="20"/>
                  <w:szCs w:val="20"/>
                  <w:color w:val="0000FF"/>
                </w:rPr>
                <w:t>Unregistered Sales of Equity Securities and Use of Proceeds</w:t>
              </w:r>
            </w:hyperlink>
          </w:p>
        </w:tc>
        <w:tc>
          <w:tcPr>
            <w:tcW w:w="1600" w:type="dxa"/>
            <w:vAlign w:val="bottom"/>
            <w:gridSpan w:val="3"/>
          </w:tcPr>
          <w:p>
            <w:pPr>
              <w:jc w:val="center"/>
              <w:spacing w:after="0"/>
              <w:rPr>
                <w:rFonts w:ascii="Arial" w:cs="Arial" w:eastAsia="Arial" w:hAnsi="Arial"/>
                <w:sz w:val="20"/>
                <w:szCs w:val="20"/>
                <w:color w:val="0000EE"/>
                <w:w w:val="89"/>
              </w:rPr>
            </w:pPr>
            <w:hyperlink w:anchor="page51">
              <w:r>
                <w:rPr>
                  <w:rFonts w:ascii="Arial" w:cs="Arial" w:eastAsia="Arial" w:hAnsi="Arial"/>
                  <w:sz w:val="20"/>
                  <w:szCs w:val="20"/>
                  <w:color w:val="0000EE"/>
                  <w:w w:val="89"/>
                </w:rPr>
                <w:t>51</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Arial" w:cs="Arial" w:eastAsia="Arial" w:hAnsi="Arial"/>
                <w:sz w:val="20"/>
                <w:szCs w:val="20"/>
                <w:color w:val="auto"/>
              </w:rPr>
              <w:t>Item 6.</w:t>
            </w:r>
          </w:p>
        </w:tc>
        <w:tc>
          <w:tcPr>
            <w:tcW w:w="160" w:type="dxa"/>
            <w:vAlign w:val="bottom"/>
          </w:tcPr>
          <w:p>
            <w:pPr>
              <w:spacing w:after="0"/>
              <w:rPr>
                <w:sz w:val="24"/>
                <w:szCs w:val="24"/>
                <w:color w:val="auto"/>
              </w:rPr>
            </w:pPr>
          </w:p>
        </w:tc>
        <w:tc>
          <w:tcPr>
            <w:tcW w:w="4740" w:type="dxa"/>
            <w:vAlign w:val="bottom"/>
            <w:gridSpan w:val="13"/>
          </w:tcPr>
          <w:p>
            <w:pPr>
              <w:spacing w:after="0"/>
              <w:rPr>
                <w:rFonts w:ascii="Arial" w:cs="Arial" w:eastAsia="Arial" w:hAnsi="Arial"/>
                <w:sz w:val="20"/>
                <w:szCs w:val="20"/>
                <w:color w:val="0000FF"/>
              </w:rPr>
            </w:pPr>
            <w:hyperlink w:anchor="page52">
              <w:r>
                <w:rPr>
                  <w:rFonts w:ascii="Arial" w:cs="Arial" w:eastAsia="Arial" w:hAnsi="Arial"/>
                  <w:sz w:val="20"/>
                  <w:szCs w:val="20"/>
                  <w:color w:val="0000FF"/>
                </w:rPr>
                <w:t>Exhibits</w:t>
              </w:r>
            </w:hyperlink>
          </w:p>
        </w:tc>
        <w:tc>
          <w:tcPr>
            <w:tcW w:w="3900" w:type="dxa"/>
            <w:vAlign w:val="bottom"/>
            <w:gridSpan w:val="8"/>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2"/>
          </w:tcPr>
          <w:p>
            <w:pPr>
              <w:jc w:val="center"/>
              <w:ind w:right="700"/>
              <w:spacing w:after="0"/>
              <w:rPr>
                <w:rFonts w:ascii="Arial" w:cs="Arial" w:eastAsia="Arial" w:hAnsi="Arial"/>
                <w:sz w:val="16"/>
                <w:szCs w:val="16"/>
                <w:color w:val="0000EE"/>
                <w:w w:val="78"/>
              </w:rPr>
            </w:pPr>
            <w:hyperlink w:anchor="page52">
              <w:r>
                <w:rPr>
                  <w:rFonts w:ascii="Arial" w:cs="Arial" w:eastAsia="Arial" w:hAnsi="Arial"/>
                  <w:sz w:val="16"/>
                  <w:szCs w:val="16"/>
                  <w:color w:val="0000EE"/>
                  <w:w w:val="78"/>
                </w:rPr>
                <w:t>52</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80" w:type="dxa"/>
            <w:vAlign w:val="bottom"/>
            <w:gridSpan w:val="17"/>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547"/>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40" w:type="dxa"/>
            <w:vAlign w:val="bottom"/>
            <w:gridSpan w:val="21"/>
          </w:tcPr>
          <w:p>
            <w:pPr>
              <w:spacing w:after="0"/>
              <w:rPr>
                <w:rFonts w:ascii="Arial" w:cs="Arial" w:eastAsia="Arial" w:hAnsi="Arial"/>
                <w:sz w:val="20"/>
                <w:szCs w:val="20"/>
                <w:color w:val="0000FF"/>
              </w:rPr>
            </w:pPr>
            <w:hyperlink w:anchor="page53">
              <w:r>
                <w:rPr>
                  <w:rFonts w:ascii="Arial" w:cs="Arial" w:eastAsia="Arial" w:hAnsi="Arial"/>
                  <w:sz w:val="20"/>
                  <w:szCs w:val="20"/>
                  <w:color w:val="0000FF"/>
                </w:rPr>
                <w:t>Signature</w:t>
              </w:r>
            </w:hyperlink>
          </w:p>
        </w:tc>
        <w:tc>
          <w:tcPr>
            <w:tcW w:w="1600" w:type="dxa"/>
            <w:vAlign w:val="bottom"/>
            <w:gridSpan w:val="3"/>
          </w:tcPr>
          <w:p>
            <w:pPr>
              <w:jc w:val="center"/>
              <w:spacing w:after="0"/>
              <w:rPr>
                <w:rFonts w:ascii="Arial" w:cs="Arial" w:eastAsia="Arial" w:hAnsi="Arial"/>
                <w:sz w:val="20"/>
                <w:szCs w:val="20"/>
                <w:color w:val="0000EE"/>
                <w:w w:val="89"/>
              </w:rPr>
            </w:pPr>
            <w:hyperlink w:anchor="page53">
              <w:r>
                <w:rPr>
                  <w:rFonts w:ascii="Arial" w:cs="Arial" w:eastAsia="Arial" w:hAnsi="Arial"/>
                  <w:sz w:val="20"/>
                  <w:szCs w:val="20"/>
                  <w:color w:val="0000EE"/>
                  <w:w w:val="89"/>
                </w:rPr>
                <w:t>53</w:t>
              </w:r>
            </w:hyperlink>
          </w:p>
        </w:tc>
      </w:tr>
      <w:tr>
        <w:trPr>
          <w:trHeight w:val="507"/>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top w:val="single" w:sz="8" w:color="0000FF"/>
            </w:tcBorders>
            <w:gridSpan w:val="4"/>
          </w:tcPr>
          <w:p>
            <w:pPr>
              <w:spacing w:after="0"/>
              <w:rPr>
                <w:sz w:val="24"/>
                <w:szCs w:val="24"/>
                <w:color w:val="auto"/>
              </w:rPr>
            </w:pPr>
          </w:p>
        </w:tc>
        <w:tc>
          <w:tcPr>
            <w:tcW w:w="3980" w:type="dxa"/>
            <w:vAlign w:val="bottom"/>
            <w:gridSpan w:val="9"/>
          </w:tcPr>
          <w:p>
            <w:pPr>
              <w:jc w:val="center"/>
              <w:ind w:left="3470"/>
              <w:spacing w:after="0"/>
              <w:rPr>
                <w:sz w:val="20"/>
                <w:szCs w:val="20"/>
                <w:color w:val="auto"/>
              </w:rPr>
            </w:pPr>
            <w:r>
              <w:rPr>
                <w:rFonts w:ascii="Arial" w:cs="Arial" w:eastAsia="Arial" w:hAnsi="Arial"/>
                <w:sz w:val="18"/>
                <w:szCs w:val="18"/>
                <w:color w:val="auto"/>
                <w:w w:val="99"/>
              </w:rPr>
              <w:t>2</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 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5"/>
                <w:szCs w:val="15"/>
                <w:b w:val="1"/>
                <w:bCs w:val="1"/>
                <w:color w:val="auto"/>
              </w:rPr>
              <w:t>JULY 1, 2018</w:t>
            </w:r>
          </w:p>
        </w:tc>
        <w:tc>
          <w:tcPr>
            <w:tcW w:w="200" w:type="dxa"/>
            <w:vAlign w:val="bottom"/>
          </w:tcPr>
          <w:p>
            <w:pPr>
              <w:spacing w:after="0"/>
              <w:rPr>
                <w:sz w:val="18"/>
                <w:szCs w:val="18"/>
                <w:color w:val="auto"/>
              </w:rPr>
            </w:pPr>
          </w:p>
        </w:tc>
        <w:tc>
          <w:tcPr>
            <w:tcW w:w="1840" w:type="dxa"/>
            <w:vAlign w:val="bottom"/>
          </w:tcPr>
          <w:p>
            <w:pPr>
              <w:jc w:val="right"/>
              <w:ind w:right="219"/>
              <w:spacing w:after="0"/>
              <w:rPr>
                <w:sz w:val="20"/>
                <w:szCs w:val="20"/>
                <w:color w:val="auto"/>
              </w:rPr>
            </w:pPr>
            <w:r>
              <w:rPr>
                <w:rFonts w:ascii="Arial" w:cs="Arial" w:eastAsia="Arial" w:hAnsi="Arial"/>
                <w:sz w:val="15"/>
                <w:szCs w:val="15"/>
                <w:b w:val="1"/>
                <w:bCs w:val="1"/>
                <w:color w:val="auto"/>
              </w:rPr>
              <w:t>DECEMBER 31, 2017</w:t>
            </w:r>
          </w:p>
        </w:tc>
        <w:tc>
          <w:tcPr>
            <w:tcW w:w="0" w:type="dxa"/>
            <w:vAlign w:val="bottom"/>
          </w:tcPr>
          <w:p>
            <w:pPr>
              <w:spacing w:after="0"/>
              <w:rPr>
                <w:sz w:val="1"/>
                <w:szCs w:val="1"/>
                <w:color w:val="auto"/>
              </w:rPr>
            </w:pPr>
          </w:p>
        </w:tc>
      </w:tr>
      <w:tr>
        <w:trPr>
          <w:trHeight w:val="237"/>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8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81,694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128,263</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Current portion of restricted cash and cash equivalents</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4,521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1,280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48,641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51,264</w:t>
            </w:r>
          </w:p>
        </w:tc>
        <w:tc>
          <w:tcPr>
            <w:tcW w:w="0" w:type="dxa"/>
            <w:vAlign w:val="bottom"/>
          </w:tcPr>
          <w:p>
            <w:pPr>
              <w:spacing w:after="0"/>
              <w:rPr>
                <w:sz w:val="1"/>
                <w:szCs w:val="1"/>
                <w:color w:val="auto"/>
              </w:rPr>
            </w:pPr>
          </w:p>
        </w:tc>
      </w:tr>
      <w:tr>
        <w:trPr>
          <w:trHeight w:val="270"/>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current assets, net</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113,208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179,402</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248,064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360,209</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Property, fixtures and equipment, net</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1,141,355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1,173,414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298,615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310,234</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511,442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522,290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67,945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60,486</w:t>
            </w:r>
          </w:p>
        </w:tc>
        <w:tc>
          <w:tcPr>
            <w:tcW w:w="0" w:type="dxa"/>
            <w:vAlign w:val="bottom"/>
          </w:tcPr>
          <w:p>
            <w:pPr>
              <w:spacing w:after="0"/>
              <w:rPr>
                <w:sz w:val="1"/>
                <w:szCs w:val="1"/>
                <w:color w:val="auto"/>
              </w:rPr>
            </w:pPr>
          </w:p>
        </w:tc>
      </w:tr>
      <w:tr>
        <w:trPr>
          <w:trHeight w:val="270"/>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 net</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122,445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135,261</w:t>
            </w: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2,389,866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2,561,894</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6"/>
                <w:szCs w:val="16"/>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164,798</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185,461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and 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218,482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270,840</w:t>
            </w:r>
          </w:p>
        </w:tc>
        <w:tc>
          <w:tcPr>
            <w:tcW w:w="0" w:type="dxa"/>
            <w:vAlign w:val="bottom"/>
          </w:tcPr>
          <w:p>
            <w:pPr>
              <w:spacing w:after="0"/>
              <w:rPr>
                <w:sz w:val="1"/>
                <w:szCs w:val="1"/>
                <w:color w:val="auto"/>
              </w:rPr>
            </w:pPr>
          </w:p>
        </w:tc>
      </w:tr>
      <w:tr>
        <w:trPr>
          <w:trHeight w:val="224"/>
        </w:trPr>
        <w:tc>
          <w:tcPr>
            <w:tcW w:w="7900" w:type="dxa"/>
            <w:vAlign w:val="bottom"/>
          </w:tcPr>
          <w:p>
            <w:pPr>
              <w:ind w:left="180"/>
              <w:spacing w:after="0"/>
              <w:rPr>
                <w:sz w:val="20"/>
                <w:szCs w:val="20"/>
                <w:color w:val="auto"/>
              </w:rPr>
            </w:pPr>
            <w:r>
              <w:rPr>
                <w:rFonts w:ascii="Arial" w:cs="Arial" w:eastAsia="Arial" w:hAnsi="Arial"/>
                <w:sz w:val="16"/>
                <w:szCs w:val="16"/>
                <w:color w:val="auto"/>
              </w:rPr>
              <w:t>Unearned revenue</w:t>
            </w:r>
          </w:p>
        </w:tc>
        <w:tc>
          <w:tcPr>
            <w:tcW w:w="18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221,926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330,756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25,964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26,335</w:t>
            </w:r>
          </w:p>
        </w:tc>
        <w:tc>
          <w:tcPr>
            <w:tcW w:w="0" w:type="dxa"/>
            <w:vAlign w:val="bottom"/>
          </w:tcPr>
          <w:p>
            <w:pPr>
              <w:spacing w:after="0"/>
              <w:rPr>
                <w:sz w:val="1"/>
                <w:szCs w:val="1"/>
                <w:color w:val="auto"/>
              </w:rPr>
            </w:pPr>
          </w:p>
        </w:tc>
      </w:tr>
      <w:tr>
        <w:trPr>
          <w:trHeight w:val="224"/>
        </w:trPr>
        <w:tc>
          <w:tcPr>
            <w:tcW w:w="790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631,170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813,392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rent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164,021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160,047</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Deferred income tax liabilities</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14,539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16,926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1,113,765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1,091,769</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Deferred gain on sale-leaseback transactions, net</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182,501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188,086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 net</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192,400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210,443</w:t>
            </w:r>
          </w:p>
        </w:tc>
        <w:tc>
          <w:tcPr>
            <w:tcW w:w="0" w:type="dxa"/>
            <w:vAlign w:val="bottom"/>
          </w:tcPr>
          <w:p>
            <w:pPr>
              <w:spacing w:after="0"/>
              <w:rPr>
                <w:sz w:val="1"/>
                <w:szCs w:val="1"/>
                <w:color w:val="auto"/>
              </w:rPr>
            </w:pPr>
          </w:p>
        </w:tc>
      </w:tr>
      <w:tr>
        <w:trPr>
          <w:trHeight w:val="270"/>
        </w:trPr>
        <w:tc>
          <w:tcPr>
            <w:tcW w:w="790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2,298,396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2,480,663</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13)</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Bloomin’ Brands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900" w:type="dxa"/>
            <w:vAlign w:val="bottom"/>
          </w:tcPr>
          <w:p>
            <w:pPr>
              <w:ind w:left="380"/>
              <w:spacing w:after="0"/>
              <w:rPr>
                <w:sz w:val="20"/>
                <w:szCs w:val="20"/>
                <w:color w:val="auto"/>
              </w:rPr>
            </w:pPr>
            <w:r>
              <w:rPr>
                <w:rFonts w:ascii="Arial" w:cs="Arial" w:eastAsia="Arial" w:hAnsi="Arial"/>
                <w:sz w:val="16"/>
                <w:szCs w:val="16"/>
                <w:color w:val="auto"/>
                <w:w w:val="90"/>
              </w:rPr>
              <w:t>Preferred stock, $0.01 par value, 25,000,000 shares authorized; no shares issued and outstanding as of July 1, 2018</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900" w:type="dxa"/>
            <w:vAlign w:val="bottom"/>
          </w:tcPr>
          <w:p>
            <w:pPr>
              <w:ind w:left="380"/>
              <w:spacing w:after="0"/>
              <w:rPr>
                <w:sz w:val="20"/>
                <w:szCs w:val="20"/>
                <w:color w:val="auto"/>
              </w:rPr>
            </w:pPr>
            <w:r>
              <w:rPr>
                <w:rFonts w:ascii="Arial" w:cs="Arial" w:eastAsia="Arial" w:hAnsi="Arial"/>
                <w:sz w:val="16"/>
                <w:szCs w:val="16"/>
                <w:color w:val="auto"/>
              </w:rPr>
              <w:t>and December 31, 2017</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4"/>
                <w:shd w:val="clear" w:color="auto" w:fill="CCEEFF"/>
              </w:rPr>
              <w:t>Common stock, $0.01 par value, 475,000,000 shares authorized; 92,437,047 and 91,912,546 shares issued and</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outstanding as of July 1, 2018 and December 31, 2017, respectively</w:t>
            </w: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919</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1,109,015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1,081,813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(902,038)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(913,191)</w:t>
            </w:r>
          </w:p>
        </w:tc>
        <w:tc>
          <w:tcPr>
            <w:tcW w:w="0" w:type="dxa"/>
            <w:vAlign w:val="bottom"/>
          </w:tcPr>
          <w:p>
            <w:pPr>
              <w:spacing w:after="0"/>
              <w:rPr>
                <w:sz w:val="1"/>
                <w:szCs w:val="1"/>
                <w:color w:val="auto"/>
              </w:rPr>
            </w:pPr>
          </w:p>
        </w:tc>
      </w:tr>
      <w:tr>
        <w:trPr>
          <w:trHeight w:val="270"/>
        </w:trPr>
        <w:tc>
          <w:tcPr>
            <w:tcW w:w="79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(126,672)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(99,199)</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Bloomin’ Brands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81,229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70,342</w:t>
            </w:r>
          </w:p>
        </w:tc>
        <w:tc>
          <w:tcPr>
            <w:tcW w:w="0" w:type="dxa"/>
            <w:vAlign w:val="bottom"/>
          </w:tcPr>
          <w:p>
            <w:pPr>
              <w:spacing w:after="0"/>
              <w:rPr>
                <w:sz w:val="1"/>
                <w:szCs w:val="1"/>
                <w:color w:val="auto"/>
              </w:rPr>
            </w:pPr>
          </w:p>
        </w:tc>
      </w:tr>
      <w:tr>
        <w:trPr>
          <w:trHeight w:val="270"/>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10,241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10,889</w:t>
            </w: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91,470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81,231</w:t>
            </w:r>
          </w:p>
        </w:tc>
        <w:tc>
          <w:tcPr>
            <w:tcW w:w="0" w:type="dxa"/>
            <w:vAlign w:val="bottom"/>
          </w:tcPr>
          <w:p>
            <w:pPr>
              <w:spacing w:after="0"/>
              <w:rPr>
                <w:sz w:val="1"/>
                <w:szCs w:val="1"/>
                <w:color w:val="auto"/>
              </w:rPr>
            </w:pPr>
          </w:p>
        </w:tc>
      </w:tr>
      <w:tr>
        <w:trPr>
          <w:trHeight w:val="250"/>
        </w:trPr>
        <w:tc>
          <w:tcPr>
            <w:tcW w:w="7900" w:type="dxa"/>
            <w:vAlign w:val="bottom"/>
          </w:tcPr>
          <w:p>
            <w:pPr>
              <w:ind w:left="82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2,389,866</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2,561,894</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900" w:h="16838" w:orient="portrait"/>
          <w:cols w:equalWidth="0" w:num="1">
            <w:col w:w="11420"/>
          </w:cols>
          <w:pgMar w:left="240" w:top="121"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(LOSS) INCOME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 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JULY 1, 2018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JUNE 25, 2017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JULY 1, 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8"/>
              </w:rPr>
              <w:t>JUNE 25, 2017</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1,015,484</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1,021,184</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2,114,487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2,165,015</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16,330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15,274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33,792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26,154</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1,031,814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1,036,458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2,148,279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2,191,169</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Cost of sales</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322,790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323,130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674,922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687,878</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Labor and other related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301,921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297,857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612,983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622,255</w:t>
            </w: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Other restaurant operating</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238,379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248,412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491,724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499,536</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50,782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100,902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94,653</w:t>
            </w: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76,129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77,056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144,825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148,997</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impaired assets and restaurant closings</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8,889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11,628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19,674</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costs and expenses</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998,890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995,116</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2,036,984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2,072,993</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32,924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111,295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118,176</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Loss on extinguishment and modification of debt</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income,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7,230</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(11,319)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(9,543)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(21,629)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(18,684)</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(benefit) provision for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21,599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89,661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106,462</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(Benefit) provision for income taxes</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2,988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20,992</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26,723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35,832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92,860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85,470</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net income attributable to noncontrolling interests</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741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1,712</w:t>
            </w:r>
          </w:p>
        </w:tc>
        <w:tc>
          <w:tcPr>
            <w:tcW w:w="0" w:type="dxa"/>
            <w:vAlign w:val="bottom"/>
          </w:tcPr>
          <w:p>
            <w:pPr>
              <w:spacing w:after="0"/>
              <w:rPr>
                <w:sz w:val="1"/>
                <w:szCs w:val="1"/>
                <w:color w:val="auto"/>
              </w:rPr>
            </w:pPr>
          </w:p>
        </w:tc>
      </w:tr>
      <w:tr>
        <w:trPr>
          <w:trHeight w:val="244"/>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26,721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35,133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92,119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83,758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26,723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35,832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92,860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85,470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11,371</w:t>
            </w: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Unrealized gain (loss) on derivatives, net of tax</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1,184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Reclassification of adjustment for loss on derivatives included in Net income, net</w:t>
            </w:r>
          </w:p>
        </w:tc>
        <w:tc>
          <w:tcPr>
            <w:tcW w:w="18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379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1,427</w:t>
            </w:r>
          </w:p>
        </w:tc>
        <w:tc>
          <w:tcPr>
            <w:tcW w:w="0" w:type="dxa"/>
            <w:vAlign w:val="bottom"/>
          </w:tcPr>
          <w:p>
            <w:pPr>
              <w:spacing w:after="0"/>
              <w:rPr>
                <w:sz w:val="1"/>
                <w:szCs w:val="1"/>
                <w:color w:val="auto"/>
              </w:rPr>
            </w:pPr>
          </w:p>
        </w:tc>
      </w:tr>
      <w:tr>
        <w:trPr>
          <w:trHeight w:val="233"/>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of tax</w:t>
            </w: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Comprehensive (loss) income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26,747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65,728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97,759</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comprehensive income attributable to noncontrolling interests</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360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1,682</w:t>
            </w:r>
          </w:p>
        </w:tc>
        <w:tc>
          <w:tcPr>
            <w:tcW w:w="0" w:type="dxa"/>
            <w:vAlign w:val="bottom"/>
          </w:tcPr>
          <w:p>
            <w:pPr>
              <w:spacing w:after="0"/>
              <w:rPr>
                <w:sz w:val="1"/>
                <w:szCs w:val="1"/>
                <w:color w:val="auto"/>
              </w:rPr>
            </w:pPr>
          </w:p>
        </w:tc>
      </w:tr>
      <w:tr>
        <w:trPr>
          <w:trHeight w:val="290"/>
        </w:trPr>
        <w:tc>
          <w:tcPr>
            <w:tcW w:w="5620" w:type="dxa"/>
            <w:vAlign w:val="bottom"/>
          </w:tcPr>
          <w:p>
            <w:pPr>
              <w:ind w:left="40"/>
              <w:spacing w:after="0"/>
              <w:rPr>
                <w:sz w:val="20"/>
                <w:szCs w:val="20"/>
                <w:color w:val="auto"/>
              </w:rPr>
            </w:pPr>
            <w:r>
              <w:rPr>
                <w:rFonts w:ascii="Arial" w:cs="Arial" w:eastAsia="Arial" w:hAnsi="Arial"/>
                <w:sz w:val="16"/>
                <w:szCs w:val="16"/>
                <w:color w:val="auto"/>
              </w:rPr>
              <w:t>Comprehensive (loss) income attributable to Bloomin’ Brands</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(3,314)</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25,990</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64,647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96,077</w:t>
            </w:r>
          </w:p>
        </w:tc>
        <w:tc>
          <w:tcPr>
            <w:tcW w:w="0" w:type="dxa"/>
            <w:vAlign w:val="bottom"/>
          </w:tcPr>
          <w:p>
            <w:pPr>
              <w:spacing w:after="0"/>
              <w:rPr>
                <w:sz w:val="1"/>
                <w:szCs w:val="1"/>
                <w:color w:val="auto"/>
              </w:rPr>
            </w:pPr>
          </w:p>
        </w:tc>
      </w:tr>
      <w:tr>
        <w:trPr>
          <w:trHeight w:val="284"/>
        </w:trPr>
        <w:tc>
          <w:tcPr>
            <w:tcW w:w="56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18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Earnings per share:</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0.83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20" w:type="dxa"/>
            <w:vAlign w:val="bottom"/>
          </w:tcPr>
          <w:p>
            <w:pPr>
              <w:ind w:left="180"/>
              <w:spacing w:after="0"/>
              <w:rPr>
                <w:sz w:val="20"/>
                <w:szCs w:val="20"/>
                <w:color w:val="auto"/>
              </w:rPr>
            </w:pPr>
            <w:r>
              <w:rPr>
                <w:rFonts w:ascii="Arial" w:cs="Arial" w:eastAsia="Arial" w:hAnsi="Arial"/>
                <w:sz w:val="16"/>
                <w:szCs w:val="16"/>
                <w:color w:val="auto"/>
              </w:rPr>
              <w:t>Diluted</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0.28</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0.34</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0.97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0.80</w:t>
            </w:r>
          </w:p>
        </w:tc>
        <w:tc>
          <w:tcPr>
            <w:tcW w:w="0" w:type="dxa"/>
            <w:vAlign w:val="bottom"/>
          </w:tcPr>
          <w:p>
            <w:pPr>
              <w:spacing w:after="0"/>
              <w:rPr>
                <w:sz w:val="1"/>
                <w:szCs w:val="1"/>
                <w:color w:val="auto"/>
              </w:rPr>
            </w:pPr>
          </w:p>
        </w:tc>
      </w:tr>
      <w:tr>
        <w:trPr>
          <w:trHeight w:val="237"/>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92,120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98,852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92,194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100,963</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94,361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102,421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95,072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104,417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dividends declared per common share</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CHANGES IN STOCKHOLDERS’ EQUITY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 UNAUDITED)</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BLOOMIN’ BRANDS, INC.</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960" w:type="dxa"/>
            <w:vAlign w:val="bottom"/>
          </w:tcPr>
          <w:p>
            <w:pPr>
              <w:spacing w:after="0"/>
              <w:rPr>
                <w:sz w:val="13"/>
                <w:szCs w:val="13"/>
                <w:color w:val="auto"/>
              </w:rPr>
            </w:pPr>
          </w:p>
        </w:tc>
        <w:tc>
          <w:tcPr>
            <w:tcW w:w="220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220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960" w:type="dxa"/>
            <w:vAlign w:val="bottom"/>
          </w:tcPr>
          <w:p>
            <w:pPr>
              <w:spacing w:after="0"/>
              <w:rPr>
                <w:sz w:val="9"/>
                <w:szCs w:val="9"/>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9"/>
                <w:szCs w:val="9"/>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9"/>
                <w:szCs w:val="9"/>
                <w:color w:val="auto"/>
              </w:rPr>
            </w:pPr>
          </w:p>
        </w:tc>
        <w:tc>
          <w:tcPr>
            <w:tcW w:w="1340" w:type="dxa"/>
            <w:vAlign w:val="bottom"/>
            <w:gridSpan w:val="2"/>
          </w:tcPr>
          <w:p>
            <w:pPr>
              <w:ind w:left="60"/>
              <w:spacing w:after="0" w:line="113" w:lineRule="exact"/>
              <w:rPr>
                <w:sz w:val="20"/>
                <w:szCs w:val="20"/>
                <w:color w:val="auto"/>
              </w:rPr>
            </w:pPr>
            <w:r>
              <w:rPr>
                <w:rFonts w:ascii="Arial" w:cs="Arial" w:eastAsia="Arial" w:hAnsi="Arial"/>
                <w:sz w:val="13"/>
                <w:szCs w:val="13"/>
                <w:b w:val="1"/>
                <w:bCs w:val="1"/>
                <w:color w:val="auto"/>
              </w:rPr>
              <w:t>ADDITIONAL</w:t>
            </w:r>
          </w:p>
        </w:tc>
        <w:tc>
          <w:tcPr>
            <w:tcW w:w="1360" w:type="dxa"/>
            <w:vAlign w:val="bottom"/>
            <w:gridSpan w:val="3"/>
          </w:tcPr>
          <w:p>
            <w:pPr>
              <w:ind w:left="40"/>
              <w:spacing w:after="0" w:line="113"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9"/>
                <w:szCs w:val="9"/>
                <w:color w:val="auto"/>
              </w:rPr>
            </w:pPr>
          </w:p>
        </w:tc>
        <w:tc>
          <w:tcPr>
            <w:tcW w:w="164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9"/>
                <w:szCs w:val="9"/>
                <w:color w:val="auto"/>
              </w:rPr>
            </w:pPr>
          </w:p>
        </w:tc>
        <w:tc>
          <w:tcPr>
            <w:tcW w:w="1420" w:type="dxa"/>
            <w:vAlign w:val="bottom"/>
            <w:gridSpan w:val="2"/>
          </w:tcPr>
          <w:p>
            <w:pPr>
              <w:jc w:val="center"/>
              <w:ind w:right="240"/>
              <w:spacing w:after="0" w:line="113" w:lineRule="exact"/>
              <w:rPr>
                <w:sz w:val="20"/>
                <w:szCs w:val="20"/>
                <w:color w:val="auto"/>
              </w:rPr>
            </w:pPr>
            <w:r>
              <w:rPr>
                <w:rFonts w:ascii="Arial" w:cs="Arial" w:eastAsia="Arial" w:hAnsi="Arial"/>
                <w:sz w:val="13"/>
                <w:szCs w:val="13"/>
                <w:b w:val="1"/>
                <w:bCs w:val="1"/>
                <w:color w:val="auto"/>
              </w:rPr>
              <w:t>CONTROLLING</w:t>
            </w:r>
          </w:p>
        </w:tc>
        <w:tc>
          <w:tcPr>
            <w:tcW w:w="160" w:type="dxa"/>
            <w:vAlign w:val="bottom"/>
          </w:tcPr>
          <w:p>
            <w:pPr>
              <w:spacing w:after="0"/>
              <w:rPr>
                <w:sz w:val="9"/>
                <w:szCs w:val="9"/>
                <w:color w:val="auto"/>
              </w:rPr>
            </w:pPr>
          </w:p>
        </w:tc>
        <w:tc>
          <w:tcPr>
            <w:tcW w:w="7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19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520" w:type="dxa"/>
            <w:vAlign w:val="bottom"/>
            <w:gridSpan w:val="3"/>
          </w:tcPr>
          <w:p>
            <w:pPr>
              <w:ind w:left="100"/>
              <w:spacing w:after="0"/>
              <w:rPr>
                <w:sz w:val="20"/>
                <w:szCs w:val="20"/>
                <w:color w:val="auto"/>
              </w:rPr>
            </w:pPr>
            <w:r>
              <w:rPr>
                <w:rFonts w:ascii="Arial" w:cs="Arial" w:eastAsia="Arial" w:hAnsi="Arial"/>
                <w:sz w:val="14"/>
                <w:szCs w:val="14"/>
                <w:b w:val="1"/>
                <w:bCs w:val="1"/>
                <w:color w:val="auto"/>
              </w:rPr>
              <w:t>PAID-IN CAPITAL</w:t>
            </w: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1"/>
                <w:shd w:val="clear" w:color="auto" w:fill="CCEEFF"/>
              </w:rPr>
              <w:t>Balance, December 31, 2017</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91,913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1,081,813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(913,191)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(99,199)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10,889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81,231</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92,119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1,063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93,182</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Other comprehensive (loss)</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net of tax</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(27,473)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(27,132)</w:t>
            </w:r>
          </w:p>
        </w:tc>
        <w:tc>
          <w:tcPr>
            <w:tcW w:w="0" w:type="dxa"/>
            <w:vAlign w:val="bottom"/>
          </w:tcPr>
          <w:p>
            <w:pPr>
              <w:spacing w:after="0"/>
              <w:rPr>
                <w:sz w:val="1"/>
                <w:szCs w:val="1"/>
                <w:color w:val="auto"/>
              </w:rPr>
            </w:pP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Cash dividends declared,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40"/>
              <w:spacing w:after="0"/>
              <w:rPr>
                <w:sz w:val="20"/>
                <w:szCs w:val="20"/>
                <w:color w:val="auto"/>
              </w:rPr>
            </w:pPr>
            <w:r>
              <w:rPr>
                <w:rFonts w:ascii="Arial" w:cs="Arial" w:eastAsia="Arial" w:hAnsi="Arial"/>
                <w:sz w:val="16"/>
                <w:szCs w:val="16"/>
                <w:color w:val="auto"/>
              </w:rPr>
              <w:t>$0.18 per common share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(16,734)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(16,734)</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Repurchase and retirement</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common stock</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(80,966)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(81,000)</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w w:val="98"/>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11,178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11,178</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Common stock issued under</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plans (1)</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3,928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33,080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33,119</w:t>
            </w:r>
          </w:p>
        </w:tc>
        <w:tc>
          <w:tcPr>
            <w:tcW w:w="0" w:type="dxa"/>
            <w:vAlign w:val="bottom"/>
          </w:tcPr>
          <w:p>
            <w:pPr>
              <w:spacing w:after="0"/>
              <w:rPr>
                <w:sz w:val="1"/>
                <w:szCs w:val="1"/>
                <w:color w:val="auto"/>
              </w:rPr>
            </w:pP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Change in the redemption</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40"/>
              <w:spacing w:after="0"/>
              <w:rPr>
                <w:sz w:val="20"/>
                <w:szCs w:val="20"/>
                <w:color w:val="auto"/>
              </w:rPr>
            </w:pPr>
            <w:r>
              <w:rPr>
                <w:rFonts w:ascii="Arial" w:cs="Arial" w:eastAsia="Arial" w:hAnsi="Arial"/>
                <w:sz w:val="16"/>
                <w:szCs w:val="16"/>
                <w:color w:val="auto"/>
              </w:rPr>
              <w:t>value of redeemable</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40"/>
              <w:spacing w:after="0"/>
              <w:rPr>
                <w:sz w:val="20"/>
                <w:szCs w:val="20"/>
                <w:color w:val="auto"/>
              </w:rPr>
            </w:pPr>
            <w:r>
              <w:rPr>
                <w:rFonts w:ascii="Arial" w:cs="Arial" w:eastAsia="Arial" w:hAnsi="Arial"/>
                <w:sz w:val="16"/>
                <w:szCs w:val="16"/>
                <w:color w:val="auto"/>
              </w:rPr>
              <w:t>interests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Distributions to</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(3,372)</w:t>
            </w:r>
          </w:p>
        </w:tc>
        <w:tc>
          <w:tcPr>
            <w:tcW w:w="0" w:type="dxa"/>
            <w:vAlign w:val="bottom"/>
          </w:tcPr>
          <w:p>
            <w:pPr>
              <w:spacing w:after="0"/>
              <w:rPr>
                <w:sz w:val="1"/>
                <w:szCs w:val="1"/>
                <w:color w:val="auto"/>
              </w:rPr>
            </w:pP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Contributions from</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6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20" w:type="dxa"/>
            <w:vAlign w:val="bottom"/>
            <w:vMerge w:val="restart"/>
          </w:tcPr>
          <w:p>
            <w:pPr>
              <w:jc w:val="right"/>
              <w:ind w:right="21"/>
              <w:spacing w:after="0"/>
              <w:rPr>
                <w:sz w:val="20"/>
                <w:szCs w:val="20"/>
                <w:color w:val="auto"/>
              </w:rPr>
            </w:pPr>
            <w:r>
              <w:rPr>
                <w:rFonts w:ascii="Arial" w:cs="Arial" w:eastAsia="Arial" w:hAnsi="Arial"/>
                <w:sz w:val="16"/>
                <w:szCs w:val="16"/>
                <w:color w:val="auto"/>
              </w:rPr>
              <w:t>1,320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restart"/>
          </w:tcPr>
          <w:p>
            <w:pPr>
              <w:jc w:val="right"/>
              <w:ind w:right="20"/>
              <w:spacing w:after="0"/>
              <w:rPr>
                <w:sz w:val="20"/>
                <w:szCs w:val="20"/>
                <w:color w:val="auto"/>
              </w:rPr>
            </w:pPr>
            <w:r>
              <w:rPr>
                <w:rFonts w:ascii="Arial" w:cs="Arial" w:eastAsia="Arial" w:hAnsi="Arial"/>
                <w:sz w:val="16"/>
                <w:szCs w:val="16"/>
                <w:color w:val="auto"/>
              </w:rPr>
              <w:t>1,320</w:t>
            </w:r>
          </w:p>
        </w:tc>
        <w:tc>
          <w:tcPr>
            <w:tcW w:w="0" w:type="dxa"/>
            <w:vAlign w:val="bottom"/>
          </w:tcPr>
          <w:p>
            <w:pPr>
              <w:spacing w:after="0"/>
              <w:rPr>
                <w:sz w:val="1"/>
                <w:szCs w:val="1"/>
                <w:color w:val="auto"/>
              </w:rPr>
            </w:pPr>
          </w:p>
        </w:tc>
      </w:tr>
      <w:tr>
        <w:trPr>
          <w:trHeight w:val="239"/>
        </w:trPr>
        <w:tc>
          <w:tcPr>
            <w:tcW w:w="196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1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July 1, 2018</w:t>
            </w:r>
          </w:p>
        </w:tc>
        <w:tc>
          <w:tcPr>
            <w:tcW w:w="10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92,437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1,109,015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(902,038)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10,241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91,470</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left="10140"/>
        <w:spacing w:after="0"/>
        <w:rPr>
          <w:sz w:val="20"/>
          <w:szCs w:val="20"/>
          <w:color w:val="auto"/>
        </w:rPr>
      </w:pPr>
      <w:r>
        <w:rPr>
          <w:rFonts w:ascii="Arial" w:cs="Arial" w:eastAsia="Arial" w:hAnsi="Arial"/>
          <w:sz w:val="16"/>
          <w:szCs w:val="16"/>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CHANGES IN STOCKHOLDERS’ EQUITY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 UNAUDITED)</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9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BLOOMIN’ BRANDS, INC.</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960" w:type="dxa"/>
            <w:vAlign w:val="bottom"/>
          </w:tcPr>
          <w:p>
            <w:pPr>
              <w:spacing w:after="0"/>
              <w:rPr>
                <w:sz w:val="13"/>
                <w:szCs w:val="13"/>
                <w:color w:val="auto"/>
              </w:rPr>
            </w:pPr>
          </w:p>
        </w:tc>
        <w:tc>
          <w:tcPr>
            <w:tcW w:w="220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220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960" w:type="dxa"/>
            <w:vAlign w:val="bottom"/>
          </w:tcPr>
          <w:p>
            <w:pPr>
              <w:spacing w:after="0"/>
              <w:rPr>
                <w:sz w:val="9"/>
                <w:szCs w:val="9"/>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9"/>
                <w:szCs w:val="9"/>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9"/>
                <w:szCs w:val="9"/>
                <w:color w:val="auto"/>
              </w:rPr>
            </w:pPr>
          </w:p>
        </w:tc>
        <w:tc>
          <w:tcPr>
            <w:tcW w:w="1340" w:type="dxa"/>
            <w:vAlign w:val="bottom"/>
            <w:gridSpan w:val="2"/>
          </w:tcPr>
          <w:p>
            <w:pPr>
              <w:ind w:left="60"/>
              <w:spacing w:after="0" w:line="113" w:lineRule="exact"/>
              <w:rPr>
                <w:sz w:val="20"/>
                <w:szCs w:val="20"/>
                <w:color w:val="auto"/>
              </w:rPr>
            </w:pPr>
            <w:r>
              <w:rPr>
                <w:rFonts w:ascii="Arial" w:cs="Arial" w:eastAsia="Arial" w:hAnsi="Arial"/>
                <w:sz w:val="13"/>
                <w:szCs w:val="13"/>
                <w:b w:val="1"/>
                <w:bCs w:val="1"/>
                <w:color w:val="auto"/>
              </w:rPr>
              <w:t>ADDITIONAL</w:t>
            </w:r>
          </w:p>
        </w:tc>
        <w:tc>
          <w:tcPr>
            <w:tcW w:w="1360" w:type="dxa"/>
            <w:vAlign w:val="bottom"/>
            <w:gridSpan w:val="3"/>
          </w:tcPr>
          <w:p>
            <w:pPr>
              <w:ind w:left="40"/>
              <w:spacing w:after="0" w:line="113"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9"/>
                <w:szCs w:val="9"/>
                <w:color w:val="auto"/>
              </w:rPr>
            </w:pPr>
          </w:p>
        </w:tc>
        <w:tc>
          <w:tcPr>
            <w:tcW w:w="164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9"/>
                <w:szCs w:val="9"/>
                <w:color w:val="auto"/>
              </w:rPr>
            </w:pPr>
          </w:p>
        </w:tc>
        <w:tc>
          <w:tcPr>
            <w:tcW w:w="1420" w:type="dxa"/>
            <w:vAlign w:val="bottom"/>
            <w:gridSpan w:val="2"/>
          </w:tcPr>
          <w:p>
            <w:pPr>
              <w:jc w:val="center"/>
              <w:ind w:right="240"/>
              <w:spacing w:after="0" w:line="113" w:lineRule="exact"/>
              <w:rPr>
                <w:sz w:val="20"/>
                <w:szCs w:val="20"/>
                <w:color w:val="auto"/>
              </w:rPr>
            </w:pPr>
            <w:r>
              <w:rPr>
                <w:rFonts w:ascii="Arial" w:cs="Arial" w:eastAsia="Arial" w:hAnsi="Arial"/>
                <w:sz w:val="13"/>
                <w:szCs w:val="13"/>
                <w:b w:val="1"/>
                <w:bCs w:val="1"/>
                <w:color w:val="auto"/>
              </w:rPr>
              <w:t>CONTROLLING</w:t>
            </w:r>
          </w:p>
        </w:tc>
        <w:tc>
          <w:tcPr>
            <w:tcW w:w="160" w:type="dxa"/>
            <w:vAlign w:val="bottom"/>
          </w:tcPr>
          <w:p>
            <w:pPr>
              <w:spacing w:after="0"/>
              <w:rPr>
                <w:sz w:val="9"/>
                <w:szCs w:val="9"/>
                <w:color w:val="auto"/>
              </w:rPr>
            </w:pPr>
          </w:p>
        </w:tc>
        <w:tc>
          <w:tcPr>
            <w:tcW w:w="7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19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520" w:type="dxa"/>
            <w:vAlign w:val="bottom"/>
            <w:gridSpan w:val="3"/>
          </w:tcPr>
          <w:p>
            <w:pPr>
              <w:ind w:left="100"/>
              <w:spacing w:after="0"/>
              <w:rPr>
                <w:sz w:val="20"/>
                <w:szCs w:val="20"/>
                <w:color w:val="auto"/>
              </w:rPr>
            </w:pPr>
            <w:r>
              <w:rPr>
                <w:rFonts w:ascii="Arial" w:cs="Arial" w:eastAsia="Arial" w:hAnsi="Arial"/>
                <w:sz w:val="14"/>
                <w:szCs w:val="14"/>
                <w:b w:val="1"/>
                <w:bCs w:val="1"/>
                <w:color w:val="auto"/>
              </w:rPr>
              <w:t>PAID-IN CAPITAL</w:t>
            </w: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1"/>
              </w:rPr>
              <w:t>Balance, December 25, 2016</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103,922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1,079,583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(756,070)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(111,143)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12,654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226,063</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83,758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1,837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85,595</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net of tax</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12,319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12,281</w:t>
            </w:r>
          </w:p>
        </w:tc>
        <w:tc>
          <w:tcPr>
            <w:tcW w:w="0" w:type="dxa"/>
            <w:vAlign w:val="bottom"/>
          </w:tcPr>
          <w:p>
            <w:pPr>
              <w:spacing w:after="0"/>
              <w:rPr>
                <w:sz w:val="1"/>
                <w:szCs w:val="1"/>
                <w:color w:val="auto"/>
              </w:rPr>
            </w:pP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Cash dividends declared,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40"/>
              <w:spacing w:after="0"/>
              <w:rPr>
                <w:sz w:val="20"/>
                <w:szCs w:val="20"/>
                <w:color w:val="auto"/>
              </w:rPr>
            </w:pPr>
            <w:r>
              <w:rPr>
                <w:rFonts w:ascii="Arial" w:cs="Arial" w:eastAsia="Arial" w:hAnsi="Arial"/>
                <w:sz w:val="16"/>
                <w:szCs w:val="16"/>
                <w:color w:val="auto"/>
              </w:rPr>
              <w:t>$0.16 per common share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(16,308)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(16,308)</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Repurchase and retirement</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common stock</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(9,917)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(198,629)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(198,728)</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w w:val="98"/>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12,716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12,716</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Common stock issued under</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plans (1)</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4,597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4,464</w:t>
            </w:r>
          </w:p>
        </w:tc>
        <w:tc>
          <w:tcPr>
            <w:tcW w:w="0" w:type="dxa"/>
            <w:vAlign w:val="bottom"/>
          </w:tcPr>
          <w:p>
            <w:pPr>
              <w:spacing w:after="0"/>
              <w:rPr>
                <w:sz w:val="1"/>
                <w:szCs w:val="1"/>
                <w:color w:val="auto"/>
              </w:rPr>
            </w:pP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Change in the redemption</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40"/>
              <w:spacing w:after="0"/>
              <w:rPr>
                <w:sz w:val="20"/>
                <w:szCs w:val="20"/>
                <w:color w:val="auto"/>
              </w:rPr>
            </w:pPr>
            <w:r>
              <w:rPr>
                <w:rFonts w:ascii="Arial" w:cs="Arial" w:eastAsia="Arial" w:hAnsi="Arial"/>
                <w:sz w:val="16"/>
                <w:szCs w:val="16"/>
                <w:color w:val="auto"/>
              </w:rPr>
              <w:t>value of redeemable</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40"/>
              <w:spacing w:after="0"/>
              <w:rPr>
                <w:sz w:val="20"/>
                <w:szCs w:val="20"/>
                <w:color w:val="auto"/>
              </w:rPr>
            </w:pPr>
            <w:r>
              <w:rPr>
                <w:rFonts w:ascii="Arial" w:cs="Arial" w:eastAsia="Arial" w:hAnsi="Arial"/>
                <w:sz w:val="16"/>
                <w:szCs w:val="16"/>
                <w:color w:val="auto"/>
              </w:rPr>
              <w:t>interests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of noncontrolling</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 net of tax of $45</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0" w:type="dxa"/>
            <w:vAlign w:val="bottom"/>
          </w:tcPr>
          <w:p>
            <w:pPr>
              <w:spacing w:after="0"/>
              <w:rPr>
                <w:sz w:val="1"/>
                <w:szCs w:val="1"/>
                <w:color w:val="auto"/>
              </w:rPr>
            </w:pP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Distributions to</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(3,754)</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Contributions from</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20"/>
        </w:trPr>
        <w:tc>
          <w:tcPr>
            <w:tcW w:w="1960" w:type="dxa"/>
            <w:vAlign w:val="bottom"/>
          </w:tcPr>
          <w:p>
            <w:pPr>
              <w:ind w:left="40"/>
              <w:spacing w:after="0"/>
              <w:rPr>
                <w:sz w:val="20"/>
                <w:szCs w:val="20"/>
                <w:color w:val="auto"/>
              </w:rPr>
            </w:pPr>
            <w:r>
              <w:rPr>
                <w:rFonts w:ascii="Arial" w:cs="Arial" w:eastAsia="Arial" w:hAnsi="Arial"/>
                <w:sz w:val="16"/>
                <w:szCs w:val="16"/>
                <w:color w:val="auto"/>
              </w:rPr>
              <w:t>Cumulative-effect from a</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40"/>
              <w:spacing w:after="0"/>
              <w:rPr>
                <w:sz w:val="20"/>
                <w:szCs w:val="20"/>
                <w:color w:val="auto"/>
              </w:rPr>
            </w:pPr>
            <w:r>
              <w:rPr>
                <w:rFonts w:ascii="Arial" w:cs="Arial" w:eastAsia="Arial" w:hAnsi="Arial"/>
                <w:sz w:val="16"/>
                <w:szCs w:val="16"/>
                <w:color w:val="auto"/>
              </w:rPr>
              <w:t>change in accounting</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color w:val="auto"/>
              </w:rPr>
              <w:t>14,364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vMerge w:val="restart"/>
          </w:tcPr>
          <w:p>
            <w:pPr>
              <w:jc w:val="right"/>
              <w:ind w:right="20"/>
              <w:spacing w:after="0"/>
              <w:rPr>
                <w:sz w:val="20"/>
                <w:szCs w:val="20"/>
                <w:color w:val="auto"/>
              </w:rPr>
            </w:pPr>
            <w:r>
              <w:rPr>
                <w:rFonts w:ascii="Arial" w:cs="Arial" w:eastAsia="Arial" w:hAnsi="Arial"/>
                <w:sz w:val="16"/>
                <w:szCs w:val="16"/>
                <w:color w:val="auto"/>
              </w:rPr>
              <w:t>14,364</w:t>
            </w:r>
          </w:p>
        </w:tc>
        <w:tc>
          <w:tcPr>
            <w:tcW w:w="0" w:type="dxa"/>
            <w:vAlign w:val="bottom"/>
          </w:tcPr>
          <w:p>
            <w:pPr>
              <w:spacing w:after="0"/>
              <w:rPr>
                <w:sz w:val="1"/>
                <w:szCs w:val="1"/>
                <w:color w:val="auto"/>
              </w:rPr>
            </w:pPr>
          </w:p>
        </w:tc>
      </w:tr>
      <w:tr>
        <w:trPr>
          <w:trHeight w:val="239"/>
        </w:trPr>
        <w:tc>
          <w:tcPr>
            <w:tcW w:w="1960" w:type="dxa"/>
            <w:vAlign w:val="bottom"/>
          </w:tcPr>
          <w:p>
            <w:pPr>
              <w:ind w:left="40"/>
              <w:spacing w:after="0"/>
              <w:rPr>
                <w:sz w:val="20"/>
                <w:szCs w:val="20"/>
                <w:color w:val="auto"/>
              </w:rPr>
            </w:pPr>
            <w:r>
              <w:rPr>
                <w:rFonts w:ascii="Arial" w:cs="Arial" w:eastAsia="Arial" w:hAnsi="Arial"/>
                <w:sz w:val="16"/>
                <w:szCs w:val="16"/>
                <w:color w:val="auto"/>
              </w:rPr>
              <w:t>principle</w:t>
            </w:r>
          </w:p>
        </w:tc>
        <w:tc>
          <w:tcPr>
            <w:tcW w:w="11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June 25, 2017</w:t>
            </w:r>
          </w:p>
        </w:tc>
        <w:tc>
          <w:tcPr>
            <w:tcW w:w="10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95,008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1,079,749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(856,720)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11,001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136,156</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96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of forfeitures and shares withheld for employee taxes.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UNAUDITED)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rPr>
              <w:t>TWENTY-SIX WEEKS ENDED</w:t>
            </w:r>
          </w:p>
        </w:tc>
      </w:tr>
      <w:tr>
        <w:trPr>
          <w:trHeight w:val="264"/>
        </w:trPr>
        <w:tc>
          <w:tcPr>
            <w:tcW w:w="8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4"/>
                <w:szCs w:val="14"/>
                <w:b w:val="1"/>
                <w:bCs w:val="1"/>
                <w:color w:val="auto"/>
                <w:w w:val="98"/>
              </w:rPr>
              <w:t>JUNE 25, 2017</w:t>
            </w:r>
          </w:p>
        </w:tc>
      </w:tr>
      <w:tr>
        <w:trPr>
          <w:trHeight w:val="237"/>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provided by operating activities: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92,860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85,470</w:t>
            </w:r>
          </w:p>
        </w:tc>
      </w:tr>
      <w:tr>
        <w:trPr>
          <w:trHeight w:val="33"/>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100,902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94,653</w:t>
            </w:r>
          </w:p>
        </w:tc>
      </w:tr>
      <w:tr>
        <w:trPr>
          <w:trHeight w:val="33"/>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deferred discounts and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1,637</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Amortization of deferred gift card sales commissions</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15,219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13,756</w:t>
            </w:r>
          </w:p>
        </w:tc>
      </w:tr>
      <w:tr>
        <w:trPr>
          <w:trHeight w:val="33"/>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for impaired assets and restaurant closings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11,628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19,674</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Stock-based and other non-cash compensation expense</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13,263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13,901</w:t>
            </w:r>
          </w:p>
        </w:tc>
      </w:tr>
      <w:tr>
        <w:trPr>
          <w:trHeight w:val="33"/>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Deferred income tax (benefit) expense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1,686</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Gain on sale of a business or subsidiary</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(7,284)</w:t>
            </w:r>
          </w:p>
        </w:tc>
      </w:tr>
      <w:tr>
        <w:trPr>
          <w:trHeight w:val="33"/>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extinguishment and modification of debt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Recognition of deferred gain on sale-leaseback transactions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(5,816)</w:t>
            </w:r>
          </w:p>
        </w:tc>
      </w:tr>
      <w:tr>
        <w:trPr>
          <w:trHeight w:val="33"/>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non-cash items,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1,802</w:t>
            </w:r>
          </w:p>
        </w:tc>
      </w:tr>
      <w:tr>
        <w:trPr>
          <w:trHeight w:val="270"/>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Change in assets and liabilities</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(129,928)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(36,602)</w:t>
            </w:r>
          </w:p>
        </w:tc>
      </w:tr>
      <w:tr>
        <w:trPr>
          <w:trHeight w:val="264"/>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100,083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183,137</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Cash flows used in investing activities: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disposal of property, fixtures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Proceeds from sale-leaseback transactions, net</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4,695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49,780</w:t>
            </w:r>
          </w:p>
        </w:tc>
      </w:tr>
      <w:tr>
        <w:trPr>
          <w:trHeight w:val="33"/>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a business, net of cash divested</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33,994</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(92,528)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(116,256)</w:t>
            </w:r>
          </w:p>
        </w:tc>
      </w:tr>
      <w:tr>
        <w:trPr>
          <w:trHeight w:val="33"/>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investments, net</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(1,123)</w:t>
            </w:r>
          </w:p>
        </w:tc>
      </w:tr>
      <w:tr>
        <w:trPr>
          <w:trHeight w:val="264"/>
        </w:trPr>
        <w:tc>
          <w:tcPr>
            <w:tcW w:w="8580" w:type="dxa"/>
            <w:vAlign w:val="bottom"/>
          </w:tcPr>
          <w:p>
            <w:pPr>
              <w:ind w:left="104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(81,944)</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(33,601)</w:t>
            </w:r>
          </w:p>
        </w:tc>
      </w:tr>
    </w:tbl>
    <w:p>
      <w:pPr>
        <w:spacing w:after="0" w:line="328" w:lineRule="exact"/>
        <w:rPr>
          <w:sz w:val="20"/>
          <w:szCs w:val="20"/>
          <w:color w:val="auto"/>
        </w:rPr>
      </w:pPr>
    </w:p>
    <w:p>
      <w:pPr>
        <w:ind w:left="10140"/>
        <w:spacing w:after="0"/>
        <w:rPr>
          <w:sz w:val="20"/>
          <w:szCs w:val="20"/>
          <w:color w:val="auto"/>
        </w:rPr>
      </w:pPr>
      <w:r>
        <w:rPr>
          <w:rFonts w:ascii="Arial" w:cs="Arial" w:eastAsia="Arial" w:hAnsi="Arial"/>
          <w:sz w:val="16"/>
          <w:szCs w:val="16"/>
          <w:color w:val="auto"/>
        </w:rPr>
        <w:t>(CONTINUED...)</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UNAUDITED)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4"/>
                <w:szCs w:val="14"/>
                <w:b w:val="1"/>
                <w:bCs w:val="1"/>
                <w:color w:val="auto"/>
                <w:w w:val="98"/>
              </w:rPr>
              <w:t>JUNE 25, 2017</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used in financing activities: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Proceeds from issuance of long-term debt, net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124,438</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Repayments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(64,399)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Proceeds from borrowings on revolving credit facilities, net</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266,829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341,000</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Repayments of borrowings on revolving credit facilities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(364,500)</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Proceeds from failed sale-leaseback transactions, net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5,942</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the exercise of share-based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33,119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4,607</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Distributions to noncontrolling interests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(3,754)</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Contributions from 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Purchase of limited partnership and noncontrolling interests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(4,024)</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Repayments of partner deposits and accrued partner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(7,862)</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Repurchase of common stock</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(198,871)</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dividends paid on common stock</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(16,308)</w:t>
            </w:r>
          </w:p>
        </w:tc>
        <w:tc>
          <w:tcPr>
            <w:tcW w:w="0" w:type="dxa"/>
            <w:vAlign w:val="bottom"/>
          </w:tcPr>
          <w:p>
            <w:pPr>
              <w:spacing w:after="0"/>
              <w:rPr>
                <w:sz w:val="1"/>
                <w:szCs w:val="1"/>
                <w:color w:val="auto"/>
              </w:rPr>
            </w:pPr>
          </w:p>
        </w:tc>
      </w:tr>
      <w:tr>
        <w:trPr>
          <w:trHeight w:val="270"/>
        </w:trPr>
        <w:tc>
          <w:tcPr>
            <w:tcW w:w="8580" w:type="dxa"/>
            <w:vAlign w:val="bottom"/>
            <w:tcBorders>
              <w:bottom w:val="single" w:sz="8" w:color="CCEEFF"/>
            </w:tcBorders>
          </w:tcPr>
          <w:p>
            <w:pPr>
              <w:ind w:left="1040"/>
              <w:spacing w:after="0"/>
              <w:rPr>
                <w:sz w:val="20"/>
                <w:szCs w:val="20"/>
                <w:color w:val="auto"/>
              </w:rPr>
            </w:pPr>
            <w:r>
              <w:rPr>
                <w:rFonts w:ascii="Arial" w:cs="Arial" w:eastAsia="Arial" w:hAnsi="Arial"/>
                <w:sz w:val="16"/>
                <w:szCs w:val="16"/>
                <w:color w:val="auto"/>
              </w:rPr>
              <w:t>Net cash used in financing activities</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(58,303)</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(183,250)</w:t>
            </w: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1,002</w:t>
            </w:r>
          </w:p>
        </w:tc>
        <w:tc>
          <w:tcPr>
            <w:tcW w:w="0" w:type="dxa"/>
            <w:vAlign w:val="bottom"/>
          </w:tcPr>
          <w:p>
            <w:pPr>
              <w:spacing w:after="0"/>
              <w:rPr>
                <w:sz w:val="1"/>
                <w:szCs w:val="1"/>
                <w:color w:val="auto"/>
              </w:rPr>
            </w:pP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Net decrease in cash, cash equivalents and restricted cash</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(43,328)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(32,712)</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as of the beginning of the period</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129,543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136,186</w:t>
            </w:r>
          </w:p>
        </w:tc>
        <w:tc>
          <w:tcPr>
            <w:tcW w:w="0" w:type="dxa"/>
            <w:vAlign w:val="bottom"/>
          </w:tcPr>
          <w:p>
            <w:pPr>
              <w:spacing w:after="0"/>
              <w:rPr>
                <w:sz w:val="1"/>
                <w:szCs w:val="1"/>
                <w:color w:val="auto"/>
              </w:rPr>
            </w:pPr>
          </w:p>
        </w:tc>
      </w:tr>
      <w:tr>
        <w:trPr>
          <w:trHeight w:val="290"/>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cash as of the end of the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86,215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103,474</w:t>
            </w:r>
          </w:p>
        </w:tc>
        <w:tc>
          <w:tcPr>
            <w:tcW w:w="0" w:type="dxa"/>
            <w:vAlign w:val="bottom"/>
          </w:tcPr>
          <w:p>
            <w:pPr>
              <w:spacing w:after="0"/>
              <w:rPr>
                <w:sz w:val="1"/>
                <w:szCs w:val="1"/>
                <w:color w:val="auto"/>
              </w:rPr>
            </w:pPr>
          </w:p>
        </w:tc>
      </w:tr>
      <w:tr>
        <w:trPr>
          <w:trHeight w:val="21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Cash paid for interest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20,488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17,393</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for income taxes, net of refunds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22,695</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liabilities from the acquisition of property, fixtures and equipment or capital leases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(2,564)</w:t>
            </w:r>
          </w:p>
        </w:tc>
        <w:tc>
          <w:tcPr>
            <w:tcW w:w="0" w:type="dxa"/>
            <w:vAlign w:val="bottom"/>
          </w:tcPr>
          <w:p>
            <w:pPr>
              <w:spacing w:after="0"/>
              <w:rPr>
                <w:sz w:val="1"/>
                <w:szCs w:val="1"/>
                <w:color w:val="auto"/>
              </w:rPr>
            </w:pPr>
          </w:p>
        </w:tc>
      </w:tr>
      <w:tr>
        <w:trPr>
          <w:trHeight w:val="305"/>
        </w:trPr>
        <w:tc>
          <w:tcPr>
            <w:tcW w:w="8580" w:type="dxa"/>
            <w:vAlign w:val="bottom"/>
          </w:tcPr>
          <w:p>
            <w:pPr>
              <w:ind w:left="380"/>
              <w:spacing w:after="0"/>
              <w:rPr>
                <w:sz w:val="20"/>
                <w:szCs w:val="20"/>
                <w:color w:val="auto"/>
              </w:rPr>
            </w:pPr>
            <w:r>
              <w:rPr>
                <w:rFonts w:ascii="Arial" w:cs="Arial" w:eastAsia="Arial" w:hAnsi="Arial"/>
                <w:sz w:val="16"/>
                <w:szCs w:val="16"/>
                <w:color w:val="auto"/>
              </w:rPr>
              <w:t>Purchase of noncontrolling interest included in accrued and other current liabilities</w:t>
            </w:r>
          </w:p>
        </w:tc>
        <w:tc>
          <w:tcPr>
            <w:tcW w:w="180" w:type="dxa"/>
            <w:vAlign w:val="bottom"/>
          </w:tcPr>
          <w:p>
            <w:pPr>
              <w:spacing w:after="0"/>
              <w:rPr>
                <w:sz w:val="24"/>
                <w:szCs w:val="24"/>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180" w:type="dxa"/>
            <w:vAlign w:val="bottom"/>
            <w:vMerge w:val="restart"/>
          </w:tcPr>
          <w:p>
            <w:pPr>
              <w:jc w:val="right"/>
              <w:ind w:right="19"/>
              <w:spacing w:after="0"/>
              <w:rPr>
                <w:sz w:val="20"/>
                <w:szCs w:val="20"/>
                <w:color w:val="auto"/>
              </w:rPr>
            </w:pPr>
            <w:r>
              <w:rPr>
                <w:rFonts w:ascii="Arial" w:cs="Arial" w:eastAsia="Arial" w:hAnsi="Arial"/>
                <w:sz w:val="16"/>
                <w:szCs w:val="16"/>
                <w:color w:val="auto"/>
              </w:rPr>
              <w:t>898</w:t>
            </w:r>
          </w:p>
        </w:tc>
        <w:tc>
          <w:tcPr>
            <w:tcW w:w="0" w:type="dxa"/>
            <w:vAlign w:val="bottom"/>
          </w:tcPr>
          <w:p>
            <w:pPr>
              <w:spacing w:after="0"/>
              <w:rPr>
                <w:sz w:val="1"/>
                <w:szCs w:val="1"/>
                <w:color w:val="auto"/>
              </w:rPr>
            </w:pPr>
          </w:p>
        </w:tc>
      </w:tr>
      <w:tr>
        <w:trPr>
          <w:trHeight w:val="81"/>
        </w:trPr>
        <w:tc>
          <w:tcPr>
            <w:tcW w:w="8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5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6"/>
          <w:szCs w:val="16"/>
          <w:color w:val="auto"/>
        </w:rPr>
        <w:t>Description of the Business and Basis of Presentation</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Description of the Business - </w:t>
      </w:r>
      <w:r>
        <w:rPr>
          <w:rFonts w:ascii="Arial" w:cs="Arial" w:eastAsia="Arial" w:hAnsi="Arial"/>
          <w:sz w:val="20"/>
          <w:szCs w:val="20"/>
          <w:color w:val="auto"/>
        </w:rPr>
        <w:t>Bloomin’ Brands, Inc., through its subsidiaries (“Bloomin’ Brands” or the “Company”), owns and operates</w:t>
      </w:r>
      <w:r>
        <w:rPr>
          <w:rFonts w:ascii="Arial" w:cs="Arial" w:eastAsia="Arial" w:hAnsi="Arial"/>
          <w:sz w:val="20"/>
          <w:szCs w:val="20"/>
          <w:i w:val="1"/>
          <w:iCs w:val="1"/>
          <w:color w:val="auto"/>
        </w:rPr>
        <w:t xml:space="preserve"> </w:t>
      </w:r>
      <w:r>
        <w:rPr>
          <w:rFonts w:ascii="Arial" w:cs="Arial" w:eastAsia="Arial" w:hAnsi="Arial"/>
          <w:sz w:val="20"/>
          <w:szCs w:val="20"/>
          <w:color w:val="auto"/>
        </w:rPr>
        <w:t>casual, upscale casual and fine dining restaurants. The Company’s restaurant portfolio has four concepts: Outback Steakhouse, Carrabba’s Italian Grill, Bonefish Grill and Fleming’s Prime Steakhouse &amp; Wine Bar. Each of the Company’s concepts has additional restaurants in which it has no direct investment and are operated under franchise agreements.</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i w:val="1"/>
          <w:iCs w:val="1"/>
          <w:color w:val="auto"/>
        </w:rPr>
        <w:t xml:space="preserve">Basis of Presentation - </w:t>
      </w:r>
      <w:r>
        <w:rPr>
          <w:rFonts w:ascii="Arial" w:cs="Arial" w:eastAsia="Arial" w:hAnsi="Arial"/>
          <w:sz w:val="19"/>
          <w:szCs w:val="19"/>
          <w:color w:val="auto"/>
        </w:rPr>
        <w:t>The accompanying interim unaudited consolidated financial statements have been prepared by the Company pursuant to</w:t>
      </w:r>
      <w:r>
        <w:rPr>
          <w:rFonts w:ascii="Arial" w:cs="Arial" w:eastAsia="Arial" w:hAnsi="Arial"/>
          <w:sz w:val="19"/>
          <w:szCs w:val="19"/>
          <w:i w:val="1"/>
          <w:iCs w:val="1"/>
          <w:color w:val="auto"/>
        </w:rPr>
        <w:t xml:space="preserve"> </w:t>
      </w:r>
      <w:r>
        <w:rPr>
          <w:rFonts w:ascii="Arial" w:cs="Arial" w:eastAsia="Arial" w:hAnsi="Arial"/>
          <w:sz w:val="19"/>
          <w:szCs w:val="19"/>
          <w:color w:val="auto"/>
        </w:rPr>
        <w:t>the rules and regulations of the Securities and Exchange Commission. Accordingly, they do not include all the information and footnotes required by generally accepted accounting principles in the United States (“U.S. GAAP”) for complete financial statements. In the opinion of the Company, all adjustments necessary for fair financial statement presentation for the periods presented have been included and are of a normal, recurring nature. The results of operations for interim periods are not necessarily indicative of the results to be expected for the full year. These financial statements should be read in conjunction with the audited financial statements and notes thereto included in the Company’s Annual Report on Form 10-K for the year ended December 31, 2017.</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9"/>
          <w:szCs w:val="19"/>
          <w:i w:val="1"/>
          <w:iCs w:val="1"/>
          <w:color w:val="auto"/>
        </w:rPr>
        <w:t xml:space="preserve">Recently Adopted Financial Accounting Standards </w:t>
      </w:r>
      <w:r>
        <w:rPr>
          <w:rFonts w:ascii="Arial" w:cs="Arial" w:eastAsia="Arial" w:hAnsi="Arial"/>
          <w:sz w:val="19"/>
          <w:szCs w:val="19"/>
          <w:color w:val="auto"/>
        </w:rPr>
        <w:t>- On January 1, 2018, the Company elected to early adopt Accounting Standards Update</w:t>
      </w:r>
      <w:r>
        <w:rPr>
          <w:rFonts w:ascii="Arial" w:cs="Arial" w:eastAsia="Arial" w:hAnsi="Arial"/>
          <w:sz w:val="19"/>
          <w:szCs w:val="19"/>
          <w:i w:val="1"/>
          <w:iCs w:val="1"/>
          <w:color w:val="auto"/>
        </w:rPr>
        <w:t xml:space="preserve"> </w:t>
      </w:r>
      <w:r>
        <w:rPr>
          <w:rFonts w:ascii="Arial" w:cs="Arial" w:eastAsia="Arial" w:hAnsi="Arial"/>
          <w:sz w:val="19"/>
          <w:szCs w:val="19"/>
          <w:color w:val="auto"/>
        </w:rPr>
        <w:t>(“ASU”) No. 2017-04, “Intangibles - Goodwill and Other (Topic 350): Simplifying the Test for Goodwill Impairment,” (“ASU No. 2017-04”) on a prospective basis. ASU No. 2017-04 eliminates the second step of goodwill impairment, which requires a hypothetical purchase price allocation. Under ASU No. 2017-04, goodwill impairment is calculated as the amount a reporting unit’s carrying value exceeds its calculated fair value. The adoption of ASU No. 2017-04 did not impact the Company’s Consolidated Financial Statements. Goodwill and indefinite-lived intangible assets are tested for impairment annually, as of the first day of the second fiscal quarter, or whenever events or changes in circumstances indicate that the carrying amount may not be recoverable.</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performed its annual assessment for impairment of goodwill and other indefinite-lived intangible assets during the second quarters of 2018 and 2017. In connection with these assessments, the Company did not record any goodwill or indefinite-lived intangible impairment charges.</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January 1, 2018, the Company adopted ASU No. 2014-09 “Revenue Recognition (Topic 606), Revenue from Contracts with Customers” (“ASU No. 2014-09”) using the full retrospective transition method. Under ASU No. 2014-09, revenue is recognized in an amount that reflects the consideration an entity expects to receive for the transfer of goods and services. The standard also requires additional disclosures about the nature, timing and uncertainty of revenue and cash flows arising from contracts with customers. Under the new standard, the Company recognizes gift card breakage proportional to redemptions, which are highest in the Company’s first fiscal quarter. Previously, under the remote method, the majority of breakage revenue was recorded in the Company’s fourth fiscal quarter corresponding with the timing of the original gift card sale. Advertising fees charged to franchisees, which were previously recorded as a reduction to Other restaurant operating expenses, are recognized as Franchise revenue. In addition, initial franchise and renewal fees are recognized over the term of the franchise agreements. In connection with adoption of ASU No. 2014-09, a cumulative effect adjustment of $33.1 million, net of tax, was recorded as a credit to the ending balance of Accumulated deficit as of December 27, 2015.</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a restatement of the Company’s Consolidated Statement of Operations for the retrospective adoption of ASU No.</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2014-09 during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6"/>
          </w:tcPr>
          <w:p>
            <w:pPr>
              <w:jc w:val="center"/>
              <w:ind w:left="560"/>
              <w:spacing w:after="0"/>
              <w:rPr>
                <w:sz w:val="20"/>
                <w:szCs w:val="20"/>
                <w:color w:val="auto"/>
              </w:rPr>
            </w:pPr>
            <w:r>
              <w:rPr>
                <w:rFonts w:ascii="Arial" w:cs="Arial" w:eastAsia="Arial" w:hAnsi="Arial"/>
                <w:sz w:val="14"/>
                <w:szCs w:val="14"/>
                <w:b w:val="1"/>
                <w:bCs w:val="1"/>
                <w:color w:val="auto"/>
              </w:rPr>
              <w:t>THIRTEEN WEEKS ENDED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6"/>
          </w:tcPr>
          <w:p>
            <w:pPr>
              <w:jc w:val="center"/>
              <w:ind w:left="480"/>
              <w:spacing w:after="0"/>
              <w:rPr>
                <w:sz w:val="20"/>
                <w:szCs w:val="20"/>
                <w:color w:val="auto"/>
              </w:rPr>
            </w:pPr>
            <w:r>
              <w:rPr>
                <w:rFonts w:ascii="Arial" w:cs="Arial" w:eastAsia="Arial" w:hAnsi="Arial"/>
                <w:sz w:val="14"/>
                <w:szCs w:val="14"/>
                <w:b w:val="1"/>
                <w:bCs w:val="1"/>
                <w:color w:val="auto"/>
              </w:rPr>
              <w:t>TWENTY-SIX WEEKS ENDED</w:t>
            </w:r>
          </w:p>
        </w:tc>
        <w:tc>
          <w:tcPr>
            <w:tcW w:w="760" w:type="dxa"/>
            <w:vAlign w:val="bottom"/>
          </w:tcPr>
          <w:p>
            <w:pPr>
              <w:spacing w:after="0"/>
              <w:rPr>
                <w:sz w:val="16"/>
                <w:szCs w:val="16"/>
                <w:color w:val="auto"/>
              </w:rPr>
            </w:pPr>
          </w:p>
        </w:tc>
      </w:tr>
      <w:tr>
        <w:trPr>
          <w:trHeight w:val="276"/>
        </w:trPr>
        <w:tc>
          <w:tcPr>
            <w:tcW w:w="40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JUNE 25, 2017</w:t>
            </w: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JUNE 25, 2017</w:t>
            </w: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r>
      <w:tr>
        <w:trPr>
          <w:trHeight w:val="153"/>
        </w:trPr>
        <w:tc>
          <w:tcPr>
            <w:tcW w:w="4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21"/>
              <w:spacing w:after="0" w:line="153" w:lineRule="exact"/>
              <w:rPr>
                <w:sz w:val="20"/>
                <w:szCs w:val="20"/>
                <w:color w:val="auto"/>
              </w:rPr>
            </w:pPr>
            <w:r>
              <w:rPr>
                <w:rFonts w:ascii="Arial" w:cs="Arial" w:eastAsia="Arial" w:hAnsi="Arial"/>
                <w:sz w:val="14"/>
                <w:szCs w:val="14"/>
                <w:b w:val="1"/>
                <w:bCs w:val="1"/>
                <w:color w:val="auto"/>
                <w:w w:val="93"/>
              </w:rPr>
              <w:t>2014-09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05"/>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 except per share data)</w:t>
            </w: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AS REPORTED</w:t>
            </w: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2014-09 IMPACT</w:t>
            </w: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AS RESTATED</w:t>
            </w: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IMPACT</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RESTATED</w:t>
            </w: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1,019,957</w:t>
            </w:r>
          </w:p>
        </w:tc>
        <w:tc>
          <w:tcPr>
            <w:tcW w:w="12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1,227</w:t>
            </w:r>
          </w:p>
        </w:tc>
        <w:tc>
          <w:tcPr>
            <w:tcW w:w="120" w:type="dxa"/>
            <w:vAlign w:val="bottom"/>
          </w:tcPr>
          <w:p>
            <w:pPr>
              <w:spacing w:after="0"/>
              <w:rPr>
                <w:sz w:val="20"/>
                <w:szCs w:val="20"/>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1,021,184</w:t>
            </w:r>
          </w:p>
        </w:tc>
        <w:tc>
          <w:tcPr>
            <w:tcW w:w="10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2,155,445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9,570</w:t>
            </w:r>
          </w:p>
        </w:tc>
        <w:tc>
          <w:tcPr>
            <w:tcW w:w="100" w:type="dxa"/>
            <w:vAlign w:val="bottom"/>
          </w:tcPr>
          <w:p>
            <w:pPr>
              <w:spacing w:after="0"/>
              <w:rPr>
                <w:sz w:val="20"/>
                <w:szCs w:val="20"/>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w w:val="89"/>
              </w:rPr>
              <w:t>2,165,015</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13,025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2,249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15,274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21,360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4,794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26,154</w:t>
            </w:r>
          </w:p>
        </w:tc>
      </w:tr>
      <w:tr>
        <w:trPr>
          <w:trHeight w:val="270"/>
        </w:trPr>
        <w:tc>
          <w:tcPr>
            <w:tcW w:w="400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1,032,982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3,476</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1,036,458</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2,176,805</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14,364</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2,191,169</w:t>
            </w: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Other restaurant operating</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244,124</w:t>
            </w:r>
          </w:p>
        </w:tc>
        <w:tc>
          <w:tcPr>
            <w:tcW w:w="12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4,288</w:t>
            </w:r>
          </w:p>
        </w:tc>
        <w:tc>
          <w:tcPr>
            <w:tcW w:w="120" w:type="dxa"/>
            <w:vAlign w:val="bottom"/>
          </w:tcPr>
          <w:p>
            <w:pPr>
              <w:spacing w:after="0"/>
              <w:rPr>
                <w:sz w:val="20"/>
                <w:szCs w:val="20"/>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248,412</w:t>
            </w:r>
          </w:p>
        </w:tc>
        <w:tc>
          <w:tcPr>
            <w:tcW w:w="10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492,064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7,472</w:t>
            </w:r>
          </w:p>
        </w:tc>
        <w:tc>
          <w:tcPr>
            <w:tcW w:w="100" w:type="dxa"/>
            <w:vAlign w:val="bottom"/>
          </w:tcPr>
          <w:p>
            <w:pPr>
              <w:spacing w:after="0"/>
              <w:rPr>
                <w:sz w:val="20"/>
                <w:szCs w:val="20"/>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499,536</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42,154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41,342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111,284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6,892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118,176</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39,632</w:t>
            </w:r>
          </w:p>
        </w:tc>
        <w:tc>
          <w:tcPr>
            <w:tcW w:w="12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(812)</w:t>
            </w:r>
          </w:p>
        </w:tc>
        <w:tc>
          <w:tcPr>
            <w:tcW w:w="120" w:type="dxa"/>
            <w:vAlign w:val="bottom"/>
          </w:tcPr>
          <w:p>
            <w:pPr>
              <w:spacing w:after="0"/>
              <w:rPr>
                <w:sz w:val="20"/>
                <w:szCs w:val="20"/>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38,820</w:t>
            </w:r>
          </w:p>
        </w:tc>
        <w:tc>
          <w:tcPr>
            <w:tcW w:w="10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99,570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6,892</w:t>
            </w:r>
          </w:p>
        </w:tc>
        <w:tc>
          <w:tcPr>
            <w:tcW w:w="100" w:type="dxa"/>
            <w:vAlign w:val="bottom"/>
          </w:tcPr>
          <w:p>
            <w:pPr>
              <w:spacing w:after="0"/>
              <w:rPr>
                <w:sz w:val="20"/>
                <w:szCs w:val="20"/>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106,462</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20,992</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36,329</w:t>
            </w:r>
          </w:p>
        </w:tc>
        <w:tc>
          <w:tcPr>
            <w:tcW w:w="12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20"/>
                <w:szCs w:val="20"/>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35,832</w:t>
            </w:r>
          </w:p>
        </w:tc>
        <w:tc>
          <w:tcPr>
            <w:tcW w:w="10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81,252</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4,218</w:t>
            </w:r>
          </w:p>
        </w:tc>
        <w:tc>
          <w:tcPr>
            <w:tcW w:w="100" w:type="dxa"/>
            <w:vAlign w:val="bottom"/>
          </w:tcPr>
          <w:p>
            <w:pPr>
              <w:spacing w:after="0"/>
              <w:rPr>
                <w:sz w:val="20"/>
                <w:szCs w:val="20"/>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85,470</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35,630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79,540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83,758</w:t>
            </w:r>
          </w:p>
        </w:tc>
      </w:tr>
      <w:tr>
        <w:trPr>
          <w:trHeight w:val="324"/>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0.83</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0.35</w:t>
            </w:r>
          </w:p>
        </w:tc>
        <w:tc>
          <w:tcPr>
            <w:tcW w:w="12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0.76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0.80</w:t>
            </w:r>
          </w:p>
        </w:tc>
      </w:tr>
    </w:tbl>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includes a restatement of the Company’s Consolidated Balance Sheet as of December 31, 2017 for the retrospective adoption of ASU No. 2014-09: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9"/>
              </w:rPr>
              <w:t>DECEMBER 31, 2017</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2"/>
                <w:szCs w:val="22"/>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22"/>
                <w:szCs w:val="22"/>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2014-09 IMPACT</w:t>
            </w:r>
          </w:p>
        </w:tc>
        <w:tc>
          <w:tcPr>
            <w:tcW w:w="200" w:type="dxa"/>
            <w:vAlign w:val="bottom"/>
          </w:tcPr>
          <w:p>
            <w:pPr>
              <w:spacing w:after="0"/>
              <w:rPr>
                <w:sz w:val="22"/>
                <w:szCs w:val="22"/>
                <w:color w:val="auto"/>
              </w:rPr>
            </w:pPr>
          </w:p>
        </w:tc>
        <w:tc>
          <w:tcPr>
            <w:tcW w:w="1380" w:type="dxa"/>
            <w:vAlign w:val="bottom"/>
          </w:tcPr>
          <w:p>
            <w:pPr>
              <w:jc w:val="right"/>
              <w:ind w:right="22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Deferred income tax assets, net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71,499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60,486</w:t>
            </w: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2,572,907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2,561,894</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40"/>
              <w:spacing w:after="0"/>
              <w:rPr>
                <w:sz w:val="20"/>
                <w:szCs w:val="20"/>
                <w:color w:val="auto"/>
              </w:rPr>
            </w:pPr>
            <w:r>
              <w:rPr>
                <w:rFonts w:ascii="Arial" w:cs="Arial" w:eastAsia="Arial" w:hAnsi="Arial"/>
                <w:sz w:val="16"/>
                <w:szCs w:val="16"/>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Unearned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Deferred gift card revenue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371,455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(47,827)</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323,628</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loyalty revenue</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6,667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6,667</w:t>
            </w: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Deferred franchise fees - current</w:t>
            </w:r>
          </w:p>
        </w:tc>
        <w:tc>
          <w:tcPr>
            <w:tcW w:w="2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Unearned revenue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378,227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330,756</w:t>
            </w:r>
          </w:p>
        </w:tc>
        <w:tc>
          <w:tcPr>
            <w:tcW w:w="0" w:type="dxa"/>
            <w:vAlign w:val="bottom"/>
          </w:tcPr>
          <w:p>
            <w:pPr>
              <w:spacing w:after="0"/>
              <w:rPr>
                <w:sz w:val="1"/>
                <w:szCs w:val="1"/>
                <w:color w:val="auto"/>
              </w:rPr>
            </w:pPr>
          </w:p>
        </w:tc>
      </w:tr>
      <w:tr>
        <w:trPr>
          <w:trHeight w:val="224"/>
        </w:trPr>
        <w:tc>
          <w:tcPr>
            <w:tcW w:w="6400" w:type="dxa"/>
            <w:vAlign w:val="bottom"/>
          </w:tcPr>
          <w:p>
            <w:pPr>
              <w:ind w:left="60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860,863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(47,471)</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813,392</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 net (1)</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205,745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4,698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210,443</w:t>
            </w: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2,523,436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(42,773)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2,480,663</w:t>
            </w: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Bloomin’ Brands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(944,951)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31,760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(913,191)</w:t>
            </w: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Bloomin’ Brands stockholders’ equity</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38,582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31,760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70,342</w:t>
            </w: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49,471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31,760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81,231</w:t>
            </w: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2,572,907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2,561,894</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the non-current portion of deferred franchise fees.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Note 2 - </w:t>
      </w:r>
      <w:r>
        <w:rPr>
          <w:rFonts w:ascii="Arial" w:cs="Arial" w:eastAsia="Arial" w:hAnsi="Arial"/>
          <w:sz w:val="20"/>
          <w:szCs w:val="20"/>
          <w:i w:val="1"/>
          <w:iCs w:val="1"/>
          <w:color w:val="auto"/>
        </w:rPr>
        <w:t>Revenue Recognition</w:t>
      </w:r>
      <w:r>
        <w:rPr>
          <w:rFonts w:ascii="Arial" w:cs="Arial" w:eastAsia="Arial" w:hAnsi="Arial"/>
          <w:sz w:val="20"/>
          <w:szCs w:val="20"/>
          <w:color w:val="auto"/>
        </w:rPr>
        <w:t xml:space="preserve"> for required disclosures under ASU No. 2014-09.</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Effective June 26, 2017, the Company adopted ASU No. 2016-18, “Statement of Cash Flows (Topic 230), Restricted Cash” (“ASU No. 2016-18”). ASU No. 2016-18 provides guidance on the presentation of restricted cash and restricted cash equivalents, which are now included with cash and cash equivalents when reconciling the beginning and ending cash amounts shown on the statements of cash flows. Using the retrospective transition method required under the standard, the Company has adjusted the presentation of its Condensed Consolidated Statements of Cash Flows for the period presented. The adoption of ASU No. 2016-18 did not have any other impact on the Company’s Consolidated Financial Statements.</w:t>
      </w:r>
    </w:p>
    <w:p>
      <w:pPr>
        <w:spacing w:after="0" w:line="21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following table provides additional details by financial statement line item of the restated presentation in the Company’s Condensed Consolidated Statement of Cash Flows for the twenty-six weeks ended June 25,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20" w:type="dxa"/>
            <w:vAlign w:val="bottom"/>
            <w:gridSpan w:val="6"/>
          </w:tcPr>
          <w:p>
            <w:pPr>
              <w:jc w:val="center"/>
              <w:ind w:left="1121"/>
              <w:spacing w:after="0"/>
              <w:rPr>
                <w:sz w:val="20"/>
                <w:szCs w:val="20"/>
                <w:color w:val="auto"/>
              </w:rPr>
            </w:pPr>
            <w:r>
              <w:rPr>
                <w:rFonts w:ascii="Arial" w:cs="Arial" w:eastAsia="Arial" w:hAnsi="Arial"/>
                <w:sz w:val="14"/>
                <w:szCs w:val="14"/>
                <w:b w:val="1"/>
                <w:bCs w:val="1"/>
                <w:color w:val="auto"/>
              </w:rPr>
              <w:t>TWENTY-SIX WEEKS ENDED</w:t>
            </w:r>
          </w:p>
        </w:tc>
        <w:tc>
          <w:tcPr>
            <w:tcW w:w="1380" w:type="dxa"/>
            <w:vAlign w:val="bottom"/>
          </w:tcPr>
          <w:p>
            <w:pPr>
              <w:spacing w:after="0"/>
              <w:rPr>
                <w:sz w:val="16"/>
                <w:szCs w:val="16"/>
                <w:color w:val="auto"/>
              </w:rPr>
            </w:pPr>
          </w:p>
        </w:tc>
      </w:tr>
      <w:tr>
        <w:trPr>
          <w:trHeight w:val="276"/>
        </w:trPr>
        <w:tc>
          <w:tcPr>
            <w:tcW w:w="64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JUNE 25, 2017</w:t>
            </w: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2"/>
                <w:szCs w:val="22"/>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22"/>
                <w:szCs w:val="22"/>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2016-18 IMPACT</w:t>
            </w:r>
          </w:p>
        </w:tc>
        <w:tc>
          <w:tcPr>
            <w:tcW w:w="200" w:type="dxa"/>
            <w:vAlign w:val="bottom"/>
          </w:tcPr>
          <w:p>
            <w:pPr>
              <w:spacing w:after="0"/>
              <w:rPr>
                <w:sz w:val="22"/>
                <w:szCs w:val="22"/>
                <w:color w:val="auto"/>
              </w:rPr>
            </w:pPr>
          </w:p>
        </w:tc>
        <w:tc>
          <w:tcPr>
            <w:tcW w:w="1380" w:type="dxa"/>
            <w:vAlign w:val="bottom"/>
          </w:tcPr>
          <w:p>
            <w:pPr>
              <w:jc w:val="right"/>
              <w:ind w:right="220"/>
              <w:spacing w:after="0"/>
              <w:rPr>
                <w:sz w:val="20"/>
                <w:szCs w:val="20"/>
                <w:color w:val="auto"/>
              </w:rPr>
            </w:pPr>
            <w:r>
              <w:rPr>
                <w:rFonts w:ascii="Arial" w:cs="Arial" w:eastAsia="Arial" w:hAnsi="Arial"/>
                <w:sz w:val="14"/>
                <w:szCs w:val="14"/>
                <w:b w:val="1"/>
                <w:bCs w:val="1"/>
                <w:color w:val="auto"/>
              </w:rPr>
              <w:t>AS RESTATED</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used in investing activities: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Decrease in restricted cash</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1"/>
              <w:spacing w:after="0"/>
              <w:rPr>
                <w:sz w:val="20"/>
                <w:szCs w:val="20"/>
                <w:color w:val="auto"/>
              </w:rPr>
            </w:pPr>
            <w:r>
              <w:rPr>
                <w:rFonts w:ascii="Arial" w:cs="Arial" w:eastAsia="Arial" w:hAnsi="Arial"/>
                <w:sz w:val="16"/>
                <w:szCs w:val="16"/>
                <w:color w:val="auto"/>
              </w:rPr>
              <w:t>14,969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(14,969)</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in restricted cash</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(5,957)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104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(24,589)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(9,012)</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(33,601)</w:t>
            </w:r>
          </w:p>
        </w:tc>
      </w:tr>
      <w:tr>
        <w:trPr>
          <w:trHeight w:val="33"/>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24"/>
        </w:trPr>
        <w:tc>
          <w:tcPr>
            <w:tcW w:w="6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Net decrease in cash, cash equivalents and restricted cash</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(23,702)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(9,010)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(32,712)</w:t>
            </w:r>
          </w:p>
        </w:tc>
      </w:tr>
      <w:tr>
        <w:trPr>
          <w:trHeight w:val="33"/>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as of the beginning of the period</w:t>
            </w:r>
          </w:p>
        </w:tc>
        <w:tc>
          <w:tcPr>
            <w:tcW w:w="2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127,176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9,010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136,186</w:t>
            </w:r>
          </w:p>
        </w:tc>
      </w:tr>
      <w:tr>
        <w:trPr>
          <w:trHeight w:val="250"/>
        </w:trPr>
        <w:tc>
          <w:tcPr>
            <w:tcW w:w="640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as of the end of the period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1"/>
              <w:spacing w:after="0"/>
              <w:rPr>
                <w:sz w:val="20"/>
                <w:szCs w:val="20"/>
                <w:color w:val="auto"/>
              </w:rPr>
            </w:pPr>
            <w:r>
              <w:rPr>
                <w:rFonts w:ascii="Arial" w:cs="Arial" w:eastAsia="Arial" w:hAnsi="Arial"/>
                <w:sz w:val="16"/>
                <w:szCs w:val="16"/>
                <w:color w:val="auto"/>
              </w:rPr>
              <w:t>103,474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103,474</w:t>
            </w:r>
          </w:p>
        </w:tc>
      </w:tr>
      <w:tr>
        <w:trPr>
          <w:trHeight w:val="20"/>
        </w:trPr>
        <w:tc>
          <w:tcPr>
            <w:tcW w:w="6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9"/>
          <w:szCs w:val="19"/>
          <w:i w:val="1"/>
          <w:iCs w:val="1"/>
          <w:color w:val="auto"/>
        </w:rPr>
        <w:t xml:space="preserve">Recently Issued Financial Accounting Standards Not Yet Adopted </w:t>
      </w:r>
      <w:r>
        <w:rPr>
          <w:rFonts w:ascii="Arial" w:cs="Arial" w:eastAsia="Arial" w:hAnsi="Arial"/>
          <w:sz w:val="19"/>
          <w:szCs w:val="19"/>
          <w:color w:val="auto"/>
        </w:rPr>
        <w:t>- In February 2016, the Financial Accounting Standards Board (“FASB”)</w:t>
      </w:r>
      <w:r>
        <w:rPr>
          <w:rFonts w:ascii="Arial" w:cs="Arial" w:eastAsia="Arial" w:hAnsi="Arial"/>
          <w:sz w:val="19"/>
          <w:szCs w:val="19"/>
          <w:i w:val="1"/>
          <w:iCs w:val="1"/>
          <w:color w:val="auto"/>
        </w:rPr>
        <w:t xml:space="preserve"> </w:t>
      </w:r>
      <w:r>
        <w:rPr>
          <w:rFonts w:ascii="Arial" w:cs="Arial" w:eastAsia="Arial" w:hAnsi="Arial"/>
          <w:sz w:val="19"/>
          <w:szCs w:val="19"/>
          <w:color w:val="auto"/>
        </w:rPr>
        <w:t>issued ASU No. 2016-02: “Leases (Topic 842)” (“ASU No. 2016-02”). ASU No. 2016-02 requires the lease rights and obligations arising from lease contracts, including existing and new arrangements, to be recognized as assets and liabilities on the balance sheet. ASU No. 2016-02 is effective for the Company in 2019 and must be adopted using a modified retrospective approach. In preparation for adoption of ASU No. 2016-02, the Company has implemented a new lease accounting system. The Company is currently evaluating practical expedients and accounting policy elections, and assessing the overall financial statement impact. The Company expects the adoption of ASU No. 2016-02 to have a significant impact on its Consolidated Balance Sheets due to recognition of right-of-use assets and lease liabilities related to real estate and equipment under operating lease agreements, but will likely have an insignificant impact on its Consolidated Statement of Operations and Comprehensive Income. The Company’s evaluation of ASU No. 2016-02 is ongoing and may identify additional impacts on its Consolidated Financial Statements and related disclosures.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August 2017, the FASB issued ASU No. 2017-12, Derivatives and Hedging (Topic 815): Targeted Improvements to Accounting for Hedging Activities (“ASU No. 2017-12”) which provides guidance for reporting the economic results of hedging activities and to simplify the disclosures of risk exposures and hedging strategies. ASU No. 2017-12 will be effective for the Company in 2019, with early adoption permitted and is not expected to have a material impact on the Company’s Consolidated Financial Statements and related disclosures.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Reclassifications - </w:t>
      </w:r>
      <w:r>
        <w:rPr>
          <w:rFonts w:ascii="Arial" w:cs="Arial" w:eastAsia="Arial" w:hAnsi="Arial"/>
          <w:sz w:val="20"/>
          <w:szCs w:val="20"/>
          <w:color w:val="auto"/>
        </w:rPr>
        <w:t>The Company reclassified certain items in the accompanying Consolidated Financial Statements for prior periods to be</w:t>
      </w:r>
      <w:r>
        <w:rPr>
          <w:rFonts w:ascii="Arial" w:cs="Arial" w:eastAsia="Arial" w:hAnsi="Arial"/>
          <w:sz w:val="20"/>
          <w:szCs w:val="20"/>
          <w:i w:val="1"/>
          <w:iCs w:val="1"/>
          <w:color w:val="auto"/>
        </w:rPr>
        <w:t xml:space="preserve"> </w:t>
      </w:r>
      <w:r>
        <w:rPr>
          <w:rFonts w:ascii="Arial" w:cs="Arial" w:eastAsia="Arial" w:hAnsi="Arial"/>
          <w:sz w:val="20"/>
          <w:szCs w:val="20"/>
          <w:color w:val="auto"/>
        </w:rPr>
        <w:t>comparable with the classification for the current period.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6"/>
          <w:szCs w:val="16"/>
          <w:color w:val="auto"/>
        </w:rPr>
        <w:t>Revenue Recognition</w:t>
      </w: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 records food and beverage revenues, net of discounts and taxes, upon delivery to the customer. Franchise-related revenues are included in Franchise and other revenues in the Company’s Consolidated Statements of Operations and Comprehensive (Loss) Income. Royalties, which are a percentage of net sales of the franchisee, are recognized as revenue in the period which the sales are reported to have occurred. The following table includes the categories of revenue included in the Company’s Consolidated Statements of Operations and Comprehensive (Loss) Income for the periods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422"/>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302"/>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58"/>
        </w:trPr>
        <w:tc>
          <w:tcPr>
            <w:tcW w:w="5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JUNE 25, 2017</w:t>
            </w:r>
          </w:p>
        </w:tc>
        <w:tc>
          <w:tcPr>
            <w:tcW w:w="18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180" w:type="dxa"/>
            <w:vAlign w:val="bottom"/>
          </w:tcPr>
          <w:p>
            <w:pPr>
              <w:jc w:val="right"/>
              <w:ind w:right="142"/>
              <w:spacing w:after="0"/>
              <w:rPr>
                <w:sz w:val="20"/>
                <w:szCs w:val="20"/>
                <w:color w:val="auto"/>
              </w:rPr>
            </w:pPr>
            <w:r>
              <w:rPr>
                <w:rFonts w:ascii="Arial" w:cs="Arial" w:eastAsia="Arial" w:hAnsi="Arial"/>
                <w:sz w:val="14"/>
                <w:szCs w:val="14"/>
                <w:b w:val="1"/>
                <w:bCs w:val="1"/>
                <w:color w:val="auto"/>
                <w:w w:val="98"/>
              </w:rPr>
              <w:t>JUNE 25, 2017</w:t>
            </w:r>
          </w:p>
        </w:tc>
        <w:tc>
          <w:tcPr>
            <w:tcW w:w="0" w:type="dxa"/>
            <w:vAlign w:val="bottom"/>
          </w:tcPr>
          <w:p>
            <w:pPr>
              <w:spacing w:after="0"/>
              <w:rPr>
                <w:sz w:val="1"/>
                <w:szCs w:val="1"/>
                <w:color w:val="auto"/>
              </w:rPr>
            </w:pPr>
          </w:p>
        </w:tc>
      </w:tr>
      <w:tr>
        <w:trPr>
          <w:trHeight w:val="289"/>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(Restated) (1)</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82"/>
              <w:spacing w:after="0"/>
              <w:rPr>
                <w:sz w:val="20"/>
                <w:szCs w:val="20"/>
                <w:color w:val="auto"/>
              </w:rPr>
            </w:pPr>
            <w:r>
              <w:rPr>
                <w:rFonts w:ascii="Arial" w:cs="Arial" w:eastAsia="Arial" w:hAnsi="Arial"/>
                <w:sz w:val="14"/>
                <w:szCs w:val="14"/>
                <w:b w:val="1"/>
                <w:bCs w:val="1"/>
                <w:color w:val="auto"/>
              </w:rPr>
              <w:t>(Restated) (1)</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1,015,484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1,021,184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2,114,487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2,165,015</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Franchise revenue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13,134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11,565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27,349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20,662</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revenue</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3,196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3,709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6,443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5,492</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Franchise and other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16,330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15,274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33,792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26,154</w:t>
            </w: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1,031,814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1,036,458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2,148,279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2,191,169</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6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See Note 1 - </w:t>
      </w:r>
      <w:r>
        <w:rPr>
          <w:rFonts w:ascii="Arial" w:cs="Arial" w:eastAsia="Arial" w:hAnsi="Arial"/>
          <w:sz w:val="16"/>
          <w:szCs w:val="16"/>
          <w:i w:val="1"/>
          <w:iCs w:val="1"/>
          <w:color w:val="auto"/>
        </w:rPr>
        <w:t>Description of the Business and Basis of Presentation</w:t>
      </w:r>
      <w:r>
        <w:rPr>
          <w:rFonts w:ascii="Arial" w:cs="Arial" w:eastAsia="Arial" w:hAnsi="Arial"/>
          <w:sz w:val="16"/>
          <w:szCs w:val="16"/>
          <w:color w:val="auto"/>
        </w:rPr>
        <w:t xml:space="preserve"> for details of the impact of implementing ASU No. 2014-09.</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includes the disaggregation of Restaurant sales and Franchise revenue, by restaurant concept and major international market, for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Pr>
          <w:p>
            <w:pPr>
              <w:spacing w:after="0"/>
              <w:rPr>
                <w:sz w:val="16"/>
                <w:szCs w:val="16"/>
                <w:color w:val="auto"/>
              </w:rPr>
            </w:pPr>
          </w:p>
        </w:tc>
        <w:tc>
          <w:tcPr>
            <w:tcW w:w="25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TWENTY-SIX WEEKS ENDED</w:t>
            </w:r>
          </w:p>
        </w:tc>
      </w:tr>
      <w:tr>
        <w:trPr>
          <w:trHeight w:val="276"/>
        </w:trPr>
        <w:tc>
          <w:tcPr>
            <w:tcW w:w="58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64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rPr>
              <w:t>JULY 1, 2018</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4"/>
                <w:szCs w:val="14"/>
                <w:b w:val="1"/>
                <w:bCs w:val="1"/>
                <w:color w:val="auto"/>
              </w:rPr>
              <w:t>JULY 1, 2018</w:t>
            </w:r>
          </w:p>
        </w:tc>
      </w:tr>
      <w:tr>
        <w:trPr>
          <w:trHeight w:val="153"/>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RESTAURANT</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FRANCHISE</w:t>
            </w: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RESTAURANT</w:t>
            </w:r>
          </w:p>
        </w:tc>
        <w:tc>
          <w:tcPr>
            <w:tcW w:w="160" w:type="dxa"/>
            <w:vAlign w:val="bottom"/>
          </w:tcPr>
          <w:p>
            <w:pPr>
              <w:spacing w:after="0"/>
              <w:rPr>
                <w:sz w:val="13"/>
                <w:szCs w:val="13"/>
                <w:color w:val="auto"/>
              </w:rPr>
            </w:pPr>
          </w:p>
        </w:tc>
        <w:tc>
          <w:tcPr>
            <w:tcW w:w="1080" w:type="dxa"/>
            <w:vAlign w:val="bottom"/>
          </w:tcPr>
          <w:p>
            <w:pPr>
              <w:jc w:val="right"/>
              <w:ind w:right="120"/>
              <w:spacing w:after="0" w:line="153" w:lineRule="exact"/>
              <w:rPr>
                <w:sz w:val="20"/>
                <w:szCs w:val="20"/>
                <w:color w:val="auto"/>
              </w:rPr>
            </w:pPr>
            <w:r>
              <w:rPr>
                <w:rFonts w:ascii="Arial" w:cs="Arial" w:eastAsia="Arial" w:hAnsi="Arial"/>
                <w:sz w:val="14"/>
                <w:szCs w:val="14"/>
                <w:b w:val="1"/>
                <w:bCs w:val="1"/>
                <w:color w:val="auto"/>
              </w:rPr>
              <w:t>FRANCHISE</w:t>
            </w:r>
          </w:p>
        </w:tc>
      </w:tr>
      <w:tr>
        <w:trPr>
          <w:trHeight w:val="205"/>
        </w:trPr>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7"/>
                <w:szCs w:val="17"/>
                <w:color w:val="auto"/>
              </w:rPr>
            </w:pPr>
          </w:p>
        </w:tc>
        <w:tc>
          <w:tcPr>
            <w:tcW w:w="1360" w:type="dxa"/>
            <w:vAlign w:val="bottom"/>
            <w:gridSpan w:val="2"/>
          </w:tcPr>
          <w:p>
            <w:pPr>
              <w:ind w:left="320"/>
              <w:spacing w:after="0"/>
              <w:rPr>
                <w:sz w:val="20"/>
                <w:szCs w:val="20"/>
                <w:color w:val="auto"/>
              </w:rPr>
            </w:pPr>
            <w:r>
              <w:rPr>
                <w:rFonts w:ascii="Arial" w:cs="Arial" w:eastAsia="Arial" w:hAnsi="Arial"/>
                <w:sz w:val="14"/>
                <w:szCs w:val="14"/>
                <w:b w:val="1"/>
                <w:bCs w:val="1"/>
                <w:color w:val="auto"/>
              </w:rPr>
              <w:t>SALES</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SALES</w:t>
            </w:r>
          </w:p>
        </w:tc>
        <w:tc>
          <w:tcPr>
            <w:tcW w:w="160" w:type="dxa"/>
            <w:vAlign w:val="bottom"/>
          </w:tcPr>
          <w:p>
            <w:pPr>
              <w:spacing w:after="0"/>
              <w:rPr>
                <w:sz w:val="17"/>
                <w:szCs w:val="17"/>
                <w:color w:val="auto"/>
              </w:rPr>
            </w:pPr>
          </w:p>
        </w:tc>
        <w:tc>
          <w:tcPr>
            <w:tcW w:w="1080" w:type="dxa"/>
            <w:vAlign w:val="bottom"/>
          </w:tcPr>
          <w:p>
            <w:pPr>
              <w:jc w:val="right"/>
              <w:ind w:right="180"/>
              <w:spacing w:after="0"/>
              <w:rPr>
                <w:sz w:val="20"/>
                <w:szCs w:val="20"/>
                <w:color w:val="auto"/>
              </w:rPr>
            </w:pPr>
            <w:r>
              <w:rPr>
                <w:rFonts w:ascii="Arial" w:cs="Arial" w:eastAsia="Arial" w:hAnsi="Arial"/>
                <w:sz w:val="14"/>
                <w:szCs w:val="14"/>
                <w:b w:val="1"/>
                <w:bCs w:val="1"/>
                <w:color w:val="auto"/>
              </w:rPr>
              <w:t>REVENUE</w:t>
            </w:r>
          </w:p>
        </w:tc>
      </w:tr>
      <w:tr>
        <w:trPr>
          <w:trHeight w:val="250"/>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Outback Steakhouse (1)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521,719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10,157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1,093,198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21,231</w:t>
            </w: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Carrabba’s Italian Grill (1)</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163,454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337,381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304</w:t>
            </w: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Bonefish Grill</w:t>
            </w:r>
          </w:p>
        </w:tc>
        <w:tc>
          <w:tcPr>
            <w:tcW w:w="16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149,054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305,903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473</w:t>
            </w: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Fleming’s Prime Steakhouse &amp; Wine Bar</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73,312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154,302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5820" w:type="dxa"/>
            <w:vAlign w:val="bottom"/>
          </w:tcPr>
          <w:p>
            <w:pPr>
              <w:ind w:left="18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3"/>
                <w:szCs w:val="23"/>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1,398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2,497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30"/>
        </w:trPr>
        <w:tc>
          <w:tcPr>
            <w:tcW w:w="58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Total</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908,937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1,893,281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22,008</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Outback Steakhouse-Brazil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87,809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182,932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58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18,738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2,587</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38,274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5,341</w:t>
            </w:r>
          </w:p>
        </w:tc>
      </w:tr>
      <w:tr>
        <w:trPr>
          <w:trHeight w:val="257"/>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 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106,547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2,587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221,206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5,341</w:t>
            </w:r>
          </w:p>
        </w:tc>
      </w:tr>
      <w:tr>
        <w:trPr>
          <w:trHeight w:val="250"/>
        </w:trPr>
        <w:tc>
          <w:tcPr>
            <w:tcW w:w="5820" w:type="dxa"/>
            <w:vAlign w:val="bottom"/>
          </w:tcPr>
          <w:p>
            <w:pPr>
              <w:ind w:left="5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1,015,484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13,134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2,114,487</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27,349</w:t>
            </w: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Pr>
          <w:p>
            <w:pPr>
              <w:spacing w:after="0"/>
              <w:rPr>
                <w:sz w:val="16"/>
                <w:szCs w:val="16"/>
                <w:color w:val="auto"/>
              </w:rPr>
            </w:pPr>
          </w:p>
        </w:tc>
        <w:tc>
          <w:tcPr>
            <w:tcW w:w="2560" w:type="dxa"/>
            <w:vAlign w:val="bottom"/>
            <w:gridSpan w:val="4"/>
          </w:tcPr>
          <w:p>
            <w:pPr>
              <w:jc w:val="right"/>
              <w:ind w:right="241"/>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76"/>
        </w:trPr>
        <w:tc>
          <w:tcPr>
            <w:tcW w:w="58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640" w:type="dxa"/>
            <w:vAlign w:val="bottom"/>
            <w:tcBorders>
              <w:bottom w:val="single" w:sz="8" w:color="auto"/>
            </w:tcBorders>
            <w:gridSpan w:val="4"/>
          </w:tcPr>
          <w:p>
            <w:pPr>
              <w:jc w:val="right"/>
              <w:ind w:right="841"/>
              <w:spacing w:after="0"/>
              <w:rPr>
                <w:sz w:val="20"/>
                <w:szCs w:val="20"/>
                <w:color w:val="auto"/>
              </w:rPr>
            </w:pPr>
            <w:r>
              <w:rPr>
                <w:rFonts w:ascii="Arial" w:cs="Arial" w:eastAsia="Arial" w:hAnsi="Arial"/>
                <w:sz w:val="14"/>
                <w:szCs w:val="14"/>
                <w:b w:val="1"/>
                <w:bCs w:val="1"/>
                <w:color w:val="auto"/>
              </w:rPr>
              <w:t>JUNE 25, 2017</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gridSpan w:val="4"/>
          </w:tcPr>
          <w:p>
            <w:pPr>
              <w:jc w:val="right"/>
              <w:ind w:right="801"/>
              <w:spacing w:after="0"/>
              <w:rPr>
                <w:sz w:val="20"/>
                <w:szCs w:val="20"/>
                <w:color w:val="auto"/>
              </w:rPr>
            </w:pPr>
            <w:r>
              <w:rPr>
                <w:rFonts w:ascii="Arial" w:cs="Arial" w:eastAsia="Arial" w:hAnsi="Arial"/>
                <w:sz w:val="14"/>
                <w:szCs w:val="14"/>
                <w:b w:val="1"/>
                <w:bCs w:val="1"/>
                <w:color w:val="auto"/>
              </w:rPr>
              <w:t>JUNE 25, 2017</w:t>
            </w:r>
          </w:p>
        </w:tc>
        <w:tc>
          <w:tcPr>
            <w:tcW w:w="0" w:type="dxa"/>
            <w:vAlign w:val="bottom"/>
          </w:tcPr>
          <w:p>
            <w:pPr>
              <w:spacing w:after="0"/>
              <w:rPr>
                <w:sz w:val="1"/>
                <w:szCs w:val="1"/>
                <w:color w:val="auto"/>
              </w:rPr>
            </w:pPr>
          </w:p>
        </w:tc>
      </w:tr>
      <w:tr>
        <w:trPr>
          <w:trHeight w:val="153"/>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RESTAURANT</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FRANCHISE</w:t>
            </w: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RESTAURANT</w:t>
            </w:r>
          </w:p>
        </w:tc>
        <w:tc>
          <w:tcPr>
            <w:tcW w:w="160" w:type="dxa"/>
            <w:vAlign w:val="bottom"/>
          </w:tcPr>
          <w:p>
            <w:pPr>
              <w:spacing w:after="0"/>
              <w:rPr>
                <w:sz w:val="13"/>
                <w:szCs w:val="13"/>
                <w:color w:val="auto"/>
              </w:rPr>
            </w:pPr>
          </w:p>
        </w:tc>
        <w:tc>
          <w:tcPr>
            <w:tcW w:w="1080" w:type="dxa"/>
            <w:vAlign w:val="bottom"/>
          </w:tcPr>
          <w:p>
            <w:pPr>
              <w:jc w:val="center"/>
              <w:ind w:right="81"/>
              <w:spacing w:after="0" w:line="153" w:lineRule="exact"/>
              <w:rPr>
                <w:sz w:val="20"/>
                <w:szCs w:val="20"/>
                <w:color w:val="auto"/>
              </w:rPr>
            </w:pPr>
            <w:r>
              <w:rPr>
                <w:rFonts w:ascii="Arial" w:cs="Arial" w:eastAsia="Arial" w:hAnsi="Arial"/>
                <w:sz w:val="14"/>
                <w:szCs w:val="14"/>
                <w:b w:val="1"/>
                <w:bCs w:val="1"/>
                <w:color w:val="auto"/>
              </w:rPr>
              <w:t>FRANCHISE</w:t>
            </w:r>
          </w:p>
        </w:tc>
        <w:tc>
          <w:tcPr>
            <w:tcW w:w="0" w:type="dxa"/>
            <w:vAlign w:val="bottom"/>
          </w:tcPr>
          <w:p>
            <w:pPr>
              <w:spacing w:after="0"/>
              <w:rPr>
                <w:sz w:val="1"/>
                <w:szCs w:val="1"/>
                <w:color w:val="auto"/>
              </w:rPr>
            </w:pPr>
          </w:p>
        </w:tc>
      </w:tr>
      <w:tr>
        <w:trPr>
          <w:trHeight w:val="205"/>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8"/>
              </w:rPr>
              <w:t>SALES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8"/>
              </w:rPr>
              <w:t>SALES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57"/>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3"/>
              </w:rPr>
              <w:t>(Restated) (2)</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3"/>
              </w:rPr>
              <w:t>(Restated) (2)</w:t>
            </w: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3"/>
              </w:rPr>
              <w:t>(Restated) (2)</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center"/>
              <w:ind w:right="81"/>
              <w:spacing w:after="0"/>
              <w:rPr>
                <w:sz w:val="20"/>
                <w:szCs w:val="20"/>
                <w:color w:val="auto"/>
              </w:rPr>
            </w:pPr>
            <w:r>
              <w:rPr>
                <w:rFonts w:ascii="Arial" w:cs="Arial" w:eastAsia="Arial" w:hAnsi="Arial"/>
                <w:sz w:val="14"/>
                <w:szCs w:val="14"/>
                <w:b w:val="1"/>
                <w:bCs w:val="1"/>
                <w:color w:val="auto"/>
                <w:w w:val="93"/>
              </w:rPr>
              <w:t>(Restated) (2)</w:t>
            </w:r>
          </w:p>
        </w:tc>
        <w:tc>
          <w:tcPr>
            <w:tcW w:w="0" w:type="dxa"/>
            <w:vAlign w:val="bottom"/>
          </w:tcPr>
          <w:p>
            <w:pPr>
              <w:spacing w:after="0"/>
              <w:rPr>
                <w:sz w:val="1"/>
                <w:szCs w:val="1"/>
                <w:color w:val="auto"/>
              </w:rPr>
            </w:pP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Outback Steakhouse (1)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519,060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8,731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1,130,535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14,965</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Carrabba’s Italian Grill (1)</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168,372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351,022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Bonefish Grill</w:t>
            </w:r>
          </w:p>
        </w:tc>
        <w:tc>
          <w:tcPr>
            <w:tcW w:w="16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150,743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314,387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Fleming’s Prime Steakhouse &amp; Wine Bar</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70,089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147,875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820" w:type="dxa"/>
            <w:vAlign w:val="bottom"/>
            <w:tcBorders>
              <w:top w:val="single" w:sz="8" w:color="CCEEFF"/>
            </w:tcBorders>
          </w:tcPr>
          <w:p>
            <w:pPr>
              <w:ind w:left="280"/>
              <w:spacing w:after="0"/>
              <w:rPr>
                <w:sz w:val="20"/>
                <w:szCs w:val="20"/>
                <w:color w:val="auto"/>
              </w:rPr>
            </w:pPr>
            <w:r>
              <w:rPr>
                <w:rFonts w:ascii="Arial" w:cs="Arial" w:eastAsia="Arial" w:hAnsi="Arial"/>
                <w:sz w:val="16"/>
                <w:szCs w:val="16"/>
                <w:color w:val="auto"/>
              </w:rPr>
              <w:t>U.S. 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908,264</w:t>
            </w: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9,145</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1,943,819</w:t>
            </w: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15,727</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International</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Outback Steakhouse-Brazil</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95,801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186,691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17,119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2,420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34,505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4,935</w:t>
            </w:r>
          </w:p>
        </w:tc>
        <w:tc>
          <w:tcPr>
            <w:tcW w:w="0" w:type="dxa"/>
            <w:vAlign w:val="bottom"/>
          </w:tcPr>
          <w:p>
            <w:pPr>
              <w:spacing w:after="0"/>
              <w:rPr>
                <w:sz w:val="1"/>
                <w:szCs w:val="1"/>
                <w:color w:val="auto"/>
              </w:rPr>
            </w:pPr>
          </w:p>
        </w:tc>
      </w:tr>
      <w:tr>
        <w:trPr>
          <w:trHeight w:val="270"/>
        </w:trPr>
        <w:tc>
          <w:tcPr>
            <w:tcW w:w="58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International 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112,920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2,420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221,196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4,935</w:t>
            </w: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1,021,184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11,565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2,165,015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20,662</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2017, the Company sold 53 Outback Steakhouse restaurants and one Carrabba’s Italian Grill restaurant, which are now operated as franchises.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See Note 1 - </w:t>
      </w:r>
      <w:r>
        <w:rPr>
          <w:rFonts w:ascii="Arial" w:cs="Arial" w:eastAsia="Arial" w:hAnsi="Arial"/>
          <w:sz w:val="16"/>
          <w:szCs w:val="16"/>
          <w:i w:val="1"/>
          <w:iCs w:val="1"/>
          <w:color w:val="auto"/>
        </w:rPr>
        <w:t>Description of the Business and Basis of Presentation</w:t>
      </w:r>
      <w:r>
        <w:rPr>
          <w:rFonts w:ascii="Arial" w:cs="Arial" w:eastAsia="Arial" w:hAnsi="Arial"/>
          <w:sz w:val="16"/>
          <w:szCs w:val="16"/>
          <w:color w:val="auto"/>
        </w:rPr>
        <w:t xml:space="preserve"> for details of the impact of implementing ASU No. 2014-09.</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i w:val="1"/>
          <w:iCs w:val="1"/>
          <w:color w:val="auto"/>
        </w:rPr>
        <w:t xml:space="preserve">Gift Card Revenue - </w:t>
      </w:r>
      <w:r>
        <w:rPr>
          <w:rFonts w:ascii="Arial" w:cs="Arial" w:eastAsia="Arial" w:hAnsi="Arial"/>
          <w:sz w:val="19"/>
          <w:szCs w:val="19"/>
          <w:color w:val="auto"/>
        </w:rPr>
        <w:t>Proceeds from the sale of gift cards, which do not have expiration dates, are recorded as deferred revenue and recognized</w:t>
      </w:r>
      <w:r>
        <w:rPr>
          <w:rFonts w:ascii="Arial" w:cs="Arial" w:eastAsia="Arial" w:hAnsi="Arial"/>
          <w:sz w:val="19"/>
          <w:szCs w:val="19"/>
          <w:i w:val="1"/>
          <w:iCs w:val="1"/>
          <w:color w:val="auto"/>
        </w:rPr>
        <w:t xml:space="preserve"> </w:t>
      </w:r>
      <w:r>
        <w:rPr>
          <w:rFonts w:ascii="Arial" w:cs="Arial" w:eastAsia="Arial" w:hAnsi="Arial"/>
          <w:sz w:val="19"/>
          <w:szCs w:val="19"/>
          <w:color w:val="auto"/>
        </w:rPr>
        <w:t>as revenue upon redemption by the customer. Gift cards sold at a discount are recorded as revenue upon redemption of the associated gift cards at an amount net of the related discount. Gift card breakage, the amount of gift cards which will not be redeemed, is recognized using estimates based on historical redemption patterns. If actual redemptions vary from the estimated breakage, gift card breakage income may differ from the amount recorded. The Company periodically updates its estimates used for breakage. Gift card sales that are accompanied by a bonus card to be used by the customer at a future visit result in a separate deferral of a portion of the original gift card sale. Revenue is recorded when the bonus card is redeemed at the estimated fair market value of the bonus card. Approximately 87% of the current deferred gift card revenue is expected to be recognized over the next 12 months.</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Gift card sales commissions paid to third-party providers are initially capitalized and subsequently amortized to Other restaurant operating expenses based on historical gift card redemption patterns.</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Advertising Fees - </w:t>
      </w:r>
      <w:r>
        <w:rPr>
          <w:rFonts w:ascii="Arial" w:cs="Arial" w:eastAsia="Arial" w:hAnsi="Arial"/>
          <w:sz w:val="20"/>
          <w:szCs w:val="20"/>
          <w:color w:val="auto"/>
        </w:rPr>
        <w:t>Advertising fees charged to franchisees are recognized as Franchise revenue in the Company’s Consolidated Statements of</w:t>
      </w:r>
      <w:r>
        <w:rPr>
          <w:rFonts w:ascii="Arial" w:cs="Arial" w:eastAsia="Arial" w:hAnsi="Arial"/>
          <w:sz w:val="20"/>
          <w:szCs w:val="20"/>
          <w:i w:val="1"/>
          <w:iCs w:val="1"/>
          <w:color w:val="auto"/>
        </w:rPr>
        <w:t xml:space="preserve"> </w:t>
      </w:r>
      <w:r>
        <w:rPr>
          <w:rFonts w:ascii="Arial" w:cs="Arial" w:eastAsia="Arial" w:hAnsi="Arial"/>
          <w:sz w:val="20"/>
          <w:szCs w:val="20"/>
          <w:color w:val="auto"/>
        </w:rPr>
        <w:t>Operations and Comprehensive (Loss) Income.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Franchise Fees - </w:t>
      </w:r>
      <w:r>
        <w:rPr>
          <w:rFonts w:ascii="Arial" w:cs="Arial" w:eastAsia="Arial" w:hAnsi="Arial"/>
          <w:sz w:val="18"/>
          <w:szCs w:val="18"/>
          <w:color w:val="auto"/>
        </w:rPr>
        <w:t>Initial franchise and renewal fees are recognized over the term of the franchise agreement and renewal period,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The weighted average remaining term of franchise agreements and renewal periods was approximately 15 years as of July 1, 2018.</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i w:val="1"/>
          <w:iCs w:val="1"/>
          <w:color w:val="auto"/>
        </w:rPr>
        <w:t xml:space="preserve">Loyalty Program - </w:t>
      </w:r>
      <w:r>
        <w:rPr>
          <w:rFonts w:ascii="Arial" w:cs="Arial" w:eastAsia="Arial" w:hAnsi="Arial"/>
          <w:sz w:val="19"/>
          <w:szCs w:val="19"/>
          <w:color w:val="auto"/>
        </w:rPr>
        <w:t>The Company maintains a customer loyalty program, Dine Rewards, in the U.S., where customers have the ability to earn a</w:t>
      </w:r>
      <w:r>
        <w:rPr>
          <w:rFonts w:ascii="Arial" w:cs="Arial" w:eastAsia="Arial" w:hAnsi="Arial"/>
          <w:sz w:val="19"/>
          <w:szCs w:val="19"/>
          <w:i w:val="1"/>
          <w:iCs w:val="1"/>
          <w:color w:val="auto"/>
        </w:rPr>
        <w:t xml:space="preserve"> </w:t>
      </w:r>
      <w:r>
        <w:rPr>
          <w:rFonts w:ascii="Arial" w:cs="Arial" w:eastAsia="Arial" w:hAnsi="Arial"/>
          <w:sz w:val="19"/>
          <w:szCs w:val="19"/>
          <w:color w:val="auto"/>
        </w:rPr>
        <w:t>reward after a number of qualified visits. The Company has developed an estimated value of the partial reward earned from each qualified visit, which is recorded as deferred revenue. Each reward has a maximum value and must be redeemed within three months of earning such reward. The revenue associated with the fair value of the qualified visit is recognized upon the earlier of redemption or expiration of the reward. The Company applies the practical expedient to exclude disclosures regarding loyalty program remaining performance obligations which have original expected durations of one year or less.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following table includes a detail of assets and liabilities from contracts with customers included on the Company’s Consolidated Balance Sheets as of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220" w:type="dxa"/>
            <w:vAlign w:val="bottom"/>
          </w:tcPr>
          <w:p>
            <w:pPr>
              <w:spacing w:after="0"/>
              <w:rPr>
                <w:sz w:val="17"/>
                <w:szCs w:val="17"/>
                <w:color w:val="auto"/>
              </w:rPr>
            </w:pPr>
          </w:p>
        </w:tc>
        <w:tc>
          <w:tcPr>
            <w:tcW w:w="1820" w:type="dxa"/>
            <w:vAlign w:val="bottom"/>
          </w:tcPr>
          <w:p>
            <w:pPr>
              <w:jc w:val="right"/>
              <w:ind w:right="260"/>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20" w:type="dxa"/>
            <w:vAlign w:val="bottom"/>
          </w:tcPr>
          <w:p>
            <w:pPr>
              <w:spacing w:after="0"/>
              <w:rPr>
                <w:sz w:val="21"/>
                <w:szCs w:val="21"/>
                <w:color w:val="auto"/>
              </w:rPr>
            </w:pPr>
          </w:p>
        </w:tc>
        <w:tc>
          <w:tcPr>
            <w:tcW w:w="7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assets, net</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880" w:type="dxa"/>
            <w:vAlign w:val="bottom"/>
          </w:tcPr>
          <w:p>
            <w:pPr>
              <w:ind w:left="160"/>
              <w:spacing w:after="0"/>
              <w:rPr>
                <w:sz w:val="20"/>
                <w:szCs w:val="20"/>
                <w:color w:val="auto"/>
              </w:rPr>
            </w:pPr>
            <w:r>
              <w:rPr>
                <w:rFonts w:ascii="Arial" w:cs="Arial" w:eastAsia="Arial" w:hAnsi="Arial"/>
                <w:sz w:val="16"/>
                <w:szCs w:val="16"/>
                <w:color w:val="auto"/>
              </w:rPr>
              <w:t>Deferred gift card sales commissions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9,175</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16,231</w:t>
            </w:r>
          </w:p>
        </w:tc>
      </w:tr>
      <w:tr>
        <w:trPr>
          <w:trHeight w:val="33"/>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97"/>
        </w:trPr>
        <w:tc>
          <w:tcPr>
            <w:tcW w:w="20" w:type="dxa"/>
            <w:vAlign w:val="bottom"/>
          </w:tcPr>
          <w:p>
            <w:pPr>
              <w:spacing w:after="0"/>
              <w:rPr>
                <w:sz w:val="24"/>
                <w:szCs w:val="24"/>
                <w:color w:val="auto"/>
              </w:rPr>
            </w:pPr>
          </w:p>
        </w:tc>
        <w:tc>
          <w:tcPr>
            <w:tcW w:w="78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7880" w:type="dxa"/>
            <w:vAlign w:val="bottom"/>
          </w:tcPr>
          <w:p>
            <w:pPr>
              <w:ind w:left="20"/>
              <w:spacing w:after="0"/>
              <w:rPr>
                <w:sz w:val="20"/>
                <w:szCs w:val="20"/>
                <w:color w:val="auto"/>
              </w:rPr>
            </w:pPr>
            <w:r>
              <w:rPr>
                <w:rFonts w:ascii="Arial" w:cs="Arial" w:eastAsia="Arial" w:hAnsi="Arial"/>
                <w:sz w:val="16"/>
                <w:szCs w:val="16"/>
                <w:color w:val="auto"/>
              </w:rPr>
              <w:t>Unearned revenue</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gift card revenue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213,286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323,628</w:t>
            </w:r>
          </w:p>
        </w:tc>
      </w:tr>
      <w:tr>
        <w:trPr>
          <w:trHeight w:val="237"/>
        </w:trPr>
        <w:tc>
          <w:tcPr>
            <w:tcW w:w="20" w:type="dxa"/>
            <w:vAlign w:val="bottom"/>
          </w:tcPr>
          <w:p>
            <w:pPr>
              <w:spacing w:after="0"/>
              <w:rPr>
                <w:sz w:val="20"/>
                <w:szCs w:val="20"/>
                <w:color w:val="auto"/>
              </w:rPr>
            </w:pPr>
          </w:p>
        </w:tc>
        <w:tc>
          <w:tcPr>
            <w:tcW w:w="7880" w:type="dxa"/>
            <w:vAlign w:val="bottom"/>
          </w:tcPr>
          <w:p>
            <w:pPr>
              <w:ind w:left="160"/>
              <w:spacing w:after="0"/>
              <w:rPr>
                <w:sz w:val="20"/>
                <w:szCs w:val="20"/>
                <w:color w:val="auto"/>
              </w:rPr>
            </w:pPr>
            <w:r>
              <w:rPr>
                <w:rFonts w:ascii="Arial" w:cs="Arial" w:eastAsia="Arial" w:hAnsi="Arial"/>
                <w:sz w:val="16"/>
                <w:szCs w:val="16"/>
                <w:color w:val="auto"/>
              </w:rPr>
              <w:t>Deferred loyalty revenue</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8,145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6,667</w:t>
            </w:r>
          </w:p>
        </w:tc>
      </w:tr>
      <w:tr>
        <w:trPr>
          <w:trHeight w:val="33"/>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7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franchise fees - current (1)</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461</w:t>
            </w:r>
          </w:p>
        </w:tc>
      </w:tr>
      <w:tr>
        <w:trPr>
          <w:trHeight w:val="290"/>
        </w:trPr>
        <w:tc>
          <w:tcPr>
            <w:tcW w:w="20" w:type="dxa"/>
            <w:vAlign w:val="bottom"/>
          </w:tcPr>
          <w:p>
            <w:pPr>
              <w:spacing w:after="0"/>
              <w:rPr>
                <w:sz w:val="24"/>
                <w:szCs w:val="24"/>
                <w:color w:val="auto"/>
              </w:rPr>
            </w:pPr>
          </w:p>
        </w:tc>
        <w:tc>
          <w:tcPr>
            <w:tcW w:w="78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Unearned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221,926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330,756</w:t>
            </w:r>
          </w:p>
        </w:tc>
      </w:tr>
      <w:tr>
        <w:trPr>
          <w:trHeight w:val="284"/>
        </w:trPr>
        <w:tc>
          <w:tcPr>
            <w:tcW w:w="20" w:type="dxa"/>
            <w:vAlign w:val="bottom"/>
          </w:tcPr>
          <w:p>
            <w:pPr>
              <w:spacing w:after="0"/>
              <w:rPr>
                <w:sz w:val="24"/>
                <w:szCs w:val="24"/>
                <w:color w:val="auto"/>
              </w:rPr>
            </w:pPr>
          </w:p>
        </w:tc>
        <w:tc>
          <w:tcPr>
            <w:tcW w:w="78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7880" w:type="dxa"/>
            <w:vAlign w:val="bottom"/>
          </w:tcPr>
          <w:p>
            <w:pPr>
              <w:ind w:left="20"/>
              <w:spacing w:after="0"/>
              <w:rPr>
                <w:sz w:val="20"/>
                <w:szCs w:val="20"/>
                <w:color w:val="auto"/>
              </w:rPr>
            </w:pPr>
            <w:r>
              <w:rPr>
                <w:rFonts w:ascii="Arial" w:cs="Arial" w:eastAsia="Arial" w:hAnsi="Arial"/>
                <w:sz w:val="16"/>
                <w:szCs w:val="16"/>
                <w:color w:val="auto"/>
              </w:rPr>
              <w:t>Other long-term liabilities, net</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franchise fees - non-current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4,698</w:t>
            </w:r>
          </w:p>
        </w:tc>
      </w:tr>
      <w:tr>
        <w:trPr>
          <w:trHeight w:val="193"/>
        </w:trPr>
        <w:tc>
          <w:tcPr>
            <w:tcW w:w="20" w:type="dxa"/>
            <w:vAlign w:val="bottom"/>
          </w:tcPr>
          <w:p>
            <w:pPr>
              <w:spacing w:after="0"/>
              <w:rPr>
                <w:sz w:val="16"/>
                <w:szCs w:val="16"/>
                <w:color w:val="auto"/>
              </w:rPr>
            </w:pPr>
          </w:p>
        </w:tc>
        <w:tc>
          <w:tcPr>
            <w:tcW w:w="7880" w:type="dxa"/>
            <w:vAlign w:val="bottom"/>
          </w:tcPr>
          <w:p>
            <w:pPr>
              <w:spacing w:after="0"/>
              <w:rPr>
                <w:sz w:val="20"/>
                <w:szCs w:val="20"/>
                <w:color w:val="auto"/>
              </w:rPr>
            </w:pPr>
            <w:r>
              <w:rPr>
                <w:rFonts w:ascii="Arial" w:cs="Arial" w:eastAsia="Arial" w:hAnsi="Arial"/>
                <w:sz w:val="16"/>
                <w:szCs w:val="16"/>
                <w:color w:val="auto"/>
              </w:rPr>
              <w:t>____________________</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r>
    </w:tbl>
    <w:p>
      <w:pPr>
        <w:ind w:left="660" w:right="20" w:hanging="652"/>
        <w:spacing w:after="0" w:line="257"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See Note 1 - </w:t>
      </w:r>
      <w:r>
        <w:rPr>
          <w:rFonts w:ascii="Arial" w:cs="Arial" w:eastAsia="Arial" w:hAnsi="Arial"/>
          <w:sz w:val="16"/>
          <w:szCs w:val="16"/>
          <w:i w:val="1"/>
          <w:iCs w:val="1"/>
          <w:color w:val="auto"/>
        </w:rPr>
        <w:t>Description of the Business and Basis of Presentation</w:t>
      </w:r>
      <w:r>
        <w:rPr>
          <w:rFonts w:ascii="Arial" w:cs="Arial" w:eastAsia="Arial" w:hAnsi="Arial"/>
          <w:sz w:val="16"/>
          <w:szCs w:val="16"/>
          <w:color w:val="auto"/>
        </w:rPr>
        <w:t xml:space="preserve"> for details of the impact of implementing ASU No. 2014-09 on the Company’s Consolidated Balance Sheet as of December 31, 2017.</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rollforward of deferred gift card sales commissions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TWENTY-SIX WEEKS ENDED</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22"/>
                <w:szCs w:val="22"/>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25, 2017</w:t>
            </w:r>
          </w:p>
        </w:tc>
        <w:tc>
          <w:tcPr>
            <w:tcW w:w="18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180" w:type="dxa"/>
            <w:vAlign w:val="bottom"/>
          </w:tcPr>
          <w:p>
            <w:pPr>
              <w:jc w:val="right"/>
              <w:ind w:right="140"/>
              <w:spacing w:after="0"/>
              <w:rPr>
                <w:sz w:val="20"/>
                <w:szCs w:val="20"/>
                <w:color w:val="auto"/>
              </w:rPr>
            </w:pPr>
            <w:r>
              <w:rPr>
                <w:rFonts w:ascii="Arial" w:cs="Arial" w:eastAsia="Arial" w:hAnsi="Arial"/>
                <w:sz w:val="14"/>
                <w:szCs w:val="14"/>
                <w:b w:val="1"/>
                <w:bCs w:val="1"/>
                <w:color w:val="auto"/>
                <w:w w:val="98"/>
              </w:rPr>
              <w:t>JUNE 25, 2017</w:t>
            </w:r>
          </w:p>
        </w:tc>
      </w:tr>
      <w:tr>
        <w:trPr>
          <w:trHeight w:val="237"/>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beginning of period</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10,039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10,226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16,231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15,584</w:t>
            </w: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Deferred gift card sales commissions amortization</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(15,219)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(13,756)</w:t>
            </w: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gift card sales commissions capitalization</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9,258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8,790</w:t>
            </w:r>
          </w:p>
        </w:tc>
      </w:tr>
      <w:tr>
        <w:trPr>
          <w:trHeight w:val="27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w:t>
            </w: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9,175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9,418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9,418</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applies the portfolio approach practical expedient to account for gift card contracts and performance obligations. The following table is a rollforward of unearned gift card revenue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22"/>
                <w:szCs w:val="22"/>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25, 2017</w:t>
            </w:r>
          </w:p>
        </w:tc>
        <w:tc>
          <w:tcPr>
            <w:tcW w:w="18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180" w:type="dxa"/>
            <w:vAlign w:val="bottom"/>
          </w:tcPr>
          <w:p>
            <w:pPr>
              <w:jc w:val="right"/>
              <w:ind w:right="140"/>
              <w:spacing w:after="0"/>
              <w:rPr>
                <w:sz w:val="20"/>
                <w:szCs w:val="20"/>
                <w:color w:val="auto"/>
              </w:rPr>
            </w:pPr>
            <w:r>
              <w:rPr>
                <w:rFonts w:ascii="Arial" w:cs="Arial" w:eastAsia="Arial" w:hAnsi="Arial"/>
                <w:sz w:val="14"/>
                <w:szCs w:val="14"/>
                <w:b w:val="1"/>
                <w:bCs w:val="1"/>
                <w:color w:val="auto"/>
                <w:w w:val="98"/>
              </w:rPr>
              <w:t>JUNE 25, 2017</w:t>
            </w:r>
          </w:p>
        </w:tc>
        <w:tc>
          <w:tcPr>
            <w:tcW w:w="0" w:type="dxa"/>
            <w:vAlign w:val="bottom"/>
          </w:tcPr>
          <w:p>
            <w:pPr>
              <w:spacing w:after="0"/>
              <w:rPr>
                <w:sz w:val="1"/>
                <w:szCs w:val="1"/>
                <w:color w:val="auto"/>
              </w:rPr>
            </w:pPr>
          </w:p>
        </w:tc>
      </w:tr>
      <w:tr>
        <w:trPr>
          <w:trHeight w:val="237"/>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beginning of period</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227,783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217,872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323,628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331,803</w:t>
            </w: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Gift card sales</w:t>
            </w:r>
          </w:p>
        </w:tc>
        <w:tc>
          <w:tcPr>
            <w:tcW w:w="180" w:type="dxa"/>
            <w:vAlign w:val="bottom"/>
          </w:tcPr>
          <w:p>
            <w:pPr>
              <w:spacing w:after="0"/>
              <w:rPr>
                <w:sz w:val="20"/>
                <w:szCs w:val="20"/>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78,837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80,376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135,122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139,246</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Gift card redemptions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(88,496)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(91,482)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(233,052)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(255,635)</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Gift card breakage (1)</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(13,609)</w:t>
            </w: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213,286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201,805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213,286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201,805</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6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57"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See Note 1 - </w:t>
      </w:r>
      <w:r>
        <w:rPr>
          <w:rFonts w:ascii="Arial" w:cs="Arial" w:eastAsia="Arial" w:hAnsi="Arial"/>
          <w:sz w:val="16"/>
          <w:szCs w:val="16"/>
          <w:i w:val="1"/>
          <w:iCs w:val="1"/>
          <w:color w:val="auto"/>
        </w:rPr>
        <w:t>Description of the Business and Basis of Presentation</w:t>
      </w:r>
      <w:r>
        <w:rPr>
          <w:rFonts w:ascii="Arial" w:cs="Arial" w:eastAsia="Arial" w:hAnsi="Arial"/>
          <w:sz w:val="16"/>
          <w:szCs w:val="16"/>
          <w:color w:val="auto"/>
        </w:rPr>
        <w:t xml:space="preserve"> for details of the impact of implementing ASU No. 2014-09 for the thirteen and twenty-six weeks ended June 25, 2017.</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6"/>
          <w:szCs w:val="16"/>
          <w:color w:val="auto"/>
        </w:rPr>
        <w:t>Impairments and Exit Costs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Provision for impaired assets and restaurant closings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TWENTY-SIX WEEKS ENDED</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22"/>
                <w:szCs w:val="22"/>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25, 2017</w:t>
            </w:r>
          </w:p>
        </w:tc>
        <w:tc>
          <w:tcPr>
            <w:tcW w:w="18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180" w:type="dxa"/>
            <w:vAlign w:val="bottom"/>
          </w:tcPr>
          <w:p>
            <w:pPr>
              <w:jc w:val="right"/>
              <w:ind w:right="140"/>
              <w:spacing w:after="0"/>
              <w:rPr>
                <w:sz w:val="20"/>
                <w:szCs w:val="20"/>
                <w:color w:val="auto"/>
              </w:rPr>
            </w:pPr>
            <w:r>
              <w:rPr>
                <w:rFonts w:ascii="Arial" w:cs="Arial" w:eastAsia="Arial" w:hAnsi="Arial"/>
                <w:sz w:val="14"/>
                <w:szCs w:val="14"/>
                <w:b w:val="1"/>
                <w:bCs w:val="1"/>
                <w:color w:val="auto"/>
                <w:w w:val="98"/>
              </w:rPr>
              <w:t>JUNE 25, 2017</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Impairment losses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U.S.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932</w:t>
            </w: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4"/>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4,437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6,597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5620" w:type="dxa"/>
            <w:vAlign w:val="bottom"/>
            <w:tcBorders>
              <w:top w:val="single" w:sz="8" w:color="CCEEFF"/>
              <w:bottom w:val="single" w:sz="8" w:color="CCEEFF"/>
            </w:tcBorders>
          </w:tcPr>
          <w:p>
            <w:pPr>
              <w:ind w:left="500"/>
              <w:spacing w:after="0"/>
              <w:rPr>
                <w:sz w:val="20"/>
                <w:szCs w:val="20"/>
                <w:color w:val="auto"/>
              </w:rPr>
            </w:pPr>
            <w:r>
              <w:rPr>
                <w:rFonts w:ascii="Arial" w:cs="Arial" w:eastAsia="Arial" w:hAnsi="Arial"/>
                <w:sz w:val="16"/>
                <w:szCs w:val="16"/>
                <w:color w:val="auto"/>
              </w:rPr>
              <w:t>Total impairment losses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4,721</w:t>
            </w:r>
          </w:p>
        </w:tc>
        <w:tc>
          <w:tcPr>
            <w:tcW w:w="120" w:type="dxa"/>
            <w:vAlign w:val="bottom"/>
            <w:tcBorders>
              <w:top w:val="single" w:sz="8" w:color="CCEEFF"/>
              <w:bottom w:val="single" w:sz="8" w:color="CCEEFF"/>
            </w:tcBorders>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Borders>
              <w:top w:val="single" w:sz="8" w:color="CCEEFF"/>
              <w:bottom w:val="single" w:sz="8" w:color="CCEEFF"/>
            </w:tcBorders>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6,992</w:t>
            </w:r>
          </w:p>
        </w:tc>
        <w:tc>
          <w:tcPr>
            <w:tcW w:w="100" w:type="dxa"/>
            <w:vAlign w:val="bottom"/>
            <w:tcBorders>
              <w:top w:val="single" w:sz="8" w:color="CCEEFF"/>
              <w:bottom w:val="single" w:sz="8" w:color="CCEEFF"/>
            </w:tcBorders>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932</w:t>
            </w: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Restaurant closure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U.S.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674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586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1,022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18,742</w:t>
            </w: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4"/>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3,494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3,614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5620" w:type="dxa"/>
            <w:vAlign w:val="bottom"/>
            <w:tcBorders>
              <w:top w:val="single" w:sz="8" w:color="CCEEFF"/>
              <w:bottom w:val="single" w:sz="8" w:color="CCEEFF"/>
            </w:tcBorders>
          </w:tcPr>
          <w:p>
            <w:pPr>
              <w:ind w:left="500"/>
              <w:spacing w:after="0"/>
              <w:rPr>
                <w:sz w:val="20"/>
                <w:szCs w:val="20"/>
                <w:color w:val="auto"/>
              </w:rPr>
            </w:pPr>
            <w:r>
              <w:rPr>
                <w:rFonts w:ascii="Arial" w:cs="Arial" w:eastAsia="Arial" w:hAnsi="Arial"/>
                <w:sz w:val="16"/>
                <w:szCs w:val="16"/>
                <w:color w:val="auto"/>
              </w:rPr>
              <w:t>Total restaurant closure expenses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4,168</w:t>
            </w:r>
          </w:p>
        </w:tc>
        <w:tc>
          <w:tcPr>
            <w:tcW w:w="120" w:type="dxa"/>
            <w:vAlign w:val="bottom"/>
            <w:tcBorders>
              <w:top w:val="single" w:sz="8" w:color="CCEEFF"/>
              <w:bottom w:val="single" w:sz="8" w:color="CCEEFF"/>
            </w:tcBorders>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586</w:t>
            </w:r>
          </w:p>
        </w:tc>
        <w:tc>
          <w:tcPr>
            <w:tcW w:w="120" w:type="dxa"/>
            <w:vAlign w:val="bottom"/>
            <w:tcBorders>
              <w:top w:val="single" w:sz="8" w:color="CCEEFF"/>
              <w:bottom w:val="single" w:sz="8" w:color="CCEEFF"/>
            </w:tcBorders>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4,636</w:t>
            </w:r>
          </w:p>
        </w:tc>
        <w:tc>
          <w:tcPr>
            <w:tcW w:w="100" w:type="dxa"/>
            <w:vAlign w:val="bottom"/>
            <w:tcBorders>
              <w:top w:val="single" w:sz="8" w:color="CCEEFF"/>
              <w:bottom w:val="single" w:sz="8" w:color="CCEEFF"/>
            </w:tcBorders>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18,742</w:t>
            </w: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impaired assets and restaurant closings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8,889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11,628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19,674</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Closure Initiatives </w:t>
      </w:r>
      <w:r>
        <w:rPr>
          <w:rFonts w:ascii="Arial" w:cs="Arial" w:eastAsia="Arial" w:hAnsi="Arial"/>
          <w:sz w:val="18"/>
          <w:szCs w:val="18"/>
          <w:color w:val="auto"/>
        </w:rPr>
        <w:t>- Since February 2017, the Company decided to close certain underperforming restaurants in the U.S. and certain Abbraccio</w:t>
      </w:r>
      <w:r>
        <w:rPr>
          <w:rFonts w:ascii="Arial" w:cs="Arial" w:eastAsia="Arial" w:hAnsi="Arial"/>
          <w:sz w:val="18"/>
          <w:szCs w:val="18"/>
          <w:i w:val="1"/>
          <w:iCs w:val="1"/>
          <w:color w:val="auto"/>
        </w:rPr>
        <w:t xml:space="preserve"> </w:t>
      </w:r>
      <w:r>
        <w:rPr>
          <w:rFonts w:ascii="Arial" w:cs="Arial" w:eastAsia="Arial" w:hAnsi="Arial"/>
          <w:sz w:val="18"/>
          <w:szCs w:val="18"/>
          <w:color w:val="auto"/>
        </w:rPr>
        <w:t>restaurants outside of the core markets of São Paulo and Rio de Janeiro in Brazil and in 2016 the Company decided to close certain Bonefish Grill restaurants (collectively, the “Closure Initiatives”). Following is a summary of expenses related to the Closure Initiatives recognized in the Company’s Consolidated Statements of Operations and Comprehensive (Loss) Income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301"/>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5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INCOME STATEMENT LOCATION</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JULY 1, 2018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JUNE 25, 2017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JULY 1, 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8"/>
              </w:rPr>
              <w:t>JUNE 25, 2017</w:t>
            </w:r>
          </w:p>
        </w:tc>
        <w:tc>
          <w:tcPr>
            <w:tcW w:w="0" w:type="dxa"/>
            <w:vAlign w:val="bottom"/>
          </w:tcPr>
          <w:p>
            <w:pPr>
              <w:spacing w:after="0"/>
              <w:rPr>
                <w:sz w:val="1"/>
                <w:szCs w:val="1"/>
                <w:color w:val="auto"/>
              </w:rPr>
            </w:pPr>
          </w:p>
        </w:tc>
      </w:tr>
      <w:tr>
        <w:trPr>
          <w:trHeight w:val="220"/>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Impairment, facility closure and other</w:t>
            </w:r>
          </w:p>
        </w:tc>
        <w:tc>
          <w:tcPr>
            <w:tcW w:w="2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impaired assets and</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 (1)</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restaurant closings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1,607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1,632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18,012</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Severance and other expenses</w:t>
            </w:r>
          </w:p>
        </w:tc>
        <w:tc>
          <w:tcPr>
            <w:tcW w:w="2640" w:type="dxa"/>
            <w:vAlign w:val="bottom"/>
            <w:gridSpan w:val="2"/>
          </w:tcPr>
          <w:p>
            <w:pPr>
              <w:ind w:left="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0"/>
                <w:szCs w:val="20"/>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2,948</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Reversal of deferred rent liability</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(4,761)</w:t>
            </w:r>
          </w:p>
        </w:tc>
        <w:tc>
          <w:tcPr>
            <w:tcW w:w="0" w:type="dxa"/>
            <w:vAlign w:val="bottom"/>
          </w:tcPr>
          <w:p>
            <w:pPr>
              <w:spacing w:after="0"/>
              <w:rPr>
                <w:sz w:val="1"/>
                <w:szCs w:val="1"/>
                <w:color w:val="auto"/>
              </w:rPr>
            </w:pPr>
          </w:p>
        </w:tc>
      </w:tr>
      <w:tr>
        <w:trPr>
          <w:trHeight w:val="250"/>
        </w:trPr>
        <w:tc>
          <w:tcPr>
            <w:tcW w:w="2980" w:type="dxa"/>
            <w:vAlign w:val="bottom"/>
          </w:tcPr>
          <w:p>
            <w:pPr>
              <w:ind w:left="280"/>
              <w:spacing w:after="0"/>
              <w:rPr>
                <w:sz w:val="20"/>
                <w:szCs w:val="20"/>
                <w:color w:val="auto"/>
              </w:rPr>
            </w:pPr>
            <w:r>
              <w:rPr>
                <w:rFonts w:ascii="Arial" w:cs="Arial" w:eastAsia="Arial" w:hAnsi="Arial"/>
                <w:sz w:val="16"/>
                <w:szCs w:val="16"/>
                <w:color w:val="auto"/>
              </w:rPr>
              <w:t>Total</w:t>
            </w:r>
          </w:p>
        </w:tc>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1,570</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702</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1,717</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16,199</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980" w:type="dxa"/>
            <w:vAlign w:val="bottom"/>
            <w:vMerge w:val="continue"/>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328"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Company recognized asset impairment and closure charges of $1.0 million within the International segment related to the Closure Initiatives during the thirteen and twenty-six weeks ended July 1, 2018. All other asset impairment and closure charges for the periods presented were recognized within the U.S. segment.</w:t>
      </w:r>
    </w:p>
    <w:p>
      <w:pPr>
        <w:spacing w:after="0" w:line="147" w:lineRule="exact"/>
        <w:rPr>
          <w:sz w:val="20"/>
          <w:szCs w:val="20"/>
          <w:color w:val="auto"/>
        </w:rPr>
      </w:pPr>
    </w:p>
    <w:p>
      <w:pPr>
        <w:spacing w:after="0" w:line="316" w:lineRule="auto"/>
        <w:rPr>
          <w:sz w:val="20"/>
          <w:szCs w:val="20"/>
          <w:color w:val="auto"/>
        </w:rPr>
      </w:pPr>
      <w:r>
        <w:rPr>
          <w:rFonts w:ascii="Arial" w:cs="Arial" w:eastAsia="Arial" w:hAnsi="Arial"/>
          <w:sz w:val="18"/>
          <w:szCs w:val="18"/>
          <w:i w:val="1"/>
          <w:iCs w:val="1"/>
          <w:color w:val="auto"/>
        </w:rPr>
        <w:t xml:space="preserve">International Restructuring </w:t>
      </w:r>
      <w:r>
        <w:rPr>
          <w:rFonts w:ascii="Arial" w:cs="Arial" w:eastAsia="Arial" w:hAnsi="Arial"/>
          <w:sz w:val="18"/>
          <w:szCs w:val="18"/>
          <w:color w:val="auto"/>
        </w:rPr>
        <w:t>- During the thirteen and twenty-six weeks ended July 1, 2018, the Company recognized asset impairment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closure charges of $6.9 million and $9.2 million, respectively, related to the restructuring of certain international markets, including China.</w:t>
      </w:r>
    </w:p>
    <w:p>
      <w:pPr>
        <w:spacing w:after="0" w:line="144"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remaining restaurant impairment and closing charges resulted primarily from the carrying value of a restaurant’s assets exceeding its estimated fair market value, primarily due to locations identified for remodel, relocation or closure.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Projected Future Expenses and Cash Expenditures </w:t>
      </w:r>
      <w:r>
        <w:rPr>
          <w:rFonts w:ascii="Arial" w:cs="Arial" w:eastAsia="Arial" w:hAnsi="Arial"/>
          <w:sz w:val="20"/>
          <w:szCs w:val="20"/>
          <w:color w:val="auto"/>
        </w:rPr>
        <w:t>- The Company expects to incur additional charges for the Closure Initiatives through Q3</w:t>
      </w:r>
      <w:r>
        <w:rPr>
          <w:rFonts w:ascii="Arial" w:cs="Arial" w:eastAsia="Arial" w:hAnsi="Arial"/>
          <w:sz w:val="20"/>
          <w:szCs w:val="20"/>
          <w:i w:val="1"/>
          <w:iCs w:val="1"/>
          <w:color w:val="auto"/>
        </w:rPr>
        <w:t xml:space="preserve"> </w:t>
      </w:r>
      <w:r>
        <w:rPr>
          <w:rFonts w:ascii="Arial" w:cs="Arial" w:eastAsia="Arial" w:hAnsi="Arial"/>
          <w:sz w:val="20"/>
          <w:szCs w:val="20"/>
          <w:color w:val="auto"/>
        </w:rPr>
        <w:t>2019, including costs associated with lease obligations, employee terminations and other closure-related obligations. Following is a summary of remaining estimated pre-tax expense and future cash expenditures, by type, as of July 1, 2018:</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i w:val="1"/>
                <w:iCs w:val="1"/>
                <w:color w:val="auto"/>
              </w:rPr>
              <w:t xml:space="preserve">Estimated future expense </w:t>
            </w:r>
            <w:r>
              <w:rPr>
                <w:rFonts w:ascii="Arial" w:cs="Arial" w:eastAsia="Arial" w:hAnsi="Arial"/>
                <w:sz w:val="16"/>
                <w:szCs w:val="16"/>
                <w:b w:val="1"/>
                <w:bCs w:val="1"/>
                <w:color w:val="auto"/>
              </w:rPr>
              <w:t>(dollars in millions)</w:t>
            </w:r>
          </w:p>
        </w:tc>
        <w:tc>
          <w:tcPr>
            <w:tcW w:w="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right="99"/>
              <w:spacing w:after="0"/>
              <w:rPr>
                <w:sz w:val="20"/>
                <w:szCs w:val="20"/>
                <w:color w:val="auto"/>
              </w:rPr>
            </w:pPr>
            <w:r>
              <w:rPr>
                <w:rFonts w:ascii="Arial" w:cs="Arial" w:eastAsia="Arial" w:hAnsi="Arial"/>
                <w:sz w:val="14"/>
                <w:szCs w:val="14"/>
                <w:b w:val="1"/>
                <w:bCs w:val="1"/>
                <w:color w:val="auto"/>
              </w:rPr>
              <w:t>CLOSURE INITIATIVES</w:t>
            </w: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related liabilities, net of subleases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2.9</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to</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r>
      <w:tr>
        <w:trPr>
          <w:trHeight w:val="270"/>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Employee severance and other obligations</w:t>
            </w: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0.3</w:t>
            </w:r>
          </w:p>
        </w:tc>
        <w:tc>
          <w:tcPr>
            <w:tcW w:w="3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to</w:t>
            </w:r>
          </w:p>
        </w:tc>
        <w:tc>
          <w:tcPr>
            <w:tcW w:w="3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0.6</w:t>
            </w: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estimated future expense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3.2</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to</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r>
      <w:tr>
        <w:trPr>
          <w:trHeight w:val="20"/>
        </w:trPr>
        <w:tc>
          <w:tcPr>
            <w:tcW w:w="9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84"/>
        </w:trPr>
        <w:tc>
          <w:tcPr>
            <w:tcW w:w="9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estimated future cash expenditures (dollars in millions)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22.3</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to</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27.4</w:t>
            </w:r>
          </w:p>
        </w:tc>
      </w:tr>
      <w:tr>
        <w:trPr>
          <w:trHeight w:val="20"/>
        </w:trPr>
        <w:tc>
          <w:tcPr>
            <w:tcW w:w="9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Total future undiscounted cash expenditures for the Closure Initiatives, primarily related to lease liabilities, are expected to occur over the remaining lease terms with the final term ending in January 2029.</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Accrued Facility Closure and Other Costs Rollforward </w:t>
      </w:r>
      <w:r>
        <w:rPr>
          <w:rFonts w:ascii="Arial" w:cs="Arial" w:eastAsia="Arial" w:hAnsi="Arial"/>
          <w:sz w:val="20"/>
          <w:szCs w:val="20"/>
          <w:color w:val="auto"/>
        </w:rPr>
        <w:t>- The following table summarizes the Company’s accrual activity related to facility</w:t>
      </w:r>
      <w:r>
        <w:rPr>
          <w:rFonts w:ascii="Arial" w:cs="Arial" w:eastAsia="Arial" w:hAnsi="Arial"/>
          <w:sz w:val="20"/>
          <w:szCs w:val="20"/>
          <w:i w:val="1"/>
          <w:iCs w:val="1"/>
          <w:color w:val="auto"/>
        </w:rPr>
        <w:t xml:space="preserve"> </w:t>
      </w:r>
      <w:r>
        <w:rPr>
          <w:rFonts w:ascii="Arial" w:cs="Arial" w:eastAsia="Arial" w:hAnsi="Arial"/>
          <w:sz w:val="20"/>
          <w:szCs w:val="20"/>
          <w:color w:val="auto"/>
        </w:rPr>
        <w:t>closure and other costs, primarily associated with the Closure Initiatives, during the twenty-six weeks ended July 1, 2018:</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Pr>
          <w:p>
            <w:pPr>
              <w:jc w:val="right"/>
              <w:ind w:right="222"/>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22"/>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ind w:right="822"/>
              <w:spacing w:after="0"/>
              <w:rPr>
                <w:sz w:val="20"/>
                <w:szCs w:val="20"/>
                <w:color w:val="auto"/>
              </w:rPr>
            </w:pPr>
            <w:r>
              <w:rPr>
                <w:rFonts w:ascii="Arial" w:cs="Arial" w:eastAsia="Arial" w:hAnsi="Arial"/>
                <w:sz w:val="14"/>
                <w:szCs w:val="14"/>
                <w:b w:val="1"/>
                <w:bCs w:val="1"/>
                <w:color w:val="auto"/>
              </w:rPr>
              <w:t>JULY 1, 2018</w:t>
            </w: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beginning of the period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4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22,709</w:t>
            </w:r>
          </w:p>
        </w:tc>
        <w:tc>
          <w:tcPr>
            <w:tcW w:w="0" w:type="dxa"/>
            <w:vAlign w:val="bottom"/>
          </w:tcPr>
          <w:p>
            <w:pPr>
              <w:spacing w:after="0"/>
              <w:rPr>
                <w:sz w:val="1"/>
                <w:szCs w:val="1"/>
                <w:color w:val="auto"/>
              </w:rPr>
            </w:pPr>
          </w:p>
        </w:tc>
      </w:tr>
      <w:tr>
        <w:trPr>
          <w:trHeight w:val="224"/>
        </w:trPr>
        <w:tc>
          <w:tcPr>
            <w:tcW w:w="8800" w:type="dxa"/>
            <w:vAlign w:val="bottom"/>
          </w:tcPr>
          <w:p>
            <w:pPr>
              <w:ind w:left="180"/>
              <w:spacing w:after="0"/>
              <w:rPr>
                <w:sz w:val="20"/>
                <w:szCs w:val="20"/>
                <w:color w:val="auto"/>
              </w:rPr>
            </w:pPr>
            <w:r>
              <w:rPr>
                <w:rFonts w:ascii="Arial" w:cs="Arial" w:eastAsia="Arial" w:hAnsi="Arial"/>
                <w:sz w:val="16"/>
                <w:szCs w:val="16"/>
                <w:color w:val="auto"/>
              </w:rPr>
              <w:t>Charges</w:t>
            </w:r>
          </w:p>
        </w:tc>
        <w:tc>
          <w:tcPr>
            <w:tcW w:w="200" w:type="dxa"/>
            <w:vAlign w:val="bottom"/>
          </w:tcPr>
          <w:p>
            <w:pPr>
              <w:spacing w:after="0"/>
              <w:rPr>
                <w:sz w:val="19"/>
                <w:szCs w:val="19"/>
                <w:color w:val="auto"/>
              </w:rPr>
            </w:pPr>
          </w:p>
        </w:tc>
        <w:tc>
          <w:tcPr>
            <w:tcW w:w="2420" w:type="dxa"/>
            <w:vAlign w:val="bottom"/>
          </w:tcPr>
          <w:p>
            <w:pPr>
              <w:jc w:val="right"/>
              <w:ind w:right="22"/>
              <w:spacing w:after="0"/>
              <w:rPr>
                <w:sz w:val="20"/>
                <w:szCs w:val="20"/>
                <w:color w:val="auto"/>
              </w:rPr>
            </w:pPr>
            <w:r>
              <w:rPr>
                <w:rFonts w:ascii="Arial" w:cs="Arial" w:eastAsia="Arial" w:hAnsi="Arial"/>
                <w:sz w:val="16"/>
                <w:szCs w:val="16"/>
                <w:color w:val="auto"/>
              </w:rPr>
              <w:t>8,071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20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(8,186)</w:t>
            </w:r>
          </w:p>
        </w:tc>
        <w:tc>
          <w:tcPr>
            <w:tcW w:w="0" w:type="dxa"/>
            <w:vAlign w:val="bottom"/>
          </w:tcPr>
          <w:p>
            <w:pPr>
              <w:spacing w:after="0"/>
              <w:rPr>
                <w:sz w:val="1"/>
                <w:szCs w:val="1"/>
                <w:color w:val="auto"/>
              </w:rPr>
            </w:pPr>
          </w:p>
        </w:tc>
      </w:tr>
      <w:tr>
        <w:trPr>
          <w:trHeight w:val="270"/>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Adjustments</w:t>
            </w:r>
          </w:p>
        </w:tc>
        <w:tc>
          <w:tcPr>
            <w:tcW w:w="200" w:type="dxa"/>
            <w:vAlign w:val="bottom"/>
            <w:tcBorders>
              <w:bottom w:val="single" w:sz="8" w:color="auto"/>
            </w:tcBorders>
          </w:tcPr>
          <w:p>
            <w:pPr>
              <w:spacing w:after="0"/>
              <w:rPr>
                <w:sz w:val="23"/>
                <w:szCs w:val="23"/>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(3,435)</w:t>
            </w: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end of the period (1)</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4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19,159</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2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880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660" w:right="20" w:hanging="652"/>
        <w:spacing w:after="0" w:line="257"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of July 1, 2018, the Company had exit-related accruals of $6.0 million recorded in Accrued and other current liabilities and $13.2 million recorded in Other long-term liabilities, net in the Consolidated Balance Sheet.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16"/>
          <w:szCs w:val="16"/>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computation of basic and diluted earnings per share: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301"/>
              <w:spacing w:after="0"/>
              <w:rPr>
                <w:sz w:val="20"/>
                <w:szCs w:val="20"/>
                <w:color w:val="auto"/>
              </w:rPr>
            </w:pPr>
            <w:r>
              <w:rPr>
                <w:rFonts w:ascii="Arial" w:cs="Arial" w:eastAsia="Arial" w:hAnsi="Arial"/>
                <w:sz w:val="14"/>
                <w:szCs w:val="14"/>
                <w:b w:val="1"/>
                <w:bCs w:val="1"/>
                <w:color w:val="auto"/>
              </w:rPr>
              <w:t>TWENTY-SIX WEEKS ENDED</w:t>
            </w:r>
          </w:p>
        </w:tc>
      </w:tr>
      <w:tr>
        <w:trPr>
          <w:trHeight w:val="258"/>
        </w:trPr>
        <w:tc>
          <w:tcPr>
            <w:tcW w:w="5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JUNE 25, 2017</w:t>
            </w:r>
          </w:p>
        </w:tc>
        <w:tc>
          <w:tcPr>
            <w:tcW w:w="18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180" w:type="dxa"/>
            <w:vAlign w:val="bottom"/>
          </w:tcPr>
          <w:p>
            <w:pPr>
              <w:jc w:val="right"/>
              <w:ind w:right="141"/>
              <w:spacing w:after="0"/>
              <w:rPr>
                <w:sz w:val="20"/>
                <w:szCs w:val="20"/>
                <w:color w:val="auto"/>
              </w:rPr>
            </w:pPr>
            <w:r>
              <w:rPr>
                <w:rFonts w:ascii="Arial" w:cs="Arial" w:eastAsia="Arial" w:hAnsi="Arial"/>
                <w:sz w:val="14"/>
                <w:szCs w:val="14"/>
                <w:b w:val="1"/>
                <w:bCs w:val="1"/>
                <w:color w:val="auto"/>
                <w:w w:val="98"/>
              </w:rPr>
              <w:t>JUNE 25, 2017</w:t>
            </w:r>
          </w:p>
        </w:tc>
      </w:tr>
      <w:tr>
        <w:trPr>
          <w:trHeight w:val="289"/>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(Restated) (1)</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81"/>
              <w:spacing w:after="0"/>
              <w:rPr>
                <w:sz w:val="20"/>
                <w:szCs w:val="20"/>
                <w:color w:val="auto"/>
              </w:rPr>
            </w:pPr>
            <w:r>
              <w:rPr>
                <w:rFonts w:ascii="Arial" w:cs="Arial" w:eastAsia="Arial" w:hAnsi="Arial"/>
                <w:sz w:val="14"/>
                <w:szCs w:val="14"/>
                <w:b w:val="1"/>
                <w:bCs w:val="1"/>
                <w:color w:val="auto"/>
              </w:rPr>
              <w:t>(Restated) (1)</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26,721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35,133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92,119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83,758</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71"/>
        </w:trPr>
        <w:tc>
          <w:tcPr>
            <w:tcW w:w="5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weighted average common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92,120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98,852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92,194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100,963</w:t>
            </w:r>
          </w:p>
        </w:tc>
      </w:tr>
      <w:tr>
        <w:trPr>
          <w:trHeight w:val="284"/>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diluted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Stock options</w:t>
            </w:r>
          </w:p>
        </w:tc>
        <w:tc>
          <w:tcPr>
            <w:tcW w:w="18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1,861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3,128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2,406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3,030</w:t>
            </w: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Nonvested restricted stock and restricted stock units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394</w:t>
            </w:r>
          </w:p>
        </w:tc>
      </w:tr>
      <w:tr>
        <w:trPr>
          <w:trHeight w:val="270"/>
        </w:trPr>
        <w:tc>
          <w:tcPr>
            <w:tcW w:w="5620" w:type="dxa"/>
            <w:vAlign w:val="bottom"/>
          </w:tcPr>
          <w:p>
            <w:pPr>
              <w:ind w:left="180"/>
              <w:spacing w:after="0"/>
              <w:rPr>
                <w:sz w:val="20"/>
                <w:szCs w:val="20"/>
                <w:color w:val="auto"/>
              </w:rPr>
            </w:pPr>
            <w:r>
              <w:rPr>
                <w:rFonts w:ascii="Arial" w:cs="Arial" w:eastAsia="Arial" w:hAnsi="Arial"/>
                <w:sz w:val="16"/>
                <w:szCs w:val="16"/>
                <w:color w:val="auto"/>
              </w:rPr>
              <w:t>Nonvested performance-based share units</w:t>
            </w:r>
          </w:p>
        </w:tc>
        <w:tc>
          <w:tcPr>
            <w:tcW w:w="18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30</w:t>
            </w:r>
          </w:p>
        </w:tc>
      </w:tr>
      <w:tr>
        <w:trPr>
          <w:trHeight w:val="244"/>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weighted average common shares outstanding</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94,361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102,421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95,072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104,417</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71"/>
        </w:trPr>
        <w:tc>
          <w:tcPr>
            <w:tcW w:w="5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0.83</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0.28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0.34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0.97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0.80</w:t>
            </w:r>
          </w:p>
        </w:tc>
      </w:tr>
      <w:tr>
        <w:trPr>
          <w:trHeight w:val="226"/>
        </w:trPr>
        <w:tc>
          <w:tcPr>
            <w:tcW w:w="5620" w:type="dxa"/>
            <w:vAlign w:val="bottom"/>
          </w:tcPr>
          <w:p>
            <w:pPr>
              <w:spacing w:after="0"/>
              <w:rPr>
                <w:sz w:val="20"/>
                <w:szCs w:val="20"/>
                <w:color w:val="auto"/>
              </w:rPr>
            </w:pPr>
            <w:r>
              <w:rPr>
                <w:rFonts w:ascii="Arial" w:cs="Arial" w:eastAsia="Arial" w:hAnsi="Arial"/>
                <w:sz w:val="16"/>
                <w:szCs w:val="16"/>
                <w:color w:val="auto"/>
              </w:rPr>
              <w:t>____________________</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bl>
    <w:p>
      <w:pPr>
        <w:ind w:left="660" w:hanging="65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See Note 1 - </w:t>
      </w:r>
      <w:r>
        <w:rPr>
          <w:rFonts w:ascii="Arial" w:cs="Arial" w:eastAsia="Arial" w:hAnsi="Arial"/>
          <w:sz w:val="14"/>
          <w:szCs w:val="14"/>
          <w:i w:val="1"/>
          <w:iCs w:val="1"/>
          <w:color w:val="auto"/>
        </w:rPr>
        <w:t>Description of the Business and Basis of Presentation</w:t>
      </w:r>
      <w:r>
        <w:rPr>
          <w:rFonts w:ascii="Arial" w:cs="Arial" w:eastAsia="Arial" w:hAnsi="Arial"/>
          <w:sz w:val="14"/>
          <w:szCs w:val="14"/>
          <w:color w:val="auto"/>
        </w:rPr>
        <w:t xml:space="preserve"> for details of the Net income and Earnings per share impact of implementing ASU No. 2014-09.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Dilutive securities outstanding not included in the computation of earnings per share because their effect was antidilutive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20" w:type="dxa"/>
            <w:vAlign w:val="bottom"/>
          </w:tcPr>
          <w:p>
            <w:pPr>
              <w:spacing w:after="0"/>
              <w:rPr>
                <w:sz w:val="17"/>
                <w:szCs w:val="17"/>
                <w:color w:val="auto"/>
              </w:rPr>
            </w:pPr>
          </w:p>
        </w:tc>
        <w:tc>
          <w:tcPr>
            <w:tcW w:w="2860" w:type="dxa"/>
            <w:vAlign w:val="bottom"/>
            <w:tcBorders>
              <w:bottom w:val="single" w:sz="8" w:color="auto"/>
            </w:tcBorders>
            <w:gridSpan w:val="3"/>
          </w:tcPr>
          <w:p>
            <w:pPr>
              <w:jc w:val="right"/>
              <w:ind w:right="401"/>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Pr>
          <w:p>
            <w:pPr>
              <w:spacing w:after="0"/>
              <w:rPr>
                <w:sz w:val="17"/>
                <w:szCs w:val="17"/>
                <w:color w:val="auto"/>
              </w:rPr>
            </w:pPr>
          </w:p>
        </w:tc>
        <w:tc>
          <w:tcPr>
            <w:tcW w:w="2800" w:type="dxa"/>
            <w:vAlign w:val="bottom"/>
            <w:tcBorders>
              <w:bottom w:val="single" w:sz="8" w:color="auto"/>
            </w:tcBorders>
            <w:gridSpan w:val="3"/>
          </w:tcPr>
          <w:p>
            <w:pPr>
              <w:jc w:val="right"/>
              <w:ind w:right="301"/>
              <w:spacing w:after="0"/>
              <w:rPr>
                <w:sz w:val="20"/>
                <w:szCs w:val="20"/>
                <w:color w:val="auto"/>
              </w:rPr>
            </w:pPr>
            <w:r>
              <w:rPr>
                <w:rFonts w:ascii="Arial" w:cs="Arial" w:eastAsia="Arial" w:hAnsi="Arial"/>
                <w:sz w:val="14"/>
                <w:szCs w:val="14"/>
                <w:b w:val="1"/>
                <w:bCs w:val="1"/>
                <w:color w:val="auto"/>
              </w:rPr>
              <w:t>TWENTY-SIX WEEKS ENDED</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500" w:type="dxa"/>
            <w:vAlign w:val="bottom"/>
            <w:gridSpan w:val="2"/>
          </w:tcPr>
          <w:p>
            <w:pPr>
              <w:ind w:left="260"/>
              <w:spacing w:after="0"/>
              <w:rPr>
                <w:sz w:val="20"/>
                <w:szCs w:val="20"/>
                <w:color w:val="auto"/>
              </w:rPr>
            </w:pPr>
            <w:r>
              <w:rPr>
                <w:rFonts w:ascii="Arial" w:cs="Arial" w:eastAsia="Arial" w:hAnsi="Arial"/>
                <w:sz w:val="14"/>
                <w:szCs w:val="14"/>
                <w:b w:val="1"/>
                <w:bCs w:val="1"/>
                <w:color w:val="auto"/>
              </w:rPr>
              <w:t>JULY 1, 2018</w:t>
            </w:r>
          </w:p>
        </w:tc>
        <w:tc>
          <w:tcPr>
            <w:tcW w:w="150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25, 2017</w:t>
            </w: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JULY 1, 2018</w:t>
            </w:r>
          </w:p>
        </w:tc>
        <w:tc>
          <w:tcPr>
            <w:tcW w:w="1360" w:type="dxa"/>
            <w:vAlign w:val="bottom"/>
          </w:tcPr>
          <w:p>
            <w:pPr>
              <w:jc w:val="right"/>
              <w:ind w:right="141"/>
              <w:spacing w:after="0"/>
              <w:rPr>
                <w:sz w:val="20"/>
                <w:szCs w:val="20"/>
                <w:color w:val="auto"/>
              </w:rPr>
            </w:pPr>
            <w:r>
              <w:rPr>
                <w:rFonts w:ascii="Arial" w:cs="Arial" w:eastAsia="Arial" w:hAnsi="Arial"/>
                <w:sz w:val="14"/>
                <w:szCs w:val="14"/>
                <w:b w:val="1"/>
                <w:bCs w:val="1"/>
                <w:color w:val="auto"/>
              </w:rPr>
              <w:t>JUNE 25, 2017</w:t>
            </w:r>
          </w:p>
        </w:tc>
      </w:tr>
      <w:tr>
        <w:trPr>
          <w:trHeight w:val="237"/>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Stock options</w:t>
            </w:r>
          </w:p>
        </w:tc>
        <w:tc>
          <w:tcPr>
            <w:tcW w:w="1380" w:type="dxa"/>
            <w:vAlign w:val="bottom"/>
            <w:tcBorders>
              <w:top w:val="single" w:sz="8" w:color="auto"/>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2,133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5,359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2,041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5,462</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Nonvested restricted stock and restricted stock units</w:t>
            </w:r>
          </w:p>
        </w:tc>
        <w:tc>
          <w:tcPr>
            <w:tcW w:w="1380" w:type="dxa"/>
            <w:vAlign w:val="bottom"/>
          </w:tcPr>
          <w:p>
            <w:pPr>
              <w:jc w:val="right"/>
              <w:ind w:right="63"/>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153</w:t>
            </w:r>
          </w:p>
        </w:tc>
        <w:tc>
          <w:tcPr>
            <w:tcW w:w="140" w:type="dxa"/>
            <w:vAlign w:val="bottom"/>
          </w:tcPr>
          <w:p>
            <w:pPr>
              <w:spacing w:after="0"/>
              <w:rPr>
                <w:sz w:val="20"/>
                <w:szCs w:val="20"/>
                <w:color w:val="auto"/>
              </w:rPr>
            </w:pP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172</w:t>
            </w:r>
          </w:p>
        </w:tc>
      </w:tr>
      <w:tr>
        <w:trPr>
          <w:trHeight w:val="33"/>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Nonvested performance-based share units</w:t>
            </w:r>
          </w:p>
        </w:tc>
        <w:tc>
          <w:tcPr>
            <w:tcW w:w="13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197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262</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317</w:t>
            </w:r>
          </w:p>
        </w:tc>
      </w:tr>
      <w:tr>
        <w:trPr>
          <w:trHeight w:val="41"/>
        </w:trPr>
        <w:tc>
          <w:tcPr>
            <w:tcW w:w="562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r>
    </w:tbl>
    <w:p>
      <w:pPr>
        <w:spacing w:after="0" w:line="213"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16"/>
          <w:szCs w:val="16"/>
          <w:color w:val="auto"/>
        </w:rPr>
        <w:t>Stock-based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Company recognized stock-based compensation expense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301"/>
              <w:spacing w:after="0"/>
              <w:rPr>
                <w:sz w:val="20"/>
                <w:szCs w:val="20"/>
                <w:color w:val="auto"/>
              </w:rPr>
            </w:pPr>
            <w:r>
              <w:rPr>
                <w:rFonts w:ascii="Arial" w:cs="Arial" w:eastAsia="Arial" w:hAnsi="Arial"/>
                <w:sz w:val="14"/>
                <w:szCs w:val="14"/>
                <w:b w:val="1"/>
                <w:bCs w:val="1"/>
                <w:color w:val="auto"/>
              </w:rPr>
              <w:t>TWENTY-SIX WEEKS ENDED</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22"/>
                <w:szCs w:val="22"/>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25, 2017</w:t>
            </w:r>
          </w:p>
        </w:tc>
        <w:tc>
          <w:tcPr>
            <w:tcW w:w="18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180" w:type="dxa"/>
            <w:vAlign w:val="bottom"/>
          </w:tcPr>
          <w:p>
            <w:pPr>
              <w:jc w:val="right"/>
              <w:ind w:right="141"/>
              <w:spacing w:after="0"/>
              <w:rPr>
                <w:sz w:val="20"/>
                <w:szCs w:val="20"/>
                <w:color w:val="auto"/>
              </w:rPr>
            </w:pPr>
            <w:r>
              <w:rPr>
                <w:rFonts w:ascii="Arial" w:cs="Arial" w:eastAsia="Arial" w:hAnsi="Arial"/>
                <w:sz w:val="14"/>
                <w:szCs w:val="14"/>
                <w:b w:val="1"/>
                <w:bCs w:val="1"/>
                <w:color w:val="auto"/>
                <w:w w:val="98"/>
              </w:rPr>
              <w:t>JUNE 25, 2017</w:t>
            </w:r>
          </w:p>
        </w:tc>
      </w:tr>
      <w:tr>
        <w:trPr>
          <w:trHeight w:val="237"/>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3,526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5,699</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Restricted stock and restricted stock units</w:t>
            </w:r>
          </w:p>
        </w:tc>
        <w:tc>
          <w:tcPr>
            <w:tcW w:w="180" w:type="dxa"/>
            <w:vAlign w:val="bottom"/>
          </w:tcPr>
          <w:p>
            <w:pPr>
              <w:spacing w:after="0"/>
              <w:rPr>
                <w:sz w:val="20"/>
                <w:szCs w:val="20"/>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2,455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2,689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4,787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5,242</w:t>
            </w: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Performance-based share units</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1,874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2,470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1,236</w:t>
            </w:r>
          </w:p>
        </w:tc>
      </w:tr>
      <w:tr>
        <w:trPr>
          <w:trHeight w:val="224"/>
        </w:trPr>
        <w:tc>
          <w:tcPr>
            <w:tcW w:w="56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5,957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6,453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10,783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12,177</w:t>
            </w:r>
          </w:p>
        </w:tc>
      </w:tr>
      <w:tr>
        <w:trPr>
          <w:trHeight w:val="33"/>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a summary of the Company’s stock option activity: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WEIGHTED-</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2"/>
                <w:szCs w:val="12"/>
                <w:color w:val="auto"/>
              </w:rPr>
            </w:pPr>
          </w:p>
        </w:tc>
        <w:tc>
          <w:tcPr>
            <w:tcW w:w="136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AVERAGE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EXERCISE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2"/>
                <w:szCs w:val="12"/>
                <w:color w:val="auto"/>
              </w:rPr>
            </w:pPr>
          </w:p>
        </w:tc>
        <w:tc>
          <w:tcPr>
            <w:tcW w:w="136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205"/>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exercise price and contractual life)</w:t>
            </w:r>
          </w:p>
        </w:tc>
        <w:tc>
          <w:tcPr>
            <w:tcW w:w="16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as of December 31, 2017</w:t>
            </w: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10,051</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14.89</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71,373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Granted</w:t>
            </w: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24.01</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10.23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Forfeited or expired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right"/>
              <w:ind w:right="43"/>
              <w:spacing w:after="0"/>
              <w:rPr>
                <w:sz w:val="20"/>
                <w:szCs w:val="20"/>
                <w:color w:val="auto"/>
              </w:rPr>
            </w:pPr>
            <w:r>
              <w:rPr>
                <w:rFonts w:ascii="Arial" w:cs="Arial" w:eastAsia="Arial" w:hAnsi="Arial"/>
                <w:sz w:val="16"/>
                <w:szCs w:val="16"/>
                <w:color w:val="auto"/>
              </w:rPr>
              <w:t>20.47</w:t>
            </w:r>
          </w:p>
        </w:tc>
        <w:tc>
          <w:tcPr>
            <w:tcW w:w="10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as of July 1, 2018</w:t>
            </w:r>
          </w:p>
        </w:tc>
        <w:tc>
          <w:tcPr>
            <w:tcW w:w="16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6,795</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17.85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25,734</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6"/>
                <w:szCs w:val="16"/>
                <w:color w:val="auto"/>
              </w:rPr>
              <w:t>Exercisable as of July 1, 2018</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4,461</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17.02</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21,278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Black-Scholes option pricing model and the weighted-average fair value of option awards granted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4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TWENTY-SIX WEEKS ENDED</w:t>
            </w:r>
          </w:p>
        </w:tc>
      </w:tr>
      <w:tr>
        <w:trPr>
          <w:trHeight w:val="250"/>
        </w:trPr>
        <w:tc>
          <w:tcPr>
            <w:tcW w:w="20" w:type="dxa"/>
            <w:vAlign w:val="bottom"/>
          </w:tcPr>
          <w:p>
            <w:pPr>
              <w:spacing w:after="0"/>
              <w:rPr>
                <w:sz w:val="21"/>
                <w:szCs w:val="21"/>
                <w:color w:val="auto"/>
              </w:rPr>
            </w:pPr>
          </w:p>
        </w:tc>
        <w:tc>
          <w:tcPr>
            <w:tcW w:w="8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1"/>
                <w:szCs w:val="21"/>
                <w:color w:val="auto"/>
              </w:rPr>
            </w:pPr>
          </w:p>
        </w:tc>
        <w:tc>
          <w:tcPr>
            <w:tcW w:w="1220" w:type="dxa"/>
            <w:vAlign w:val="bottom"/>
          </w:tcPr>
          <w:p>
            <w:pPr>
              <w:jc w:val="right"/>
              <w:ind w:right="160"/>
              <w:spacing w:after="0"/>
              <w:rPr>
                <w:sz w:val="20"/>
                <w:szCs w:val="20"/>
                <w:color w:val="auto"/>
              </w:rPr>
            </w:pPr>
            <w:r>
              <w:rPr>
                <w:rFonts w:ascii="Arial" w:cs="Arial" w:eastAsia="Arial" w:hAnsi="Arial"/>
                <w:sz w:val="14"/>
                <w:szCs w:val="14"/>
                <w:b w:val="1"/>
                <w:bCs w:val="1"/>
                <w:color w:val="auto"/>
              </w:rPr>
              <w:t>JUNE 25, 2017</w:t>
            </w:r>
          </w:p>
        </w:tc>
      </w:tr>
      <w:tr>
        <w:trPr>
          <w:trHeight w:val="250"/>
        </w:trPr>
        <w:tc>
          <w:tcPr>
            <w:tcW w:w="20" w:type="dxa"/>
            <w:vAlign w:val="bottom"/>
          </w:tcPr>
          <w:p>
            <w:pPr>
              <w:spacing w:after="0"/>
              <w:rPr>
                <w:sz w:val="21"/>
                <w:szCs w:val="21"/>
                <w:color w:val="auto"/>
              </w:rPr>
            </w:pPr>
          </w:p>
        </w:tc>
        <w:tc>
          <w:tcPr>
            <w:tcW w:w="8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Assumptions: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480" w:type="dxa"/>
            <w:vAlign w:val="bottom"/>
          </w:tcPr>
          <w:p>
            <w:pPr>
              <w:ind w:left="160"/>
              <w:spacing w:after="0"/>
              <w:rPr>
                <w:sz w:val="20"/>
                <w:szCs w:val="20"/>
                <w:color w:val="auto"/>
              </w:rPr>
            </w:pPr>
            <w:r>
              <w:rPr>
                <w:rFonts w:ascii="Arial" w:cs="Arial" w:eastAsia="Arial" w:hAnsi="Arial"/>
                <w:sz w:val="16"/>
                <w:szCs w:val="16"/>
                <w:color w:val="auto"/>
              </w:rPr>
              <w:t>Weighted-average risk-free interest rate (1)</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33"/>
        </w:trPr>
        <w:tc>
          <w:tcPr>
            <w:tcW w:w="20" w:type="dxa"/>
            <w:vAlign w:val="bottom"/>
          </w:tcPr>
          <w:p>
            <w:pPr>
              <w:spacing w:after="0"/>
              <w:rPr>
                <w:sz w:val="2"/>
                <w:szCs w:val="2"/>
                <w:color w:val="auto"/>
              </w:rPr>
            </w:pPr>
          </w:p>
        </w:tc>
        <w:tc>
          <w:tcPr>
            <w:tcW w:w="8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Dividend yield (2)</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w:t>
            </w:r>
          </w:p>
        </w:tc>
      </w:tr>
      <w:tr>
        <w:trPr>
          <w:trHeight w:val="237"/>
        </w:trPr>
        <w:tc>
          <w:tcPr>
            <w:tcW w:w="20" w:type="dxa"/>
            <w:vAlign w:val="bottom"/>
          </w:tcPr>
          <w:p>
            <w:pPr>
              <w:spacing w:after="0"/>
              <w:rPr>
                <w:sz w:val="20"/>
                <w:szCs w:val="20"/>
                <w:color w:val="auto"/>
              </w:rPr>
            </w:pPr>
          </w:p>
        </w:tc>
        <w:tc>
          <w:tcPr>
            <w:tcW w:w="8480" w:type="dxa"/>
            <w:vAlign w:val="bottom"/>
          </w:tcPr>
          <w:p>
            <w:pPr>
              <w:ind w:left="160"/>
              <w:spacing w:after="0"/>
              <w:rPr>
                <w:sz w:val="20"/>
                <w:szCs w:val="20"/>
                <w:color w:val="auto"/>
              </w:rPr>
            </w:pPr>
            <w:r>
              <w:rPr>
                <w:rFonts w:ascii="Arial" w:cs="Arial" w:eastAsia="Arial" w:hAnsi="Arial"/>
                <w:sz w:val="16"/>
                <w:szCs w:val="16"/>
                <w:color w:val="auto"/>
              </w:rPr>
              <w:t>Expected term (3)</w:t>
            </w:r>
          </w:p>
        </w:tc>
        <w:tc>
          <w:tcPr>
            <w:tcW w:w="200" w:type="dxa"/>
            <w:vAlign w:val="bottom"/>
          </w:tcPr>
          <w:p>
            <w:pPr>
              <w:spacing w:after="0"/>
              <w:rPr>
                <w:sz w:val="20"/>
                <w:szCs w:val="20"/>
                <w:color w:val="auto"/>
              </w:rPr>
            </w:pPr>
          </w:p>
        </w:tc>
        <w:tc>
          <w:tcPr>
            <w:tcW w:w="1320" w:type="dxa"/>
            <w:vAlign w:val="bottom"/>
            <w:gridSpan w:val="2"/>
          </w:tcPr>
          <w:p>
            <w:pPr>
              <w:ind w:left="460"/>
              <w:spacing w:after="0"/>
              <w:rPr>
                <w:sz w:val="20"/>
                <w:szCs w:val="20"/>
                <w:color w:val="auto"/>
              </w:rPr>
            </w:pPr>
            <w:r>
              <w:rPr>
                <w:rFonts w:ascii="Arial" w:cs="Arial" w:eastAsia="Arial" w:hAnsi="Arial"/>
                <w:sz w:val="16"/>
                <w:szCs w:val="16"/>
                <w:color w:val="auto"/>
              </w:rPr>
              <w:t>5.8 years</w:t>
            </w:r>
          </w:p>
        </w:tc>
        <w:tc>
          <w:tcPr>
            <w:tcW w:w="180" w:type="dxa"/>
            <w:vAlign w:val="bottom"/>
          </w:tcPr>
          <w:p>
            <w:pPr>
              <w:spacing w:after="0"/>
              <w:rPr>
                <w:sz w:val="20"/>
                <w:szCs w:val="20"/>
                <w:color w:val="auto"/>
              </w:rPr>
            </w:pP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6.3 years</w:t>
            </w:r>
          </w:p>
        </w:tc>
      </w:tr>
      <w:tr>
        <w:trPr>
          <w:trHeight w:val="33"/>
        </w:trPr>
        <w:tc>
          <w:tcPr>
            <w:tcW w:w="20" w:type="dxa"/>
            <w:vAlign w:val="bottom"/>
          </w:tcPr>
          <w:p>
            <w:pPr>
              <w:spacing w:after="0"/>
              <w:rPr>
                <w:sz w:val="2"/>
                <w:szCs w:val="2"/>
                <w:color w:val="auto"/>
              </w:rPr>
            </w:pPr>
          </w:p>
        </w:tc>
        <w:tc>
          <w:tcPr>
            <w:tcW w:w="8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Weighted-average volatility (4)</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33.73%</w:t>
            </w:r>
          </w:p>
        </w:tc>
      </w:tr>
      <w:tr>
        <w:trPr>
          <w:trHeight w:val="297"/>
        </w:trPr>
        <w:tc>
          <w:tcPr>
            <w:tcW w:w="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grant date fair value per option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5.09</w:t>
            </w:r>
          </w:p>
        </w:tc>
      </w:tr>
      <w:tr>
        <w:trPr>
          <w:trHeight w:val="193"/>
        </w:trPr>
        <w:tc>
          <w:tcPr>
            <w:tcW w:w="20" w:type="dxa"/>
            <w:vAlign w:val="bottom"/>
          </w:tcPr>
          <w:p>
            <w:pPr>
              <w:spacing w:after="0"/>
              <w:rPr>
                <w:sz w:val="16"/>
                <w:szCs w:val="16"/>
                <w:color w:val="auto"/>
              </w:rPr>
            </w:pPr>
          </w:p>
        </w:tc>
        <w:tc>
          <w:tcPr>
            <w:tcW w:w="8480" w:type="dxa"/>
            <w:vAlign w:val="bottom"/>
          </w:tcPr>
          <w:p>
            <w:pPr>
              <w:spacing w:after="0"/>
              <w:rPr>
                <w:sz w:val="20"/>
                <w:szCs w:val="20"/>
                <w:color w:val="auto"/>
              </w:rPr>
            </w:pPr>
            <w:r>
              <w:rPr>
                <w:rFonts w:ascii="Arial" w:cs="Arial" w:eastAsia="Arial" w:hAnsi="Arial"/>
                <w:sz w:val="16"/>
                <w:szCs w:val="16"/>
                <w:color w:val="auto"/>
              </w:rPr>
              <w:t>________________</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Risk-free interest rate is the U.S. Treasury yield curve in effect as of the grant date for periods within the expected term of the option.</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Dividend yield is the level of dividends expected to be paid on the Company’s common stock over the expected term of the option.</w:t>
      </w:r>
    </w:p>
    <w:p>
      <w:pPr>
        <w:spacing w:after="0" w:line="5"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Expected term represents the period of time that the options are expected to be outstanding. The Company estimates the expected term based on historical exercise experience for its stock options.</w:t>
      </w: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the historical volatility of the Company’s stock.</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represents stock option compensation information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4"/>
                <w:szCs w:val="14"/>
                <w:b w:val="1"/>
                <w:bCs w:val="1"/>
                <w:color w:val="auto"/>
              </w:rPr>
              <w:t>TWENTY-SIX WEEKS ENDED</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22"/>
                <w:szCs w:val="22"/>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1, 2018</w:t>
            </w:r>
          </w:p>
        </w:tc>
        <w:tc>
          <w:tcPr>
            <w:tcW w:w="220" w:type="dxa"/>
            <w:vAlign w:val="bottom"/>
          </w:tcPr>
          <w:p>
            <w:pPr>
              <w:spacing w:after="0"/>
              <w:rPr>
                <w:sz w:val="22"/>
                <w:szCs w:val="22"/>
                <w:color w:val="auto"/>
              </w:rPr>
            </w:pPr>
          </w:p>
        </w:tc>
        <w:tc>
          <w:tcPr>
            <w:tcW w:w="1360" w:type="dxa"/>
            <w:vAlign w:val="bottom"/>
          </w:tcPr>
          <w:p>
            <w:pPr>
              <w:jc w:val="right"/>
              <w:ind w:right="261"/>
              <w:spacing w:after="0"/>
              <w:rPr>
                <w:sz w:val="20"/>
                <w:szCs w:val="20"/>
                <w:color w:val="auto"/>
              </w:rPr>
            </w:pPr>
            <w:r>
              <w:rPr>
                <w:rFonts w:ascii="Arial" w:cs="Arial" w:eastAsia="Arial" w:hAnsi="Arial"/>
                <w:sz w:val="14"/>
                <w:szCs w:val="14"/>
                <w:b w:val="1"/>
                <w:bCs w:val="1"/>
                <w:color w:val="auto"/>
              </w:rPr>
              <w:t>JUNE 25, 2017</w:t>
            </w:r>
          </w:p>
        </w:tc>
      </w:tr>
      <w:tr>
        <w:trPr>
          <w:trHeight w:val="237"/>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Intrinsic value of options exercised</w:t>
            </w: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48,044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7,588</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Excess tax benefits for tax deductions related to the exercise of stock options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7,837</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1,299</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Cash received from option exercises, net of tax withholding</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36,460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6,835</w:t>
            </w:r>
          </w:p>
        </w:tc>
      </w:tr>
      <w:tr>
        <w:trPr>
          <w:trHeight w:val="41"/>
        </w:trPr>
        <w:tc>
          <w:tcPr>
            <w:tcW w:w="8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twenty-six weeks ended July 1, 2018, the Company made grants to its employees of 0.4 million time-based restricted stock units and 0.2 million performance-based share units.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unrecognized stock compensation expense and the remaining weighted-average vesting period as of July 1,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UNRECOGNIZED</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REMAINING WEIGHTED-</w:t>
            </w:r>
          </w:p>
        </w:tc>
        <w:tc>
          <w:tcPr>
            <w:tcW w:w="0" w:type="dxa"/>
            <w:vAlign w:val="bottom"/>
          </w:tcPr>
          <w:p>
            <w:pPr>
              <w:spacing w:after="0"/>
              <w:rPr>
                <w:sz w:val="1"/>
                <w:szCs w:val="1"/>
                <w:color w:val="auto"/>
              </w:rPr>
            </w:pPr>
          </w:p>
        </w:tc>
      </w:tr>
      <w:tr>
        <w:trPr>
          <w:trHeight w:val="149"/>
        </w:trPr>
        <w:tc>
          <w:tcPr>
            <w:tcW w:w="7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 VESTING</w:t>
            </w:r>
          </w:p>
        </w:tc>
        <w:tc>
          <w:tcPr>
            <w:tcW w:w="0" w:type="dxa"/>
            <w:vAlign w:val="bottom"/>
          </w:tcPr>
          <w:p>
            <w:pPr>
              <w:spacing w:after="0"/>
              <w:rPr>
                <w:sz w:val="1"/>
                <w:szCs w:val="1"/>
                <w:color w:val="auto"/>
              </w:rPr>
            </w:pPr>
          </w:p>
        </w:tc>
      </w:tr>
      <w:tr>
        <w:trPr>
          <w:trHeight w:val="149"/>
        </w:trPr>
        <w:tc>
          <w:tcPr>
            <w:tcW w:w="7400" w:type="dxa"/>
            <w:vAlign w:val="bottom"/>
          </w:tcPr>
          <w:p>
            <w:pPr>
              <w:spacing w:after="0"/>
              <w:rPr>
                <w:sz w:val="12"/>
                <w:szCs w:val="12"/>
                <w:color w:val="auto"/>
              </w:rPr>
            </w:pPr>
          </w:p>
        </w:tc>
        <w:tc>
          <w:tcPr>
            <w:tcW w:w="20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COMPENSATION EXPENSE</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05"/>
        </w:trPr>
        <w:tc>
          <w:tcPr>
            <w:tcW w:w="7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(dollars in thousands)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37"/>
        </w:trPr>
        <w:tc>
          <w:tcPr>
            <w:tcW w:w="7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11,518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43"/>
              <w:spacing w:after="0"/>
              <w:rPr>
                <w:sz w:val="20"/>
                <w:szCs w:val="20"/>
                <w:color w:val="auto"/>
              </w:rPr>
            </w:pPr>
            <w:r>
              <w:rPr>
                <w:rFonts w:ascii="Arial" w:cs="Arial" w:eastAsia="Arial" w:hAnsi="Arial"/>
                <w:sz w:val="16"/>
                <w:szCs w:val="16"/>
                <w:color w:val="auto"/>
              </w:rPr>
              <w:t>19,683</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Performance-based share units</w:t>
            </w:r>
          </w:p>
        </w:tc>
        <w:tc>
          <w:tcPr>
            <w:tcW w:w="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9,435</w:t>
            </w: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7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July 1, 2018, the maximum number of shares of common stock available for issuance pursuant to the Bloomin’ Brands, Inc. 2016 Omnibus Incentive Compensation Plan was 4,271,424.</w:t>
      </w:r>
    </w:p>
    <w:p>
      <w:pPr>
        <w:spacing w:after="0" w:line="190"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6.</w:t>
      </w:r>
      <w:r>
        <w:rPr>
          <w:sz w:val="20"/>
          <w:szCs w:val="20"/>
          <w:color w:val="auto"/>
        </w:rPr>
        <w:tab/>
      </w:r>
      <w:r>
        <w:rPr>
          <w:rFonts w:ascii="Arial" w:cs="Arial" w:eastAsia="Arial" w:hAnsi="Arial"/>
          <w:sz w:val="16"/>
          <w:szCs w:val="16"/>
          <w:color w:val="auto"/>
        </w:rPr>
        <w:t>Other Current Assets, Net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Other current assets, net, consisted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220" w:type="dxa"/>
            <w:vAlign w:val="bottom"/>
          </w:tcPr>
          <w:p>
            <w:pPr>
              <w:spacing w:after="0"/>
              <w:rPr>
                <w:sz w:val="17"/>
                <w:szCs w:val="17"/>
                <w:color w:val="auto"/>
              </w:rPr>
            </w:pPr>
          </w:p>
        </w:tc>
        <w:tc>
          <w:tcPr>
            <w:tcW w:w="1820" w:type="dxa"/>
            <w:vAlign w:val="bottom"/>
          </w:tcPr>
          <w:p>
            <w:pPr>
              <w:jc w:val="right"/>
              <w:ind w:right="260"/>
              <w:spacing w:after="0"/>
              <w:rPr>
                <w:sz w:val="20"/>
                <w:szCs w:val="20"/>
                <w:color w:val="auto"/>
              </w:rPr>
            </w:pPr>
            <w:r>
              <w:rPr>
                <w:rFonts w:ascii="Arial" w:cs="Arial" w:eastAsia="Arial" w:hAnsi="Arial"/>
                <w:sz w:val="14"/>
                <w:szCs w:val="14"/>
                <w:b w:val="1"/>
                <w:bCs w:val="1"/>
                <w:color w:val="auto"/>
              </w:rPr>
              <w:t>DECEMBER 31, 2017</w:t>
            </w:r>
          </w:p>
        </w:tc>
      </w:tr>
      <w:tr>
        <w:trPr>
          <w:trHeight w:val="237"/>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43,105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40,688</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Accounts receivable - gift cards, net</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17,339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66,361</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 vendors,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19,483</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Accounts receivable - franchisees, net</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2,055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2,017</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 other,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18,886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22,808</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Deferred gift card sales commissions</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9,175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16,231</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held for sale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6,217</w:t>
            </w:r>
          </w:p>
        </w:tc>
      </w:tr>
      <w:tr>
        <w:trPr>
          <w:trHeight w:val="270"/>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current assets, net</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9,147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5,597</w:t>
            </w:r>
          </w:p>
        </w:tc>
      </w:tr>
      <w:tr>
        <w:trPr>
          <w:trHeight w:val="255"/>
        </w:trPr>
        <w:tc>
          <w:tcPr>
            <w:tcW w:w="7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113,208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179,402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0" w:type="dxa"/>
            <w:vAlign w:val="bottom"/>
          </w:tcPr>
          <w:p>
            <w:pPr>
              <w:spacing w:after="0"/>
              <w:rPr>
                <w:sz w:val="20"/>
                <w:szCs w:val="20"/>
                <w:color w:val="auto"/>
              </w:rPr>
            </w:pPr>
            <w:r>
              <w:rPr>
                <w:rFonts w:ascii="Arial" w:cs="Arial" w:eastAsia="Arial" w:hAnsi="Arial"/>
                <w:sz w:val="20"/>
                <w:szCs w:val="20"/>
                <w:color w:val="auto"/>
              </w:rPr>
              <w:t>7.</w:t>
            </w:r>
          </w:p>
        </w:tc>
        <w:tc>
          <w:tcPr>
            <w:tcW w:w="7480" w:type="dxa"/>
            <w:vAlign w:val="bottom"/>
          </w:tcPr>
          <w:p>
            <w:pPr>
              <w:ind w:left="260"/>
              <w:spacing w:after="0"/>
              <w:rPr>
                <w:sz w:val="20"/>
                <w:szCs w:val="20"/>
                <w:color w:val="auto"/>
              </w:rPr>
            </w:pPr>
            <w:r>
              <w:rPr>
                <w:rFonts w:ascii="Arial" w:cs="Arial" w:eastAsia="Arial" w:hAnsi="Arial"/>
                <w:sz w:val="20"/>
                <w:szCs w:val="20"/>
                <w:color w:val="auto"/>
              </w:rPr>
              <w:t>Accrued and Other Current Liabilities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459"/>
        </w:trPr>
        <w:tc>
          <w:tcPr>
            <w:tcW w:w="7900" w:type="dxa"/>
            <w:vAlign w:val="bottom"/>
            <w:gridSpan w:val="2"/>
          </w:tcPr>
          <w:p>
            <w:pPr>
              <w:spacing w:after="0"/>
              <w:rPr>
                <w:sz w:val="20"/>
                <w:szCs w:val="20"/>
                <w:color w:val="auto"/>
              </w:rPr>
            </w:pPr>
            <w:r>
              <w:rPr>
                <w:rFonts w:ascii="Arial" w:cs="Arial" w:eastAsia="Arial" w:hAnsi="Arial"/>
                <w:sz w:val="20"/>
                <w:szCs w:val="20"/>
                <w:color w:val="auto"/>
              </w:rPr>
              <w:t>Accrued and other current liabilities consisted of the following:</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95"/>
        </w:trPr>
        <w:tc>
          <w:tcPr>
            <w:tcW w:w="7900" w:type="dxa"/>
            <w:vAlign w:val="bottom"/>
            <w:gridSpan w:val="2"/>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24"/>
                <w:szCs w:val="2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220" w:type="dxa"/>
            <w:vAlign w:val="bottom"/>
          </w:tcPr>
          <w:p>
            <w:pPr>
              <w:spacing w:after="0"/>
              <w:rPr>
                <w:sz w:val="24"/>
                <w:szCs w:val="24"/>
                <w:color w:val="auto"/>
              </w:rPr>
            </w:pPr>
          </w:p>
        </w:tc>
        <w:tc>
          <w:tcPr>
            <w:tcW w:w="1820" w:type="dxa"/>
            <w:vAlign w:val="bottom"/>
          </w:tcPr>
          <w:p>
            <w:pPr>
              <w:jc w:val="right"/>
              <w:ind w:right="261"/>
              <w:spacing w:after="0"/>
              <w:rPr>
                <w:sz w:val="20"/>
                <w:szCs w:val="20"/>
                <w:color w:val="auto"/>
              </w:rPr>
            </w:pPr>
            <w:r>
              <w:rPr>
                <w:rFonts w:ascii="Arial" w:cs="Arial" w:eastAsia="Arial" w:hAnsi="Arial"/>
                <w:sz w:val="14"/>
                <w:szCs w:val="14"/>
                <w:b w:val="1"/>
                <w:bCs w:val="1"/>
                <w:color w:val="auto"/>
              </w:rPr>
              <w:t>DECEMBER 31, 2017</w:t>
            </w:r>
          </w:p>
        </w:tc>
      </w:tr>
      <w:tr>
        <w:trPr>
          <w:trHeight w:val="237"/>
        </w:trPr>
        <w:tc>
          <w:tcPr>
            <w:tcW w:w="79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Accrued payroll and other compensation</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86,447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113,636</w:t>
            </w: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6"/>
                <w:szCs w:val="16"/>
                <w:color w:val="auto"/>
              </w:rPr>
              <w:t>Accrued insurance</w:t>
            </w:r>
          </w:p>
        </w:tc>
        <w:tc>
          <w:tcPr>
            <w:tcW w:w="18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23,765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21"/>
              <w:spacing w:after="0"/>
              <w:rPr>
                <w:sz w:val="20"/>
                <w:szCs w:val="20"/>
                <w:color w:val="auto"/>
              </w:rPr>
            </w:pPr>
            <w:r>
              <w:rPr>
                <w:rFonts w:ascii="Arial" w:cs="Arial" w:eastAsia="Arial" w:hAnsi="Arial"/>
                <w:sz w:val="16"/>
                <w:szCs w:val="16"/>
                <w:color w:val="auto"/>
              </w:rPr>
              <w:t>23,482</w:t>
            </w:r>
          </w:p>
        </w:tc>
      </w:tr>
      <w:tr>
        <w:trPr>
          <w:trHeight w:val="33"/>
        </w:trPr>
        <w:tc>
          <w:tcPr>
            <w:tcW w:w="7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69"/>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108,270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133,722</w:t>
            </w:r>
          </w:p>
        </w:tc>
      </w:tr>
      <w:tr>
        <w:trPr>
          <w:trHeight w:val="224"/>
        </w:trPr>
        <w:tc>
          <w:tcPr>
            <w:tcW w:w="420" w:type="dxa"/>
            <w:vAlign w:val="bottom"/>
            <w:tcBorders>
              <w:top w:val="single" w:sz="8" w:color="CCEEFF"/>
            </w:tcBorders>
          </w:tcPr>
          <w:p>
            <w:pPr>
              <w:spacing w:after="0"/>
              <w:rPr>
                <w:sz w:val="19"/>
                <w:szCs w:val="19"/>
                <w:color w:val="auto"/>
              </w:rPr>
            </w:pPr>
          </w:p>
        </w:tc>
        <w:tc>
          <w:tcPr>
            <w:tcW w:w="748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218,482</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270,840</w:t>
            </w:r>
          </w:p>
        </w:tc>
      </w:tr>
      <w:tr>
        <w:trPr>
          <w:trHeight w:val="33"/>
        </w:trPr>
        <w:tc>
          <w:tcPr>
            <w:tcW w:w="4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
        </w:trPr>
        <w:tc>
          <w:tcPr>
            <w:tcW w:w="4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8.</w:t>
      </w:r>
      <w:r>
        <w:rPr>
          <w:sz w:val="20"/>
          <w:szCs w:val="20"/>
          <w:color w:val="auto"/>
        </w:rPr>
        <w:tab/>
      </w:r>
      <w:r>
        <w:rPr>
          <w:rFonts w:ascii="Arial" w:cs="Arial" w:eastAsia="Arial" w:hAnsi="Arial"/>
          <w:sz w:val="18"/>
          <w:szCs w:val="18"/>
          <w:color w:val="auto"/>
        </w:rPr>
        <w:t>Long-term Debt, Net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outstanding long-term debt: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40" w:type="dxa"/>
            <w:vAlign w:val="bottom"/>
            <w:gridSpan w:val="4"/>
          </w:tcPr>
          <w:p>
            <w:pPr>
              <w:ind w:left="106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17"/>
                <w:szCs w:val="17"/>
                <w:color w:val="auto"/>
              </w:rPr>
            </w:pPr>
          </w:p>
        </w:tc>
        <w:tc>
          <w:tcPr>
            <w:tcW w:w="3140" w:type="dxa"/>
            <w:vAlign w:val="bottom"/>
            <w:gridSpan w:val="3"/>
          </w:tcPr>
          <w:p>
            <w:pPr>
              <w:jc w:val="right"/>
              <w:ind w:right="882"/>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181"/>
              <w:spacing w:after="0" w:line="153" w:lineRule="exact"/>
              <w:rPr>
                <w:sz w:val="20"/>
                <w:szCs w:val="20"/>
                <w:color w:val="auto"/>
              </w:rPr>
            </w:pPr>
            <w:r>
              <w:rPr>
                <w:rFonts w:ascii="Arial" w:cs="Arial" w:eastAsia="Arial" w:hAnsi="Arial"/>
                <w:sz w:val="14"/>
                <w:szCs w:val="14"/>
                <w:b w:val="1"/>
                <w:bCs w:val="1"/>
                <w:color w:val="auto"/>
              </w:rPr>
              <w:t>OUTSTANDING</w:t>
            </w:r>
          </w:p>
        </w:tc>
        <w:tc>
          <w:tcPr>
            <w:tcW w:w="12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181"/>
              <w:spacing w:after="0" w:line="153" w:lineRule="exact"/>
              <w:rPr>
                <w:sz w:val="20"/>
                <w:szCs w:val="20"/>
                <w:color w:val="auto"/>
              </w:rPr>
            </w:pPr>
            <w:r>
              <w:rPr>
                <w:rFonts w:ascii="Arial" w:cs="Arial" w:eastAsia="Arial" w:hAnsi="Arial"/>
                <w:sz w:val="14"/>
                <w:szCs w:val="14"/>
                <w:b w:val="1"/>
                <w:bCs w:val="1"/>
                <w:color w:val="auto"/>
              </w:rPr>
              <w:t>OUTSTANDING</w:t>
            </w:r>
          </w:p>
        </w:tc>
        <w:tc>
          <w:tcPr>
            <w:tcW w:w="1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66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7"/>
                <w:szCs w:val="17"/>
                <w:color w:val="auto"/>
              </w:rPr>
            </w:pPr>
          </w:p>
        </w:tc>
        <w:tc>
          <w:tcPr>
            <w:tcW w:w="1380" w:type="dxa"/>
            <w:vAlign w:val="bottom"/>
          </w:tcPr>
          <w:p>
            <w:pPr>
              <w:jc w:val="right"/>
              <w:ind w:right="361"/>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7"/>
                <w:szCs w:val="17"/>
                <w:color w:val="auto"/>
              </w:rPr>
            </w:pP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INTEREST RATE</w:t>
            </w:r>
          </w:p>
        </w:tc>
        <w:tc>
          <w:tcPr>
            <w:tcW w:w="180" w:type="dxa"/>
            <w:vAlign w:val="bottom"/>
          </w:tcPr>
          <w:p>
            <w:pPr>
              <w:spacing w:after="0"/>
              <w:rPr>
                <w:sz w:val="17"/>
                <w:szCs w:val="17"/>
                <w:color w:val="auto"/>
              </w:rPr>
            </w:pPr>
          </w:p>
        </w:tc>
        <w:tc>
          <w:tcPr>
            <w:tcW w:w="1400" w:type="dxa"/>
            <w:vAlign w:val="bottom"/>
          </w:tcPr>
          <w:p>
            <w:pPr>
              <w:jc w:val="right"/>
              <w:ind w:right="361"/>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7"/>
                <w:szCs w:val="17"/>
                <w:color w:val="auto"/>
              </w:rPr>
            </w:pPr>
          </w:p>
        </w:tc>
        <w:tc>
          <w:tcPr>
            <w:tcW w:w="1640" w:type="dxa"/>
            <w:vAlign w:val="bottom"/>
          </w:tcPr>
          <w:p>
            <w:pPr>
              <w:jc w:val="right"/>
              <w:ind w:right="162"/>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250"/>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520"/>
              <w:spacing w:after="0"/>
              <w:rPr>
                <w:sz w:val="20"/>
                <w:szCs w:val="20"/>
                <w:color w:val="auto"/>
              </w:rPr>
            </w:pPr>
            <w:r>
              <w:rPr>
                <w:rFonts w:ascii="Arial" w:cs="Arial" w:eastAsia="Arial" w:hAnsi="Arial"/>
                <w:sz w:val="16"/>
                <w:szCs w:val="16"/>
                <w:color w:val="auto"/>
              </w:rPr>
              <w:t>Term loan A (1)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487,500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3.78%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500,000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Revolving credit facility (1)</w:t>
            </w: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633,500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600,000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Senior Secured Credit Facility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1,121,000</w:t>
            </w:r>
          </w:p>
        </w:tc>
        <w:tc>
          <w:tcPr>
            <w:tcW w:w="120" w:type="dxa"/>
            <w:vAlign w:val="bottom"/>
            <w:tcBorders>
              <w:bottom w:val="single" w:sz="8" w:color="CCEEFF"/>
            </w:tcBorders>
          </w:tcPr>
          <w:p>
            <w:pPr>
              <w:spacing w:after="0"/>
              <w:rPr>
                <w:sz w:val="23"/>
                <w:szCs w:val="23"/>
                <w:color w:val="auto"/>
              </w:rPr>
            </w:pPr>
          </w:p>
        </w:tc>
        <w:tc>
          <w:tcPr>
            <w:tcW w:w="16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1,100,000</w:t>
            </w:r>
          </w:p>
        </w:tc>
        <w:tc>
          <w:tcPr>
            <w:tcW w:w="100" w:type="dxa"/>
            <w:vAlign w:val="bottom"/>
            <w:tcBorders>
              <w:bottom w:val="single" w:sz="8" w:color="CCEEFF"/>
            </w:tcBorders>
          </w:tcPr>
          <w:p>
            <w:pPr>
              <w:spacing w:after="0"/>
              <w:rPr>
                <w:sz w:val="23"/>
                <w:szCs w:val="23"/>
                <w:color w:val="auto"/>
              </w:rPr>
            </w:pPr>
          </w:p>
        </w:tc>
        <w:tc>
          <w:tcPr>
            <w:tcW w:w="16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obligations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19,571</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7.66% to 7.82%</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19,579</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7.52% to 7.82%</w:t>
            </w: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6"/>
                <w:szCs w:val="16"/>
                <w:color w:val="auto"/>
              </w:rPr>
              <w:t>Capital lease obligations</w:t>
            </w:r>
          </w:p>
        </w:tc>
        <w:tc>
          <w:tcPr>
            <w:tcW w:w="20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2,958</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notes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1.03% to 2.18%</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0.00% to 2.18%</w:t>
            </w: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unamortized debt discount and issuance costs</w:t>
            </w: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(3,941)</w:t>
            </w:r>
          </w:p>
        </w:tc>
        <w:tc>
          <w:tcPr>
            <w:tcW w:w="120" w:type="dxa"/>
            <w:vAlign w:val="bottom"/>
            <w:tcBorders>
              <w:bottom w:val="single" w:sz="8" w:color="CCEEFF"/>
            </w:tcBorders>
          </w:tcPr>
          <w:p>
            <w:pPr>
              <w:spacing w:after="0"/>
              <w:rPr>
                <w:sz w:val="23"/>
                <w:szCs w:val="23"/>
                <w:color w:val="auto"/>
              </w:rPr>
            </w:pPr>
          </w:p>
        </w:tc>
        <w:tc>
          <w:tcPr>
            <w:tcW w:w="16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(4,394)</w:t>
            </w:r>
          </w:p>
        </w:tc>
        <w:tc>
          <w:tcPr>
            <w:tcW w:w="100" w:type="dxa"/>
            <w:vAlign w:val="bottom"/>
            <w:tcBorders>
              <w:bottom w:val="single" w:sz="8" w:color="CCEEFF"/>
            </w:tcBorders>
          </w:tcPr>
          <w:p>
            <w:pPr>
              <w:spacing w:after="0"/>
              <w:rPr>
                <w:sz w:val="23"/>
                <w:szCs w:val="23"/>
                <w:color w:val="auto"/>
              </w:rPr>
            </w:pPr>
          </w:p>
        </w:tc>
        <w:tc>
          <w:tcPr>
            <w:tcW w:w="16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debt,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1,139,729</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1,118,104</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current portion of long-term debt</w:t>
            </w: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(25,964)</w:t>
            </w:r>
          </w:p>
        </w:tc>
        <w:tc>
          <w:tcPr>
            <w:tcW w:w="120" w:type="dxa"/>
            <w:vAlign w:val="bottom"/>
            <w:tcBorders>
              <w:bottom w:val="single" w:sz="8" w:color="CCEEFF"/>
            </w:tcBorders>
          </w:tcPr>
          <w:p>
            <w:pPr>
              <w:spacing w:after="0"/>
              <w:rPr>
                <w:sz w:val="23"/>
                <w:szCs w:val="23"/>
                <w:color w:val="auto"/>
              </w:rPr>
            </w:pPr>
          </w:p>
        </w:tc>
        <w:tc>
          <w:tcPr>
            <w:tcW w:w="16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(26,335)</w:t>
            </w:r>
          </w:p>
        </w:tc>
        <w:tc>
          <w:tcPr>
            <w:tcW w:w="100" w:type="dxa"/>
            <w:vAlign w:val="bottom"/>
            <w:tcBorders>
              <w:bottom w:val="single" w:sz="8" w:color="CCEEFF"/>
            </w:tcBorders>
          </w:tcPr>
          <w:p>
            <w:pPr>
              <w:spacing w:after="0"/>
              <w:rPr>
                <w:sz w:val="23"/>
                <w:szCs w:val="23"/>
                <w:color w:val="auto"/>
              </w:rPr>
            </w:pPr>
          </w:p>
        </w:tc>
        <w:tc>
          <w:tcPr>
            <w:tcW w:w="16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1,113,765</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1,091,769</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the weighted-average interest rate for the respective period.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Debt Covenants - </w:t>
      </w:r>
      <w:r>
        <w:rPr>
          <w:rFonts w:ascii="Arial" w:cs="Arial" w:eastAsia="Arial" w:hAnsi="Arial"/>
          <w:sz w:val="20"/>
          <w:szCs w:val="20"/>
          <w:color w:val="auto"/>
        </w:rPr>
        <w:t>As of July 1, 2018 and December 31, 2017, the Company was in compliance with its debt covenants.</w:t>
      </w:r>
    </w:p>
    <w:p>
      <w:pPr>
        <w:spacing w:after="0" w:line="229"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Stockholders’ Equity</w:t>
      </w: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Share Repurchases </w:t>
      </w:r>
      <w:r>
        <w:rPr>
          <w:rFonts w:ascii="Arial" w:cs="Arial" w:eastAsia="Arial" w:hAnsi="Arial"/>
          <w:sz w:val="20"/>
          <w:szCs w:val="20"/>
          <w:color w:val="auto"/>
        </w:rPr>
        <w:t>- On February 16, 2018, the Company’s Board of Directors (the “Board”) canceled the remaining $55.0 million of</w:t>
      </w:r>
      <w:r>
        <w:rPr>
          <w:rFonts w:ascii="Arial" w:cs="Arial" w:eastAsia="Arial" w:hAnsi="Arial"/>
          <w:sz w:val="20"/>
          <w:szCs w:val="20"/>
          <w:i w:val="1"/>
          <w:iCs w:val="1"/>
          <w:color w:val="auto"/>
        </w:rPr>
        <w:t xml:space="preserve"> </w:t>
      </w:r>
      <w:r>
        <w:rPr>
          <w:rFonts w:ascii="Arial" w:cs="Arial" w:eastAsia="Arial" w:hAnsi="Arial"/>
          <w:sz w:val="20"/>
          <w:szCs w:val="20"/>
          <w:color w:val="auto"/>
        </w:rPr>
        <w:t>authorization under the 2017 Share Repurchase Program and approved a new $150.0 million authorization (the “2018 Share Repurchase Program”). The 2018 Share Repurchase Program will expire on August 16, 2019. As of July 1, 2018, $69.0 million remained available for repurchase under the 2018 Share Repurchase Program. Following is a summary of the shares repurchased under the Company’s share repurchase program during fiscal year 2018:</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74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1460" w:type="dxa"/>
            <w:vAlign w:val="bottom"/>
            <w:vMerge w:val="restart"/>
          </w:tcPr>
          <w:p>
            <w:pPr>
              <w:jc w:val="right"/>
              <w:ind w:right="38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REPURCHASE PRICE</w:t>
            </w: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628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w w:val="90"/>
              </w:rPr>
              <w:t>(dollars in thousands)</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First fiscal quarter</w:t>
            </w:r>
          </w:p>
        </w:tc>
        <w:tc>
          <w:tcPr>
            <w:tcW w:w="1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2,116</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24.10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50,996</w:t>
            </w:r>
          </w:p>
        </w:tc>
        <w:tc>
          <w:tcPr>
            <w:tcW w:w="0" w:type="dxa"/>
            <w:vAlign w:val="bottom"/>
          </w:tcPr>
          <w:p>
            <w:pPr>
              <w:spacing w:after="0"/>
              <w:rPr>
                <w:sz w:val="1"/>
                <w:szCs w:val="1"/>
                <w:color w:val="auto"/>
              </w:rPr>
            </w:pPr>
          </w:p>
        </w:tc>
      </w:tr>
      <w:tr>
        <w:trPr>
          <w:trHeight w:val="270"/>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Second fiscal quarter</w:t>
            </w:r>
          </w:p>
        </w:tc>
        <w:tc>
          <w:tcPr>
            <w:tcW w:w="17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1,287</w:t>
            </w:r>
          </w:p>
        </w:tc>
        <w:tc>
          <w:tcPr>
            <w:tcW w:w="360" w:type="dxa"/>
            <w:vAlign w:val="bottom"/>
            <w:tcBorders>
              <w:bottom w:val="single" w:sz="8" w:color="CCEEFF"/>
            </w:tcBorders>
            <w:gridSpan w:val="2"/>
          </w:tcPr>
          <w:p>
            <w:pPr>
              <w:jc w:val="right"/>
              <w:ind w:right="68"/>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tcPr>
          <w:p>
            <w:pPr>
              <w:jc w:val="right"/>
              <w:ind w:right="43"/>
              <w:spacing w:after="0"/>
              <w:rPr>
                <w:sz w:val="20"/>
                <w:szCs w:val="20"/>
                <w:color w:val="auto"/>
              </w:rPr>
            </w:pPr>
            <w:r>
              <w:rPr>
                <w:rFonts w:ascii="Arial" w:cs="Arial" w:eastAsia="Arial" w:hAnsi="Arial"/>
                <w:sz w:val="16"/>
                <w:szCs w:val="16"/>
                <w:color w:val="auto"/>
              </w:rPr>
              <w:t>23.31</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30,004</w:t>
            </w: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common stock repurchases</w:t>
            </w:r>
          </w:p>
        </w:tc>
        <w:tc>
          <w:tcPr>
            <w:tcW w:w="17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3,403</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23.80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81,000</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Dividends - </w:t>
      </w:r>
      <w:r>
        <w:rPr>
          <w:rFonts w:ascii="Arial" w:cs="Arial" w:eastAsia="Arial" w:hAnsi="Arial"/>
          <w:sz w:val="20"/>
          <w:szCs w:val="20"/>
          <w:color w:val="auto"/>
        </w:rPr>
        <w:t>The Company declared and paid dividends per share during fiscal year 2018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DIVIDENDS PER</w:t>
            </w:r>
          </w:p>
        </w:tc>
        <w:tc>
          <w:tcPr>
            <w:tcW w:w="160" w:type="dxa"/>
            <w:vAlign w:val="bottom"/>
          </w:tcPr>
          <w:p>
            <w:pPr>
              <w:spacing w:after="0"/>
              <w:rPr>
                <w:sz w:val="14"/>
                <w:szCs w:val="14"/>
                <w:color w:val="auto"/>
              </w:rPr>
            </w:pPr>
          </w:p>
        </w:tc>
        <w:tc>
          <w:tcPr>
            <w:tcW w:w="1640" w:type="dxa"/>
            <w:vAlign w:val="bottom"/>
          </w:tcPr>
          <w:p>
            <w:pPr>
              <w:jc w:val="right"/>
              <w:ind w:right="503"/>
              <w:spacing w:after="0"/>
              <w:rPr>
                <w:sz w:val="20"/>
                <w:szCs w:val="20"/>
                <w:color w:val="auto"/>
              </w:rPr>
            </w:pPr>
            <w:r>
              <w:rPr>
                <w:rFonts w:ascii="Arial" w:cs="Arial" w:eastAsia="Arial" w:hAnsi="Arial"/>
                <w:sz w:val="14"/>
                <w:szCs w:val="14"/>
                <w:b w:val="1"/>
                <w:bCs w:val="1"/>
                <w:color w:val="auto"/>
              </w:rPr>
              <w:t>AMOUNT</w:t>
            </w:r>
          </w:p>
        </w:tc>
      </w:tr>
      <w:tr>
        <w:trPr>
          <w:trHeight w:val="205"/>
        </w:trPr>
        <w:tc>
          <w:tcPr>
            <w:tcW w:w="8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7"/>
                <w:szCs w:val="17"/>
                <w:color w:val="auto"/>
              </w:rPr>
            </w:pPr>
          </w:p>
        </w:tc>
        <w:tc>
          <w:tcPr>
            <w:tcW w:w="1640" w:type="dxa"/>
            <w:vAlign w:val="bottom"/>
          </w:tcPr>
          <w:p>
            <w:pPr>
              <w:jc w:val="right"/>
              <w:ind w:right="163"/>
              <w:spacing w:after="0"/>
              <w:rPr>
                <w:sz w:val="20"/>
                <w:szCs w:val="20"/>
                <w:color w:val="auto"/>
              </w:rPr>
            </w:pPr>
            <w:r>
              <w:rPr>
                <w:rFonts w:ascii="Arial" w:cs="Arial" w:eastAsia="Arial" w:hAnsi="Arial"/>
                <w:sz w:val="14"/>
                <w:szCs w:val="14"/>
                <w:b w:val="1"/>
                <w:bCs w:val="1"/>
                <w:color w:val="auto"/>
                <w:w w:val="94"/>
              </w:rPr>
              <w:t>(dollars in thousands)</w:t>
            </w:r>
          </w:p>
        </w:tc>
      </w:tr>
      <w:tr>
        <w:trPr>
          <w:trHeight w:val="237"/>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First fiscal quarter</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8,371</w:t>
            </w:r>
          </w:p>
        </w:tc>
      </w:tr>
      <w:tr>
        <w:trPr>
          <w:trHeight w:val="270"/>
        </w:trPr>
        <w:tc>
          <w:tcPr>
            <w:tcW w:w="8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Second fiscal quarter</w:t>
            </w: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8,363</w:t>
            </w: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cash dividends declared and paid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16,734</w:t>
            </w: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July 2018, the Board declared a quarterly cash dividend of $0.09 per share, payable on August 22, 2018, to shareholders of record at the close of business on August 9, 2018.</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Accumulated Other Comprehensive Loss - </w:t>
      </w:r>
      <w:r>
        <w:rPr>
          <w:rFonts w:ascii="Arial" w:cs="Arial" w:eastAsia="Arial" w:hAnsi="Arial"/>
          <w:sz w:val="20"/>
          <w:szCs w:val="20"/>
          <w:color w:val="auto"/>
        </w:rPr>
        <w:t>Following are the components of Accumulated other comprehensive loss: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220" w:type="dxa"/>
            <w:vAlign w:val="bottom"/>
          </w:tcPr>
          <w:p>
            <w:pPr>
              <w:spacing w:after="0"/>
              <w:rPr>
                <w:sz w:val="17"/>
                <w:szCs w:val="17"/>
                <w:color w:val="auto"/>
              </w:rPr>
            </w:pPr>
          </w:p>
        </w:tc>
        <w:tc>
          <w:tcPr>
            <w:tcW w:w="1820" w:type="dxa"/>
            <w:vAlign w:val="bottom"/>
          </w:tcPr>
          <w:p>
            <w:pPr>
              <w:jc w:val="right"/>
              <w:ind w:right="261"/>
              <w:spacing w:after="0"/>
              <w:rPr>
                <w:sz w:val="20"/>
                <w:szCs w:val="20"/>
                <w:color w:val="auto"/>
              </w:rPr>
            </w:pPr>
            <w:r>
              <w:rPr>
                <w:rFonts w:ascii="Arial" w:cs="Arial" w:eastAsia="Arial" w:hAnsi="Arial"/>
                <w:sz w:val="14"/>
                <w:szCs w:val="14"/>
                <w:b w:val="1"/>
                <w:bCs w:val="1"/>
                <w:color w:val="auto"/>
              </w:rPr>
              <w:t>DECEMBER 31, 2017</w:t>
            </w:r>
          </w:p>
        </w:tc>
      </w:tr>
      <w:tr>
        <w:trPr>
          <w:trHeight w:val="237"/>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(127,609)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(98,573)</w:t>
            </w:r>
          </w:p>
        </w:tc>
      </w:tr>
      <w:tr>
        <w:trPr>
          <w:trHeight w:val="270"/>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Unrealized gains (losses) on derivatives, net of tax</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937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w:t>
            </w: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(99,199)</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Following are the components of the Company’s Other comprehensive (loss) income during the periods presented: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22"/>
                <w:szCs w:val="22"/>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25, 2017</w:t>
            </w:r>
          </w:p>
        </w:tc>
        <w:tc>
          <w:tcPr>
            <w:tcW w:w="18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180" w:type="dxa"/>
            <w:vAlign w:val="bottom"/>
          </w:tcPr>
          <w:p>
            <w:pPr>
              <w:jc w:val="right"/>
              <w:ind w:right="140"/>
              <w:spacing w:after="0"/>
              <w:rPr>
                <w:sz w:val="20"/>
                <w:szCs w:val="20"/>
                <w:color w:val="auto"/>
              </w:rPr>
            </w:pPr>
            <w:r>
              <w:rPr>
                <w:rFonts w:ascii="Arial" w:cs="Arial" w:eastAsia="Arial" w:hAnsi="Arial"/>
                <w:sz w:val="14"/>
                <w:szCs w:val="14"/>
                <w:b w:val="1"/>
                <w:bCs w:val="1"/>
                <w:color w:val="auto"/>
                <w:w w:val="98"/>
              </w:rPr>
              <w:t>JUNE 25, 2017</w:t>
            </w:r>
          </w:p>
        </w:tc>
        <w:tc>
          <w:tcPr>
            <w:tcW w:w="0" w:type="dxa"/>
            <w:vAlign w:val="bottom"/>
          </w:tcPr>
          <w:p>
            <w:pPr>
              <w:spacing w:after="0"/>
              <w:rPr>
                <w:sz w:val="1"/>
                <w:szCs w:val="1"/>
                <w:color w:val="auto"/>
              </w:rPr>
            </w:pPr>
          </w:p>
        </w:tc>
      </w:tr>
      <w:tr>
        <w:trPr>
          <w:trHeight w:val="237"/>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11,401</w:t>
            </w:r>
          </w:p>
        </w:tc>
        <w:tc>
          <w:tcPr>
            <w:tcW w:w="0" w:type="dxa"/>
            <w:vAlign w:val="bottom"/>
          </w:tcPr>
          <w:p>
            <w:pPr>
              <w:spacing w:after="0"/>
              <w:rPr>
                <w:sz w:val="1"/>
                <w:szCs w:val="1"/>
                <w:color w:val="auto"/>
              </w:rPr>
            </w:pPr>
          </w:p>
        </w:tc>
      </w:tr>
      <w:tr>
        <w:trPr>
          <w:trHeight w:val="297"/>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gain (loss) on derivatives, net of tax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20"/>
        </w:trPr>
        <w:tc>
          <w:tcPr>
            <w:tcW w:w="5620" w:type="dxa"/>
            <w:vAlign w:val="bottom"/>
          </w:tcPr>
          <w:p>
            <w:pPr>
              <w:ind w:left="40"/>
              <w:spacing w:after="0"/>
              <w:rPr>
                <w:sz w:val="20"/>
                <w:szCs w:val="20"/>
                <w:color w:val="auto"/>
              </w:rPr>
            </w:pPr>
            <w:r>
              <w:rPr>
                <w:rFonts w:ascii="Arial" w:cs="Arial" w:eastAsia="Arial" w:hAnsi="Arial"/>
                <w:sz w:val="16"/>
                <w:szCs w:val="16"/>
                <w:color w:val="auto"/>
                <w:w w:val="94"/>
              </w:rPr>
              <w:t>Reclassification of adjustment for loss on derivatives included in Net income, net of</w:t>
            </w:r>
          </w:p>
        </w:tc>
        <w:tc>
          <w:tcPr>
            <w:tcW w:w="180" w:type="dxa"/>
            <w:vAlign w:val="bottom"/>
          </w:tcPr>
          <w:p>
            <w:pPr>
              <w:spacing w:after="0"/>
              <w:rPr>
                <w:sz w:val="19"/>
                <w:szCs w:val="19"/>
                <w:color w:val="auto"/>
              </w:rPr>
            </w:pPr>
          </w:p>
        </w:tc>
        <w:tc>
          <w:tcPr>
            <w:tcW w:w="1200" w:type="dxa"/>
            <w:vAlign w:val="bottom"/>
            <w:vMerge w:val="restart"/>
          </w:tcPr>
          <w:p>
            <w:pPr>
              <w:jc w:val="right"/>
              <w:ind w:right="42"/>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vMerge w:val="restart"/>
          </w:tcPr>
          <w:p>
            <w:pPr>
              <w:jc w:val="right"/>
              <w:ind w:right="20"/>
              <w:spacing w:after="0"/>
              <w:rPr>
                <w:sz w:val="20"/>
                <w:szCs w:val="20"/>
                <w:color w:val="auto"/>
              </w:rPr>
            </w:pPr>
            <w:r>
              <w:rPr>
                <w:rFonts w:ascii="Arial" w:cs="Arial" w:eastAsia="Arial" w:hAnsi="Arial"/>
                <w:sz w:val="16"/>
                <w:szCs w:val="16"/>
                <w:color w:val="auto"/>
              </w:rPr>
              <w:t>643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vMerge w:val="restart"/>
          </w:tcPr>
          <w:p>
            <w:pPr>
              <w:jc w:val="right"/>
              <w:ind w:right="22"/>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vMerge w:val="restart"/>
          </w:tcPr>
          <w:p>
            <w:pPr>
              <w:jc w:val="right"/>
              <w:ind w:right="20"/>
              <w:spacing w:after="0"/>
              <w:rPr>
                <w:sz w:val="20"/>
                <w:szCs w:val="20"/>
                <w:color w:val="auto"/>
              </w:rPr>
            </w:pPr>
            <w:r>
              <w:rPr>
                <w:rFonts w:ascii="Arial" w:cs="Arial" w:eastAsia="Arial" w:hAnsi="Arial"/>
                <w:sz w:val="16"/>
                <w:szCs w:val="16"/>
                <w:color w:val="auto"/>
              </w:rPr>
              <w:t>1,427</w:t>
            </w:r>
          </w:p>
        </w:tc>
        <w:tc>
          <w:tcPr>
            <w:tcW w:w="0" w:type="dxa"/>
            <w:vAlign w:val="bottom"/>
          </w:tcPr>
          <w:p>
            <w:pPr>
              <w:spacing w:after="0"/>
              <w:rPr>
                <w:sz w:val="1"/>
                <w:szCs w:val="1"/>
                <w:color w:val="auto"/>
              </w:rPr>
            </w:pPr>
          </w:p>
        </w:tc>
      </w:tr>
      <w:tr>
        <w:trPr>
          <w:trHeight w:val="239"/>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tax (2)</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unrealized gain on derivatives, net of tax</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367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1,563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 income attributable to Bloomin’ Brands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(30,035)</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(9,143)</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(27,473)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12,319</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6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46"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Unrealized gain (loss) on derivatives is net of tax of $0.1 million and $(0.4) million for the thirteen weeks ended July 1, 2018 and June 25, 2017, respectively, and $0.4 million and ($0.3) million for the twenty-six weeks ended July 1, 2018 and June 25, 2017, respectively.</w:t>
      </w:r>
    </w:p>
    <w:p>
      <w:pPr>
        <w:ind w:left="660" w:hanging="652"/>
        <w:spacing w:after="0" w:line="257"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Reclassifications of adjustments for losses on derivatives are net of tax of $0.4 million for the thirteen weeks ended June 25, 2017 and $0.1 million and $0.9 million for the twenty-six weeks ended July 1, 2018 and June 25, 2017, respectively.</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10.</w:t>
      </w:r>
      <w:r>
        <w:rPr>
          <w:sz w:val="20"/>
          <w:szCs w:val="20"/>
          <w:color w:val="auto"/>
        </w:rPr>
        <w:tab/>
      </w:r>
      <w:r>
        <w:rPr>
          <w:rFonts w:ascii="Arial" w:cs="Arial" w:eastAsia="Arial" w:hAnsi="Arial"/>
          <w:sz w:val="18"/>
          <w:szCs w:val="18"/>
          <w:color w:val="auto"/>
        </w:rPr>
        <w:t>Derivative Instruments and Hedging Activities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Cash Flow Hedges of Interest Rate Risk - </w:t>
      </w:r>
      <w:r>
        <w:rPr>
          <w:rFonts w:ascii="Arial" w:cs="Arial" w:eastAsia="Arial" w:hAnsi="Arial"/>
          <w:sz w:val="18"/>
          <w:szCs w:val="18"/>
          <w:color w:val="252525"/>
        </w:rPr>
        <w:t>On September 9, 2014, the Company entered into variable-to-fixed interest rate swap agreements</w:t>
      </w:r>
      <w:r>
        <w:rPr>
          <w:rFonts w:ascii="Arial" w:cs="Arial" w:eastAsia="Arial" w:hAnsi="Arial"/>
          <w:sz w:val="18"/>
          <w:szCs w:val="18"/>
          <w:i w:val="1"/>
          <w:iCs w:val="1"/>
          <w:color w:val="auto"/>
        </w:rPr>
        <w:t xml:space="preserve"> </w:t>
      </w:r>
      <w:r>
        <w:rPr>
          <w:rFonts w:ascii="Arial" w:cs="Arial" w:eastAsia="Arial" w:hAnsi="Arial"/>
          <w:sz w:val="18"/>
          <w:szCs w:val="18"/>
          <w:color w:val="252525"/>
        </w:rPr>
        <w:t>with eight counterparties to hedge a portion of the cash flows of the Company’s variable rate debt. The swap agreements have an aggregate notional amount of $400.0 million, a start date of June 30, 2015, and mature on May 16, 2019. Under the terms of the swap agreements, the Company pays a weighted-average fixed rate of 2.02% on the $400.0 million notional amount and receives payments from the counterparty based on the 30-day LIBOR rate. The interest rate swaps, which have been designated and qualify as a cash flow hedge, are recognized on the Company’s Consolidated Balance Sheets at fair value and are classified based on the instruments’ maturity dates.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252525"/>
        </w:rPr>
        <w:t>The following table presents the fair value and classification of the Company’s interest rate swaps: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80" w:type="dxa"/>
            <w:vAlign w:val="bottom"/>
          </w:tcPr>
          <w:p>
            <w:pPr>
              <w:jc w:val="center"/>
              <w:spacing w:after="0"/>
              <w:rPr>
                <w:sz w:val="20"/>
                <w:szCs w:val="20"/>
                <w:color w:val="auto"/>
              </w:rPr>
            </w:pPr>
            <w:r>
              <w:rPr>
                <w:rFonts w:ascii="Arial" w:cs="Arial" w:eastAsia="Arial" w:hAnsi="Arial"/>
                <w:sz w:val="14"/>
                <w:szCs w:val="14"/>
                <w:b w:val="1"/>
                <w:bCs w:val="1"/>
                <w:color w:val="auto"/>
              </w:rPr>
              <w:t>CONSOLIDATED BALANCE SHEET</w:t>
            </w:r>
          </w:p>
        </w:tc>
      </w:tr>
      <w:tr>
        <w:trPr>
          <w:trHeight w:val="205"/>
        </w:trPr>
        <w:tc>
          <w:tcPr>
            <w:tcW w:w="45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2018</w:t>
            </w:r>
          </w:p>
        </w:tc>
        <w:tc>
          <w:tcPr>
            <w:tcW w:w="220" w:type="dxa"/>
            <w:vAlign w:val="bottom"/>
          </w:tcPr>
          <w:p>
            <w:pPr>
              <w:spacing w:after="0"/>
              <w:rPr>
                <w:sz w:val="17"/>
                <w:szCs w:val="17"/>
                <w:color w:val="auto"/>
              </w:rPr>
            </w:pPr>
          </w:p>
        </w:tc>
        <w:tc>
          <w:tcPr>
            <w:tcW w:w="1820" w:type="dxa"/>
            <w:vAlign w:val="bottom"/>
          </w:tcPr>
          <w:p>
            <w:pPr>
              <w:jc w:val="right"/>
              <w:ind w:right="241"/>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Pr>
          <w:p>
            <w:pPr>
              <w:spacing w:after="0"/>
              <w:rPr>
                <w:sz w:val="17"/>
                <w:szCs w:val="17"/>
                <w:color w:val="auto"/>
              </w:rPr>
            </w:pPr>
          </w:p>
        </w:tc>
        <w:tc>
          <w:tcPr>
            <w:tcW w:w="3180" w:type="dxa"/>
            <w:vAlign w:val="bottom"/>
          </w:tcPr>
          <w:p>
            <w:pPr>
              <w:jc w:val="center"/>
              <w:spacing w:after="0"/>
              <w:rPr>
                <w:sz w:val="20"/>
                <w:szCs w:val="20"/>
                <w:color w:val="auto"/>
              </w:rPr>
            </w:pPr>
            <w:r>
              <w:rPr>
                <w:rFonts w:ascii="Arial" w:cs="Arial" w:eastAsia="Arial" w:hAnsi="Arial"/>
                <w:sz w:val="14"/>
                <w:szCs w:val="14"/>
                <w:b w:val="1"/>
                <w:bCs w:val="1"/>
                <w:color w:val="auto"/>
              </w:rPr>
              <w:t>CLASSIFICATION</w:t>
            </w:r>
          </w:p>
        </w:tc>
      </w:tr>
      <w:tr>
        <w:trPr>
          <w:trHeight w:val="237"/>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swaps - asset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assets, net</w:t>
            </w:r>
          </w:p>
        </w:tc>
      </w:tr>
      <w:tr>
        <w:trPr>
          <w:trHeight w:val="270"/>
        </w:trPr>
        <w:tc>
          <w:tcPr>
            <w:tcW w:w="4580" w:type="dxa"/>
            <w:vAlign w:val="bottom"/>
          </w:tcPr>
          <w:p>
            <w:pPr>
              <w:ind w:left="40"/>
              <w:spacing w:after="0"/>
              <w:rPr>
                <w:sz w:val="20"/>
                <w:szCs w:val="20"/>
                <w:color w:val="auto"/>
              </w:rPr>
            </w:pPr>
            <w:r>
              <w:rPr>
                <w:rFonts w:ascii="Arial" w:cs="Arial" w:eastAsia="Arial" w:hAnsi="Arial"/>
                <w:sz w:val="16"/>
                <w:szCs w:val="16"/>
                <w:color w:val="auto"/>
              </w:rPr>
              <w:t>Interest rate swaps - asset</w:t>
            </w:r>
          </w:p>
        </w:tc>
        <w:tc>
          <w:tcPr>
            <w:tcW w:w="20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820" w:type="dxa"/>
            <w:vAlign w:val="bottom"/>
          </w:tcPr>
          <w:p>
            <w:pPr>
              <w:jc w:val="right"/>
              <w:ind w:right="21"/>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3"/>
                <w:szCs w:val="23"/>
                <w:color w:val="auto"/>
              </w:rPr>
            </w:pPr>
          </w:p>
        </w:tc>
        <w:tc>
          <w:tcPr>
            <w:tcW w:w="3180" w:type="dxa"/>
            <w:vAlign w:val="bottom"/>
          </w:tcPr>
          <w:p>
            <w:pPr>
              <w:ind w:left="20"/>
              <w:spacing w:after="0"/>
              <w:rPr>
                <w:sz w:val="20"/>
                <w:szCs w:val="20"/>
                <w:color w:val="auto"/>
              </w:rPr>
            </w:pPr>
            <w:r>
              <w:rPr>
                <w:rFonts w:ascii="Arial" w:cs="Arial" w:eastAsia="Arial" w:hAnsi="Arial"/>
                <w:sz w:val="16"/>
                <w:szCs w:val="16"/>
                <w:color w:val="auto"/>
              </w:rPr>
              <w:t>Other assets, net</w:t>
            </w:r>
          </w:p>
        </w:tc>
      </w:tr>
      <w:tr>
        <w:trPr>
          <w:trHeight w:val="244"/>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fair value of derivative instruments - assets (1)</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1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84"/>
        </w:trPr>
        <w:tc>
          <w:tcPr>
            <w:tcW w:w="4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rate swaps - liability (1)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1,010</w:t>
            </w:r>
          </w:p>
        </w:tc>
        <w:tc>
          <w:tcPr>
            <w:tcW w:w="120" w:type="dxa"/>
            <w:vAlign w:val="bottom"/>
            <w:shd w:val="clear" w:color="auto" w:fill="CCEEFF"/>
          </w:tcPr>
          <w:p>
            <w:pPr>
              <w:spacing w:after="0"/>
              <w:rPr>
                <w:sz w:val="23"/>
                <w:szCs w:val="23"/>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and other current liabilities</w:t>
            </w:r>
          </w:p>
        </w:tc>
      </w:tr>
      <w:tr>
        <w:trPr>
          <w:trHeight w:val="187"/>
        </w:trPr>
        <w:tc>
          <w:tcPr>
            <w:tcW w:w="458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____________________</w:t>
            </w: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180" w:type="dxa"/>
            <w:vAlign w:val="bottom"/>
            <w:tcBorders>
              <w:top w:val="single" w:sz="8" w:color="CCEEFF"/>
            </w:tcBorders>
          </w:tcPr>
          <w:p>
            <w:pPr>
              <w:spacing w:after="0"/>
              <w:rPr>
                <w:sz w:val="16"/>
                <w:szCs w:val="16"/>
                <w:color w:val="auto"/>
              </w:rPr>
            </w:pPr>
          </w:p>
        </w:tc>
      </w:tr>
    </w:tbl>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252525"/>
        </w:rPr>
        <w:t xml:space="preserve">See Note </w:t>
      </w:r>
      <w:r>
        <w:rPr>
          <w:rFonts w:ascii="Arial" w:cs="Arial" w:eastAsia="Arial" w:hAnsi="Arial"/>
          <w:sz w:val="16"/>
          <w:szCs w:val="16"/>
          <w:color w:val="000000"/>
        </w:rPr>
        <w:t>11</w:t>
      </w:r>
      <w:r>
        <w:rPr>
          <w:rFonts w:ascii="Arial" w:cs="Arial" w:eastAsia="Arial" w:hAnsi="Arial"/>
          <w:sz w:val="16"/>
          <w:szCs w:val="16"/>
          <w:color w:val="252525"/>
        </w:rPr>
        <w:t xml:space="preserve"> - </w:t>
      </w:r>
      <w:r>
        <w:rPr>
          <w:rFonts w:ascii="Arial" w:cs="Arial" w:eastAsia="Arial" w:hAnsi="Arial"/>
          <w:sz w:val="16"/>
          <w:szCs w:val="16"/>
          <w:i w:val="1"/>
          <w:iCs w:val="1"/>
          <w:color w:val="000000"/>
        </w:rPr>
        <w:t>Fair Value Measurements</w:t>
      </w:r>
      <w:r>
        <w:rPr>
          <w:rFonts w:ascii="Arial" w:cs="Arial" w:eastAsia="Arial" w:hAnsi="Arial"/>
          <w:sz w:val="16"/>
          <w:szCs w:val="16"/>
          <w:color w:val="252525"/>
        </w:rPr>
        <w:t xml:space="preserve"> for fair value discussion of the interest rate swaps.</w:t>
      </w:r>
    </w:p>
    <w:p>
      <w:pPr>
        <w:spacing w:after="0" w:line="229"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252525"/>
        </w:rPr>
        <w:t>The following table summarizes the effects of the interest rate swaps on Net income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301"/>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22"/>
                <w:szCs w:val="22"/>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25, 2017</w:t>
            </w:r>
          </w:p>
        </w:tc>
        <w:tc>
          <w:tcPr>
            <w:tcW w:w="18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180" w:type="dxa"/>
            <w:vAlign w:val="bottom"/>
          </w:tcPr>
          <w:p>
            <w:pPr>
              <w:jc w:val="right"/>
              <w:ind w:right="141"/>
              <w:spacing w:after="0"/>
              <w:rPr>
                <w:sz w:val="20"/>
                <w:szCs w:val="20"/>
                <w:color w:val="auto"/>
              </w:rPr>
            </w:pPr>
            <w:r>
              <w:rPr>
                <w:rFonts w:ascii="Arial" w:cs="Arial" w:eastAsia="Arial" w:hAnsi="Arial"/>
                <w:sz w:val="14"/>
                <w:szCs w:val="14"/>
                <w:b w:val="1"/>
                <w:bCs w:val="1"/>
                <w:color w:val="auto"/>
                <w:w w:val="98"/>
              </w:rPr>
              <w:t>JUNE 25, 2017</w:t>
            </w:r>
          </w:p>
        </w:tc>
        <w:tc>
          <w:tcPr>
            <w:tcW w:w="0" w:type="dxa"/>
            <w:vAlign w:val="bottom"/>
          </w:tcPr>
          <w:p>
            <w:pPr>
              <w:spacing w:after="0"/>
              <w:rPr>
                <w:sz w:val="1"/>
                <w:szCs w:val="1"/>
                <w:color w:val="auto"/>
              </w:rPr>
            </w:pPr>
          </w:p>
        </w:tc>
      </w:tr>
      <w:tr>
        <w:trPr>
          <w:trHeight w:val="237"/>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expense recognized in Interest expense, net (1)</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(2,301)</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benefit recognized in Provision for income taxes</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393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874</w:t>
            </w: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effects of the interest rate swaps on 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(1,427)</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6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252525"/>
        </w:rPr>
        <w:t>During the thirteen and twenty-six weeks ended July 1, 2018 and June 25, 2017, the Company did not recognize any gain or loss as a result of hedge ineffectiveness.</w:t>
      </w:r>
    </w:p>
    <w:p>
      <w:pPr>
        <w:spacing w:after="0" w:line="237" w:lineRule="exact"/>
        <w:rPr>
          <w:sz w:val="20"/>
          <w:szCs w:val="20"/>
          <w:color w:val="auto"/>
        </w:rPr>
      </w:pPr>
    </w:p>
    <w:p>
      <w:pPr>
        <w:ind w:left="440" w:hanging="432"/>
        <w:spacing w:after="0"/>
        <w:tabs>
          <w:tab w:leader="none" w:pos="4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Fair Value Measurements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Fair value is the price that would be received for an asset or paid to transfer a liability, or the exit price, in an orderly transaction between market participants on the measurement date. Fair value is categorized into one of the following three levels based on the lowest level of significant input:</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Level 1</w:t>
            </w:r>
          </w:p>
        </w:tc>
        <w:tc>
          <w:tcPr>
            <w:tcW w:w="10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Unadjusted quoted market prices in active markets for identical assets or liabilities</w:t>
            </w:r>
          </w:p>
        </w:tc>
      </w:tr>
      <w:tr>
        <w:trPr>
          <w:trHeight w:val="224"/>
        </w:trPr>
        <w:tc>
          <w:tcPr>
            <w:tcW w:w="860" w:type="dxa"/>
            <w:vAlign w:val="bottom"/>
          </w:tcPr>
          <w:p>
            <w:pPr>
              <w:ind w:left="20"/>
              <w:spacing w:after="0"/>
              <w:rPr>
                <w:sz w:val="20"/>
                <w:szCs w:val="20"/>
                <w:color w:val="auto"/>
              </w:rPr>
            </w:pPr>
            <w:r>
              <w:rPr>
                <w:rFonts w:ascii="Arial" w:cs="Arial" w:eastAsia="Arial" w:hAnsi="Arial"/>
                <w:sz w:val="16"/>
                <w:szCs w:val="16"/>
                <w:color w:val="auto"/>
              </w:rPr>
              <w:t>Level 2</w:t>
            </w:r>
          </w:p>
        </w:tc>
        <w:tc>
          <w:tcPr>
            <w:tcW w:w="10520" w:type="dxa"/>
            <w:vAlign w:val="bottom"/>
          </w:tcPr>
          <w:p>
            <w:pPr>
              <w:ind w:left="360"/>
              <w:spacing w:after="0"/>
              <w:rPr>
                <w:sz w:val="20"/>
                <w:szCs w:val="20"/>
                <w:color w:val="auto"/>
              </w:rPr>
            </w:pPr>
            <w:r>
              <w:rPr>
                <w:rFonts w:ascii="Arial" w:cs="Arial" w:eastAsia="Arial" w:hAnsi="Arial"/>
                <w:sz w:val="16"/>
                <w:szCs w:val="16"/>
                <w:color w:val="auto"/>
              </w:rPr>
              <w:t>Observable inputs available at measurement date other than quoted prices included in Level 1</w:t>
            </w:r>
          </w:p>
        </w:tc>
      </w:tr>
      <w:tr>
        <w:trPr>
          <w:trHeight w:val="47"/>
        </w:trPr>
        <w:tc>
          <w:tcPr>
            <w:tcW w:w="860" w:type="dxa"/>
            <w:vAlign w:val="bottom"/>
          </w:tcPr>
          <w:p>
            <w:pPr>
              <w:spacing w:after="0"/>
              <w:rPr>
                <w:sz w:val="4"/>
                <w:szCs w:val="4"/>
                <w:color w:val="auto"/>
              </w:rPr>
            </w:pPr>
          </w:p>
        </w:tc>
        <w:tc>
          <w:tcPr>
            <w:tcW w:w="10520" w:type="dxa"/>
            <w:vAlign w:val="bottom"/>
          </w:tcPr>
          <w:p>
            <w:pPr>
              <w:spacing w:after="0"/>
              <w:rPr>
                <w:sz w:val="4"/>
                <w:szCs w:val="4"/>
                <w:color w:val="auto"/>
              </w:rPr>
            </w:pPr>
          </w:p>
        </w:tc>
      </w:tr>
      <w:tr>
        <w:trPr>
          <w:trHeight w:val="224"/>
        </w:trPr>
        <w:tc>
          <w:tcPr>
            <w:tcW w:w="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Level 3</w:t>
            </w:r>
          </w:p>
        </w:tc>
        <w:tc>
          <w:tcPr>
            <w:tcW w:w="10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Unobservable inputs that cannot be corroborated by observable market data</w:t>
            </w:r>
          </w:p>
        </w:tc>
      </w:tr>
      <w:tr>
        <w:trPr>
          <w:trHeight w:val="47"/>
        </w:trPr>
        <w:tc>
          <w:tcPr>
            <w:tcW w:w="860" w:type="dxa"/>
            <w:vAlign w:val="bottom"/>
            <w:shd w:val="clear" w:color="auto" w:fill="CCEEFF"/>
          </w:tcPr>
          <w:p>
            <w:pPr>
              <w:spacing w:after="0"/>
              <w:rPr>
                <w:sz w:val="4"/>
                <w:szCs w:val="4"/>
                <w:color w:val="auto"/>
              </w:rPr>
            </w:pPr>
          </w:p>
        </w:tc>
        <w:tc>
          <w:tcPr>
            <w:tcW w:w="10520" w:type="dxa"/>
            <w:vAlign w:val="bottom"/>
            <w:shd w:val="clear" w:color="auto" w:fill="CCEEFF"/>
          </w:tcPr>
          <w:p>
            <w:pPr>
              <w:spacing w:after="0"/>
              <w:rPr>
                <w:sz w:val="4"/>
                <w:szCs w:val="4"/>
                <w:color w:val="auto"/>
              </w:rPr>
            </w:pPr>
          </w:p>
        </w:tc>
      </w:tr>
    </w:tbl>
    <w:p>
      <w:pPr>
        <w:spacing w:after="0" w:line="21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Fair Value Measurements on a Recurring Basis - </w:t>
      </w:r>
      <w:r>
        <w:rPr>
          <w:rFonts w:ascii="Arial" w:cs="Arial" w:eastAsia="Arial" w:hAnsi="Arial"/>
          <w:sz w:val="20"/>
          <w:szCs w:val="20"/>
          <w:color w:val="auto"/>
        </w:rPr>
        <w:t>The following table summarizes the Company’s financial assets and liabilities measured at</w:t>
      </w:r>
      <w:r>
        <w:rPr>
          <w:rFonts w:ascii="Arial" w:cs="Arial" w:eastAsia="Arial" w:hAnsi="Arial"/>
          <w:sz w:val="20"/>
          <w:szCs w:val="20"/>
          <w:i w:val="1"/>
          <w:iCs w:val="1"/>
          <w:color w:val="auto"/>
        </w:rPr>
        <w:t xml:space="preserve"> </w:t>
      </w:r>
      <w:r>
        <w:rPr>
          <w:rFonts w:ascii="Arial" w:cs="Arial" w:eastAsia="Arial" w:hAnsi="Arial"/>
          <w:sz w:val="20"/>
          <w:szCs w:val="20"/>
          <w:color w:val="auto"/>
        </w:rPr>
        <w:t>fair value by hierarchy level on a recurring basis as of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JULY 1, 2018</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6"/>
          </w:tcPr>
          <w:p>
            <w:pPr>
              <w:jc w:val="center"/>
              <w:ind w:right="19"/>
              <w:spacing w:after="0"/>
              <w:rPr>
                <w:sz w:val="20"/>
                <w:szCs w:val="20"/>
                <w:color w:val="auto"/>
              </w:rPr>
            </w:pPr>
            <w:r>
              <w:rPr>
                <w:rFonts w:ascii="Arial" w:cs="Arial" w:eastAsia="Arial" w:hAnsi="Arial"/>
                <w:sz w:val="14"/>
                <w:szCs w:val="14"/>
                <w:b w:val="1"/>
                <w:bCs w:val="1"/>
                <w:color w:val="auto"/>
                <w:w w:val="98"/>
              </w:rPr>
              <w:t>DECEMBER 31, 2017</w:t>
            </w:r>
          </w:p>
        </w:tc>
        <w:tc>
          <w:tcPr>
            <w:tcW w:w="940" w:type="dxa"/>
            <w:vAlign w:val="bottom"/>
            <w:tcBorders>
              <w:bottom w:val="single" w:sz="8" w:color="auto"/>
            </w:tcBorders>
          </w:tcPr>
          <w:p>
            <w:pPr>
              <w:spacing w:after="0"/>
              <w:rPr>
                <w:sz w:val="17"/>
                <w:szCs w:val="17"/>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2"/>
                <w:szCs w:val="22"/>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2"/>
                <w:szCs w:val="22"/>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2"/>
                <w:szCs w:val="22"/>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22"/>
                <w:szCs w:val="22"/>
                <w:color w:val="auto"/>
              </w:rPr>
            </w:pPr>
          </w:p>
        </w:tc>
        <w:tc>
          <w:tcPr>
            <w:tcW w:w="840" w:type="dxa"/>
            <w:vAlign w:val="bottom"/>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2"/>
                <w:szCs w:val="22"/>
                <w:color w:val="auto"/>
              </w:rPr>
            </w:pPr>
          </w:p>
        </w:tc>
        <w:tc>
          <w:tcPr>
            <w:tcW w:w="940" w:type="dxa"/>
            <w:vAlign w:val="bottom"/>
          </w:tcPr>
          <w:p>
            <w:pPr>
              <w:jc w:val="right"/>
              <w:ind w:right="180"/>
              <w:spacing w:after="0"/>
              <w:rPr>
                <w:sz w:val="20"/>
                <w:szCs w:val="20"/>
                <w:color w:val="auto"/>
              </w:rPr>
            </w:pPr>
            <w:r>
              <w:rPr>
                <w:rFonts w:ascii="Arial" w:cs="Arial" w:eastAsia="Arial" w:hAnsi="Arial"/>
                <w:sz w:val="14"/>
                <w:szCs w:val="14"/>
                <w:b w:val="1"/>
                <w:bCs w:val="1"/>
                <w:color w:val="auto"/>
              </w:rPr>
              <w:t>LEVEL 2</w:t>
            </w: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Fixed income funds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5,360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1,830</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Money market funds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10,367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10,367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24,656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24,656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Money market funds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4,521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4,521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1,280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1,280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Derivative instruments - interest rate swaps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1,162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70"/>
        </w:trPr>
        <w:tc>
          <w:tcPr>
            <w:tcW w:w="40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Derivative instruments - interest rate swaps</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w:t>
            </w:r>
          </w:p>
        </w:tc>
      </w:tr>
      <w:tr>
        <w:trPr>
          <w:trHeight w:val="244"/>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 recurring fair value measurements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21,410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20,248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1,162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27,833</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27,766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Accrued and other current liabilities: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Derivative instruments - interest rate swaps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1,010</w:t>
            </w:r>
          </w:p>
        </w:tc>
      </w:tr>
      <w:tr>
        <w:trPr>
          <w:trHeight w:val="250"/>
        </w:trPr>
        <w:tc>
          <w:tcPr>
            <w:tcW w:w="4000" w:type="dxa"/>
            <w:vAlign w:val="bottom"/>
          </w:tcPr>
          <w:p>
            <w:pPr>
              <w:ind w:left="40"/>
              <w:spacing w:after="0"/>
              <w:rPr>
                <w:sz w:val="20"/>
                <w:szCs w:val="20"/>
                <w:color w:val="auto"/>
              </w:rPr>
            </w:pPr>
            <w:r>
              <w:rPr>
                <w:rFonts w:ascii="Arial" w:cs="Arial" w:eastAsia="Arial" w:hAnsi="Arial"/>
                <w:sz w:val="16"/>
                <w:szCs w:val="16"/>
                <w:color w:val="auto"/>
              </w:rPr>
              <w:t>Total liability recurring fair value measurements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1,010</w:t>
            </w:r>
          </w:p>
        </w:tc>
        <w:tc>
          <w:tcPr>
            <w:tcW w:w="3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1,010</w:t>
            </w:r>
          </w:p>
        </w:tc>
      </w:tr>
      <w:tr>
        <w:trPr>
          <w:trHeight w:val="20"/>
        </w:trPr>
        <w:tc>
          <w:tcPr>
            <w:tcW w:w="4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Fair value of each class of financial instrument is determined based on the following:</w:t>
      </w:r>
    </w:p>
    <w:p>
      <w:pPr>
        <w:spacing w:after="0" w:line="156" w:lineRule="exact"/>
        <w:rPr>
          <w:sz w:val="20"/>
          <w:szCs w:val="20"/>
          <w:color w:val="auto"/>
        </w:rPr>
      </w:pPr>
    </w:p>
    <w:p>
      <w:pPr>
        <w:ind w:left="40"/>
        <w:spacing w:after="0"/>
        <w:tabs>
          <w:tab w:leader="none" w:pos="2520" w:val="left"/>
        </w:tabs>
        <w:rPr>
          <w:sz w:val="20"/>
          <w:szCs w:val="20"/>
          <w:color w:val="auto"/>
        </w:rPr>
      </w:pPr>
      <w:r>
        <w:rPr>
          <w:rFonts w:ascii="Arial" w:cs="Arial" w:eastAsia="Arial" w:hAnsi="Arial"/>
          <w:sz w:val="14"/>
          <w:szCs w:val="14"/>
          <w:b w:val="1"/>
          <w:bCs w:val="1"/>
          <w:color w:val="auto"/>
        </w:rPr>
        <w:t>FINANCIAL INSTRUMENT</w:t>
      </w:r>
      <w:r>
        <w:rPr>
          <w:sz w:val="20"/>
          <w:szCs w:val="20"/>
          <w:color w:val="auto"/>
        </w:rPr>
        <w:tab/>
      </w:r>
      <w:r>
        <w:rPr>
          <w:rFonts w:ascii="Arial" w:cs="Arial" w:eastAsia="Arial" w:hAnsi="Arial"/>
          <w:sz w:val="14"/>
          <w:szCs w:val="14"/>
          <w:b w:val="1"/>
          <w:bCs w:val="1"/>
          <w:color w:val="auto"/>
        </w:rPr>
        <w:t>METHODS AND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36"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Fixed income funds and Money market funds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Carrying value approximates fair value because maturities are less than three months.</w:t>
      </w:r>
    </w:p>
    <w:p>
      <w:pPr>
        <w:spacing w:after="0" w:line="298" w:lineRule="exact"/>
        <w:rPr>
          <w:sz w:val="20"/>
          <w:szCs w:val="20"/>
          <w:color w:val="auto"/>
        </w:rPr>
      </w:pPr>
    </w:p>
    <w:p>
      <w:pPr>
        <w:sectPr>
          <w:pgSz w:w="11900" w:h="16838" w:orient="portrait"/>
          <w:cols w:equalWidth="0" w:num="2">
            <w:col w:w="2100" w:space="440"/>
            <w:col w:w="8880"/>
          </w:cols>
          <w:pgMar w:left="240" w:top="121" w:right="239" w:bottom="1440" w:gutter="0" w:footer="0" w:header="0"/>
          <w:type w:val="continuous"/>
        </w:sectPr>
      </w:pPr>
    </w:p>
    <w:p>
      <w:pPr>
        <w:ind w:left="40"/>
        <w:spacing w:after="0"/>
        <w:tabs>
          <w:tab w:leader="none" w:pos="2520" w:val="left"/>
        </w:tabs>
        <w:rPr>
          <w:sz w:val="20"/>
          <w:szCs w:val="20"/>
          <w:color w:val="auto"/>
        </w:rPr>
      </w:pPr>
      <w:r>
        <w:rPr>
          <w:rFonts w:ascii="Arial" w:cs="Arial" w:eastAsia="Arial" w:hAnsi="Arial"/>
          <w:sz w:val="16"/>
          <w:szCs w:val="16"/>
          <w:color w:val="auto"/>
        </w:rPr>
        <w:t>Derivative instruments</w:t>
      </w:r>
      <w:r>
        <w:rPr>
          <w:sz w:val="20"/>
          <w:szCs w:val="20"/>
          <w:color w:val="auto"/>
        </w:rPr>
        <w:tab/>
      </w:r>
      <w:r>
        <w:rPr>
          <w:rFonts w:ascii="Arial" w:cs="Arial" w:eastAsia="Arial" w:hAnsi="Arial"/>
          <w:sz w:val="14"/>
          <w:szCs w:val="14"/>
          <w:color w:val="auto"/>
        </w:rPr>
        <w:t>The Company’s derivative instruments include interest rate swaps. Fair value measurements are based on the contractual terms of the</w:t>
      </w:r>
    </w:p>
    <w:p>
      <w:pPr>
        <w:spacing w:after="0" w:line="22"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derivatives and use observable market-based inputs. The interest rate swaps are valued using a discounted cash flow analysis on the</w:t>
      </w:r>
    </w:p>
    <w:p>
      <w:pPr>
        <w:spacing w:after="0" w:line="30"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expected cash flows of each derivative using observable inputs including interest rate curves and credit spreads. The Company also</w:t>
      </w:r>
    </w:p>
    <w:p>
      <w:pPr>
        <w:spacing w:after="0" w:line="30"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considers  its  own  nonperformance  risk  and  the  respective  counterparty’s  nonperformance  risk  when  performing  fair  value</w:t>
      </w:r>
    </w:p>
    <w:p>
      <w:pPr>
        <w:spacing w:after="0" w:line="30" w:lineRule="exact"/>
        <w:rPr>
          <w:sz w:val="20"/>
          <w:szCs w:val="20"/>
          <w:color w:val="auto"/>
        </w:rPr>
      </w:pPr>
    </w:p>
    <w:p>
      <w:pPr>
        <w:ind w:left="2540"/>
        <w:spacing w:after="0"/>
        <w:rPr>
          <w:sz w:val="20"/>
          <w:szCs w:val="20"/>
          <w:color w:val="auto"/>
        </w:rPr>
      </w:pPr>
      <w:r>
        <w:rPr>
          <w:rFonts w:ascii="Arial" w:cs="Arial" w:eastAsia="Arial" w:hAnsi="Arial"/>
          <w:sz w:val="14"/>
          <w:szCs w:val="14"/>
          <w:color w:val="auto"/>
        </w:rPr>
        <w:t>measurements. As of July 1, 2018 and December 31, 2017, the Company has determined that the credit valuation adjustments are not</w:t>
      </w:r>
    </w:p>
    <w:p>
      <w:pPr>
        <w:spacing w:after="0" w:line="42"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significant to the overall valuation of its derivatives.</w:t>
      </w:r>
    </w:p>
    <w:p>
      <w:pPr>
        <w:spacing w:after="0" w:line="26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 xml:space="preserve">Fair Value Measurements on a Nonrecurring Basis - </w:t>
      </w:r>
      <w:r>
        <w:rPr>
          <w:rFonts w:ascii="Arial" w:cs="Arial" w:eastAsia="Arial" w:hAnsi="Arial"/>
          <w:sz w:val="19"/>
          <w:szCs w:val="19"/>
          <w:color w:val="auto"/>
        </w:rPr>
        <w:t>Assets and liabilities that are measured at fair value on a nonrecurring basis relate</w:t>
      </w:r>
      <w:r>
        <w:rPr>
          <w:rFonts w:ascii="Arial" w:cs="Arial" w:eastAsia="Arial" w:hAnsi="Arial"/>
          <w:sz w:val="19"/>
          <w:szCs w:val="19"/>
          <w:i w:val="1"/>
          <w:iCs w:val="1"/>
          <w:color w:val="auto"/>
        </w:rPr>
        <w:t xml:space="preserve"> </w:t>
      </w:r>
      <w:r>
        <w:rPr>
          <w:rFonts w:ascii="Arial" w:cs="Arial" w:eastAsia="Arial" w:hAnsi="Arial"/>
          <w:sz w:val="19"/>
          <w:szCs w:val="19"/>
          <w:color w:val="auto"/>
        </w:rPr>
        <w:t>primarily to property, fixtures and equipment, goodwill and other intangible assets, which are remeasured when carrying value exceeds fair value. The following table summarizes the Company’s assets measured at fair value by hierarchy level on a nonrecurring basis: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6"/>
                <w:szCs w:val="16"/>
                <w:color w:val="auto"/>
              </w:rPr>
            </w:pPr>
          </w:p>
        </w:tc>
        <w:tc>
          <w:tcPr>
            <w:tcW w:w="2620" w:type="dxa"/>
            <w:vAlign w:val="bottom"/>
            <w:gridSpan w:val="4"/>
          </w:tcPr>
          <w:p>
            <w:pPr>
              <w:jc w:val="center"/>
              <w:ind w:right="83"/>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gridSpan w:val="4"/>
          </w:tcPr>
          <w:p>
            <w:pPr>
              <w:jc w:val="center"/>
              <w:ind w:right="223"/>
              <w:spacing w:after="0"/>
              <w:rPr>
                <w:sz w:val="20"/>
                <w:szCs w:val="20"/>
                <w:color w:val="auto"/>
              </w:rPr>
            </w:pPr>
            <w:r>
              <w:rPr>
                <w:rFonts w:ascii="Arial" w:cs="Arial" w:eastAsia="Arial" w:hAnsi="Arial"/>
                <w:sz w:val="14"/>
                <w:szCs w:val="14"/>
                <w:b w:val="1"/>
                <w:bCs w:val="1"/>
                <w:color w:val="auto"/>
                <w:w w:val="94"/>
              </w:rPr>
              <w:t>JULY 1, 2018</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gridSpan w:val="4"/>
          </w:tcPr>
          <w:p>
            <w:pPr>
              <w:jc w:val="center"/>
              <w:ind w:right="83"/>
              <w:spacing w:after="0"/>
              <w:rPr>
                <w:sz w:val="20"/>
                <w:szCs w:val="20"/>
                <w:color w:val="auto"/>
              </w:rPr>
            </w:pPr>
            <w:r>
              <w:rPr>
                <w:rFonts w:ascii="Arial" w:cs="Arial" w:eastAsia="Arial" w:hAnsi="Arial"/>
                <w:sz w:val="14"/>
                <w:szCs w:val="14"/>
                <w:b w:val="1"/>
                <w:bCs w:val="1"/>
                <w:color w:val="auto"/>
                <w:w w:val="94"/>
              </w:rPr>
              <w:t>JULY 1, 2018</w:t>
            </w:r>
          </w:p>
        </w:tc>
        <w:tc>
          <w:tcPr>
            <w:tcW w:w="0" w:type="dxa"/>
            <w:vAlign w:val="bottom"/>
          </w:tcPr>
          <w:p>
            <w:pPr>
              <w:spacing w:after="0"/>
              <w:rPr>
                <w:sz w:val="1"/>
                <w:szCs w:val="1"/>
                <w:color w:val="auto"/>
              </w:rPr>
            </w:pPr>
          </w:p>
        </w:tc>
      </w:tr>
      <w:tr>
        <w:trPr>
          <w:trHeight w:val="153"/>
        </w:trPr>
        <w:tc>
          <w:tcPr>
            <w:tcW w:w="5620" w:type="dxa"/>
            <w:vAlign w:val="bottom"/>
          </w:tcPr>
          <w:p>
            <w:pPr>
              <w:spacing w:after="0"/>
              <w:rPr>
                <w:sz w:val="13"/>
                <w:szCs w:val="13"/>
                <w:color w:val="auto"/>
              </w:rPr>
            </w:pPr>
          </w:p>
        </w:tc>
        <w:tc>
          <w:tcPr>
            <w:tcW w:w="15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CARRYING VALUE</w:t>
            </w: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2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3"/>
                <w:szCs w:val="13"/>
                <w:color w:val="auto"/>
              </w:rPr>
            </w:pPr>
          </w:p>
        </w:tc>
        <w:tc>
          <w:tcPr>
            <w:tcW w:w="1200" w:type="dxa"/>
            <w:vAlign w:val="bottom"/>
          </w:tcPr>
          <w:p>
            <w:pPr>
              <w:jc w:val="center"/>
              <w:ind w:right="63"/>
              <w:spacing w:after="0" w:line="15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IMPAIRMENT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VALUE (1)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IMPAIRMENT</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held for sale</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Property, fixtures and equipment</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1,060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4,721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1,380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6,942</w:t>
            </w: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4,721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1,430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6,992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4"/>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24"/>
                <w:szCs w:val="24"/>
                <w:color w:val="auto"/>
              </w:rPr>
            </w:pPr>
          </w:p>
        </w:tc>
        <w:tc>
          <w:tcPr>
            <w:tcW w:w="2620" w:type="dxa"/>
            <w:vAlign w:val="bottom"/>
            <w:gridSpan w:val="4"/>
          </w:tcPr>
          <w:p>
            <w:pPr>
              <w:jc w:val="center"/>
              <w:ind w:right="83"/>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gridSpan w:val="4"/>
          </w:tcPr>
          <w:p>
            <w:pPr>
              <w:jc w:val="center"/>
              <w:ind w:right="223"/>
              <w:spacing w:after="0"/>
              <w:rPr>
                <w:sz w:val="20"/>
                <w:szCs w:val="20"/>
                <w:color w:val="auto"/>
              </w:rPr>
            </w:pPr>
            <w:r>
              <w:rPr>
                <w:rFonts w:ascii="Arial" w:cs="Arial" w:eastAsia="Arial" w:hAnsi="Arial"/>
                <w:sz w:val="14"/>
                <w:szCs w:val="14"/>
                <w:b w:val="1"/>
                <w:bCs w:val="1"/>
                <w:color w:val="auto"/>
                <w:w w:val="93"/>
              </w:rPr>
              <w:t>JUNE 25, 2017</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gridSpan w:val="4"/>
          </w:tcPr>
          <w:p>
            <w:pPr>
              <w:jc w:val="center"/>
              <w:ind w:right="83"/>
              <w:spacing w:after="0"/>
              <w:rPr>
                <w:sz w:val="20"/>
                <w:szCs w:val="20"/>
                <w:color w:val="auto"/>
              </w:rPr>
            </w:pPr>
            <w:r>
              <w:rPr>
                <w:rFonts w:ascii="Arial" w:cs="Arial" w:eastAsia="Arial" w:hAnsi="Arial"/>
                <w:sz w:val="14"/>
                <w:szCs w:val="14"/>
                <w:b w:val="1"/>
                <w:bCs w:val="1"/>
                <w:color w:val="auto"/>
                <w:w w:val="93"/>
              </w:rPr>
              <w:t>JUNE 25, 2017</w:t>
            </w:r>
          </w:p>
        </w:tc>
        <w:tc>
          <w:tcPr>
            <w:tcW w:w="0" w:type="dxa"/>
            <w:vAlign w:val="bottom"/>
          </w:tcPr>
          <w:p>
            <w:pPr>
              <w:spacing w:after="0"/>
              <w:rPr>
                <w:sz w:val="1"/>
                <w:szCs w:val="1"/>
                <w:color w:val="auto"/>
              </w:rPr>
            </w:pPr>
          </w:p>
        </w:tc>
      </w:tr>
      <w:tr>
        <w:trPr>
          <w:trHeight w:val="153"/>
        </w:trPr>
        <w:tc>
          <w:tcPr>
            <w:tcW w:w="5620" w:type="dxa"/>
            <w:vAlign w:val="bottom"/>
          </w:tcPr>
          <w:p>
            <w:pPr>
              <w:spacing w:after="0"/>
              <w:rPr>
                <w:sz w:val="13"/>
                <w:szCs w:val="13"/>
                <w:color w:val="auto"/>
              </w:rPr>
            </w:pPr>
          </w:p>
        </w:tc>
        <w:tc>
          <w:tcPr>
            <w:tcW w:w="15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CARRYING VALUE</w:t>
            </w: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2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3"/>
                <w:szCs w:val="13"/>
                <w:color w:val="auto"/>
              </w:rPr>
            </w:pPr>
          </w:p>
        </w:tc>
        <w:tc>
          <w:tcPr>
            <w:tcW w:w="1200" w:type="dxa"/>
            <w:vAlign w:val="bottom"/>
          </w:tcPr>
          <w:p>
            <w:pPr>
              <w:jc w:val="center"/>
              <w:ind w:right="63"/>
              <w:spacing w:after="0" w:line="15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IMPAIRMENT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VALUE (1)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IMPAIRMENT</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held for sale</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Property, fixtures and equipment</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1,067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1,467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6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Carrying value approximates fair value with all assets measured using third-party market appraisals or purchase contracts (Level 2).</w:t>
      </w:r>
    </w:p>
    <w:p>
      <w:pPr>
        <w:spacing w:after="0" w:line="21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Interim Disclosures about Fair Value of Financial Instruments - </w:t>
      </w:r>
      <w:r>
        <w:rPr>
          <w:rFonts w:ascii="Arial" w:cs="Arial" w:eastAsia="Arial" w:hAnsi="Arial"/>
          <w:sz w:val="20"/>
          <w:szCs w:val="20"/>
          <w:color w:val="auto"/>
        </w:rPr>
        <w:t>The Company’s non-derivative financial instruments consist of cash</w:t>
      </w:r>
      <w:r>
        <w:rPr>
          <w:rFonts w:ascii="Arial" w:cs="Arial" w:eastAsia="Arial" w:hAnsi="Arial"/>
          <w:sz w:val="20"/>
          <w:szCs w:val="20"/>
          <w:i w:val="1"/>
          <w:iCs w:val="1"/>
          <w:color w:val="auto"/>
        </w:rPr>
        <w:t xml:space="preserve"> </w:t>
      </w:r>
      <w:r>
        <w:rPr>
          <w:rFonts w:ascii="Arial" w:cs="Arial" w:eastAsia="Arial" w:hAnsi="Arial"/>
          <w:sz w:val="20"/>
          <w:szCs w:val="20"/>
          <w:color w:val="auto"/>
        </w:rPr>
        <w:t>equivalents, restricted cash, accounts receivable, accounts payable and current and long-term debt. The fair values of cash equivalents, restricted cash, accounts receivable and accounts payable approximate their carrying amounts reported in the Consolidated Balance Sheets due to their short duration.</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Debt is carried at amortized cost; however, the Company estimates the fair value of debt for disclosure purposes. The following table includes the carrying value and fair value of the Company’s debt by hierarchy level as of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JULY 1, 2018</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8"/>
              </w:rPr>
              <w:t>DECEMBER 31, 2017</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16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vMerge w:val="restart"/>
          </w:tcPr>
          <w:p>
            <w:pPr>
              <w:jc w:val="right"/>
              <w:ind w:right="143"/>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58"/>
        </w:trPr>
        <w:tc>
          <w:tcPr>
            <w:tcW w:w="3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1020" w:type="dxa"/>
            <w:vAlign w:val="bottom"/>
          </w:tcPr>
          <w:p>
            <w:pPr>
              <w:jc w:val="right"/>
              <w:ind w:right="241"/>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0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1020" w:type="dxa"/>
            <w:vAlign w:val="bottom"/>
          </w:tcPr>
          <w:p>
            <w:pPr>
              <w:jc w:val="right"/>
              <w:ind w:right="241"/>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Term loan 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487,500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486,281</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500,000</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502,500</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Revolving credit facility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633,500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631,916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600,000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598,500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Other notes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135</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904</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891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Fair value of debt is determined based on the following:</w:t>
      </w:r>
    </w:p>
    <w:p>
      <w:pPr>
        <w:spacing w:after="0" w:line="156" w:lineRule="exact"/>
        <w:rPr>
          <w:sz w:val="20"/>
          <w:szCs w:val="20"/>
          <w:color w:val="auto"/>
        </w:rPr>
      </w:pPr>
    </w:p>
    <w:p>
      <w:pPr>
        <w:ind w:left="40"/>
        <w:spacing w:after="0"/>
        <w:tabs>
          <w:tab w:leader="none" w:pos="2980" w:val="left"/>
        </w:tabs>
        <w:rPr>
          <w:sz w:val="20"/>
          <w:szCs w:val="20"/>
          <w:color w:val="auto"/>
        </w:rPr>
      </w:pPr>
      <w:r>
        <w:rPr>
          <w:rFonts w:ascii="Arial" w:cs="Arial" w:eastAsia="Arial" w:hAnsi="Arial"/>
          <w:sz w:val="14"/>
          <w:szCs w:val="14"/>
          <w:b w:val="1"/>
          <w:bCs w:val="1"/>
          <w:color w:val="auto"/>
        </w:rPr>
        <w:t>DEBT FACILITY</w:t>
      </w:r>
      <w:r>
        <w:rPr>
          <w:sz w:val="20"/>
          <w:szCs w:val="20"/>
          <w:color w:val="auto"/>
        </w:rPr>
        <w:tab/>
      </w:r>
      <w:r>
        <w:rPr>
          <w:rFonts w:ascii="Arial" w:cs="Arial" w:eastAsia="Arial" w:hAnsi="Arial"/>
          <w:sz w:val="14"/>
          <w:szCs w:val="14"/>
          <w:b w:val="1"/>
          <w:bCs w:val="1"/>
          <w:color w:val="auto"/>
        </w:rPr>
        <w:t>METHODS AND ASSUMPTIONS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000" w:type="dxa"/>
            <w:vAlign w:val="bottom"/>
            <w:tcBorders>
              <w:top w:val="single" w:sz="8" w:color="auto"/>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Quoted market prices in inactive markets.</w:t>
            </w:r>
          </w:p>
        </w:tc>
        <w:tc>
          <w:tcPr>
            <w:tcW w:w="138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44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40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24"/>
        </w:trPr>
        <w:tc>
          <w:tcPr>
            <w:tcW w:w="2980" w:type="dxa"/>
            <w:vAlign w:val="bottom"/>
            <w:gridSpan w:val="2"/>
          </w:tcPr>
          <w:p>
            <w:pPr>
              <w:ind w:left="40"/>
              <w:spacing w:after="0"/>
              <w:rPr>
                <w:sz w:val="20"/>
                <w:szCs w:val="20"/>
                <w:color w:val="auto"/>
              </w:rPr>
            </w:pPr>
            <w:r>
              <w:rPr>
                <w:rFonts w:ascii="Arial" w:cs="Arial" w:eastAsia="Arial" w:hAnsi="Arial"/>
                <w:sz w:val="16"/>
                <w:szCs w:val="16"/>
                <w:color w:val="auto"/>
              </w:rPr>
              <w:t>Other notes payable</w:t>
            </w:r>
          </w:p>
        </w:tc>
        <w:tc>
          <w:tcPr>
            <w:tcW w:w="8440" w:type="dxa"/>
            <w:vAlign w:val="bottom"/>
            <w:gridSpan w:val="8"/>
          </w:tcPr>
          <w:p>
            <w:pPr>
              <w:ind w:left="20"/>
              <w:spacing w:after="0"/>
              <w:rPr>
                <w:sz w:val="20"/>
                <w:szCs w:val="20"/>
                <w:color w:val="auto"/>
              </w:rPr>
            </w:pPr>
            <w:r>
              <w:rPr>
                <w:rFonts w:ascii="Arial" w:cs="Arial" w:eastAsia="Arial" w:hAnsi="Arial"/>
                <w:sz w:val="16"/>
                <w:szCs w:val="16"/>
                <w:color w:val="auto"/>
                <w:w w:val="99"/>
              </w:rPr>
              <w:t>Discounted cash flow approach with inputs that primarily include cost of debt interest rates used to determine fair value.</w:t>
            </w:r>
          </w:p>
        </w:tc>
      </w:tr>
      <w:tr>
        <w:trPr>
          <w:trHeight w:val="496"/>
        </w:trPr>
        <w:tc>
          <w:tcPr>
            <w:tcW w:w="2980" w:type="dxa"/>
            <w:vAlign w:val="bottom"/>
            <w:gridSpan w:val="2"/>
          </w:tcPr>
          <w:p>
            <w:pPr>
              <w:spacing w:after="0"/>
              <w:rPr>
                <w:sz w:val="20"/>
                <w:szCs w:val="20"/>
                <w:color w:val="auto"/>
              </w:rPr>
            </w:pPr>
            <w:r>
              <w:rPr>
                <w:rFonts w:ascii="Arial" w:cs="Arial" w:eastAsia="Arial" w:hAnsi="Arial"/>
                <w:sz w:val="20"/>
                <w:szCs w:val="20"/>
                <w:color w:val="auto"/>
              </w:rPr>
              <w:t>12.  Income Taxes</w:t>
            </w:r>
          </w:p>
        </w:tc>
        <w:tc>
          <w:tcPr>
            <w:tcW w:w="2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24"/>
        </w:trPr>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920" w:type="dxa"/>
            <w:vAlign w:val="bottom"/>
            <w:tcBorders>
              <w:bottom w:val="single" w:sz="8" w:color="auto"/>
            </w:tcBorders>
            <w:gridSpan w:val="3"/>
          </w:tcPr>
          <w:p>
            <w:pPr>
              <w:jc w:val="right"/>
              <w:ind w:right="443"/>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24"/>
                <w:szCs w:val="24"/>
                <w:color w:val="auto"/>
              </w:rPr>
            </w:pPr>
          </w:p>
        </w:tc>
        <w:tc>
          <w:tcPr>
            <w:tcW w:w="2940" w:type="dxa"/>
            <w:vAlign w:val="bottom"/>
            <w:tcBorders>
              <w:bottom w:val="single" w:sz="8" w:color="auto"/>
            </w:tcBorders>
            <w:gridSpan w:val="3"/>
          </w:tcPr>
          <w:p>
            <w:pPr>
              <w:jc w:val="right"/>
              <w:ind w:right="363"/>
              <w:spacing w:after="0"/>
              <w:rPr>
                <w:sz w:val="20"/>
                <w:szCs w:val="20"/>
                <w:color w:val="auto"/>
              </w:rPr>
            </w:pPr>
            <w:r>
              <w:rPr>
                <w:rFonts w:ascii="Arial" w:cs="Arial" w:eastAsia="Arial" w:hAnsi="Arial"/>
                <w:sz w:val="14"/>
                <w:szCs w:val="14"/>
                <w:b w:val="1"/>
                <w:bCs w:val="1"/>
                <w:color w:val="auto"/>
              </w:rPr>
              <w:t>TWENTY-SIX WEEKS ENDED</w:t>
            </w:r>
          </w:p>
        </w:tc>
      </w:tr>
      <w:tr>
        <w:trPr>
          <w:trHeight w:val="264"/>
        </w:trPr>
        <w:tc>
          <w:tcPr>
            <w:tcW w:w="2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6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JULY 1, 2018</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JUNE 25, 2017</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JULY 1, 2018</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JUNE 25, 2017</w:t>
            </w:r>
          </w:p>
        </w:tc>
      </w:tr>
      <w:tr>
        <w:trPr>
          <w:trHeight w:val="224"/>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Effective income tax rate</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33"/>
        </w:trPr>
        <w:tc>
          <w:tcPr>
            <w:tcW w:w="2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effective income tax rate for the thirteen and twenty-six weeks ended July 1, 2018 decreased by 31.4 and 23.3 percentage points as compared to the thirteen and twenty-six weeks ended June 25, 2017, respectively. The decrease is primarily due to the reduction in the U.S. federal corporate tax rate from 35% to 21% as part of the legislation enacted in December 2017 known as the Tax Cuts and Jobs Act (the “Tax Act”), lower forecasted pre-tax income and excess tax benefits from equity-based compensation arrangements recorded in 2018, partially offset by a domestic manufacturing deduction recorded in 2017.</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has a blended federal and state statutory rate of approximately 26%. The effective income tax rate for the thirteen and twenty-six weeks ended July 1, 2018 was lower than the statutory rate primarily due to the benefit of tax credits for FICA taxes on certain employees’ tips and excess tax benefits from equity-based compensation arrangements.</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Company has applied guidance under SEC Staff Accounting Bulletin No. 118 which allows for a measurement period up to one year after the December 22, 2017 enactment date of the Tax Act to complete the accounting requirements. As of July 1, 2018, the Company made reasonable estimates of the effects of the Tax Act but has not completed its accounting for all tax effects. A provisional $7.5 million net tax expense was recorded during 2017. With the exception of the retrospective adjustment for the January 2018 adoption of ASU No. 2014-09, no adjustments were made to these provisional amounts during the twenty-six weeks ended July 1, 2018. The Company is continuing to gather information and additional guidance is expected from the U.S. Treasury and state taxing authorities on the application of certain provisions of the Tax Act and will continue to make and refine its calculations as additional analysis is completed. The Company’s estimates may also be affected as it gains a more thorough understanding of the tax law. These changes could be material to income tax expense. The Company expects to complete its analysis within the year measurement period.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In connection with its analysis of the impact of the Tax Act, the Company recorded a provisional net tax expense of $7.5 million in December 2017, as described in the following table: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tcPr>
          <w:p>
            <w:pPr>
              <w:jc w:val="right"/>
              <w:ind w:right="522"/>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222"/>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86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Transition Tax (provisional)</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Net impact on U.S. deferred tax assets and liabilities (provisional) (1)</w:t>
            </w:r>
          </w:p>
        </w:tc>
        <w:tc>
          <w:tcPr>
            <w:tcW w:w="360" w:type="dxa"/>
            <w:vAlign w:val="bottom"/>
          </w:tcPr>
          <w:p>
            <w:pPr>
              <w:spacing w:after="0"/>
              <w:rPr>
                <w:sz w:val="19"/>
                <w:szCs w:val="19"/>
                <w:color w:val="auto"/>
              </w:rPr>
            </w:pPr>
          </w:p>
        </w:tc>
        <w:tc>
          <w:tcPr>
            <w:tcW w:w="1800" w:type="dxa"/>
            <w:vAlign w:val="bottom"/>
          </w:tcPr>
          <w:p>
            <w:pPr>
              <w:jc w:val="right"/>
              <w:ind w:right="22"/>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changes in deferred tax liability associated with anticipated repatriation taxes (provisional)</w:t>
            </w:r>
          </w:p>
        </w:tc>
        <w:tc>
          <w:tcPr>
            <w:tcW w:w="3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70"/>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Impact from the adoption of ASU No. 2014-09 (provisional)</w:t>
            </w:r>
          </w:p>
        </w:tc>
        <w:tc>
          <w:tcPr>
            <w:tcW w:w="3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5,600</w:t>
            </w:r>
          </w:p>
        </w:tc>
        <w:tc>
          <w:tcPr>
            <w:tcW w:w="0" w:type="dxa"/>
            <w:vAlign w:val="bottom"/>
          </w:tcPr>
          <w:p>
            <w:pPr>
              <w:spacing w:after="0"/>
              <w:rPr>
                <w:sz w:val="1"/>
                <w:szCs w:val="1"/>
                <w:color w:val="auto"/>
              </w:rPr>
            </w:pPr>
          </w:p>
        </w:tc>
      </w:tr>
      <w:tr>
        <w:trPr>
          <w:trHeight w:val="255"/>
        </w:trPr>
        <w:tc>
          <w:tcPr>
            <w:tcW w:w="9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2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90" w:lineRule="auto"/>
        <w:tabs>
          <w:tab w:leader="none" w:pos="6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Includes $4.7 million of expense for a valuation allowance recorded against foreign tax credit carryforwards, $3.9 million of benefit from the impact of the corporate rate reduction on net deferred tax liability balances, and an expense of $0.8 million for the write-off of certain deferred tax assets that will no longer be realized.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Items considered provisional include:</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Reduction of U.S. Federal Corporate Income Tax Rate </w:t>
      </w:r>
      <w:r>
        <w:rPr>
          <w:rFonts w:ascii="Arial" w:cs="Arial" w:eastAsia="Arial" w:hAnsi="Arial"/>
          <w:sz w:val="19"/>
          <w:szCs w:val="19"/>
          <w:color w:val="auto"/>
        </w:rPr>
        <w:t>- The Tax Act reduced the corporate income tax rate to 21%, effective January 1, 2018.</w:t>
      </w:r>
      <w:r>
        <w:rPr>
          <w:rFonts w:ascii="Arial" w:cs="Arial" w:eastAsia="Arial" w:hAnsi="Arial"/>
          <w:sz w:val="19"/>
          <w:szCs w:val="19"/>
          <w:i w:val="1"/>
          <w:iCs w:val="1"/>
          <w:color w:val="auto"/>
        </w:rPr>
        <w:t xml:space="preserve"> </w:t>
      </w:r>
      <w:r>
        <w:rPr>
          <w:rFonts w:ascii="Arial" w:cs="Arial" w:eastAsia="Arial" w:hAnsi="Arial"/>
          <w:sz w:val="19"/>
          <w:szCs w:val="19"/>
          <w:color w:val="auto"/>
        </w:rPr>
        <w:t>While the Company is able to make a reasonable estimate of the impact of the reduction in corporate rate on its deferred tax assets and liabilities, it may be affected by other analyses related to the Tax Act, including, but not limited to, its calculation of deemed repatriation of deferred foreign income and the state tax effect of adjustments made to federal temporary differences.</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i w:val="1"/>
          <w:iCs w:val="1"/>
          <w:color w:val="auto"/>
        </w:rPr>
        <w:t xml:space="preserve">Deemed Repatriation Transition Tax </w:t>
      </w:r>
      <w:r>
        <w:rPr>
          <w:rFonts w:ascii="Arial" w:cs="Arial" w:eastAsia="Arial" w:hAnsi="Arial"/>
          <w:sz w:val="18"/>
          <w:szCs w:val="18"/>
          <w:color w:val="auto"/>
        </w:rPr>
        <w:t>- The Deemed Repatriation Transition Tax (“Transition Tax”) is a tax on previously untaxed accumulated</w:t>
      </w:r>
      <w:r>
        <w:rPr>
          <w:rFonts w:ascii="Arial" w:cs="Arial" w:eastAsia="Arial" w:hAnsi="Arial"/>
          <w:sz w:val="18"/>
          <w:szCs w:val="18"/>
          <w:i w:val="1"/>
          <w:iCs w:val="1"/>
          <w:color w:val="auto"/>
        </w:rPr>
        <w:t xml:space="preserve"> </w:t>
      </w:r>
      <w:r>
        <w:rPr>
          <w:rFonts w:ascii="Arial" w:cs="Arial" w:eastAsia="Arial" w:hAnsi="Arial"/>
          <w:sz w:val="18"/>
          <w:szCs w:val="18"/>
          <w:color w:val="auto"/>
        </w:rPr>
        <w:t>and current earnings and profits (“E&amp;P”) of the Company’s foreign subsidiaries. To determine the amount of the Transition Tax, the Company must determine, in addition to other factors, the amount of post-1986 E&amp;P of the relevant subsidiaries, as well as the amount of non-U.S. income taxes paid on such earnings. The Company is able to make a reasonable estimate of the Transition Tax and recorded a provisional amount. Due to the ability to utilize foreign tax credits in the calculation of the Transition Tax, the obligation primarily related to the estimated state impacts. However, the Company is continuing to gather additional information. Additional guidance from the U.S. Treasury and state taxing authorities on the application of certain provisions of the Tax Act is expected in the future.</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Valuation Allowances </w:t>
      </w:r>
      <w:r>
        <w:rPr>
          <w:rFonts w:ascii="Arial" w:cs="Arial" w:eastAsia="Arial" w:hAnsi="Arial"/>
          <w:sz w:val="20"/>
          <w:szCs w:val="20"/>
          <w:color w:val="auto"/>
        </w:rPr>
        <w:t>- The Company must assess whether its valuation allowance analyses or deferred tax assets are affected by various</w:t>
      </w:r>
      <w:r>
        <w:rPr>
          <w:rFonts w:ascii="Arial" w:cs="Arial" w:eastAsia="Arial" w:hAnsi="Arial"/>
          <w:sz w:val="20"/>
          <w:szCs w:val="20"/>
          <w:i w:val="1"/>
          <w:iCs w:val="1"/>
          <w:color w:val="auto"/>
        </w:rPr>
        <w:t xml:space="preserve"> </w:t>
      </w:r>
      <w:r>
        <w:rPr>
          <w:rFonts w:ascii="Arial" w:cs="Arial" w:eastAsia="Arial" w:hAnsi="Arial"/>
          <w:sz w:val="20"/>
          <w:szCs w:val="20"/>
          <w:color w:val="auto"/>
        </w:rPr>
        <w:t>aspects of the Tax Act (e.g., deemed repatriation of deferred foreign income, global intangible low-taxed income (“GILTI”) inclusions and new categories of foreign tax credits). While the Company did record an additional valuation allowance against foreign tax credit carryforwards, the Company has recorded provisional amounts related to certain portions of the Tax Act and any corresponding determination of the need for a change in a valuation allowance is also provisional.</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For tax years beginning after December 31, 2017, the Tax Act subjects a U.S. shareholder to tax on GILTI earned by certain foreign subsidiaries. The FASB Staff Q&amp;A, Topic 740, No. 5, Accounting for Global Intangible Low-Taxed Income, states that an entity can make an accounting policy election to either recognize deferred taxes for temporary basis differences expected to reverse as GILTI in future years or provide for the tax expense related to GILTI in the year the tax is incurred. As of July 1, 2018, the Company has not yet determined its accounting policy with regard to GILTI, and does not expect GILTI in 2018.</w:t>
      </w:r>
    </w:p>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6"/>
          <w:szCs w:val="16"/>
          <w:color w:val="auto"/>
        </w:rPr>
        <w:t>Commitments and Contingencies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Litigation and Other Matters - </w:t>
      </w:r>
      <w:r>
        <w:rPr>
          <w:rFonts w:ascii="Arial" w:cs="Arial" w:eastAsia="Arial" w:hAnsi="Arial"/>
          <w:sz w:val="20"/>
          <w:szCs w:val="20"/>
          <w:color w:val="auto"/>
        </w:rPr>
        <w:t>The Company had $3.5 million and $4.3 million of liabilities recorded for various legal matters as of July 1,</w:t>
      </w:r>
      <w:r>
        <w:rPr>
          <w:rFonts w:ascii="Arial" w:cs="Arial" w:eastAsia="Arial" w:hAnsi="Arial"/>
          <w:sz w:val="20"/>
          <w:szCs w:val="20"/>
          <w:i w:val="1"/>
          <w:iCs w:val="1"/>
          <w:color w:val="auto"/>
        </w:rPr>
        <w:t xml:space="preserve"> </w:t>
      </w:r>
      <w:r>
        <w:rPr>
          <w:rFonts w:ascii="Arial" w:cs="Arial" w:eastAsia="Arial" w:hAnsi="Arial"/>
          <w:sz w:val="20"/>
          <w:szCs w:val="20"/>
          <w:color w:val="auto"/>
        </w:rPr>
        <w:t>2018 and December 31, 2017, respectively.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The Company is subject to legal proceedings, claims and liabilities, such as liquor liability, slip and fall cases, wage-and-hour and other employment-related litigation, which arise in the ordinary course of business and are generally covered by insurance if they exceed specified retention or deductible amounts. In the opinion of management, the amount of ultimate liability with respect to those actions will not have a material adverse impact on the Company’s financial position or results of operations and cash flows.</w:t>
      </w:r>
    </w:p>
    <w:p>
      <w:pPr>
        <w:spacing w:after="0" w:line="205"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i w:val="1"/>
          <w:iCs w:val="1"/>
          <w:color w:val="auto"/>
        </w:rPr>
        <w:t xml:space="preserve">Lease Guarantees </w:t>
      </w:r>
      <w:r>
        <w:rPr>
          <w:rFonts w:ascii="Arial" w:cs="Arial" w:eastAsia="Arial" w:hAnsi="Arial"/>
          <w:sz w:val="20"/>
          <w:szCs w:val="20"/>
          <w:color w:val="auto"/>
        </w:rPr>
        <w:t>- The Company assigned its interest, and is contingently liable, under certain real estate leases. These leases have varying</w:t>
      </w:r>
      <w:r>
        <w:rPr>
          <w:rFonts w:ascii="Arial" w:cs="Arial" w:eastAsia="Arial" w:hAnsi="Arial"/>
          <w:sz w:val="20"/>
          <w:szCs w:val="20"/>
          <w:i w:val="1"/>
          <w:iCs w:val="1"/>
          <w:color w:val="auto"/>
        </w:rPr>
        <w:t xml:space="preserve"> </w:t>
      </w:r>
      <w:r>
        <w:rPr>
          <w:rFonts w:ascii="Arial" w:cs="Arial" w:eastAsia="Arial" w:hAnsi="Arial"/>
          <w:sz w:val="20"/>
          <w:szCs w:val="20"/>
          <w:color w:val="auto"/>
        </w:rPr>
        <w:t>terms, the latest of which expires in 2032. As of July 1, 2018, the undiscounted payments the Company could be required to make in the event of non-payment by the primary lessees was approximately $27.2 million. The present value of these potential payments discounted at the Company’s incremental borrowing rate as of July 1, 2018 was approximately $18.7 million. In the event of default, the indemnity clauses in the Company’s purchase and sale agreements govern its ability to pursue and recover damages incurred. The Company believes the financial strength and operating history of the lessees’ significantly reduces the risk that it will be required to make payments under these leases. Accordingly, no liability has been recorded.</w:t>
      </w:r>
    </w:p>
    <w:p>
      <w:pPr>
        <w:spacing w:after="0" w:line="20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6"/>
          <w:szCs w:val="16"/>
          <w:color w:val="auto"/>
        </w:rPr>
        <w:t>Segment Reporting</w:t>
      </w:r>
    </w:p>
    <w:p>
      <w:pPr>
        <w:spacing w:after="0" w:line="229"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Company has two reportable segments, U.S. and International, which reflects how the Company manages its business, reviews operating performance and allocates resources. The U.S. segment includes all brands operating in the U.S. while brands operating outside the U.S. are included in the International segment. Resources are allocated and performance is assessed by the Company’s Chief Executive Officer (“CEO”), whom the Company has determined to be its Chief Operating Decision Maker (“CODM”). Following is a summary of reporting segments: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2600" w:type="dxa"/>
            <w:vAlign w:val="bottom"/>
          </w:tcPr>
          <w:p>
            <w:pPr>
              <w:spacing w:after="0"/>
              <w:rPr>
                <w:sz w:val="20"/>
                <w:szCs w:val="20"/>
                <w:color w:val="auto"/>
              </w:rPr>
            </w:pPr>
            <w:r>
              <w:rPr>
                <w:rFonts w:ascii="Arial" w:cs="Arial" w:eastAsia="Arial" w:hAnsi="Arial"/>
                <w:sz w:val="14"/>
                <w:szCs w:val="14"/>
                <w:b w:val="1"/>
                <w:bCs w:val="1"/>
                <w:color w:val="auto"/>
              </w:rPr>
              <w:t>SEGMENT (1)</w:t>
            </w:r>
          </w:p>
        </w:tc>
        <w:tc>
          <w:tcPr>
            <w:tcW w:w="1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4"/>
                <w:szCs w:val="14"/>
                <w:b w:val="1"/>
                <w:bCs w:val="1"/>
                <w:color w:val="auto"/>
              </w:rPr>
              <w:t>CONCEPT</w:t>
            </w:r>
          </w:p>
        </w:tc>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260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U.S.</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680" w:type="dxa"/>
            <w:vAlign w:val="bottom"/>
            <w:tcBorders>
              <w:top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Outback Steakhouse</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3880" w:type="dxa"/>
            <w:vAlign w:val="bottom"/>
            <w:tcBorders>
              <w:top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auto"/>
            </w:tcBorders>
          </w:tcPr>
          <w:p>
            <w:pPr>
              <w:spacing w:after="0"/>
              <w:rPr>
                <w:sz w:val="23"/>
                <w:szCs w:val="23"/>
                <w:color w:val="auto"/>
              </w:rPr>
            </w:pPr>
          </w:p>
        </w:tc>
        <w:tc>
          <w:tcPr>
            <w:tcW w:w="2600" w:type="dxa"/>
            <w:vAlign w:val="bottom"/>
            <w:tcBorders>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68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Carrabba’s Italian Grill</w:t>
            </w:r>
          </w:p>
        </w:tc>
        <w:tc>
          <w:tcPr>
            <w:tcW w:w="120" w:type="dxa"/>
            <w:vAlign w:val="bottom"/>
            <w:tcBorders>
              <w:right w:val="single" w:sz="8" w:color="auto"/>
            </w:tcBorders>
            <w:shd w:val="clear" w:color="auto" w:fill="CCEEFF"/>
          </w:tcPr>
          <w:p>
            <w:pPr>
              <w:spacing w:after="0"/>
              <w:rPr>
                <w:sz w:val="23"/>
                <w:szCs w:val="23"/>
                <w:color w:val="auto"/>
              </w:rPr>
            </w:pPr>
          </w:p>
        </w:tc>
        <w:tc>
          <w:tcPr>
            <w:tcW w:w="388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color w:val="auto"/>
              </w:rPr>
              <w:t>Bonefish Grill</w:t>
            </w: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continue"/>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40" w:type="dxa"/>
            <w:vAlign w:val="bottom"/>
            <w:tcBorders>
              <w:right w:val="single" w:sz="8" w:color="auto"/>
            </w:tcBorders>
          </w:tcPr>
          <w:p>
            <w:pPr>
              <w:spacing w:after="0"/>
              <w:rPr>
                <w:sz w:val="24"/>
                <w:szCs w:val="24"/>
                <w:color w:val="auto"/>
              </w:rPr>
            </w:pPr>
          </w:p>
        </w:tc>
        <w:tc>
          <w:tcPr>
            <w:tcW w:w="2600" w:type="dxa"/>
            <w:vAlign w:val="bottom"/>
            <w:tcBorders>
              <w:bottom w:val="single" w:sz="8" w:color="CCEEFF"/>
              <w:right w:val="single" w:sz="8" w:color="auto"/>
            </w:tcBorders>
            <w:shd w:val="clear" w:color="auto" w:fill="CCEEFF"/>
          </w:tcPr>
          <w:p>
            <w:pPr>
              <w:spacing w:after="0"/>
              <w:rPr>
                <w:sz w:val="24"/>
                <w:szCs w:val="24"/>
                <w:color w:val="auto"/>
              </w:rPr>
            </w:pP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46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Fleming’s Prime Steakhouse &amp; Wine Bar</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3880" w:type="dxa"/>
            <w:vAlign w:val="bottom"/>
            <w:tcBorders>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260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International</w:t>
            </w:r>
          </w:p>
        </w:tc>
        <w:tc>
          <w:tcPr>
            <w:tcW w:w="120" w:type="dxa"/>
            <w:vAlign w:val="bottom"/>
            <w:tcBorders>
              <w:right w:val="single" w:sz="8" w:color="auto"/>
            </w:tcBorders>
          </w:tcPr>
          <w:p>
            <w:pPr>
              <w:spacing w:after="0"/>
              <w:rPr>
                <w:sz w:val="18"/>
                <w:szCs w:val="18"/>
                <w:color w:val="auto"/>
              </w:rPr>
            </w:pPr>
          </w:p>
        </w:tc>
        <w:tc>
          <w:tcPr>
            <w:tcW w:w="46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Outback Steakhouse</w:t>
            </w:r>
          </w:p>
        </w:tc>
        <w:tc>
          <w:tcPr>
            <w:tcW w:w="120" w:type="dxa"/>
            <w:vAlign w:val="bottom"/>
            <w:tcBorders>
              <w:right w:val="single" w:sz="8" w:color="auto"/>
            </w:tcBorders>
          </w:tcPr>
          <w:p>
            <w:pPr>
              <w:spacing w:after="0"/>
              <w:rPr>
                <w:sz w:val="18"/>
                <w:szCs w:val="18"/>
                <w:color w:val="auto"/>
              </w:rPr>
            </w:pPr>
          </w:p>
        </w:tc>
        <w:tc>
          <w:tcPr>
            <w:tcW w:w="38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 Hong Kong, China</w:t>
            </w:r>
          </w:p>
        </w:tc>
        <w:tc>
          <w:tcPr>
            <w:tcW w:w="0" w:type="dxa"/>
            <w:vAlign w:val="bottom"/>
          </w:tcPr>
          <w:p>
            <w:pPr>
              <w:spacing w:after="0"/>
              <w:rPr>
                <w:sz w:val="1"/>
                <w:szCs w:val="1"/>
                <w:color w:val="auto"/>
              </w:rPr>
            </w:pPr>
          </w:p>
        </w:tc>
      </w:tr>
      <w:tr>
        <w:trPr>
          <w:trHeight w:val="33"/>
        </w:trPr>
        <w:tc>
          <w:tcPr>
            <w:tcW w:w="40" w:type="dxa"/>
            <w:vAlign w:val="bottom"/>
            <w:tcBorders>
              <w:right w:val="single" w:sz="8" w:color="auto"/>
            </w:tcBorders>
          </w:tcPr>
          <w:p>
            <w:pPr>
              <w:spacing w:after="0"/>
              <w:rPr>
                <w:sz w:val="2"/>
                <w:szCs w:val="2"/>
                <w:color w:val="auto"/>
              </w:rPr>
            </w:pPr>
          </w:p>
        </w:tc>
        <w:tc>
          <w:tcPr>
            <w:tcW w:w="260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Carrabba’s Italian Grill (Abbraccio)</w:t>
            </w:r>
          </w:p>
        </w:tc>
        <w:tc>
          <w:tcPr>
            <w:tcW w:w="1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33"/>
        </w:trPr>
        <w:tc>
          <w:tcPr>
            <w:tcW w:w="40" w:type="dxa"/>
            <w:vAlign w:val="bottom"/>
            <w:tcBorders>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600" w:type="dxa"/>
            <w:vAlign w:val="bottom"/>
          </w:tcPr>
          <w:p>
            <w:pPr>
              <w:jc w:val="right"/>
              <w:ind w:right="1181"/>
              <w:spacing w:after="0"/>
              <w:rPr>
                <w:sz w:val="20"/>
                <w:szCs w:val="20"/>
                <w:color w:val="auto"/>
              </w:rPr>
            </w:pPr>
            <w:r>
              <w:rPr>
                <w:rFonts w:ascii="Arial" w:cs="Arial" w:eastAsia="Arial" w:hAnsi="Arial"/>
                <w:sz w:val="16"/>
                <w:szCs w:val="16"/>
                <w:color w:val="auto"/>
                <w:w w:val="87"/>
              </w:rPr>
              <w:t>_________________</w:t>
            </w: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franchise locations.</w:t>
      </w:r>
    </w:p>
    <w:p>
      <w:pPr>
        <w:spacing w:after="0" w:line="21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Segment accounting policies are the same as those described in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Company’s Annual Report on Form 10-K for the year ended December 31, 2017. Revenues for all segments include only transactions with customers and exclude intersegment revenues. Excluded from net income from operations for U.S. and International are certain legal and corporate costs not directly related to the performance of the segments, stock-based compensation expenses and certain bonus expenses.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Total revenue by segment: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423"/>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303"/>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JUNE 25, 2017</w:t>
            </w:r>
          </w:p>
        </w:tc>
        <w:tc>
          <w:tcPr>
            <w:tcW w:w="18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180" w:type="dxa"/>
            <w:vAlign w:val="bottom"/>
          </w:tcPr>
          <w:p>
            <w:pPr>
              <w:jc w:val="right"/>
              <w:ind w:right="143"/>
              <w:spacing w:after="0"/>
              <w:rPr>
                <w:sz w:val="20"/>
                <w:szCs w:val="20"/>
                <w:color w:val="auto"/>
              </w:rPr>
            </w:pPr>
            <w:r>
              <w:rPr>
                <w:rFonts w:ascii="Arial" w:cs="Arial" w:eastAsia="Arial" w:hAnsi="Arial"/>
                <w:sz w:val="14"/>
                <w:szCs w:val="14"/>
                <w:b w:val="1"/>
                <w:bCs w:val="1"/>
                <w:color w:val="auto"/>
                <w:w w:val="98"/>
              </w:rPr>
              <w:t>JUNE 25, 2017</w:t>
            </w:r>
          </w:p>
        </w:tc>
        <w:tc>
          <w:tcPr>
            <w:tcW w:w="0" w:type="dxa"/>
            <w:vAlign w:val="bottom"/>
          </w:tcPr>
          <w:p>
            <w:pPr>
              <w:spacing w:after="0"/>
              <w:rPr>
                <w:sz w:val="1"/>
                <w:szCs w:val="1"/>
                <w:color w:val="auto"/>
              </w:rPr>
            </w:pPr>
          </w:p>
        </w:tc>
      </w:tr>
      <w:tr>
        <w:trPr>
          <w:trHeight w:val="28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(Restated) (1)</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83"/>
              <w:spacing w:after="0"/>
              <w:rPr>
                <w:sz w:val="20"/>
                <w:szCs w:val="20"/>
                <w:color w:val="auto"/>
              </w:rPr>
            </w:pPr>
            <w:r>
              <w:rPr>
                <w:rFonts w:ascii="Arial" w:cs="Arial" w:eastAsia="Arial" w:hAnsi="Arial"/>
                <w:sz w:val="14"/>
                <w:szCs w:val="14"/>
                <w:b w:val="1"/>
                <w:bCs w:val="1"/>
                <w:color w:val="auto"/>
              </w:rPr>
              <w:t>(Restated) (1)</w:t>
            </w:r>
          </w:p>
        </w:tc>
        <w:tc>
          <w:tcPr>
            <w:tcW w:w="0" w:type="dxa"/>
            <w:vAlign w:val="bottom"/>
          </w:tcPr>
          <w:p>
            <w:pPr>
              <w:spacing w:after="0"/>
              <w:rPr>
                <w:sz w:val="1"/>
                <w:szCs w:val="1"/>
                <w:color w:val="auto"/>
              </w:rPr>
            </w:pP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6"/>
                <w:shd w:val="clear" w:color="auto" w:fill="CCEEFF"/>
              </w:rPr>
              <w:t>Total revenues</w:t>
            </w:r>
          </w:p>
        </w:tc>
        <w:tc>
          <w:tcPr>
            <w:tcW w:w="46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580" w:type="dxa"/>
            <w:vAlign w:val="bottom"/>
            <w:gridSpan w:val="2"/>
          </w:tcPr>
          <w:p>
            <w:pPr>
              <w:ind w:left="240"/>
              <w:spacing w:after="0"/>
              <w:rPr>
                <w:sz w:val="20"/>
                <w:szCs w:val="20"/>
                <w:color w:val="auto"/>
              </w:rPr>
            </w:pPr>
            <w:r>
              <w:rPr>
                <w:rFonts w:ascii="Arial" w:cs="Arial" w:eastAsia="Arial" w:hAnsi="Arial"/>
                <w:sz w:val="16"/>
                <w:szCs w:val="16"/>
                <w:color w:val="auto"/>
              </w:rPr>
              <w:t>U.S.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922,355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920,796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1,921,062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3"/>
              <w:spacing w:after="0"/>
              <w:rPr>
                <w:sz w:val="20"/>
                <w:szCs w:val="20"/>
                <w:color w:val="auto"/>
              </w:rPr>
            </w:pPr>
            <w:r>
              <w:rPr>
                <w:rFonts w:ascii="Arial" w:cs="Arial" w:eastAsia="Arial" w:hAnsi="Arial"/>
                <w:sz w:val="16"/>
                <w:szCs w:val="16"/>
                <w:color w:val="auto"/>
              </w:rPr>
              <w:t>1,964,469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International</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109,459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115,662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227,217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226,700</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gridSpan w:val="2"/>
          </w:tcPr>
          <w:p>
            <w:pPr>
              <w:ind w:left="46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1,031,814</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1,036,458</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2,148,279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2,191,169</w:t>
            </w: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jc w:val="right"/>
              <w:ind w:right="4000"/>
              <w:spacing w:after="0"/>
              <w:rPr>
                <w:sz w:val="20"/>
                <w:szCs w:val="20"/>
                <w:color w:val="auto"/>
              </w:rPr>
            </w:pPr>
            <w:r>
              <w:rPr>
                <w:rFonts w:ascii="Arial" w:cs="Arial" w:eastAsia="Arial" w:hAnsi="Arial"/>
                <w:sz w:val="16"/>
                <w:szCs w:val="16"/>
                <w:color w:val="auto"/>
                <w:w w:val="89"/>
              </w:rPr>
              <w:t>____________________</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6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See Note 1 - </w:t>
      </w:r>
      <w:r>
        <w:rPr>
          <w:rFonts w:ascii="Arial" w:cs="Arial" w:eastAsia="Arial" w:hAnsi="Arial"/>
          <w:sz w:val="16"/>
          <w:szCs w:val="16"/>
          <w:i w:val="1"/>
          <w:iCs w:val="1"/>
          <w:color w:val="auto"/>
        </w:rPr>
        <w:t>Description of the Business and Basis of Presentation</w:t>
      </w:r>
      <w:r>
        <w:rPr>
          <w:rFonts w:ascii="Arial" w:cs="Arial" w:eastAsia="Arial" w:hAnsi="Arial"/>
          <w:sz w:val="16"/>
          <w:szCs w:val="16"/>
          <w:color w:val="auto"/>
        </w:rPr>
        <w:t xml:space="preserve"> for details of the impact of implementing ASU No. 2014-09.</w:t>
      </w:r>
    </w:p>
    <w:p>
      <w:pPr>
        <w:spacing w:after="0" w:line="243"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26</w:t>
      </w:r>
    </w:p>
    <w:p>
      <w:pPr>
        <w:sectPr>
          <w:pgSz w:w="11900" w:h="16838" w:orient="portrait"/>
          <w:cols w:equalWidth="0" w:num="1">
            <w:col w:w="11440"/>
          </w:cols>
          <w:pgMar w:left="240" w:top="121" w:right="21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is a reconciliation of Segment income (loss) from operations to Income before (benefit) provision for income taxes: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301"/>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58"/>
        </w:trPr>
        <w:tc>
          <w:tcPr>
            <w:tcW w:w="5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JUNE 25, 2017</w:t>
            </w:r>
          </w:p>
        </w:tc>
        <w:tc>
          <w:tcPr>
            <w:tcW w:w="18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180" w:type="dxa"/>
            <w:vAlign w:val="bottom"/>
          </w:tcPr>
          <w:p>
            <w:pPr>
              <w:jc w:val="right"/>
              <w:ind w:right="141"/>
              <w:spacing w:after="0"/>
              <w:rPr>
                <w:sz w:val="20"/>
                <w:szCs w:val="20"/>
                <w:color w:val="auto"/>
              </w:rPr>
            </w:pPr>
            <w:r>
              <w:rPr>
                <w:rFonts w:ascii="Arial" w:cs="Arial" w:eastAsia="Arial" w:hAnsi="Arial"/>
                <w:sz w:val="14"/>
                <w:szCs w:val="14"/>
                <w:b w:val="1"/>
                <w:bCs w:val="1"/>
                <w:color w:val="auto"/>
                <w:w w:val="98"/>
              </w:rPr>
              <w:t>JUNE 25, 2017</w:t>
            </w:r>
          </w:p>
        </w:tc>
        <w:tc>
          <w:tcPr>
            <w:tcW w:w="0" w:type="dxa"/>
            <w:vAlign w:val="bottom"/>
          </w:tcPr>
          <w:p>
            <w:pPr>
              <w:spacing w:after="0"/>
              <w:rPr>
                <w:sz w:val="1"/>
                <w:szCs w:val="1"/>
                <w:color w:val="auto"/>
              </w:rPr>
            </w:pPr>
          </w:p>
        </w:tc>
      </w:tr>
      <w:tr>
        <w:trPr>
          <w:trHeight w:val="289"/>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(Restated) (1)</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81"/>
              <w:spacing w:after="0"/>
              <w:rPr>
                <w:sz w:val="20"/>
                <w:szCs w:val="20"/>
                <w:color w:val="auto"/>
              </w:rPr>
            </w:pPr>
            <w:r>
              <w:rPr>
                <w:rFonts w:ascii="Arial" w:cs="Arial" w:eastAsia="Arial" w:hAnsi="Arial"/>
                <w:sz w:val="14"/>
                <w:szCs w:val="14"/>
                <w:b w:val="1"/>
                <w:bCs w:val="1"/>
                <w:color w:val="auto"/>
              </w:rPr>
              <w:t>(Restated) (1)</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income (loss) from operations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U.S.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76,913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74,207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186,047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183,024</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9,728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6,276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18,363</w:t>
            </w:r>
          </w:p>
        </w:tc>
        <w:tc>
          <w:tcPr>
            <w:tcW w:w="0" w:type="dxa"/>
            <w:vAlign w:val="bottom"/>
          </w:tcPr>
          <w:p>
            <w:pPr>
              <w:spacing w:after="0"/>
              <w:rPr>
                <w:sz w:val="1"/>
                <w:szCs w:val="1"/>
                <w:color w:val="auto"/>
              </w:rPr>
            </w:pPr>
          </w:p>
        </w:tc>
      </w:tr>
      <w:tr>
        <w:trPr>
          <w:trHeight w:val="224"/>
        </w:trPr>
        <w:tc>
          <w:tcPr>
            <w:tcW w:w="5620" w:type="dxa"/>
            <w:vAlign w:val="bottom"/>
          </w:tcPr>
          <w:p>
            <w:pPr>
              <w:ind w:left="500"/>
              <w:spacing w:after="0"/>
              <w:rPr>
                <w:sz w:val="20"/>
                <w:szCs w:val="20"/>
                <w:color w:val="auto"/>
              </w:rPr>
            </w:pPr>
            <w:r>
              <w:rPr>
                <w:rFonts w:ascii="Arial" w:cs="Arial" w:eastAsia="Arial" w:hAnsi="Arial"/>
                <w:sz w:val="16"/>
                <w:szCs w:val="16"/>
                <w:color w:val="auto"/>
              </w:rPr>
              <w:t>Total segment income from operations</w:t>
            </w:r>
          </w:p>
        </w:tc>
        <w:tc>
          <w:tcPr>
            <w:tcW w:w="18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74,864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83,935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192,323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201,387</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Unallocated corporate operating expense</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(83,211)</w:t>
            </w:r>
          </w:p>
        </w:tc>
        <w:tc>
          <w:tcPr>
            <w:tcW w:w="0" w:type="dxa"/>
            <w:vAlign w:val="bottom"/>
          </w:tcPr>
          <w:p>
            <w:pPr>
              <w:spacing w:after="0"/>
              <w:rPr>
                <w:sz w:val="1"/>
                <w:szCs w:val="1"/>
                <w:color w:val="auto"/>
              </w:rPr>
            </w:pPr>
          </w:p>
        </w:tc>
      </w:tr>
      <w:tr>
        <w:trPr>
          <w:trHeight w:val="224"/>
        </w:trPr>
        <w:tc>
          <w:tcPr>
            <w:tcW w:w="5620" w:type="dxa"/>
            <w:vAlign w:val="bottom"/>
          </w:tcPr>
          <w:p>
            <w:pPr>
              <w:ind w:left="500"/>
              <w:spacing w:after="0"/>
              <w:rPr>
                <w:sz w:val="20"/>
                <w:szCs w:val="20"/>
                <w:color w:val="auto"/>
              </w:rPr>
            </w:pPr>
            <w:r>
              <w:rPr>
                <w:rFonts w:ascii="Arial" w:cs="Arial" w:eastAsia="Arial" w:hAnsi="Arial"/>
                <w:sz w:val="16"/>
                <w:szCs w:val="16"/>
                <w:color w:val="auto"/>
              </w:rPr>
              <w:t>Total income from operations</w:t>
            </w:r>
          </w:p>
        </w:tc>
        <w:tc>
          <w:tcPr>
            <w:tcW w:w="18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32,924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41,342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111,295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118,176</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on extinguishment and modification of debt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Other (expense) income, net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7,281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7,230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 net</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(18,684)</w:t>
            </w:r>
          </w:p>
        </w:tc>
        <w:tc>
          <w:tcPr>
            <w:tcW w:w="0" w:type="dxa"/>
            <w:vAlign w:val="bottom"/>
          </w:tcPr>
          <w:p>
            <w:pPr>
              <w:spacing w:after="0"/>
              <w:rPr>
                <w:sz w:val="1"/>
                <w:szCs w:val="1"/>
                <w:color w:val="auto"/>
              </w:rPr>
            </w:pPr>
          </w:p>
        </w:tc>
      </w:tr>
      <w:tr>
        <w:trPr>
          <w:trHeight w:val="250"/>
        </w:trPr>
        <w:tc>
          <w:tcPr>
            <w:tcW w:w="5620" w:type="dxa"/>
            <w:vAlign w:val="bottom"/>
          </w:tcPr>
          <w:p>
            <w:pPr>
              <w:ind w:left="500"/>
              <w:spacing w:after="0"/>
              <w:rPr>
                <w:sz w:val="20"/>
                <w:szCs w:val="20"/>
                <w:color w:val="auto"/>
              </w:rPr>
            </w:pPr>
            <w:r>
              <w:rPr>
                <w:rFonts w:ascii="Arial" w:cs="Arial" w:eastAsia="Arial" w:hAnsi="Arial"/>
                <w:sz w:val="16"/>
                <w:szCs w:val="16"/>
                <w:color w:val="auto"/>
              </w:rPr>
              <w:t>Income before (benefit) provision for income taxes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21,599</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38,820</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89,661</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106,462</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6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See Note 1 - </w:t>
      </w:r>
      <w:r>
        <w:rPr>
          <w:rFonts w:ascii="Arial" w:cs="Arial" w:eastAsia="Arial" w:hAnsi="Arial"/>
          <w:sz w:val="16"/>
          <w:szCs w:val="16"/>
          <w:i w:val="1"/>
          <w:iCs w:val="1"/>
          <w:color w:val="auto"/>
        </w:rPr>
        <w:t>Description of the Business and Basis of Presentation</w:t>
      </w:r>
      <w:r>
        <w:rPr>
          <w:rFonts w:ascii="Arial" w:cs="Arial" w:eastAsia="Arial" w:hAnsi="Arial"/>
          <w:sz w:val="16"/>
          <w:szCs w:val="16"/>
          <w:color w:val="auto"/>
        </w:rPr>
        <w:t xml:space="preserve"> for details of the impact of implementing ASU No. 2014-09.</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Depreciation and amortization expense by segment: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301"/>
              <w:spacing w:after="0"/>
              <w:rPr>
                <w:sz w:val="20"/>
                <w:szCs w:val="20"/>
                <w:color w:val="auto"/>
              </w:rPr>
            </w:pPr>
            <w:r>
              <w:rPr>
                <w:rFonts w:ascii="Arial" w:cs="Arial" w:eastAsia="Arial" w:hAnsi="Arial"/>
                <w:sz w:val="14"/>
                <w:szCs w:val="14"/>
                <w:b w:val="1"/>
                <w:bCs w:val="1"/>
                <w:color w:val="auto"/>
              </w:rPr>
              <w:t>TWENTY-SIX WEEKS ENDED</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22"/>
                <w:szCs w:val="22"/>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25, 2017</w:t>
            </w:r>
          </w:p>
        </w:tc>
        <w:tc>
          <w:tcPr>
            <w:tcW w:w="18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180" w:type="dxa"/>
            <w:vAlign w:val="bottom"/>
          </w:tcPr>
          <w:p>
            <w:pPr>
              <w:jc w:val="right"/>
              <w:ind w:right="141"/>
              <w:spacing w:after="0"/>
              <w:rPr>
                <w:sz w:val="20"/>
                <w:szCs w:val="20"/>
                <w:color w:val="auto"/>
              </w:rPr>
            </w:pPr>
            <w:r>
              <w:rPr>
                <w:rFonts w:ascii="Arial" w:cs="Arial" w:eastAsia="Arial" w:hAnsi="Arial"/>
                <w:sz w:val="14"/>
                <w:szCs w:val="14"/>
                <w:b w:val="1"/>
                <w:bCs w:val="1"/>
                <w:color w:val="auto"/>
                <w:w w:val="98"/>
              </w:rPr>
              <w:t>JUNE 25, 2017</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U.S.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39,993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37,406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79,267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74,006</w:t>
            </w: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6,714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7,014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13,446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13,514</w:t>
            </w:r>
          </w:p>
        </w:tc>
      </w:tr>
      <w:tr>
        <w:trPr>
          <w:trHeight w:val="270"/>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Corporate</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4,075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3,643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8,189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7,133</w:t>
            </w:r>
          </w:p>
        </w:tc>
      </w:tr>
      <w:tr>
        <w:trPr>
          <w:trHeight w:val="24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depreciation and amortization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50,782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48,063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100,902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94,653</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Geographic Areas </w:t>
      </w:r>
      <w:r>
        <w:rPr>
          <w:rFonts w:ascii="Arial" w:cs="Arial" w:eastAsia="Arial" w:hAnsi="Arial"/>
          <w:sz w:val="20"/>
          <w:szCs w:val="20"/>
          <w:color w:val="auto"/>
        </w:rPr>
        <w:t>— International assets are defined as assets residing in a country other than the U.S. The following table details long-lived</w:t>
      </w:r>
      <w:r>
        <w:rPr>
          <w:rFonts w:ascii="Arial" w:cs="Arial" w:eastAsia="Arial" w:hAnsi="Arial"/>
          <w:sz w:val="20"/>
          <w:szCs w:val="20"/>
          <w:i w:val="1"/>
          <w:iCs w:val="1"/>
          <w:color w:val="auto"/>
        </w:rPr>
        <w:t xml:space="preserve"> </w:t>
      </w:r>
      <w:r>
        <w:rPr>
          <w:rFonts w:ascii="Arial" w:cs="Arial" w:eastAsia="Arial" w:hAnsi="Arial"/>
          <w:sz w:val="20"/>
          <w:szCs w:val="20"/>
          <w:color w:val="auto"/>
        </w:rPr>
        <w:t>assets, excluding goodwill, intangible assets and deferred tax assets, by major geographic area: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220" w:type="dxa"/>
            <w:vAlign w:val="bottom"/>
          </w:tcPr>
          <w:p>
            <w:pPr>
              <w:spacing w:after="0"/>
              <w:rPr>
                <w:sz w:val="17"/>
                <w:szCs w:val="17"/>
                <w:color w:val="auto"/>
              </w:rPr>
            </w:pPr>
          </w:p>
        </w:tc>
        <w:tc>
          <w:tcPr>
            <w:tcW w:w="1820" w:type="dxa"/>
            <w:vAlign w:val="bottom"/>
          </w:tcPr>
          <w:p>
            <w:pPr>
              <w:jc w:val="right"/>
              <w:ind w:right="261"/>
              <w:spacing w:after="0"/>
              <w:rPr>
                <w:sz w:val="20"/>
                <w:szCs w:val="20"/>
                <w:color w:val="auto"/>
              </w:rPr>
            </w:pPr>
            <w:r>
              <w:rPr>
                <w:rFonts w:ascii="Arial" w:cs="Arial" w:eastAsia="Arial" w:hAnsi="Arial"/>
                <w:sz w:val="14"/>
                <w:szCs w:val="14"/>
                <w:b w:val="1"/>
                <w:bCs w:val="1"/>
                <w:color w:val="auto"/>
              </w:rPr>
              <w:t>DECEMBER 31, 2017</w:t>
            </w:r>
          </w:p>
        </w:tc>
      </w:tr>
      <w:tr>
        <w:trPr>
          <w:trHeight w:val="237"/>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1,129,623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1,164,322</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Brazil</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115,887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126,341</w:t>
            </w:r>
          </w:p>
        </w:tc>
      </w:tr>
      <w:tr>
        <w:trPr>
          <w:trHeight w:val="270"/>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18,290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18,012</w:t>
            </w: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1,263,800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1,308,675</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Management’s discussion and analysis of financial condition and results of operations should be read in conjunction with our unaudited consolidated financial statements and the related notes. Unless the context otherwise indicates, as used in this report, the term the “Company,” “we,” “us,” “our” and other similar terms mean Bloomin’ Brands, Inc. and its subsidiaries.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This Quarterly Report on Form 10-Q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and Section 21E of the Securities Exchange Act of 1934, as amended.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the following:</w:t>
      </w:r>
    </w:p>
    <w:p>
      <w:pPr>
        <w:spacing w:after="0" w:line="181"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Consumer reactions to public health and food safety issues;</w:t>
      </w:r>
    </w:p>
    <w:p>
      <w:pPr>
        <w:spacing w:after="0" w:line="229" w:lineRule="exact"/>
        <w:rPr>
          <w:rFonts w:ascii="Arial" w:cs="Arial" w:eastAsia="Arial" w:hAnsi="Arial"/>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compete in the highly competitive restaurant industry with many well-established competitors and new market entrants;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Minimum wage increases and additional mandated employee benefits;</w:t>
      </w:r>
    </w:p>
    <w:p>
      <w:pPr>
        <w:spacing w:after="0" w:line="229"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Economic conditions and their effects on consumer confidence and discretionary spending, consumer traffic, the cost and availability of credit and interest rates;</w:t>
      </w:r>
    </w:p>
    <w:p>
      <w:pPr>
        <w:spacing w:after="0" w:line="176" w:lineRule="exact"/>
        <w:rPr>
          <w:rFonts w:ascii="Arial" w:cs="Arial" w:eastAsia="Arial" w:hAnsi="Arial"/>
          <w:sz w:val="20"/>
          <w:szCs w:val="20"/>
          <w:color w:val="auto"/>
        </w:rPr>
      </w:pPr>
    </w:p>
    <w:p>
      <w:pPr>
        <w:ind w:left="660" w:hanging="652"/>
        <w:spacing w:after="0"/>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Fluctuations in the price and availability of commodities;</w:t>
      </w:r>
    </w:p>
    <w:p>
      <w:pPr>
        <w:spacing w:after="0" w:line="229" w:lineRule="exact"/>
        <w:rPr>
          <w:rFonts w:ascii="Arial" w:cs="Arial" w:eastAsia="Arial" w:hAnsi="Arial"/>
          <w:sz w:val="20"/>
          <w:szCs w:val="20"/>
          <w:color w:val="auto"/>
        </w:rPr>
      </w:pPr>
    </w:p>
    <w:p>
      <w:pPr>
        <w:ind w:left="660" w:hanging="652"/>
        <w:spacing w:after="0"/>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effectively respond to changes in patterns of consumer traffic, consumer tastes and dietary habits;</w:t>
      </w:r>
    </w:p>
    <w:p>
      <w:pPr>
        <w:spacing w:after="0" w:line="229" w:lineRule="exact"/>
        <w:rPr>
          <w:rFonts w:ascii="Arial" w:cs="Arial" w:eastAsia="Arial" w:hAnsi="Arial"/>
          <w:sz w:val="20"/>
          <w:szCs w:val="20"/>
          <w:color w:val="auto"/>
        </w:rPr>
      </w:pPr>
    </w:p>
    <w:p>
      <w:pPr>
        <w:ind w:left="660" w:right="20" w:hanging="652"/>
        <w:spacing w:after="0" w:line="260"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ability to comply with governmental laws and regulations, the costs of compliance with such laws and regulations and the effects of changes to applicable laws and regulations, including tax laws and unanticipated liabilities;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jc w:val="both"/>
        <w:ind w:left="660" w:hanging="652"/>
        <w:spacing w:after="0" w:line="269" w:lineRule="auto"/>
        <w:tabs>
          <w:tab w:leader="none" w:pos="6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Our ability to implement our expansion, remodeling and relocation plans due to uncertainty in locating and acquiring attractive sites on acceptable terms, obtaining required permits and approvals, recruiting and training necessary personnel, obtaining adequate financing and estimating the performance of newly opened, remodeled or relocated restaurants;</w:t>
      </w:r>
    </w:p>
    <w:p>
      <w:pPr>
        <w:spacing w:after="0" w:line="183" w:lineRule="exact"/>
        <w:rPr>
          <w:rFonts w:ascii="Arial" w:cs="Arial" w:eastAsia="Arial" w:hAnsi="Arial"/>
          <w:sz w:val="19"/>
          <w:szCs w:val="19"/>
          <w:color w:val="auto"/>
        </w:rPr>
      </w:pPr>
    </w:p>
    <w:p>
      <w:pPr>
        <w:ind w:left="660" w:right="20" w:hanging="652"/>
        <w:spacing w:after="0" w:line="260" w:lineRule="auto"/>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protect our information technology systems from interruption or security breach, including cyber security threats, and to protect consumer data and personal employee information;</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effects of international economic, political and social conditions and legal systems on our foreign operations and on foreign currency exchange rates;</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preserve and grow the reputation and value of our brands, particularly in light of changes in consumer engagement with social media platforms;</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Any impairment in the carrying value of our goodwill or other intangible or long-lived assets and its effect on our financial condition and results of operations;</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Strategic actions, including acquisitions and dispositions, and our success in implementing these initiatives or integrating any acquired or newly created businesses;</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20"/>
          <w:szCs w:val="20"/>
          <w:color w:val="auto"/>
        </w:rPr>
        <w:t>Seasonal and periodic fluctuations in our results and the effects of significant adverse weather conditions and other disasters or unforeseen events;</w:t>
      </w:r>
    </w:p>
    <w:p>
      <w:pPr>
        <w:spacing w:after="0" w:line="190" w:lineRule="exact"/>
        <w:rPr>
          <w:rFonts w:ascii="Arial" w:cs="Arial" w:eastAsia="Arial" w:hAnsi="Arial"/>
          <w:sz w:val="18"/>
          <w:szCs w:val="18"/>
          <w:color w:val="auto"/>
        </w:rPr>
      </w:pPr>
    </w:p>
    <w:p>
      <w:pPr>
        <w:jc w:val="both"/>
        <w:ind w:left="660" w:hanging="652"/>
        <w:spacing w:after="0" w:line="269" w:lineRule="auto"/>
        <w:tabs>
          <w:tab w:leader="none" w:pos="6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effects of our substantial leverage and restrictive covenants in our various credit facilities on our ability to raise additional capital to fund our operations, to make capital expenditures to invest in new or renovate restaurants and to react to changes in the economy or our industry, and our exposure to interest rate risk in connection with our variable-rate debt;</w:t>
      </w:r>
    </w:p>
    <w:p>
      <w:pPr>
        <w:spacing w:after="0" w:line="183" w:lineRule="exact"/>
        <w:rPr>
          <w:rFonts w:ascii="Arial" w:cs="Arial" w:eastAsia="Arial" w:hAnsi="Arial"/>
          <w:sz w:val="19"/>
          <w:szCs w:val="19"/>
          <w:color w:val="auto"/>
        </w:rPr>
      </w:pPr>
    </w:p>
    <w:p>
      <w:pPr>
        <w:ind w:left="660" w:hanging="652"/>
        <w:spacing w:after="0" w:line="260" w:lineRule="auto"/>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adequacy of our cash flow and earnings and other conditions which may affect our ability to pay dividends and repurchase shares of our common stock; and</w:t>
      </w:r>
    </w:p>
    <w:p>
      <w:pPr>
        <w:spacing w:after="0" w:line="190" w:lineRule="exact"/>
        <w:rPr>
          <w:rFonts w:ascii="Arial" w:cs="Arial" w:eastAsia="Arial" w:hAnsi="Arial"/>
          <w:sz w:val="20"/>
          <w:szCs w:val="20"/>
          <w:color w:val="auto"/>
        </w:rPr>
      </w:pPr>
    </w:p>
    <w:p>
      <w:pPr>
        <w:ind w:left="660" w:right="20" w:hanging="652"/>
        <w:spacing w:after="0" w:line="260" w:lineRule="auto"/>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Such other factors as discussed in Part I, Item IA. Risk Factors of our Annual Report on Form 10-K for the year ended December 31, 2017.</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 light of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periods are not intended to express any future trends or indications of future performance, unless specifically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are one of the largest casual dining restaurant companies in the world with a portfolio of leading, differentiated restaurant concepts. As of July 1, 2018, we owned and operated 1,197 restaurants and franchised 293 restaurants across 48 states, Puerto Rico, Guam and 19 countries. We have four founder-inspired concepts: Outback Steakhouse, Carrabba’s Italian Grill, Bonefish Grill and Fleming’s Prime Steakhouse &amp; Wine Bar.</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Summary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Our financial results for the thirteen weeks ended July 1, 2018 (“second quarter of 2018”) include the following:</w:t>
      </w:r>
    </w:p>
    <w:p>
      <w:pPr>
        <w:spacing w:after="0" w:line="229" w:lineRule="exact"/>
        <w:rPr>
          <w:sz w:val="20"/>
          <w:szCs w:val="20"/>
          <w:color w:val="auto"/>
        </w:rPr>
      </w:pPr>
    </w:p>
    <w:p>
      <w:pPr>
        <w:jc w:val="both"/>
        <w:ind w:left="660" w:hanging="328"/>
        <w:spacing w:after="0" w:line="250" w:lineRule="auto"/>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 decrease in Total revenues of 0.4% to $1.0 billion in the second quarter of 2018, as compared to the second quarter of 2017, primarily due to domestic refranchising and foreign currency translation, partially offset by the net impact of restaurant openings and closures and increases from higher U.S. comparable restaurant sales.</w:t>
      </w:r>
    </w:p>
    <w:p>
      <w:pPr>
        <w:spacing w:after="0" w:line="199" w:lineRule="exact"/>
        <w:rPr>
          <w:rFonts w:ascii="Arial" w:cs="Arial" w:eastAsia="Arial" w:hAnsi="Arial"/>
          <w:sz w:val="20"/>
          <w:szCs w:val="20"/>
          <w:color w:val="auto"/>
        </w:rPr>
      </w:pPr>
    </w:p>
    <w:p>
      <w:pPr>
        <w:jc w:val="both"/>
        <w:ind w:left="660" w:hanging="328"/>
        <w:spacing w:after="0" w:line="246" w:lineRule="auto"/>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Income from operations of $32.9 million in the second quarter of 2018, as compared to $41.3 million in the second quarter of 2017, decreased primarily due to impairment expense primarily associated with international restructuring, higher labor and commodity costs and lower sales in Brazil. These decreases were partially offset by increases in average check, certain cost saving initiatives and lower advertising expense.</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International Restructuring </w:t>
      </w:r>
      <w:r>
        <w:rPr>
          <w:rFonts w:ascii="Arial" w:cs="Arial" w:eastAsia="Arial" w:hAnsi="Arial"/>
          <w:sz w:val="19"/>
          <w:szCs w:val="19"/>
          <w:color w:val="auto"/>
        </w:rPr>
        <w:t>- During the thirteen and twenty-six weeks ended July 1, 2018, we recognized asset impairment and closure</w:t>
      </w:r>
      <w:r>
        <w:rPr>
          <w:rFonts w:ascii="Arial" w:cs="Arial" w:eastAsia="Arial" w:hAnsi="Arial"/>
          <w:sz w:val="19"/>
          <w:szCs w:val="19"/>
          <w:i w:val="1"/>
          <w:iCs w:val="1"/>
          <w:color w:val="auto"/>
        </w:rPr>
        <w:t xml:space="preserve"> </w:t>
      </w:r>
      <w:r>
        <w:rPr>
          <w:rFonts w:ascii="Arial" w:cs="Arial" w:eastAsia="Arial" w:hAnsi="Arial"/>
          <w:sz w:val="19"/>
          <w:szCs w:val="19"/>
          <w:color w:val="auto"/>
        </w:rPr>
        <w:t>charges of $6.9 million and $9.2 million, respectively, related to the restructuring of certain international markets, including China.</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Political Unrest in Brazil</w:t>
      </w:r>
    </w:p>
    <w:p>
      <w:pPr>
        <w:spacing w:after="0" w:line="23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Recently, there has been a growing level of unrest in Brazil ahead of the upcoming presidential election, including a truckers strike during the second quarter of 2018 that resulted in lost operating days for many businesses, including our restaurants. We believe consumer confidence will resume the upward trend it has been on for the last few years following the October presidential election as we move into 2019.</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Performance Indicators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Key measures that we use in evaluating our restaurants and assessing our business include the following:</w:t>
      </w:r>
    </w:p>
    <w:p>
      <w:pPr>
        <w:spacing w:after="0" w:line="229" w:lineRule="exact"/>
        <w:rPr>
          <w:sz w:val="20"/>
          <w:szCs w:val="20"/>
          <w:color w:val="auto"/>
        </w:rPr>
      </w:pPr>
    </w:p>
    <w:p>
      <w:pPr>
        <w:ind w:left="660" w:hanging="328"/>
        <w:spacing w:after="0" w:line="260" w:lineRule="auto"/>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i w:val="1"/>
          <w:iCs w:val="1"/>
          <w:color w:val="auto"/>
        </w:rPr>
        <w:t>Average restaurant unit volumes</w:t>
      </w:r>
      <w:r>
        <w:rPr>
          <w:rFonts w:ascii="Arial" w:cs="Arial" w:eastAsia="Arial" w:hAnsi="Arial"/>
          <w:sz w:val="20"/>
          <w:szCs w:val="20"/>
          <w:color w:val="auto"/>
        </w:rPr>
        <w:t>—average sales (excluding gift card breakage) per restaurant to measure changes in customer traffic,</w:t>
      </w:r>
      <w:r>
        <w:rPr>
          <w:rFonts w:ascii="Arial" w:cs="Arial" w:eastAsia="Arial" w:hAnsi="Arial"/>
          <w:sz w:val="20"/>
          <w:szCs w:val="20"/>
          <w:i w:val="1"/>
          <w:iCs w:val="1"/>
          <w:color w:val="auto"/>
        </w:rPr>
        <w:t xml:space="preserve"> </w:t>
      </w:r>
      <w:r>
        <w:rPr>
          <w:rFonts w:ascii="Arial" w:cs="Arial" w:eastAsia="Arial" w:hAnsi="Arial"/>
          <w:sz w:val="20"/>
          <w:szCs w:val="20"/>
          <w:color w:val="auto"/>
        </w:rPr>
        <w:t>pricing and development of the brand;</w:t>
      </w:r>
    </w:p>
    <w:p>
      <w:pPr>
        <w:spacing w:after="0" w:line="190"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27"/>
        </w:numPr>
        <w:rPr>
          <w:rFonts w:ascii="Arial" w:cs="Arial" w:eastAsia="Arial" w:hAnsi="Arial"/>
          <w:sz w:val="20"/>
          <w:szCs w:val="20"/>
          <w:i w:val="1"/>
          <w:iCs w:val="1"/>
          <w:color w:val="auto"/>
        </w:rPr>
      </w:pPr>
      <w:r>
        <w:rPr>
          <w:rFonts w:ascii="Arial" w:cs="Arial" w:eastAsia="Arial" w:hAnsi="Arial"/>
          <w:sz w:val="20"/>
          <w:szCs w:val="20"/>
          <w:i w:val="1"/>
          <w:iCs w:val="1"/>
          <w:color w:val="auto"/>
        </w:rPr>
        <w:t>Comparable restaurant sales</w:t>
      </w:r>
      <w:r>
        <w:rPr>
          <w:rFonts w:ascii="Arial" w:cs="Arial" w:eastAsia="Arial" w:hAnsi="Arial"/>
          <w:sz w:val="20"/>
          <w:szCs w:val="20"/>
          <w:color w:val="auto"/>
        </w:rPr>
        <w:t>—year-over-year comparison of sales volumes (excluding gift card breakage) for Company-owned</w:t>
      </w:r>
      <w:r>
        <w:rPr>
          <w:rFonts w:ascii="Arial" w:cs="Arial" w:eastAsia="Arial" w:hAnsi="Arial"/>
          <w:sz w:val="20"/>
          <w:szCs w:val="20"/>
          <w:i w:val="1"/>
          <w:iCs w:val="1"/>
          <w:color w:val="auto"/>
        </w:rPr>
        <w:t xml:space="preserve"> </w:t>
      </w:r>
      <w:r>
        <w:rPr>
          <w:rFonts w:ascii="Arial" w:cs="Arial" w:eastAsia="Arial" w:hAnsi="Arial"/>
          <w:sz w:val="20"/>
          <w:szCs w:val="20"/>
          <w:color w:val="auto"/>
        </w:rPr>
        <w:t>restaurants that are open 18 months or more in order to remove the impact of new restaurant openings in comparing the operations of existing restaurants;</w:t>
      </w:r>
    </w:p>
    <w:p>
      <w:pPr>
        <w:spacing w:after="0" w:line="199" w:lineRule="exact"/>
        <w:rPr>
          <w:rFonts w:ascii="Arial" w:cs="Arial" w:eastAsia="Arial" w:hAnsi="Arial"/>
          <w:sz w:val="20"/>
          <w:szCs w:val="20"/>
          <w:i w:val="1"/>
          <w:iCs w:val="1"/>
          <w:color w:val="auto"/>
        </w:rPr>
      </w:pPr>
    </w:p>
    <w:p>
      <w:pPr>
        <w:ind w:left="660" w:right="20" w:hanging="328"/>
        <w:spacing w:after="0" w:line="260" w:lineRule="auto"/>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i w:val="1"/>
          <w:iCs w:val="1"/>
          <w:color w:val="auto"/>
        </w:rPr>
        <w:t>System-wide sales</w:t>
      </w:r>
      <w:r>
        <w:rPr>
          <w:rFonts w:ascii="Arial" w:cs="Arial" w:eastAsia="Arial" w:hAnsi="Arial"/>
          <w:sz w:val="20"/>
          <w:szCs w:val="20"/>
          <w:color w:val="auto"/>
        </w:rPr>
        <w:t>—total restaurant sales volume for all Company-owned and franchise restaurants, regardless of ownership, to</w:t>
      </w:r>
      <w:r>
        <w:rPr>
          <w:rFonts w:ascii="Arial" w:cs="Arial" w:eastAsia="Arial" w:hAnsi="Arial"/>
          <w:sz w:val="20"/>
          <w:szCs w:val="20"/>
          <w:i w:val="1"/>
          <w:iCs w:val="1"/>
          <w:color w:val="auto"/>
        </w:rPr>
        <w:t xml:space="preserve"> </w:t>
      </w:r>
      <w:r>
        <w:rPr>
          <w:rFonts w:ascii="Arial" w:cs="Arial" w:eastAsia="Arial" w:hAnsi="Arial"/>
          <w:sz w:val="20"/>
          <w:szCs w:val="20"/>
          <w:color w:val="auto"/>
        </w:rPr>
        <w:t>interpret the overall health of our brands;</w:t>
      </w:r>
    </w:p>
    <w:p>
      <w:pPr>
        <w:spacing w:after="0" w:line="190"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27"/>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Restaurant-level operating margin, Income from operations, Net income and Diluted earnings per share </w:t>
      </w:r>
      <w:r>
        <w:rPr>
          <w:rFonts w:ascii="Arial" w:cs="Arial" w:eastAsia="Arial" w:hAnsi="Arial"/>
          <w:sz w:val="20"/>
          <w:szCs w:val="20"/>
          <w:color w:val="auto"/>
        </w:rPr>
        <w:t>— financial measures utilized</w:t>
      </w:r>
      <w:r>
        <w:rPr>
          <w:rFonts w:ascii="Arial" w:cs="Arial" w:eastAsia="Arial" w:hAnsi="Arial"/>
          <w:sz w:val="20"/>
          <w:szCs w:val="20"/>
          <w:i w:val="1"/>
          <w:iCs w:val="1"/>
          <w:color w:val="auto"/>
        </w:rPr>
        <w:t xml:space="preserve"> </w:t>
      </w:r>
      <w:r>
        <w:rPr>
          <w:rFonts w:ascii="Arial" w:cs="Arial" w:eastAsia="Arial" w:hAnsi="Arial"/>
          <w:sz w:val="20"/>
          <w:szCs w:val="20"/>
          <w:color w:val="auto"/>
        </w:rPr>
        <w:t>to evaluate our operating performance.</w:t>
      </w:r>
    </w:p>
    <w:p>
      <w:pPr>
        <w:spacing w:after="0" w:line="190"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Restaurant-level operating margin is widely regarded in the industry as a useful metric to evaluate restaurant level operating efficiency and performance of ongoing restaurant-level operations, and we use it for these purposes, overall and particularly within our two segments. Our restaurant-level operating margin is expressed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jc w:val="both"/>
        <w:ind w:left="660"/>
        <w:spacing w:after="0" w:line="263" w:lineRule="auto"/>
        <w:rPr>
          <w:sz w:val="20"/>
          <w:szCs w:val="20"/>
          <w:color w:val="auto"/>
        </w:rPr>
      </w:pPr>
      <w:r>
        <w:rPr>
          <w:rFonts w:ascii="Arial" w:cs="Arial" w:eastAsia="Arial" w:hAnsi="Arial"/>
          <w:sz w:val="19"/>
          <w:szCs w:val="19"/>
          <w:color w:val="auto"/>
        </w:rPr>
        <w:t>as the percentage of our Restaurant sales that Cost of sales, Labor and other related and Other restaurant operating (including advertising expenses) represent, in each case as such items are reflected in our Consolidated Statement of Operations. The following categories of our revenue and operating expenses are not included in restaurant-level operating margin because we do not consider them reflective of operating performance at the restaurant-level within a period:</w:t>
      </w:r>
    </w:p>
    <w:p>
      <w:pPr>
        <w:spacing w:after="0" w:line="190" w:lineRule="exact"/>
        <w:rPr>
          <w:sz w:val="20"/>
          <w:szCs w:val="20"/>
          <w:color w:val="auto"/>
        </w:rPr>
      </w:pPr>
    </w:p>
    <w:p>
      <w:pPr>
        <w:ind w:left="1300" w:hanging="644"/>
        <w:spacing w:after="0" w:line="247" w:lineRule="auto"/>
        <w:tabs>
          <w:tab w:leader="none" w:pos="13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Franchise and other revenues which are earned primarily from franchise royalties and other non-food and beverage revenue streams, such as rental and sublease income.</w:t>
      </w:r>
    </w:p>
    <w:p>
      <w:pPr>
        <w:spacing w:after="0" w:line="1" w:lineRule="exact"/>
        <w:rPr>
          <w:rFonts w:ascii="Arial" w:cs="Arial" w:eastAsia="Arial" w:hAnsi="Arial"/>
          <w:sz w:val="20"/>
          <w:szCs w:val="20"/>
          <w:color w:val="auto"/>
        </w:rPr>
      </w:pPr>
    </w:p>
    <w:p>
      <w:pPr>
        <w:ind w:left="1300" w:hanging="644"/>
        <w:spacing w:after="0" w:line="239" w:lineRule="auto"/>
        <w:tabs>
          <w:tab w:leader="none" w:pos="13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Depreciation and amortization which, although substantially all of which is related to restaurant-level assets, represent historical sunk costs rather than cash outlays for the restaurants.</w:t>
      </w:r>
    </w:p>
    <w:p>
      <w:pPr>
        <w:spacing w:after="0" w:line="1" w:lineRule="exact"/>
        <w:rPr>
          <w:rFonts w:ascii="Arial" w:cs="Arial" w:eastAsia="Arial" w:hAnsi="Arial"/>
          <w:sz w:val="20"/>
          <w:szCs w:val="20"/>
          <w:color w:val="auto"/>
        </w:rPr>
      </w:pPr>
    </w:p>
    <w:p>
      <w:pPr>
        <w:ind w:left="1300" w:right="20" w:hanging="644"/>
        <w:spacing w:after="0" w:line="239" w:lineRule="auto"/>
        <w:tabs>
          <w:tab w:leader="none" w:pos="13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General and administrative expense which includes primarily non-restaurant-level costs associated with support of the restaurants and other activities at our corporate offices.</w:t>
      </w:r>
    </w:p>
    <w:p>
      <w:pPr>
        <w:spacing w:after="0" w:line="1" w:lineRule="exact"/>
        <w:rPr>
          <w:rFonts w:ascii="Arial" w:cs="Arial" w:eastAsia="Arial" w:hAnsi="Arial"/>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Asset impairment charges and restaurant closing costs which are not reflective of ongoing restaurant performance in a period.</w:t>
      </w:r>
    </w:p>
    <w:p>
      <w:pPr>
        <w:spacing w:after="0" w:line="236" w:lineRule="exact"/>
        <w:rPr>
          <w:sz w:val="20"/>
          <w:szCs w:val="20"/>
          <w:color w:val="auto"/>
        </w:rPr>
      </w:pPr>
    </w:p>
    <w:p>
      <w:pPr>
        <w:jc w:val="both"/>
        <w:ind w:left="660"/>
        <w:spacing w:after="0" w:line="244" w:lineRule="auto"/>
        <w:rPr>
          <w:sz w:val="20"/>
          <w:szCs w:val="20"/>
          <w:color w:val="auto"/>
        </w:rPr>
      </w:pPr>
      <w:r>
        <w:rPr>
          <w:rFonts w:ascii="Arial" w:cs="Arial" w:eastAsia="Arial" w:hAnsi="Arial"/>
          <w:sz w:val="20"/>
          <w:szCs w:val="20"/>
          <w:color w:val="auto"/>
        </w:rPr>
        <w:t>Restaurant-level operating margin excludes various expenses, as discussed above, that are essential to support the operations of our restaurants and may materially impact our Consolidated Statement of Operations. As a result, restaurant-level operating margin is not indicative of our consolidated results of operations and is presented exclusively as a supplement to, and not a substitute for, net income or income from operations. In addition, our presentation of restaurant operating margin may not be comparable to similarly titled measures used by other companies in our industry;</w:t>
      </w:r>
    </w:p>
    <w:p>
      <w:pPr>
        <w:spacing w:after="0" w:line="208" w:lineRule="exact"/>
        <w:rPr>
          <w:sz w:val="20"/>
          <w:szCs w:val="20"/>
          <w:color w:val="auto"/>
        </w:rPr>
      </w:pPr>
    </w:p>
    <w:p>
      <w:pPr>
        <w:ind w:left="660" w:right="20" w:hanging="328"/>
        <w:spacing w:after="0" w:line="260" w:lineRule="auto"/>
        <w:tabs>
          <w:tab w:leader="none" w:pos="660" w:val="left"/>
        </w:tabs>
        <w:numPr>
          <w:ilvl w:val="0"/>
          <w:numId w:val="29"/>
        </w:numPr>
        <w:rPr>
          <w:rFonts w:ascii="Arial" w:cs="Arial" w:eastAsia="Arial" w:hAnsi="Arial"/>
          <w:sz w:val="20"/>
          <w:szCs w:val="20"/>
          <w:i w:val="1"/>
          <w:iCs w:val="1"/>
          <w:color w:val="auto"/>
        </w:rPr>
      </w:pPr>
      <w:r>
        <w:rPr>
          <w:rFonts w:ascii="Arial" w:cs="Arial" w:eastAsia="Arial" w:hAnsi="Arial"/>
          <w:sz w:val="20"/>
          <w:szCs w:val="20"/>
          <w:i w:val="1"/>
          <w:iCs w:val="1"/>
          <w:color w:val="auto"/>
        </w:rPr>
        <w:t>Adjusted restaurant-level operating margin, Adjusted income from operations, Adjusted net income and Adjusted diluted earnings per share</w:t>
      </w:r>
      <w:r>
        <w:rPr>
          <w:rFonts w:ascii="Arial" w:cs="Arial" w:eastAsia="Arial" w:hAnsi="Arial"/>
          <w:sz w:val="20"/>
          <w:szCs w:val="20"/>
          <w:color w:val="auto"/>
        </w:rPr>
        <w:t>—non-GAAP financial measures utilized to evaluate our operating performance.</w:t>
      </w:r>
    </w:p>
    <w:p>
      <w:pPr>
        <w:spacing w:after="0" w:line="190" w:lineRule="exact"/>
        <w:rPr>
          <w:rFonts w:ascii="Arial" w:cs="Arial" w:eastAsia="Arial" w:hAnsi="Arial"/>
          <w:sz w:val="20"/>
          <w:szCs w:val="20"/>
          <w:i w:val="1"/>
          <w:iCs w:val="1"/>
          <w:color w:val="auto"/>
        </w:rPr>
      </w:pPr>
    </w:p>
    <w:p>
      <w:pPr>
        <w:jc w:val="both"/>
        <w:ind w:left="660"/>
        <w:spacing w:after="0" w:line="242" w:lineRule="auto"/>
        <w:rPr>
          <w:rFonts w:ascii="Arial" w:cs="Arial" w:eastAsia="Arial" w:hAnsi="Arial"/>
          <w:sz w:val="20"/>
          <w:szCs w:val="20"/>
          <w:i w:val="1"/>
          <w:iCs w:val="1"/>
          <w:color w:val="auto"/>
        </w:rPr>
      </w:pPr>
      <w:r>
        <w:rPr>
          <w:rFonts w:ascii="Arial" w:cs="Arial" w:eastAsia="Arial" w:hAnsi="Arial"/>
          <w:sz w:val="20"/>
          <w:szCs w:val="20"/>
          <w:color w:val="auto"/>
        </w:rPr>
        <w:t>We believe that our use of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of Directors evaluate our operating performance, allocate resources and administer employee incentive plans; and</w:t>
      </w:r>
    </w:p>
    <w:p>
      <w:pPr>
        <w:spacing w:after="0" w:line="211" w:lineRule="exact"/>
        <w:rPr>
          <w:rFonts w:ascii="Arial" w:cs="Arial" w:eastAsia="Arial" w:hAnsi="Arial"/>
          <w:sz w:val="20"/>
          <w:szCs w:val="20"/>
          <w:i w:val="1"/>
          <w:iCs w:val="1"/>
          <w:color w:val="auto"/>
        </w:rPr>
      </w:pPr>
    </w:p>
    <w:p>
      <w:pPr>
        <w:ind w:left="660" w:hanging="328"/>
        <w:spacing w:after="0"/>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i w:val="1"/>
          <w:iCs w:val="1"/>
          <w:color w:val="auto"/>
        </w:rPr>
        <w:t>Customer satisfaction scores</w:t>
      </w:r>
      <w:r>
        <w:rPr>
          <w:rFonts w:ascii="Arial" w:cs="Arial" w:eastAsia="Arial" w:hAnsi="Arial"/>
          <w:sz w:val="20"/>
          <w:szCs w:val="20"/>
          <w:color w:val="auto"/>
        </w:rPr>
        <w:t>—measurement of our customers’ experiences in a variety of key areas.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Selected Operating Data</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presents the number of our restaurants in operation at the end of the periods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Number of restaurants (at end of the period):</w:t>
            </w:r>
          </w:p>
        </w:tc>
        <w:tc>
          <w:tcPr>
            <w:tcW w:w="1480" w:type="dxa"/>
            <w:vAlign w:val="bottom"/>
            <w:gridSpan w:val="2"/>
          </w:tcPr>
          <w:p>
            <w:pPr>
              <w:ind w:left="260"/>
              <w:spacing w:after="0"/>
              <w:rPr>
                <w:sz w:val="20"/>
                <w:szCs w:val="20"/>
                <w:color w:val="auto"/>
              </w:rPr>
            </w:pPr>
            <w:r>
              <w:rPr>
                <w:rFonts w:ascii="Arial" w:cs="Arial" w:eastAsia="Arial" w:hAnsi="Arial"/>
                <w:sz w:val="14"/>
                <w:szCs w:val="14"/>
                <w:b w:val="1"/>
                <w:bCs w:val="1"/>
                <w:color w:val="auto"/>
              </w:rPr>
              <w:t>JULY 1, 2018</w:t>
            </w:r>
          </w:p>
        </w:tc>
        <w:tc>
          <w:tcPr>
            <w:tcW w:w="1360" w:type="dxa"/>
            <w:vAlign w:val="bottom"/>
          </w:tcPr>
          <w:p>
            <w:pPr>
              <w:jc w:val="right"/>
              <w:ind w:right="139"/>
              <w:spacing w:after="0"/>
              <w:rPr>
                <w:sz w:val="20"/>
                <w:szCs w:val="20"/>
                <w:color w:val="auto"/>
              </w:rPr>
            </w:pPr>
            <w:r>
              <w:rPr>
                <w:rFonts w:ascii="Arial" w:cs="Arial" w:eastAsia="Arial" w:hAnsi="Arial"/>
                <w:sz w:val="14"/>
                <w:szCs w:val="14"/>
                <w:b w:val="1"/>
                <w:bCs w:val="1"/>
                <w:color w:val="auto"/>
              </w:rPr>
              <w:t>JUNE 25, 2017</w:t>
            </w:r>
          </w:p>
        </w:tc>
        <w:tc>
          <w:tcPr>
            <w:tcW w:w="0" w:type="dxa"/>
            <w:vAlign w:val="bottom"/>
          </w:tcPr>
          <w:p>
            <w:pPr>
              <w:spacing w:after="0"/>
              <w:rPr>
                <w:sz w:val="1"/>
                <w:szCs w:val="1"/>
                <w:color w:val="auto"/>
              </w:rPr>
            </w:pPr>
          </w:p>
        </w:tc>
      </w:tr>
      <w:tr>
        <w:trPr>
          <w:trHeight w:val="210"/>
        </w:trPr>
        <w:tc>
          <w:tcPr>
            <w:tcW w:w="8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58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Outback Steakhouse</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Company-owned</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270"/>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Franchised</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737</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31"/>
        </w:trPr>
        <w:tc>
          <w:tcPr>
            <w:tcW w:w="8580" w:type="dxa"/>
            <w:vAlign w:val="bottom"/>
          </w:tcPr>
          <w:p>
            <w:pPr>
              <w:ind w:left="180"/>
              <w:spacing w:after="0"/>
              <w:rPr>
                <w:sz w:val="20"/>
                <w:szCs w:val="20"/>
                <w:color w:val="auto"/>
              </w:rPr>
            </w:pPr>
            <w:r>
              <w:rPr>
                <w:rFonts w:ascii="Arial" w:cs="Arial" w:eastAsia="Arial" w:hAnsi="Arial"/>
                <w:sz w:val="16"/>
                <w:szCs w:val="16"/>
                <w:color w:val="auto"/>
              </w:rPr>
              <w:t>Carrabba’s Italian Grill</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Company-owned</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70"/>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Franchised</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31"/>
        </w:trPr>
        <w:tc>
          <w:tcPr>
            <w:tcW w:w="8580" w:type="dxa"/>
            <w:vAlign w:val="bottom"/>
          </w:tcPr>
          <w:p>
            <w:pPr>
              <w:ind w:left="180"/>
              <w:spacing w:after="0"/>
              <w:rPr>
                <w:sz w:val="20"/>
                <w:szCs w:val="20"/>
                <w:color w:val="auto"/>
              </w:rPr>
            </w:pPr>
            <w:r>
              <w:rPr>
                <w:rFonts w:ascii="Arial" w:cs="Arial" w:eastAsia="Arial" w:hAnsi="Arial"/>
                <w:sz w:val="16"/>
                <w:szCs w:val="16"/>
                <w:color w:val="auto"/>
              </w:rPr>
              <w:t>Bonefish Grill</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Company-owned</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70"/>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Franchised</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31"/>
        </w:trPr>
        <w:tc>
          <w:tcPr>
            <w:tcW w:w="8580" w:type="dxa"/>
            <w:vAlign w:val="bottom"/>
          </w:tcPr>
          <w:p>
            <w:pPr>
              <w:ind w:left="180"/>
              <w:spacing w:after="0"/>
              <w:rPr>
                <w:sz w:val="20"/>
                <w:szCs w:val="20"/>
                <w:color w:val="auto"/>
              </w:rPr>
            </w:pPr>
            <w:r>
              <w:rPr>
                <w:rFonts w:ascii="Arial" w:cs="Arial" w:eastAsia="Arial" w:hAnsi="Arial"/>
                <w:sz w:val="16"/>
                <w:szCs w:val="16"/>
                <w:color w:val="auto"/>
              </w:rPr>
              <w:t>Fleming’s Prime Steakhouse &amp; Wine Bar</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Company-owned</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4"/>
        </w:trPr>
        <w:tc>
          <w:tcPr>
            <w:tcW w:w="8580" w:type="dxa"/>
            <w:vAlign w:val="bottom"/>
          </w:tcPr>
          <w:p>
            <w:pPr>
              <w:ind w:left="180"/>
              <w:spacing w:after="0"/>
              <w:rPr>
                <w:sz w:val="20"/>
                <w:szCs w:val="20"/>
                <w:color w:val="auto"/>
              </w:rPr>
            </w:pPr>
            <w:r>
              <w:rPr>
                <w:rFonts w:ascii="Arial" w:cs="Arial" w:eastAsia="Arial" w:hAnsi="Arial"/>
                <w:sz w:val="16"/>
                <w:szCs w:val="16"/>
                <w:color w:val="auto"/>
              </w:rPr>
              <w:t>Express</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5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Company-owned</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858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U.S. Total</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1,238</w:t>
            </w: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1,242</w:t>
            </w:r>
          </w:p>
        </w:tc>
        <w:tc>
          <w:tcPr>
            <w:tcW w:w="0" w:type="dxa"/>
            <w:vAlign w:val="bottom"/>
          </w:tcPr>
          <w:p>
            <w:pPr>
              <w:spacing w:after="0"/>
              <w:rPr>
                <w:sz w:val="1"/>
                <w:szCs w:val="1"/>
                <w:color w:val="auto"/>
              </w:rPr>
            </w:pPr>
          </w:p>
        </w:tc>
      </w:tr>
      <w:tr>
        <w:trPr>
          <w:trHeight w:val="40"/>
        </w:trPr>
        <w:tc>
          <w:tcPr>
            <w:tcW w:w="85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International</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58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580" w:type="dxa"/>
            <w:vAlign w:val="bottom"/>
          </w:tcPr>
          <w:p>
            <w:pPr>
              <w:ind w:left="180"/>
              <w:spacing w:after="0"/>
              <w:rPr>
                <w:sz w:val="20"/>
                <w:szCs w:val="20"/>
                <w:color w:val="auto"/>
              </w:rPr>
            </w:pPr>
            <w:r>
              <w:rPr>
                <w:rFonts w:ascii="Arial" w:cs="Arial" w:eastAsia="Arial" w:hAnsi="Arial"/>
                <w:sz w:val="16"/>
                <w:szCs w:val="16"/>
                <w:color w:val="auto"/>
              </w:rPr>
              <w:t>Company-owned</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5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Outback Steakhouse - Brazil (1)</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Other</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Franchised</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Outback Steakhouse - South Korea</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1"/>
        </w:trPr>
        <w:tc>
          <w:tcPr>
            <w:tcW w:w="858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International Total</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252</w:t>
            </w: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40"/>
        </w:trPr>
        <w:tc>
          <w:tcPr>
            <w:tcW w:w="85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System-wide total</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1,490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1,488</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58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restaurant counts for Brazil are reported as of May 31, 2018 and 2017, respectively, to correspond with the balance sheet dates of this subsidiary.</w:t>
      </w:r>
    </w:p>
    <w:p>
      <w:pPr>
        <w:spacing w:after="0" w:line="200" w:lineRule="exact"/>
        <w:rPr>
          <w:rFonts w:ascii="Arial" w:cs="Arial" w:eastAsia="Arial" w:hAnsi="Arial"/>
          <w:sz w:val="16"/>
          <w:szCs w:val="16"/>
          <w:color w:val="auto"/>
        </w:rPr>
      </w:pPr>
    </w:p>
    <w:p>
      <w:pPr>
        <w:spacing w:after="0" w:line="21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sets forth, for the periods indicated, the percentages of certain items in our Consolidated Statements of Operations in relation to Total revenues or Restaurant sales, as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20" w:type="dxa"/>
            <w:vAlign w:val="bottom"/>
          </w:tcPr>
          <w:p>
            <w:pPr>
              <w:spacing w:after="0"/>
              <w:rPr>
                <w:sz w:val="17"/>
                <w:szCs w:val="17"/>
                <w:color w:val="auto"/>
              </w:rPr>
            </w:pPr>
          </w:p>
        </w:tc>
        <w:tc>
          <w:tcPr>
            <w:tcW w:w="294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296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64"/>
        </w:trPr>
        <w:tc>
          <w:tcPr>
            <w:tcW w:w="5420" w:type="dxa"/>
            <w:vAlign w:val="bottom"/>
          </w:tcPr>
          <w:p>
            <w:pPr>
              <w:spacing w:after="0"/>
              <w:rPr>
                <w:sz w:val="22"/>
                <w:szCs w:val="22"/>
                <w:color w:val="auto"/>
              </w:rPr>
            </w:pPr>
          </w:p>
        </w:tc>
        <w:tc>
          <w:tcPr>
            <w:tcW w:w="1520" w:type="dxa"/>
            <w:vAlign w:val="bottom"/>
            <w:gridSpan w:val="2"/>
          </w:tcPr>
          <w:p>
            <w:pPr>
              <w:ind w:left="280"/>
              <w:spacing w:after="0"/>
              <w:rPr>
                <w:sz w:val="20"/>
                <w:szCs w:val="20"/>
                <w:color w:val="auto"/>
              </w:rPr>
            </w:pPr>
            <w:r>
              <w:rPr>
                <w:rFonts w:ascii="Arial" w:cs="Arial" w:eastAsia="Arial" w:hAnsi="Arial"/>
                <w:sz w:val="14"/>
                <w:szCs w:val="14"/>
                <w:b w:val="1"/>
                <w:bCs w:val="1"/>
                <w:color w:val="auto"/>
              </w:rPr>
              <w:t>JULY 1, 2018</w:t>
            </w:r>
          </w:p>
        </w:tc>
        <w:tc>
          <w:tcPr>
            <w:tcW w:w="152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25, 2017</w:t>
            </w:r>
          </w:p>
        </w:tc>
        <w:tc>
          <w:tcPr>
            <w:tcW w:w="1520" w:type="dxa"/>
            <w:vAlign w:val="bottom"/>
            <w:gridSpan w:val="2"/>
          </w:tcPr>
          <w:p>
            <w:pPr>
              <w:ind w:left="300"/>
              <w:spacing w:after="0"/>
              <w:rPr>
                <w:sz w:val="20"/>
                <w:szCs w:val="20"/>
                <w:color w:val="auto"/>
              </w:rPr>
            </w:pPr>
            <w:r>
              <w:rPr>
                <w:rFonts w:ascii="Arial" w:cs="Arial" w:eastAsia="Arial" w:hAnsi="Arial"/>
                <w:sz w:val="14"/>
                <w:szCs w:val="14"/>
                <w:b w:val="1"/>
                <w:bCs w:val="1"/>
                <w:color w:val="auto"/>
              </w:rPr>
              <w:t>JULY 1, 2018</w:t>
            </w:r>
          </w:p>
        </w:tc>
        <w:tc>
          <w:tcPr>
            <w:tcW w:w="1440" w:type="dxa"/>
            <w:vAlign w:val="bottom"/>
          </w:tcPr>
          <w:p>
            <w:pPr>
              <w:jc w:val="right"/>
              <w:ind w:right="179"/>
              <w:spacing w:after="0"/>
              <w:rPr>
                <w:sz w:val="20"/>
                <w:szCs w:val="20"/>
                <w:color w:val="auto"/>
              </w:rPr>
            </w:pPr>
            <w:r>
              <w:rPr>
                <w:rFonts w:ascii="Arial" w:cs="Arial" w:eastAsia="Arial" w:hAnsi="Arial"/>
                <w:sz w:val="14"/>
                <w:szCs w:val="14"/>
                <w:b w:val="1"/>
                <w:bCs w:val="1"/>
                <w:color w:val="auto"/>
              </w:rPr>
              <w:t>JUNE 25, 2017</w:t>
            </w:r>
          </w:p>
        </w:tc>
        <w:tc>
          <w:tcPr>
            <w:tcW w:w="0" w:type="dxa"/>
            <w:vAlign w:val="bottom"/>
          </w:tcPr>
          <w:p>
            <w:pPr>
              <w:spacing w:after="0"/>
              <w:rPr>
                <w:sz w:val="1"/>
                <w:szCs w:val="1"/>
                <w:color w:val="auto"/>
              </w:rPr>
            </w:pPr>
          </w:p>
        </w:tc>
      </w:tr>
      <w:tr>
        <w:trPr>
          <w:trHeight w:val="250"/>
        </w:trPr>
        <w:tc>
          <w:tcPr>
            <w:tcW w:w="5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2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1400" w:type="dxa"/>
            <w:vAlign w:val="bottom"/>
          </w:tcPr>
          <w:p>
            <w:pPr>
              <w:jc w:val="right"/>
              <w:spacing w:after="0"/>
              <w:rPr>
                <w:sz w:val="20"/>
                <w:szCs w:val="20"/>
                <w:color w:val="auto"/>
              </w:rPr>
            </w:pPr>
            <w:r>
              <w:rPr>
                <w:rFonts w:ascii="Arial" w:cs="Arial" w:eastAsia="Arial" w:hAnsi="Arial"/>
                <w:sz w:val="16"/>
                <w:szCs w:val="16"/>
                <w:color w:val="auto"/>
              </w:rPr>
              <w:t>98.4 %</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98.5 %</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98.4 %</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98.8 %</w:t>
            </w:r>
          </w:p>
        </w:tc>
        <w:tc>
          <w:tcPr>
            <w:tcW w:w="0" w:type="dxa"/>
            <w:vAlign w:val="bottom"/>
          </w:tcPr>
          <w:p>
            <w:pPr>
              <w:spacing w:after="0"/>
              <w:rPr>
                <w:sz w:val="1"/>
                <w:szCs w:val="1"/>
                <w:color w:val="auto"/>
              </w:rPr>
            </w:pPr>
          </w:p>
        </w:tc>
      </w:tr>
      <w:tr>
        <w:trPr>
          <w:trHeight w:val="33"/>
        </w:trPr>
        <w:tc>
          <w:tcPr>
            <w:tcW w:w="5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14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4"/>
        </w:trPr>
        <w:tc>
          <w:tcPr>
            <w:tcW w:w="5420" w:type="dxa"/>
            <w:vAlign w:val="bottom"/>
          </w:tcPr>
          <w:p>
            <w:pPr>
              <w:ind w:left="820"/>
              <w:spacing w:after="0"/>
              <w:rPr>
                <w:sz w:val="20"/>
                <w:szCs w:val="20"/>
                <w:color w:val="auto"/>
              </w:rPr>
            </w:pPr>
            <w:r>
              <w:rPr>
                <w:rFonts w:ascii="Arial" w:cs="Arial" w:eastAsia="Arial" w:hAnsi="Arial"/>
                <w:sz w:val="16"/>
                <w:szCs w:val="16"/>
                <w:color w:val="auto"/>
              </w:rPr>
              <w:t>Total revenues</w:t>
            </w:r>
          </w:p>
        </w:tc>
        <w:tc>
          <w:tcPr>
            <w:tcW w:w="1400" w:type="dxa"/>
            <w:vAlign w:val="bottom"/>
          </w:tcPr>
          <w:p>
            <w:pPr>
              <w:jc w:val="right"/>
              <w:ind w:right="120"/>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9"/>
                <w:szCs w:val="19"/>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9"/>
                <w:szCs w:val="19"/>
                <w:color w:val="auto"/>
              </w:rPr>
            </w:pPr>
          </w:p>
        </w:tc>
        <w:tc>
          <w:tcPr>
            <w:tcW w:w="1420" w:type="dxa"/>
            <w:vAlign w:val="bottom"/>
          </w:tcPr>
          <w:p>
            <w:pPr>
              <w:jc w:val="right"/>
              <w:ind w:right="120"/>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9"/>
                <w:szCs w:val="19"/>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33"/>
        </w:trPr>
        <w:tc>
          <w:tcPr>
            <w:tcW w:w="5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expenses</w:t>
            </w: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20" w:type="dxa"/>
            <w:vAlign w:val="bottom"/>
          </w:tcPr>
          <w:p>
            <w:pPr>
              <w:ind w:left="180"/>
              <w:spacing w:after="0"/>
              <w:rPr>
                <w:sz w:val="20"/>
                <w:szCs w:val="20"/>
                <w:color w:val="auto"/>
              </w:rPr>
            </w:pPr>
            <w:r>
              <w:rPr>
                <w:rFonts w:ascii="Arial" w:cs="Arial" w:eastAsia="Arial" w:hAnsi="Arial"/>
                <w:sz w:val="16"/>
                <w:szCs w:val="16"/>
                <w:color w:val="auto"/>
              </w:rPr>
              <w:t>Cost of sales (1)</w:t>
            </w:r>
          </w:p>
        </w:tc>
        <w:tc>
          <w:tcPr>
            <w:tcW w:w="1400" w:type="dxa"/>
            <w:vAlign w:val="bottom"/>
          </w:tcPr>
          <w:p>
            <w:pPr>
              <w:jc w:val="right"/>
              <w:ind w:right="120"/>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20"/>
                <w:szCs w:val="20"/>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0"/>
                <w:szCs w:val="20"/>
                <w:color w:val="auto"/>
              </w:rPr>
            </w:pPr>
          </w:p>
        </w:tc>
        <w:tc>
          <w:tcPr>
            <w:tcW w:w="1420" w:type="dxa"/>
            <w:vAlign w:val="bottom"/>
          </w:tcPr>
          <w:p>
            <w:pPr>
              <w:jc w:val="right"/>
              <w:ind w:right="120"/>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20"/>
                <w:szCs w:val="20"/>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33"/>
        </w:trPr>
        <w:tc>
          <w:tcPr>
            <w:tcW w:w="5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Labor and other related (1)</w:t>
            </w:r>
          </w:p>
        </w:tc>
        <w:tc>
          <w:tcPr>
            <w:tcW w:w="14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37"/>
        </w:trPr>
        <w:tc>
          <w:tcPr>
            <w:tcW w:w="5420" w:type="dxa"/>
            <w:vAlign w:val="bottom"/>
          </w:tcPr>
          <w:p>
            <w:pPr>
              <w:ind w:left="180"/>
              <w:spacing w:after="0"/>
              <w:rPr>
                <w:sz w:val="20"/>
                <w:szCs w:val="20"/>
                <w:color w:val="auto"/>
              </w:rPr>
            </w:pPr>
            <w:r>
              <w:rPr>
                <w:rFonts w:ascii="Arial" w:cs="Arial" w:eastAsia="Arial" w:hAnsi="Arial"/>
                <w:sz w:val="16"/>
                <w:szCs w:val="16"/>
                <w:color w:val="auto"/>
              </w:rPr>
              <w:t>Other restaurant operating (1)</w:t>
            </w:r>
          </w:p>
        </w:tc>
        <w:tc>
          <w:tcPr>
            <w:tcW w:w="1400" w:type="dxa"/>
            <w:vAlign w:val="bottom"/>
          </w:tcPr>
          <w:p>
            <w:pPr>
              <w:jc w:val="right"/>
              <w:ind w:right="120"/>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20"/>
                <w:szCs w:val="20"/>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20"/>
                <w:szCs w:val="20"/>
                <w:color w:val="auto"/>
              </w:rPr>
            </w:pPr>
          </w:p>
        </w:tc>
        <w:tc>
          <w:tcPr>
            <w:tcW w:w="1420" w:type="dxa"/>
            <w:vAlign w:val="bottom"/>
          </w:tcPr>
          <w:p>
            <w:pPr>
              <w:jc w:val="right"/>
              <w:ind w:right="120"/>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0"/>
                <w:szCs w:val="20"/>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33"/>
        </w:trPr>
        <w:tc>
          <w:tcPr>
            <w:tcW w:w="5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14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7"/>
        </w:trPr>
        <w:tc>
          <w:tcPr>
            <w:tcW w:w="542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1400" w:type="dxa"/>
            <w:vAlign w:val="bottom"/>
          </w:tcPr>
          <w:p>
            <w:pPr>
              <w:jc w:val="right"/>
              <w:ind w:right="120"/>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1420" w:type="dxa"/>
            <w:vAlign w:val="bottom"/>
          </w:tcPr>
          <w:p>
            <w:pPr>
              <w:jc w:val="right"/>
              <w:ind w:right="120"/>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33"/>
        </w:trPr>
        <w:tc>
          <w:tcPr>
            <w:tcW w:w="5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impaired assets and restaurant closings</w:t>
            </w:r>
          </w:p>
        </w:tc>
        <w:tc>
          <w:tcPr>
            <w:tcW w:w="14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70"/>
        </w:trPr>
        <w:tc>
          <w:tcPr>
            <w:tcW w:w="542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costs and expenses</w:t>
            </w:r>
          </w:p>
        </w:tc>
        <w:tc>
          <w:tcPr>
            <w:tcW w:w="14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96.8</w:t>
            </w:r>
          </w:p>
        </w:tc>
        <w:tc>
          <w:tcPr>
            <w:tcW w:w="120" w:type="dxa"/>
            <w:vAlign w:val="bottom"/>
            <w:tcBorders>
              <w:bottom w:val="single" w:sz="8" w:color="CCEEFF"/>
            </w:tcBorders>
          </w:tcPr>
          <w:p>
            <w:pPr>
              <w:spacing w:after="0"/>
              <w:rPr>
                <w:sz w:val="23"/>
                <w:szCs w:val="23"/>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96.0</w:t>
            </w:r>
          </w:p>
        </w:tc>
        <w:tc>
          <w:tcPr>
            <w:tcW w:w="100" w:type="dxa"/>
            <w:vAlign w:val="bottom"/>
            <w:tcBorders>
              <w:bottom w:val="single" w:sz="8" w:color="CCEEFF"/>
            </w:tcBorders>
          </w:tcPr>
          <w:p>
            <w:pPr>
              <w:spacing w:after="0"/>
              <w:rPr>
                <w:sz w:val="23"/>
                <w:szCs w:val="23"/>
                <w:color w:val="auto"/>
              </w:rPr>
            </w:pPr>
          </w:p>
        </w:tc>
        <w:tc>
          <w:tcPr>
            <w:tcW w:w="14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94.8</w:t>
            </w:r>
          </w:p>
        </w:tc>
        <w:tc>
          <w:tcPr>
            <w:tcW w:w="10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94.6</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4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Loss on extinguishment and modification of debt</w:t>
            </w:r>
          </w:p>
        </w:tc>
        <w:tc>
          <w:tcPr>
            <w:tcW w:w="1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income, net</w:t>
            </w:r>
          </w:p>
        </w:tc>
        <w:tc>
          <w:tcPr>
            <w:tcW w:w="14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70"/>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expense, net</w:t>
            </w:r>
          </w:p>
        </w:tc>
        <w:tc>
          <w:tcPr>
            <w:tcW w:w="14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23"/>
                <w:szCs w:val="23"/>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tcPr>
          <w:p>
            <w:pPr>
              <w:spacing w:after="0"/>
              <w:rPr>
                <w:sz w:val="23"/>
                <w:szCs w:val="23"/>
                <w:color w:val="auto"/>
              </w:rPr>
            </w:pP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(benefit) provision for income taxes</w:t>
            </w:r>
          </w:p>
        </w:tc>
        <w:tc>
          <w:tcPr>
            <w:tcW w:w="14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70"/>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(Benefit) provision for income taxes</w:t>
            </w:r>
          </w:p>
        </w:tc>
        <w:tc>
          <w:tcPr>
            <w:tcW w:w="14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tcPr>
          <w:p>
            <w:pPr>
              <w:spacing w:after="0"/>
              <w:rPr>
                <w:sz w:val="23"/>
                <w:szCs w:val="23"/>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23"/>
                <w:szCs w:val="23"/>
                <w:color w:val="auto"/>
              </w:rPr>
            </w:pP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70"/>
        </w:trPr>
        <w:tc>
          <w:tcPr>
            <w:tcW w:w="54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net income attributable to noncontrolling interests</w:t>
            </w:r>
          </w:p>
        </w:tc>
        <w:tc>
          <w:tcPr>
            <w:tcW w:w="14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23"/>
                <w:szCs w:val="23"/>
                <w:color w:val="auto"/>
              </w:rPr>
            </w:pPr>
          </w:p>
        </w:tc>
        <w:tc>
          <w:tcPr>
            <w:tcW w:w="14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20"/>
                <w:szCs w:val="20"/>
                <w:color w:val="auto"/>
              </w:rPr>
              <w:t>________________</w:t>
            </w: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2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hanging="652"/>
        <w:spacing w:after="0" w:line="235"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 a percentage of Restaurant sales.</w:t>
      </w:r>
    </w:p>
    <w:p>
      <w:pPr>
        <w:spacing w:after="0" w:line="1"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Less than 1/10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of one percent of Total revenues.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RESTAURANT SALES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Restaurant sales for the thirteen and twenty-six weeks ended July 1, 2018:</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8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7"/>
                <w:szCs w:val="17"/>
                <w:color w:val="auto"/>
              </w:rPr>
            </w:pPr>
          </w:p>
        </w:tc>
        <w:tc>
          <w:tcPr>
            <w:tcW w:w="2420" w:type="dxa"/>
            <w:vAlign w:val="bottom"/>
            <w:gridSpan w:val="2"/>
          </w:tcPr>
          <w:p>
            <w:pPr>
              <w:ind w:left="12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Pr>
          <w:p>
            <w:pPr>
              <w:spacing w:after="0"/>
              <w:rPr>
                <w:sz w:val="17"/>
                <w:szCs w:val="17"/>
                <w:color w:val="auto"/>
              </w:rPr>
            </w:pPr>
          </w:p>
        </w:tc>
        <w:tc>
          <w:tcPr>
            <w:tcW w:w="2400" w:type="dxa"/>
            <w:vAlign w:val="bottom"/>
          </w:tcPr>
          <w:p>
            <w:pPr>
              <w:jc w:val="right"/>
              <w:ind w:right="22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37"/>
        </w:trPr>
        <w:tc>
          <w:tcPr>
            <w:tcW w:w="6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periods ended June 25, 2017 (1)</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4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2,165.0</w:t>
            </w:r>
          </w:p>
        </w:tc>
        <w:tc>
          <w:tcPr>
            <w:tcW w:w="0" w:type="dxa"/>
            <w:vAlign w:val="bottom"/>
          </w:tcPr>
          <w:p>
            <w:pPr>
              <w:spacing w:after="0"/>
              <w:rPr>
                <w:sz w:val="1"/>
                <w:szCs w:val="1"/>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Divestiture of restaurants through refranchising transactions</w:t>
            </w:r>
          </w:p>
        </w:tc>
        <w:tc>
          <w:tcPr>
            <w:tcW w:w="2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237"/>
        </w:trPr>
        <w:tc>
          <w:tcPr>
            <w:tcW w:w="6180" w:type="dxa"/>
            <w:vAlign w:val="bottom"/>
          </w:tcPr>
          <w:p>
            <w:pPr>
              <w:ind w:left="380"/>
              <w:spacing w:after="0"/>
              <w:rPr>
                <w:sz w:val="20"/>
                <w:szCs w:val="20"/>
                <w:color w:val="auto"/>
              </w:rPr>
            </w:pPr>
            <w:r>
              <w:rPr>
                <w:rFonts w:ascii="Arial" w:cs="Arial" w:eastAsia="Arial" w:hAnsi="Arial"/>
                <w:sz w:val="16"/>
                <w:szCs w:val="16"/>
                <w:color w:val="auto"/>
              </w:rPr>
              <w:t>Effect of foreign currency translation</w:t>
            </w:r>
          </w:p>
        </w:tc>
        <w:tc>
          <w:tcPr>
            <w:tcW w:w="22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Restaurant closings</w:t>
            </w:r>
          </w:p>
        </w:tc>
        <w:tc>
          <w:tcPr>
            <w:tcW w:w="2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37"/>
        </w:trPr>
        <w:tc>
          <w:tcPr>
            <w:tcW w:w="6180" w:type="dxa"/>
            <w:vAlign w:val="bottom"/>
          </w:tcPr>
          <w:p>
            <w:pPr>
              <w:ind w:left="380"/>
              <w:spacing w:after="0"/>
              <w:rPr>
                <w:sz w:val="20"/>
                <w:szCs w:val="20"/>
                <w:color w:val="auto"/>
              </w:rPr>
            </w:pPr>
            <w:r>
              <w:rPr>
                <w:rFonts w:ascii="Arial" w:cs="Arial" w:eastAsia="Arial" w:hAnsi="Arial"/>
                <w:sz w:val="16"/>
                <w:szCs w:val="16"/>
                <w:color w:val="auto"/>
              </w:rPr>
              <w:t>Restaurant openings (2)</w:t>
            </w:r>
          </w:p>
        </w:tc>
        <w:tc>
          <w:tcPr>
            <w:tcW w:w="220" w:type="dxa"/>
            <w:vAlign w:val="bottom"/>
          </w:tcPr>
          <w:p>
            <w:pPr>
              <w:spacing w:after="0"/>
              <w:rPr>
                <w:sz w:val="20"/>
                <w:szCs w:val="20"/>
                <w:color w:val="auto"/>
              </w:rPr>
            </w:pPr>
          </w:p>
        </w:tc>
        <w:tc>
          <w:tcPr>
            <w:tcW w:w="2300" w:type="dxa"/>
            <w:vAlign w:val="bottom"/>
          </w:tcPr>
          <w:p>
            <w:pPr>
              <w:jc w:val="right"/>
              <w:ind w:right="20"/>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Pr>
          <w:p>
            <w:pPr>
              <w:jc w:val="right"/>
              <w:ind w:right="20"/>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Comparable restaurant sales (2)</w:t>
            </w:r>
          </w:p>
        </w:tc>
        <w:tc>
          <w:tcPr>
            <w:tcW w:w="220" w:type="dxa"/>
            <w:vAlign w:val="bottom"/>
            <w:tcBorders>
              <w:bottom w:val="single" w:sz="8" w:color="auto"/>
            </w:tcBorders>
            <w:shd w:val="clear" w:color="auto" w:fill="CCEEFF"/>
          </w:tcPr>
          <w:p>
            <w:pPr>
              <w:spacing w:after="0"/>
              <w:rPr>
                <w:sz w:val="22"/>
                <w:szCs w:val="22"/>
                <w:color w:val="auto"/>
              </w:rPr>
            </w:pPr>
          </w:p>
        </w:tc>
        <w:tc>
          <w:tcPr>
            <w:tcW w:w="2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24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50"/>
        </w:trPr>
        <w:tc>
          <w:tcPr>
            <w:tcW w:w="6180" w:type="dxa"/>
            <w:vAlign w:val="bottom"/>
          </w:tcPr>
          <w:p>
            <w:pPr>
              <w:ind w:left="40"/>
              <w:spacing w:after="0"/>
              <w:rPr>
                <w:sz w:val="20"/>
                <w:szCs w:val="20"/>
                <w:color w:val="auto"/>
              </w:rPr>
            </w:pPr>
            <w:r>
              <w:rPr>
                <w:rFonts w:ascii="Arial" w:cs="Arial" w:eastAsia="Arial" w:hAnsi="Arial"/>
                <w:sz w:val="16"/>
                <w:szCs w:val="16"/>
                <w:color w:val="auto"/>
              </w:rPr>
              <w:t>For the periods ended July 1, 2018</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2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1,015.4</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24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2,114.5</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2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1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right="20" w:hanging="652"/>
        <w:spacing w:after="0" w:line="255"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Restaurant sales have been restated for the thirteen and twenty-six weeks ended June 25, 2017. See Note 1 of the Notes to Consolidated Financial Statements for details of the impact of implementing ASU No. 2014-09.</w:t>
      </w:r>
    </w:p>
    <w:p>
      <w:pPr>
        <w:ind w:left="660" w:hanging="652"/>
        <w:spacing w:after="0"/>
        <w:tabs>
          <w:tab w:leader="none" w:pos="6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twenty-six weeks ended July 1, 2018 includes an approximate $19.0 million negative impact on Restaurant sales from a one-week shift in the fiscal calendar.</w:t>
      </w:r>
    </w:p>
    <w:p>
      <w:pPr>
        <w:sectPr>
          <w:pgSz w:w="11900" w:h="16838" w:orient="portrait"/>
          <w:cols w:equalWidth="0" w:num="1">
            <w:col w:w="11420"/>
          </w:cols>
          <w:pgMar w:left="240" w:top="12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1" w:right="23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decrease in Restaurant sales in the thirteen weeks ended July 1, 2018 was primarily attributable to: (i) domestic refranchising, (ii) the effect of foreign currency translation primarily due to the depreciation of the Brazil Real and (iii) the closing of 21 restaurants since March 26, 2017. The decrease in restaurant sales was partially offset by the opening of 40 new restaurants not included in our comparable restaurant sales base and higher U.S. comparable restaurant sales.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decrease in Restaurant sales in the twenty-six weeks ended July 1, 2018 was primarily attributable to: (i) domestic refranchising, (ii) the closing of 58 restaurants since December 25, 2016, (iii) the one-week shift in the fiscal calendar and (iv) the effect of foreign currency translation primarily due to the depreciation of the Brazil Real. The decrease in restaurant sales was partially offset by the opening of 47 new restaurants not included in our comparable restaurant sales base and higher U.S. comparable restaurant sales.</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twenty-six weeks ended June 25, 2017 included several high-volume days between December 26th and December 31st and the twenty-six weeks ended July 1, 2018 excluded these high-volume days. This shift had an approximate $19.0 million negative impact on Restaurant sales in 2018.</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Average Restaurant Unit Volumes and Operating Weeks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average restaurant unit volumes and operating weeks: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TWENTY-SIX WEEKS ENDED</w:t>
            </w:r>
          </w:p>
        </w:tc>
      </w:tr>
      <w:tr>
        <w:trPr>
          <w:trHeight w:val="258"/>
        </w:trPr>
        <w:tc>
          <w:tcPr>
            <w:tcW w:w="5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JUNE 25, 2017</w:t>
            </w:r>
          </w:p>
        </w:tc>
        <w:tc>
          <w:tcPr>
            <w:tcW w:w="18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180" w:type="dxa"/>
            <w:vAlign w:val="bottom"/>
          </w:tcPr>
          <w:p>
            <w:pPr>
              <w:jc w:val="right"/>
              <w:ind w:right="140"/>
              <w:spacing w:after="0"/>
              <w:rPr>
                <w:sz w:val="20"/>
                <w:szCs w:val="20"/>
                <w:color w:val="auto"/>
              </w:rPr>
            </w:pPr>
            <w:r>
              <w:rPr>
                <w:rFonts w:ascii="Arial" w:cs="Arial" w:eastAsia="Arial" w:hAnsi="Arial"/>
                <w:sz w:val="14"/>
                <w:szCs w:val="14"/>
                <w:b w:val="1"/>
                <w:bCs w:val="1"/>
                <w:color w:val="auto"/>
                <w:w w:val="98"/>
              </w:rPr>
              <w:t>JUNE 25, 2017</w:t>
            </w:r>
          </w:p>
        </w:tc>
      </w:tr>
      <w:tr>
        <w:trPr>
          <w:trHeight w:val="289"/>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(Restated) (1)</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80"/>
              <w:spacing w:after="0"/>
              <w:rPr>
                <w:sz w:val="20"/>
                <w:szCs w:val="20"/>
                <w:color w:val="auto"/>
              </w:rPr>
            </w:pPr>
            <w:r>
              <w:rPr>
                <w:rFonts w:ascii="Arial" w:cs="Arial" w:eastAsia="Arial" w:hAnsi="Arial"/>
                <w:sz w:val="14"/>
                <w:szCs w:val="14"/>
                <w:b w:val="1"/>
                <w:bCs w:val="1"/>
                <w:color w:val="auto"/>
              </w:rPr>
              <w:t>(Restated) (1)</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Average restaurant unit volumes: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U.S.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Outback Steakhouse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68,290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65,766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71,366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69,007</w:t>
            </w: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Carrabba’s Italian Grill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56,131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56,959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57,809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58,271</w:t>
            </w: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Bonefish Grill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59,642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59,161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60,923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61,070</w:t>
            </w: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Fleming’s Prime Steakhouse &amp; Wine Bar</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80,563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80,470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85,344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84,548</w:t>
            </w: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Outback Steakhouse - Brazil (2)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74,225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86,653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79,324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85,925</w:t>
            </w: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weeks: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U.S.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Outback Steakhouse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16,193</w:t>
            </w: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Carrabba’s Italian Grill</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2,912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2,956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5,836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6,024</w:t>
            </w: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Bonefish Grill</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5,148</w:t>
            </w: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Fleming’s Prime Steakhouse &amp; Wine Bar</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910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1,808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1,749</w:t>
            </w: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Outback Steakhouse - Brazil</w:t>
            </w:r>
          </w:p>
        </w:tc>
        <w:tc>
          <w:tcPr>
            <w:tcW w:w="18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1,183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1,106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2,306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2,173</w:t>
            </w:r>
          </w:p>
        </w:tc>
      </w:tr>
      <w:tr>
        <w:trPr>
          <w:trHeight w:val="226"/>
        </w:trPr>
        <w:tc>
          <w:tcPr>
            <w:tcW w:w="5620" w:type="dxa"/>
            <w:vAlign w:val="bottom"/>
          </w:tcPr>
          <w:p>
            <w:pPr>
              <w:spacing w:after="0"/>
              <w:rPr>
                <w:sz w:val="20"/>
                <w:szCs w:val="20"/>
                <w:color w:val="auto"/>
              </w:rPr>
            </w:pPr>
            <w:r>
              <w:rPr>
                <w:rFonts w:ascii="Arial" w:cs="Arial" w:eastAsia="Arial" w:hAnsi="Arial"/>
                <w:sz w:val="16"/>
                <w:szCs w:val="16"/>
                <w:color w:val="auto"/>
              </w:rPr>
              <w:t>____________________</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bl>
    <w:p>
      <w:pPr>
        <w:ind w:left="660" w:right="20" w:hanging="652"/>
        <w:spacing w:after="0" w:line="246"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Activity has been restated for the retrospective adoption of ASU No. 2014-09. See Note 1 - </w:t>
      </w:r>
      <w:r>
        <w:rPr>
          <w:rFonts w:ascii="Arial" w:cs="Arial" w:eastAsia="Arial" w:hAnsi="Arial"/>
          <w:sz w:val="16"/>
          <w:szCs w:val="16"/>
          <w:i w:val="1"/>
          <w:iCs w:val="1"/>
          <w:color w:val="auto"/>
        </w:rPr>
        <w:t>Description of the Business and Basis of Presentation</w:t>
      </w:r>
      <w:r>
        <w:rPr>
          <w:rFonts w:ascii="Arial" w:cs="Arial" w:eastAsia="Arial" w:hAnsi="Arial"/>
          <w:sz w:val="16"/>
          <w:szCs w:val="16"/>
          <w:color w:val="auto"/>
        </w:rPr>
        <w:t xml:space="preserve"> of the Notes to Consolidated Financial Statements for details regarding the impact of implementing ASU No. 2014-09.</w:t>
      </w:r>
    </w:p>
    <w:p>
      <w:pPr>
        <w:ind w:left="660" w:hanging="652"/>
        <w:spacing w:after="0" w:line="257"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Translated at an average exchange rate of 3.43 and 3.16 for the thirteen weeks ended July 1, 2018 and June 25, 2017, respectively, and 3.34 and 3.19 for the twenty-six weeks ended July 1, 2018 and June 25, 2017, respectively.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Comparable Restaurant Sales, Traffic and Average Check Per Person Increases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comparable restaurant sales, traffic and average check per person increases: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360" w:type="dxa"/>
            <w:vAlign w:val="bottom"/>
          </w:tcPr>
          <w:p>
            <w:pPr>
              <w:spacing w:after="0"/>
              <w:rPr>
                <w:sz w:val="17"/>
                <w:szCs w:val="17"/>
                <w:color w:val="auto"/>
              </w:rPr>
            </w:pPr>
          </w:p>
        </w:tc>
        <w:tc>
          <w:tcPr>
            <w:tcW w:w="288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308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TWENTY-SIX WEEKS ENDED</w:t>
            </w:r>
          </w:p>
        </w:tc>
      </w:tr>
      <w:tr>
        <w:trPr>
          <w:trHeight w:val="264"/>
        </w:trPr>
        <w:tc>
          <w:tcPr>
            <w:tcW w:w="5360" w:type="dxa"/>
            <w:vAlign w:val="bottom"/>
          </w:tcPr>
          <w:p>
            <w:pPr>
              <w:spacing w:after="0"/>
              <w:rPr>
                <w:sz w:val="22"/>
                <w:szCs w:val="22"/>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1, 2018 (1)</w:t>
            </w:r>
          </w:p>
        </w:tc>
        <w:tc>
          <w:tcPr>
            <w:tcW w:w="14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25, 2017</w:t>
            </w:r>
          </w:p>
        </w:tc>
        <w:tc>
          <w:tcPr>
            <w:tcW w:w="17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JULY 1, 2018 (1)(2)</w:t>
            </w:r>
          </w:p>
        </w:tc>
        <w:tc>
          <w:tcPr>
            <w:tcW w:w="1340" w:type="dxa"/>
            <w:vAlign w:val="bottom"/>
          </w:tcPr>
          <w:p>
            <w:pPr>
              <w:jc w:val="right"/>
              <w:ind w:right="139"/>
              <w:spacing w:after="0"/>
              <w:rPr>
                <w:sz w:val="20"/>
                <w:szCs w:val="20"/>
                <w:color w:val="auto"/>
              </w:rPr>
            </w:pPr>
            <w:r>
              <w:rPr>
                <w:rFonts w:ascii="Arial" w:cs="Arial" w:eastAsia="Arial" w:hAnsi="Arial"/>
                <w:sz w:val="14"/>
                <w:szCs w:val="14"/>
                <w:b w:val="1"/>
                <w:bCs w:val="1"/>
                <w:color w:val="auto"/>
              </w:rPr>
              <w:t>JUNE 25, 2017</w:t>
            </w:r>
          </w:p>
        </w:tc>
      </w:tr>
      <w:tr>
        <w:trPr>
          <w:trHeight w:val="250"/>
        </w:trPr>
        <w:tc>
          <w:tcPr>
            <w:tcW w:w="5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Year over year percentage change:</w:t>
            </w: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360" w:type="dxa"/>
            <w:vAlign w:val="bottom"/>
          </w:tcPr>
          <w:p>
            <w:pPr>
              <w:ind w:left="180"/>
              <w:spacing w:after="0"/>
              <w:rPr>
                <w:sz w:val="20"/>
                <w:szCs w:val="20"/>
                <w:color w:val="auto"/>
              </w:rPr>
            </w:pPr>
            <w:r>
              <w:rPr>
                <w:rFonts w:ascii="Arial" w:cs="Arial" w:eastAsia="Arial" w:hAnsi="Arial"/>
                <w:sz w:val="16"/>
                <w:szCs w:val="16"/>
                <w:color w:val="auto"/>
              </w:rPr>
              <w:t>Comparable restaurant sales (stores open 18 months or more) (3):</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5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5360" w:type="dxa"/>
            <w:vAlign w:val="bottom"/>
          </w:tcPr>
          <w:p>
            <w:pPr>
              <w:ind w:left="380"/>
              <w:spacing w:after="0"/>
              <w:rPr>
                <w:sz w:val="20"/>
                <w:szCs w:val="20"/>
                <w:color w:val="auto"/>
              </w:rPr>
            </w:pPr>
            <w:r>
              <w:rPr>
                <w:rFonts w:ascii="Arial" w:cs="Arial" w:eastAsia="Arial" w:hAnsi="Arial"/>
                <w:sz w:val="16"/>
                <w:szCs w:val="16"/>
                <w:color w:val="auto"/>
              </w:rPr>
              <w:t>Outback Steakhouse</w:t>
            </w:r>
          </w:p>
        </w:tc>
        <w:tc>
          <w:tcPr>
            <w:tcW w:w="1420" w:type="dxa"/>
            <w:vAlign w:val="bottom"/>
          </w:tcPr>
          <w:p>
            <w:pPr>
              <w:jc w:val="right"/>
              <w:spacing w:after="0"/>
              <w:rPr>
                <w:sz w:val="20"/>
                <w:szCs w:val="20"/>
                <w:color w:val="auto"/>
              </w:rPr>
            </w:pPr>
            <w:r>
              <w:rPr>
                <w:rFonts w:ascii="Arial" w:cs="Arial" w:eastAsia="Arial" w:hAnsi="Arial"/>
                <w:sz w:val="16"/>
                <w:szCs w:val="16"/>
                <w:color w:val="auto"/>
              </w:rPr>
              <w:t>4.0 %</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0.9 %</w:t>
            </w:r>
          </w:p>
        </w:tc>
      </w:tr>
      <w:tr>
        <w:trPr>
          <w:trHeight w:val="33"/>
        </w:trPr>
        <w:tc>
          <w:tcPr>
            <w:tcW w:w="5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Carrabba’s Italian Grill</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5360" w:type="dxa"/>
            <w:vAlign w:val="bottom"/>
          </w:tcPr>
          <w:p>
            <w:pPr>
              <w:ind w:left="380"/>
              <w:spacing w:after="0"/>
              <w:rPr>
                <w:sz w:val="20"/>
                <w:szCs w:val="20"/>
                <w:color w:val="auto"/>
              </w:rPr>
            </w:pPr>
            <w:r>
              <w:rPr>
                <w:rFonts w:ascii="Arial" w:cs="Arial" w:eastAsia="Arial" w:hAnsi="Arial"/>
                <w:sz w:val="16"/>
                <w:szCs w:val="16"/>
                <w:color w:val="auto"/>
              </w:rPr>
              <w:t>Bonefish Grill</w:t>
            </w:r>
          </w:p>
        </w:tc>
        <w:tc>
          <w:tcPr>
            <w:tcW w:w="1420" w:type="dxa"/>
            <w:vAlign w:val="bottom"/>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5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Fleming’s Prime Steakhouse &amp; Wine Bar</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5360" w:type="dxa"/>
            <w:vAlign w:val="bottom"/>
          </w:tcPr>
          <w:p>
            <w:pPr>
              <w:ind w:left="380"/>
              <w:spacing w:after="0"/>
              <w:rPr>
                <w:sz w:val="20"/>
                <w:szCs w:val="20"/>
                <w:color w:val="auto"/>
              </w:rPr>
            </w:pPr>
            <w:r>
              <w:rPr>
                <w:rFonts w:ascii="Arial" w:cs="Arial" w:eastAsia="Arial" w:hAnsi="Arial"/>
                <w:sz w:val="16"/>
                <w:szCs w:val="16"/>
                <w:color w:val="auto"/>
              </w:rPr>
              <w:t>Combined U.S.</w:t>
            </w:r>
          </w:p>
        </w:tc>
        <w:tc>
          <w:tcPr>
            <w:tcW w:w="1420" w:type="dxa"/>
            <w:vAlign w:val="bottom"/>
          </w:tcPr>
          <w:p>
            <w:pPr>
              <w:jc w:val="right"/>
              <w:spacing w:after="0"/>
              <w:rPr>
                <w:sz w:val="20"/>
                <w:szCs w:val="20"/>
                <w:color w:val="auto"/>
              </w:rPr>
            </w:pPr>
            <w:r>
              <w:rPr>
                <w:rFonts w:ascii="Arial" w:cs="Arial" w:eastAsia="Arial" w:hAnsi="Arial"/>
                <w:sz w:val="16"/>
                <w:szCs w:val="16"/>
                <w:color w:val="auto"/>
              </w:rPr>
              <w:t>2.4 %</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5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5360" w:type="dxa"/>
            <w:vAlign w:val="bottom"/>
          </w:tcPr>
          <w:p>
            <w:pPr>
              <w:ind w:left="380"/>
              <w:spacing w:after="0"/>
              <w:rPr>
                <w:sz w:val="20"/>
                <w:szCs w:val="20"/>
                <w:color w:val="auto"/>
              </w:rPr>
            </w:pPr>
            <w:r>
              <w:rPr>
                <w:rFonts w:ascii="Arial" w:cs="Arial" w:eastAsia="Arial" w:hAnsi="Arial"/>
                <w:sz w:val="16"/>
                <w:szCs w:val="16"/>
                <w:color w:val="auto"/>
              </w:rPr>
              <w:t>Outback Steakhouse - Brazil (4)</w:t>
            </w:r>
          </w:p>
        </w:tc>
        <w:tc>
          <w:tcPr>
            <w:tcW w:w="142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12.6 %</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8.2 %</w:t>
            </w:r>
          </w:p>
        </w:tc>
      </w:tr>
      <w:tr>
        <w:trPr>
          <w:trHeight w:val="33"/>
        </w:trPr>
        <w:tc>
          <w:tcPr>
            <w:tcW w:w="5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97"/>
        </w:trPr>
        <w:tc>
          <w:tcPr>
            <w:tcW w:w="53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37"/>
        </w:trPr>
        <w:tc>
          <w:tcPr>
            <w:tcW w:w="5360" w:type="dxa"/>
            <w:vAlign w:val="bottom"/>
          </w:tcPr>
          <w:p>
            <w:pPr>
              <w:ind w:left="180"/>
              <w:spacing w:after="0"/>
              <w:rPr>
                <w:sz w:val="20"/>
                <w:szCs w:val="20"/>
                <w:color w:val="auto"/>
              </w:rPr>
            </w:pPr>
            <w:r>
              <w:rPr>
                <w:rFonts w:ascii="Arial" w:cs="Arial" w:eastAsia="Arial" w:hAnsi="Arial"/>
                <w:sz w:val="16"/>
                <w:szCs w:val="16"/>
                <w:color w:val="auto"/>
              </w:rPr>
              <w:t>Traffic:</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5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5360" w:type="dxa"/>
            <w:vAlign w:val="bottom"/>
          </w:tcPr>
          <w:p>
            <w:pPr>
              <w:ind w:left="380"/>
              <w:spacing w:after="0"/>
              <w:rPr>
                <w:sz w:val="20"/>
                <w:szCs w:val="20"/>
                <w:color w:val="auto"/>
              </w:rPr>
            </w:pPr>
            <w:r>
              <w:rPr>
                <w:rFonts w:ascii="Arial" w:cs="Arial" w:eastAsia="Arial" w:hAnsi="Arial"/>
                <w:sz w:val="16"/>
                <w:szCs w:val="16"/>
                <w:color w:val="auto"/>
              </w:rPr>
              <w:t>Outback Steakhouse</w:t>
            </w:r>
          </w:p>
        </w:tc>
        <w:tc>
          <w:tcPr>
            <w:tcW w:w="1420" w:type="dxa"/>
            <w:vAlign w:val="bottom"/>
          </w:tcPr>
          <w:p>
            <w:pPr>
              <w:jc w:val="right"/>
              <w:spacing w:after="0"/>
              <w:rPr>
                <w:sz w:val="20"/>
                <w:szCs w:val="20"/>
                <w:color w:val="auto"/>
              </w:rPr>
            </w:pPr>
            <w:r>
              <w:rPr>
                <w:rFonts w:ascii="Arial" w:cs="Arial" w:eastAsia="Arial" w:hAnsi="Arial"/>
                <w:sz w:val="16"/>
                <w:szCs w:val="16"/>
                <w:color w:val="auto"/>
              </w:rPr>
              <w:t>0.6 %</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5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Carrabba’s Italian Grill</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37"/>
        </w:trPr>
        <w:tc>
          <w:tcPr>
            <w:tcW w:w="5360" w:type="dxa"/>
            <w:vAlign w:val="bottom"/>
          </w:tcPr>
          <w:p>
            <w:pPr>
              <w:ind w:left="380"/>
              <w:spacing w:after="0"/>
              <w:rPr>
                <w:sz w:val="20"/>
                <w:szCs w:val="20"/>
                <w:color w:val="auto"/>
              </w:rPr>
            </w:pPr>
            <w:r>
              <w:rPr>
                <w:rFonts w:ascii="Arial" w:cs="Arial" w:eastAsia="Arial" w:hAnsi="Arial"/>
                <w:sz w:val="16"/>
                <w:szCs w:val="16"/>
                <w:color w:val="auto"/>
              </w:rPr>
              <w:t>Bonefish Grill</w:t>
            </w:r>
          </w:p>
        </w:tc>
        <w:tc>
          <w:tcPr>
            <w:tcW w:w="14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5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Fleming’s Prime Steakhouse &amp; Wine Bar</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37"/>
        </w:trPr>
        <w:tc>
          <w:tcPr>
            <w:tcW w:w="5360" w:type="dxa"/>
            <w:vAlign w:val="bottom"/>
          </w:tcPr>
          <w:p>
            <w:pPr>
              <w:ind w:left="380"/>
              <w:spacing w:after="0"/>
              <w:rPr>
                <w:sz w:val="20"/>
                <w:szCs w:val="20"/>
                <w:color w:val="auto"/>
              </w:rPr>
            </w:pPr>
            <w:r>
              <w:rPr>
                <w:rFonts w:ascii="Arial" w:cs="Arial" w:eastAsia="Arial" w:hAnsi="Arial"/>
                <w:sz w:val="16"/>
                <w:szCs w:val="16"/>
                <w:color w:val="auto"/>
              </w:rPr>
              <w:t>Combined U.S.</w:t>
            </w:r>
          </w:p>
        </w:tc>
        <w:tc>
          <w:tcPr>
            <w:tcW w:w="14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5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5360" w:type="dxa"/>
            <w:vAlign w:val="bottom"/>
          </w:tcPr>
          <w:p>
            <w:pPr>
              <w:ind w:left="380"/>
              <w:spacing w:after="0"/>
              <w:rPr>
                <w:sz w:val="20"/>
                <w:szCs w:val="20"/>
                <w:color w:val="auto"/>
              </w:rPr>
            </w:pPr>
            <w:r>
              <w:rPr>
                <w:rFonts w:ascii="Arial" w:cs="Arial" w:eastAsia="Arial" w:hAnsi="Arial"/>
                <w:sz w:val="16"/>
                <w:szCs w:val="16"/>
                <w:color w:val="auto"/>
              </w:rPr>
              <w:t>Outback Steakhouse - Brazil</w:t>
            </w:r>
          </w:p>
        </w:tc>
        <w:tc>
          <w:tcPr>
            <w:tcW w:w="142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0.7 %</w:t>
            </w:r>
          </w:p>
        </w:tc>
      </w:tr>
      <w:tr>
        <w:trPr>
          <w:trHeight w:val="33"/>
        </w:trPr>
        <w:tc>
          <w:tcPr>
            <w:tcW w:w="5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97"/>
        </w:trPr>
        <w:tc>
          <w:tcPr>
            <w:tcW w:w="53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37"/>
        </w:trPr>
        <w:tc>
          <w:tcPr>
            <w:tcW w:w="5360" w:type="dxa"/>
            <w:vAlign w:val="bottom"/>
          </w:tcPr>
          <w:p>
            <w:pPr>
              <w:ind w:left="180"/>
              <w:spacing w:after="0"/>
              <w:rPr>
                <w:sz w:val="20"/>
                <w:szCs w:val="20"/>
                <w:color w:val="auto"/>
              </w:rPr>
            </w:pPr>
            <w:r>
              <w:rPr>
                <w:rFonts w:ascii="Arial" w:cs="Arial" w:eastAsia="Arial" w:hAnsi="Arial"/>
                <w:sz w:val="16"/>
                <w:szCs w:val="16"/>
                <w:color w:val="auto"/>
              </w:rPr>
              <w:t>Average check per person increases (5):</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5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5360" w:type="dxa"/>
            <w:vAlign w:val="bottom"/>
          </w:tcPr>
          <w:p>
            <w:pPr>
              <w:ind w:left="380"/>
              <w:spacing w:after="0"/>
              <w:rPr>
                <w:sz w:val="20"/>
                <w:szCs w:val="20"/>
                <w:color w:val="auto"/>
              </w:rPr>
            </w:pPr>
            <w:r>
              <w:rPr>
                <w:rFonts w:ascii="Arial" w:cs="Arial" w:eastAsia="Arial" w:hAnsi="Arial"/>
                <w:sz w:val="16"/>
                <w:szCs w:val="16"/>
                <w:color w:val="auto"/>
              </w:rPr>
              <w:t>Outback Steakhouse</w:t>
            </w:r>
          </w:p>
        </w:tc>
        <w:tc>
          <w:tcPr>
            <w:tcW w:w="1420" w:type="dxa"/>
            <w:vAlign w:val="bottom"/>
          </w:tcPr>
          <w:p>
            <w:pPr>
              <w:jc w:val="right"/>
              <w:spacing w:after="0"/>
              <w:rPr>
                <w:sz w:val="20"/>
                <w:szCs w:val="20"/>
                <w:color w:val="auto"/>
              </w:rPr>
            </w:pPr>
            <w:r>
              <w:rPr>
                <w:rFonts w:ascii="Arial" w:cs="Arial" w:eastAsia="Arial" w:hAnsi="Arial"/>
                <w:sz w:val="16"/>
                <w:szCs w:val="16"/>
                <w:color w:val="auto"/>
              </w:rPr>
              <w:t>3.4 %</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2.4 %</w:t>
            </w:r>
          </w:p>
        </w:tc>
      </w:tr>
      <w:tr>
        <w:trPr>
          <w:trHeight w:val="33"/>
        </w:trPr>
        <w:tc>
          <w:tcPr>
            <w:tcW w:w="5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Carrabba’s Italian Grill</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37"/>
        </w:trPr>
        <w:tc>
          <w:tcPr>
            <w:tcW w:w="5360" w:type="dxa"/>
            <w:vAlign w:val="bottom"/>
          </w:tcPr>
          <w:p>
            <w:pPr>
              <w:ind w:left="380"/>
              <w:spacing w:after="0"/>
              <w:rPr>
                <w:sz w:val="20"/>
                <w:szCs w:val="20"/>
                <w:color w:val="auto"/>
              </w:rPr>
            </w:pPr>
            <w:r>
              <w:rPr>
                <w:rFonts w:ascii="Arial" w:cs="Arial" w:eastAsia="Arial" w:hAnsi="Arial"/>
                <w:sz w:val="16"/>
                <w:szCs w:val="16"/>
                <w:color w:val="auto"/>
              </w:rPr>
              <w:t>Bonefish Grill</w:t>
            </w:r>
          </w:p>
        </w:tc>
        <w:tc>
          <w:tcPr>
            <w:tcW w:w="1420" w:type="dxa"/>
            <w:vAlign w:val="bottom"/>
          </w:tcPr>
          <w:p>
            <w:pPr>
              <w:jc w:val="right"/>
              <w:spacing w:after="0"/>
              <w:rPr>
                <w:sz w:val="20"/>
                <w:szCs w:val="20"/>
                <w:color w:val="auto"/>
              </w:rPr>
            </w:pPr>
            <w:r>
              <w:rPr>
                <w:rFonts w:ascii="Arial" w:cs="Arial" w:eastAsia="Arial" w:hAnsi="Arial"/>
                <w:sz w:val="16"/>
                <w:szCs w:val="16"/>
                <w:color w:val="auto"/>
              </w:rPr>
              <w:t>2.7 %</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33"/>
        </w:trPr>
        <w:tc>
          <w:tcPr>
            <w:tcW w:w="5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Fleming’s Prime Steakhouse &amp; Wine Bar</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4.4 %</w:t>
            </w:r>
          </w:p>
        </w:tc>
      </w:tr>
      <w:tr>
        <w:trPr>
          <w:trHeight w:val="237"/>
        </w:trPr>
        <w:tc>
          <w:tcPr>
            <w:tcW w:w="5360" w:type="dxa"/>
            <w:vAlign w:val="bottom"/>
          </w:tcPr>
          <w:p>
            <w:pPr>
              <w:ind w:left="380"/>
              <w:spacing w:after="0"/>
              <w:rPr>
                <w:sz w:val="20"/>
                <w:szCs w:val="20"/>
                <w:color w:val="auto"/>
              </w:rPr>
            </w:pPr>
            <w:r>
              <w:rPr>
                <w:rFonts w:ascii="Arial" w:cs="Arial" w:eastAsia="Arial" w:hAnsi="Arial"/>
                <w:sz w:val="16"/>
                <w:szCs w:val="16"/>
                <w:color w:val="auto"/>
              </w:rPr>
              <w:t>Combined U.S.</w:t>
            </w:r>
          </w:p>
        </w:tc>
        <w:tc>
          <w:tcPr>
            <w:tcW w:w="1420" w:type="dxa"/>
            <w:vAlign w:val="bottom"/>
          </w:tcPr>
          <w:p>
            <w:pPr>
              <w:jc w:val="right"/>
              <w:spacing w:after="0"/>
              <w:rPr>
                <w:sz w:val="20"/>
                <w:szCs w:val="20"/>
                <w:color w:val="auto"/>
              </w:rPr>
            </w:pPr>
            <w:r>
              <w:rPr>
                <w:rFonts w:ascii="Arial" w:cs="Arial" w:eastAsia="Arial" w:hAnsi="Arial"/>
                <w:sz w:val="16"/>
                <w:szCs w:val="16"/>
                <w:color w:val="auto"/>
              </w:rPr>
              <w:t>3.6 %</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2.2 %</w:t>
            </w:r>
          </w:p>
        </w:tc>
      </w:tr>
      <w:tr>
        <w:trPr>
          <w:trHeight w:val="33"/>
        </w:trPr>
        <w:tc>
          <w:tcPr>
            <w:tcW w:w="5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5360" w:type="dxa"/>
            <w:vAlign w:val="bottom"/>
          </w:tcPr>
          <w:p>
            <w:pPr>
              <w:ind w:left="380"/>
              <w:spacing w:after="0"/>
              <w:rPr>
                <w:sz w:val="20"/>
                <w:szCs w:val="20"/>
                <w:color w:val="auto"/>
              </w:rPr>
            </w:pPr>
            <w:r>
              <w:rPr>
                <w:rFonts w:ascii="Arial" w:cs="Arial" w:eastAsia="Arial" w:hAnsi="Arial"/>
                <w:sz w:val="16"/>
                <w:szCs w:val="16"/>
                <w:color w:val="auto"/>
              </w:rPr>
              <w:t>Outback Steakhouse - Brazil</w:t>
            </w:r>
          </w:p>
        </w:tc>
        <w:tc>
          <w:tcPr>
            <w:tcW w:w="1420" w:type="dxa"/>
            <w:vAlign w:val="bottom"/>
          </w:tcPr>
          <w:p>
            <w:pPr>
              <w:jc w:val="right"/>
              <w:spacing w:after="0"/>
              <w:rPr>
                <w:sz w:val="20"/>
                <w:szCs w:val="20"/>
                <w:color w:val="auto"/>
              </w:rPr>
            </w:pPr>
            <w:r>
              <w:rPr>
                <w:rFonts w:ascii="Arial" w:cs="Arial" w:eastAsia="Arial" w:hAnsi="Arial"/>
                <w:sz w:val="16"/>
                <w:szCs w:val="16"/>
                <w:color w:val="auto"/>
              </w:rPr>
              <w:t>1.9 %</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7.3 %</w:t>
            </w:r>
          </w:p>
        </w:tc>
      </w:tr>
    </w:tbl>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right="20" w:hanging="652"/>
        <w:spacing w:after="0" w:line="263" w:lineRule="auto"/>
        <w:tabs>
          <w:tab w:leader="none" w:pos="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For Q2 2018, comparable restaurant sales and traffic compare the thirteen weeks from April 2, 2018 through July 1, 2018 to the thirteen weeks from April 3, 2017 through July 2, 2017, and for the twenty-six weeks from January 1, 2018 through July 1, 2018 to the twenty-six weeks from January 2, 2017 through July 2, 2017.</w:t>
      </w:r>
    </w:p>
    <w:p>
      <w:pPr>
        <w:ind w:left="660" w:hanging="652"/>
        <w:spacing w:after="0" w:line="246"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Comparative restaurant sales and average check per person for the twenty-six weeks ended July 1, 2018 have been revised from those previously disclosed in our earnings release issued on July 30, 2018.</w:t>
      </w:r>
    </w:p>
    <w:p>
      <w:pPr>
        <w:ind w:left="660" w:hanging="652"/>
        <w:spacing w:after="0" w:line="246"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Comparable restaurant sales exclude the effect of fluctuations in foreign currency rates. Relocated international restaurants closed more than 30 days and relocated U.S. restaurants closed more than 60 days are excluded from comparable restaurant sales until at least 18 months after reopening.</w:t>
      </w:r>
    </w:p>
    <w:p>
      <w:pPr>
        <w:ind w:left="660" w:hanging="652"/>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Includes trading day impact from calendar period reporting.</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Average check per person includes the impact of menu pricing changes, product mix and discounts.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2" w:right="2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Franchise and other revenues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423"/>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303"/>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58"/>
        </w:trPr>
        <w:tc>
          <w:tcPr>
            <w:tcW w:w="5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JUNE 25, 2017</w:t>
            </w:r>
          </w:p>
        </w:tc>
        <w:tc>
          <w:tcPr>
            <w:tcW w:w="18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180" w:type="dxa"/>
            <w:vAlign w:val="bottom"/>
          </w:tcPr>
          <w:p>
            <w:pPr>
              <w:jc w:val="right"/>
              <w:ind w:right="143"/>
              <w:spacing w:after="0"/>
              <w:rPr>
                <w:sz w:val="20"/>
                <w:szCs w:val="20"/>
                <w:color w:val="auto"/>
              </w:rPr>
            </w:pPr>
            <w:r>
              <w:rPr>
                <w:rFonts w:ascii="Arial" w:cs="Arial" w:eastAsia="Arial" w:hAnsi="Arial"/>
                <w:sz w:val="14"/>
                <w:szCs w:val="14"/>
                <w:b w:val="1"/>
                <w:bCs w:val="1"/>
                <w:color w:val="auto"/>
                <w:w w:val="98"/>
              </w:rPr>
              <w:t>JUNE 25, 2017</w:t>
            </w:r>
          </w:p>
        </w:tc>
        <w:tc>
          <w:tcPr>
            <w:tcW w:w="0" w:type="dxa"/>
            <w:vAlign w:val="bottom"/>
          </w:tcPr>
          <w:p>
            <w:pPr>
              <w:spacing w:after="0"/>
              <w:rPr>
                <w:sz w:val="1"/>
                <w:szCs w:val="1"/>
                <w:color w:val="auto"/>
              </w:rPr>
            </w:pPr>
          </w:p>
        </w:tc>
      </w:tr>
      <w:tr>
        <w:trPr>
          <w:trHeight w:val="289"/>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(Restated) (1)</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83"/>
              <w:spacing w:after="0"/>
              <w:rPr>
                <w:sz w:val="20"/>
                <w:szCs w:val="20"/>
                <w:color w:val="auto"/>
              </w:rPr>
            </w:pPr>
            <w:r>
              <w:rPr>
                <w:rFonts w:ascii="Arial" w:cs="Arial" w:eastAsia="Arial" w:hAnsi="Arial"/>
                <w:sz w:val="14"/>
                <w:szCs w:val="14"/>
                <w:b w:val="1"/>
                <w:bCs w:val="1"/>
                <w:color w:val="auto"/>
              </w:rPr>
              <w:t>(Restated) (1)</w:t>
            </w:r>
          </w:p>
        </w:tc>
        <w:tc>
          <w:tcPr>
            <w:tcW w:w="0" w:type="dxa"/>
            <w:vAlign w:val="bottom"/>
          </w:tcPr>
          <w:p>
            <w:pPr>
              <w:spacing w:after="0"/>
              <w:rPr>
                <w:sz w:val="1"/>
                <w:szCs w:val="1"/>
                <w:color w:val="auto"/>
              </w:rPr>
            </w:pPr>
          </w:p>
        </w:tc>
      </w:tr>
      <w:tr>
        <w:trPr>
          <w:trHeight w:val="237"/>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Franchise revenues (2)</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Franchise and other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6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See Note 1 of the Notes to Consolidated Financial Statements for details of the impact of implementing ASU No. 2014-09.</w:t>
      </w:r>
    </w:p>
    <w:p>
      <w:pPr>
        <w:spacing w:after="0" w:line="18" w:lineRule="exact"/>
        <w:rPr>
          <w:rFonts w:ascii="Arial" w:cs="Arial" w:eastAsia="Arial" w:hAnsi="Arial"/>
          <w:sz w:val="16"/>
          <w:szCs w:val="16"/>
          <w:color w:val="auto"/>
        </w:rPr>
      </w:pPr>
    </w:p>
    <w:p>
      <w:pPr>
        <w:ind w:left="660" w:hanging="652"/>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franchise royalties and initial franchise fees.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COSTS AND EXPENSES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sales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402"/>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342"/>
              <w:spacing w:after="0"/>
              <w:rPr>
                <w:sz w:val="20"/>
                <w:szCs w:val="20"/>
                <w:color w:val="auto"/>
              </w:rPr>
            </w:pPr>
            <w:r>
              <w:rPr>
                <w:rFonts w:ascii="Arial" w:cs="Arial" w:eastAsia="Arial" w:hAnsi="Arial"/>
                <w:sz w:val="14"/>
                <w:szCs w:val="14"/>
                <w:b w:val="1"/>
                <w:bCs w:val="1"/>
                <w:color w:val="auto"/>
              </w:rPr>
              <w:t>TWENTY-SIX WEEKS ENDED</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64"/>
        </w:trPr>
        <w:tc>
          <w:tcPr>
            <w:tcW w:w="342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2018</w:t>
            </w:r>
          </w:p>
        </w:tc>
        <w:tc>
          <w:tcPr>
            <w:tcW w:w="160" w:type="dxa"/>
            <w:vAlign w:val="bottom"/>
          </w:tcPr>
          <w:p>
            <w:pPr>
              <w:spacing w:after="0"/>
              <w:rPr>
                <w:sz w:val="22"/>
                <w:szCs w:val="22"/>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25, 2017</w:t>
            </w: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25, 2017</w:t>
            </w:r>
          </w:p>
        </w:tc>
        <w:tc>
          <w:tcPr>
            <w:tcW w:w="960" w:type="dxa"/>
            <w:vAlign w:val="bottom"/>
          </w:tcPr>
          <w:p>
            <w:pPr>
              <w:jc w:val="right"/>
              <w:ind w:right="16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sales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322.8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323.1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674.9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687.9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3420" w:type="dxa"/>
            <w:vAlign w:val="bottom"/>
          </w:tcPr>
          <w:p>
            <w:pPr>
              <w:ind w:left="180"/>
              <w:spacing w:after="0"/>
              <w:rPr>
                <w:sz w:val="20"/>
                <w:szCs w:val="20"/>
                <w:color w:val="auto"/>
              </w:rPr>
            </w:pPr>
            <w:r>
              <w:rPr>
                <w:rFonts w:ascii="Arial" w:cs="Arial" w:eastAsia="Arial" w:hAnsi="Arial"/>
                <w:sz w:val="16"/>
                <w:szCs w:val="16"/>
                <w:color w:val="auto"/>
              </w:rPr>
              <w:t>% of Restaurant sales</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w:t>
            </w:r>
          </w:p>
        </w:tc>
      </w:tr>
    </w:tbl>
    <w:p>
      <w:pPr>
        <w:spacing w:after="0" w:line="24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Cost of sales increased as a percentage of Restaurant sales in the thirteen weeks ended July 1, 2018 as compared to the thirteen weeks ended June 25, 2017 primarily due to 1.0% for commodity cost inflation. The increase was partially offset primarily by decreases as a percentage of Restaurant sales of 0.6% for changes in average check per person and 0.2% from the impact of certain cost saving initiatives.</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Cost of sales increased as a percentage of Restaurant sales in the twenty-six weeks ended July 1, 2018 as compared to the twenty-six weeks ended June 25, 2017 primarily due to 0.9% for commodity cost inflation. The increase was offset primarily by decreases as a percentage of Restaurant sales of 0.7% for changes in average check per person and 0.2% from the impact of certain cost saving initiatives.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Labor and other related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402"/>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342"/>
              <w:spacing w:after="0"/>
              <w:rPr>
                <w:sz w:val="20"/>
                <w:szCs w:val="20"/>
                <w:color w:val="auto"/>
              </w:rPr>
            </w:pPr>
            <w:r>
              <w:rPr>
                <w:rFonts w:ascii="Arial" w:cs="Arial" w:eastAsia="Arial" w:hAnsi="Arial"/>
                <w:sz w:val="14"/>
                <w:szCs w:val="14"/>
                <w:b w:val="1"/>
                <w:bCs w:val="1"/>
                <w:color w:val="auto"/>
              </w:rPr>
              <w:t>TWENTY-SIX WEEKS ENDED</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64"/>
        </w:trPr>
        <w:tc>
          <w:tcPr>
            <w:tcW w:w="342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2018</w:t>
            </w:r>
          </w:p>
        </w:tc>
        <w:tc>
          <w:tcPr>
            <w:tcW w:w="160" w:type="dxa"/>
            <w:vAlign w:val="bottom"/>
          </w:tcPr>
          <w:p>
            <w:pPr>
              <w:spacing w:after="0"/>
              <w:rPr>
                <w:sz w:val="22"/>
                <w:szCs w:val="22"/>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25, 2017</w:t>
            </w: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25, 2017</w:t>
            </w:r>
          </w:p>
        </w:tc>
        <w:tc>
          <w:tcPr>
            <w:tcW w:w="960" w:type="dxa"/>
            <w:vAlign w:val="bottom"/>
          </w:tcPr>
          <w:p>
            <w:pPr>
              <w:jc w:val="right"/>
              <w:ind w:right="16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Labor and other related</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301.9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297.9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613.0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622.3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3420" w:type="dxa"/>
            <w:vAlign w:val="bottom"/>
          </w:tcPr>
          <w:p>
            <w:pPr>
              <w:ind w:left="180"/>
              <w:spacing w:after="0"/>
              <w:rPr>
                <w:sz w:val="20"/>
                <w:szCs w:val="20"/>
                <w:color w:val="auto"/>
              </w:rPr>
            </w:pPr>
            <w:r>
              <w:rPr>
                <w:rFonts w:ascii="Arial" w:cs="Arial" w:eastAsia="Arial" w:hAnsi="Arial"/>
                <w:sz w:val="16"/>
                <w:szCs w:val="16"/>
                <w:color w:val="auto"/>
              </w:rPr>
              <w:t>% of Restaurant sales</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0.3%</w:t>
            </w:r>
          </w:p>
        </w:tc>
      </w:tr>
    </w:tbl>
    <w:p>
      <w:pPr>
        <w:spacing w:after="0" w:line="24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Labor and other related expenses increased as a percentage of Restaurant sales in the thirteen weeks ended July 1, 2018 as compared to the thirteen weeks ended June 25, 2017 primarily due to 0.8% from higher labor costs from wage rate increases and 0.3% from favorable resolution of certain legal contingencies in 2017. These increases were partially offset by decreases as a percentage of Restaurant sales of 0.3% from increases in average check per person and 0.3% from the impact of certain cost saving initiatives.</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Labor and other related expenses increased as a percentage of Restaurant sales in the twenty-six weeks ended July 1, 2018 as compared to the twenty-six weeks ended June 25, 2017 primarily due to 0.9% from higher labor costs from wage rate increases. The increase was partially offset by decreases as a percentage of Restaurant sales of 0.4% from increases in average check per person and 0.3% from the impact of certain cost saving initiatives.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restaurant operating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423"/>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323"/>
              <w:spacing w:after="0"/>
              <w:rPr>
                <w:sz w:val="20"/>
                <w:szCs w:val="20"/>
                <w:color w:val="auto"/>
              </w:rPr>
            </w:pPr>
            <w:r>
              <w:rPr>
                <w:rFonts w:ascii="Arial" w:cs="Arial" w:eastAsia="Arial" w:hAnsi="Arial"/>
                <w:sz w:val="14"/>
                <w:szCs w:val="14"/>
                <w:b w:val="1"/>
                <w:bCs w:val="1"/>
                <w:color w:val="auto"/>
              </w:rPr>
              <w:t>TWENTY-SIX WEEKS ENDED</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8"/>
        </w:trPr>
        <w:tc>
          <w:tcPr>
            <w:tcW w:w="3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JUNE 25, 2017</w:t>
            </w: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2018</w:t>
            </w:r>
          </w:p>
        </w:tc>
        <w:tc>
          <w:tcPr>
            <w:tcW w:w="160" w:type="dxa"/>
            <w:vAlign w:val="bottom"/>
          </w:tcPr>
          <w:p>
            <w:pPr>
              <w:spacing w:after="0"/>
              <w:rPr>
                <w:sz w:val="22"/>
                <w:szCs w:val="22"/>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JUNE 25, 2017</w:t>
            </w:r>
          </w:p>
        </w:tc>
        <w:tc>
          <w:tcPr>
            <w:tcW w:w="940" w:type="dxa"/>
            <w:vAlign w:val="bottom"/>
          </w:tcPr>
          <w:p>
            <w:pPr>
              <w:spacing w:after="0"/>
              <w:rPr>
                <w:sz w:val="22"/>
                <w:szCs w:val="22"/>
                <w:color w:val="auto"/>
              </w:rPr>
            </w:pPr>
          </w:p>
        </w:tc>
      </w:tr>
      <w:tr>
        <w:trPr>
          <w:trHeight w:val="289"/>
        </w:trPr>
        <w:tc>
          <w:tcPr>
            <w:tcW w:w="340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(Restated) (1)</w:t>
            </w:r>
          </w:p>
        </w:tc>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(Restated) (1)</w:t>
            </w:r>
          </w:p>
        </w:tc>
        <w:tc>
          <w:tcPr>
            <w:tcW w:w="940" w:type="dxa"/>
            <w:vAlign w:val="bottom"/>
          </w:tcPr>
          <w:p>
            <w:pPr>
              <w:jc w:val="right"/>
              <w:ind w:right="16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restaurant operating</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238.4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248.4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491.7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499.5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3400" w:type="dxa"/>
            <w:vAlign w:val="bottom"/>
          </w:tcPr>
          <w:p>
            <w:pPr>
              <w:ind w:left="180"/>
              <w:spacing w:after="0"/>
              <w:rPr>
                <w:sz w:val="20"/>
                <w:szCs w:val="20"/>
                <w:color w:val="auto"/>
              </w:rPr>
            </w:pPr>
            <w:r>
              <w:rPr>
                <w:rFonts w:ascii="Arial" w:cs="Arial" w:eastAsia="Arial" w:hAnsi="Arial"/>
                <w:sz w:val="16"/>
                <w:szCs w:val="16"/>
                <w:color w:val="auto"/>
              </w:rPr>
              <w:t>% of Restaurant sales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26"/>
        </w:trPr>
        <w:tc>
          <w:tcPr>
            <w:tcW w:w="3400" w:type="dxa"/>
            <w:vAlign w:val="bottom"/>
          </w:tcPr>
          <w:p>
            <w:pPr>
              <w:jc w:val="right"/>
              <w:ind w:right="1701"/>
              <w:spacing w:after="0"/>
              <w:rPr>
                <w:sz w:val="20"/>
                <w:szCs w:val="20"/>
                <w:color w:val="auto"/>
              </w:rPr>
            </w:pPr>
            <w:r>
              <w:rPr>
                <w:rFonts w:ascii="Arial" w:cs="Arial" w:eastAsia="Arial" w:hAnsi="Arial"/>
                <w:sz w:val="16"/>
                <w:szCs w:val="16"/>
                <w:color w:val="auto"/>
                <w:w w:val="89"/>
              </w:rPr>
              <w:t>____________________</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bl>
    <w:p>
      <w:pPr>
        <w:ind w:left="660" w:hanging="652"/>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See Note 1 of the Notes to Consolidated Financial Statements for details of the impact of implementing ASU No. 2014-09.</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Other restaurant operating expenses decreased as a percentage of Restaurant sales in the thirteen weeks ended July 1, 2018 as compared to the thirteen weeks ended June 25, 2017 primarily due to: (i) 0.5% from decreases in advertising expense, (ii) 0.3% from the impact of certain cost saving initiatives and (iii) 0.2% from increases in average check per person. These decreases were partially offset by increases as a percentage of Restaurant sales of 0.2% from operating expense inflation.</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Other restaurant operating expenses increased as a percentage of Restaurant sales in the twenty-six weeks ended July 1, 2018 as compared to the twenty-six weeks ended June 25, 2017 primarily due to 0.3% from operating expense inflation and 0.3% from the impact of the write-off of deferred rent liabilities in 2017. These increases were partially offset by decreases as a percentage of Restaurant sales of 0.3% from the impact of certain cost saving initiatives and 0.2% from decreases in advertising expense.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 and amortization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443"/>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303"/>
              <w:spacing w:after="0"/>
              <w:rPr>
                <w:sz w:val="20"/>
                <w:szCs w:val="20"/>
                <w:color w:val="auto"/>
              </w:rPr>
            </w:pPr>
            <w:r>
              <w:rPr>
                <w:rFonts w:ascii="Arial" w:cs="Arial" w:eastAsia="Arial" w:hAnsi="Arial"/>
                <w:sz w:val="14"/>
                <w:szCs w:val="14"/>
                <w:b w:val="1"/>
                <w:bCs w:val="1"/>
                <w:color w:val="auto"/>
              </w:rPr>
              <w:t>TWENTY-SIX WEEKS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25, 2017</w:t>
            </w:r>
          </w:p>
        </w:tc>
        <w:tc>
          <w:tcPr>
            <w:tcW w:w="1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2018</w:t>
            </w:r>
          </w:p>
        </w:tc>
        <w:tc>
          <w:tcPr>
            <w:tcW w:w="160" w:type="dxa"/>
            <w:vAlign w:val="bottom"/>
          </w:tcPr>
          <w:p>
            <w:pPr>
              <w:spacing w:after="0"/>
              <w:rPr>
                <w:sz w:val="22"/>
                <w:szCs w:val="22"/>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25, 2017</w:t>
            </w:r>
          </w:p>
        </w:tc>
        <w:tc>
          <w:tcPr>
            <w:tcW w:w="160" w:type="dxa"/>
            <w:vAlign w:val="bottom"/>
          </w:tcPr>
          <w:p>
            <w:pPr>
              <w:spacing w:after="0"/>
              <w:rPr>
                <w:sz w:val="22"/>
                <w:szCs w:val="22"/>
                <w:color w:val="auto"/>
              </w:rPr>
            </w:pPr>
          </w:p>
        </w:tc>
        <w:tc>
          <w:tcPr>
            <w:tcW w:w="740" w:type="dxa"/>
            <w:vAlign w:val="bottom"/>
          </w:tcPr>
          <w:p>
            <w:pPr>
              <w:jc w:val="right"/>
              <w:ind w:right="123"/>
              <w:spacing w:after="0"/>
              <w:rPr>
                <w:sz w:val="20"/>
                <w:szCs w:val="20"/>
                <w:color w:val="auto"/>
              </w:rPr>
            </w:pPr>
            <w:r>
              <w:rPr>
                <w:rFonts w:ascii="Arial" w:cs="Arial" w:eastAsia="Arial" w:hAnsi="Arial"/>
                <w:sz w:val="14"/>
                <w:szCs w:val="14"/>
                <w:b w:val="1"/>
                <w:bCs w:val="1"/>
                <w:color w:val="auto"/>
              </w:rPr>
              <w:t>Change</w:t>
            </w:r>
          </w:p>
        </w:tc>
      </w:tr>
      <w:tr>
        <w:trPr>
          <w:trHeight w:val="224"/>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50.8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48.1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100.9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94.7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6.2</w:t>
            </w:r>
          </w:p>
        </w:tc>
      </w:tr>
      <w:tr>
        <w:trPr>
          <w:trHeight w:val="33"/>
        </w:trPr>
        <w:tc>
          <w:tcPr>
            <w:tcW w:w="3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Depreciation and amortization expense increased in the thirteen and twenty-six weeks ended July 1, 2018 as compared to the thirteen and twenty-six weeks ended June 25, 2017 primarily due to additional depreciation expense related to restaurant openings and renovations, and technology projects, partially offset by the impact of domestic refranchising.</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General and administrative expense includes salaries and benefits, management incentive programs, related payroll tax and benefits, other employee-related costs and professional services. Following is a summary of the change in general and administrative expense for the thirteen and twenty-six weeks ended July 1,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8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7"/>
                <w:szCs w:val="17"/>
                <w:color w:val="auto"/>
              </w:rPr>
            </w:pPr>
          </w:p>
        </w:tc>
        <w:tc>
          <w:tcPr>
            <w:tcW w:w="2420" w:type="dxa"/>
            <w:vAlign w:val="bottom"/>
            <w:gridSpan w:val="2"/>
          </w:tcPr>
          <w:p>
            <w:pPr>
              <w:ind w:left="12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Pr>
          <w:p>
            <w:pPr>
              <w:spacing w:after="0"/>
              <w:rPr>
                <w:sz w:val="17"/>
                <w:szCs w:val="17"/>
                <w:color w:val="auto"/>
              </w:rPr>
            </w:pPr>
          </w:p>
        </w:tc>
        <w:tc>
          <w:tcPr>
            <w:tcW w:w="2400" w:type="dxa"/>
            <w:vAlign w:val="bottom"/>
          </w:tcPr>
          <w:p>
            <w:pPr>
              <w:jc w:val="right"/>
              <w:ind w:right="220"/>
              <w:spacing w:after="0"/>
              <w:rPr>
                <w:sz w:val="20"/>
                <w:szCs w:val="20"/>
                <w:color w:val="auto"/>
              </w:rPr>
            </w:pPr>
            <w:r>
              <w:rPr>
                <w:rFonts w:ascii="Arial" w:cs="Arial" w:eastAsia="Arial" w:hAnsi="Arial"/>
                <w:sz w:val="14"/>
                <w:szCs w:val="14"/>
                <w:b w:val="1"/>
                <w:bCs w:val="1"/>
                <w:color w:val="auto"/>
              </w:rPr>
              <w:t>TWENTY-SIX WEEKS ENDED</w:t>
            </w:r>
          </w:p>
        </w:tc>
      </w:tr>
      <w:tr>
        <w:trPr>
          <w:trHeight w:val="237"/>
        </w:trPr>
        <w:tc>
          <w:tcPr>
            <w:tcW w:w="6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periods ended June 25, 2017</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4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149.0</w:t>
            </w:r>
          </w:p>
        </w:tc>
      </w:tr>
      <w:tr>
        <w:trPr>
          <w:trHeight w:val="237"/>
        </w:trPr>
        <w:tc>
          <w:tcPr>
            <w:tcW w:w="618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33"/>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Incentive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37"/>
        </w:trPr>
        <w:tc>
          <w:tcPr>
            <w:tcW w:w="6180" w:type="dxa"/>
            <w:vAlign w:val="bottom"/>
          </w:tcPr>
          <w:p>
            <w:pPr>
              <w:ind w:left="380"/>
              <w:spacing w:after="0"/>
              <w:rPr>
                <w:sz w:val="20"/>
                <w:szCs w:val="20"/>
                <w:color w:val="auto"/>
              </w:rPr>
            </w:pPr>
            <w:r>
              <w:rPr>
                <w:rFonts w:ascii="Arial" w:cs="Arial" w:eastAsia="Arial" w:hAnsi="Arial"/>
                <w:sz w:val="16"/>
                <w:szCs w:val="16"/>
                <w:color w:val="auto"/>
              </w:rPr>
              <w:t>Compensation, benefits and payroll tax</w:t>
            </w:r>
          </w:p>
        </w:tc>
        <w:tc>
          <w:tcPr>
            <w:tcW w:w="22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Computer expense</w:t>
            </w:r>
          </w:p>
        </w:tc>
        <w:tc>
          <w:tcPr>
            <w:tcW w:w="2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r>
      <w:tr>
        <w:trPr>
          <w:trHeight w:val="237"/>
        </w:trPr>
        <w:tc>
          <w:tcPr>
            <w:tcW w:w="6180" w:type="dxa"/>
            <w:vAlign w:val="bottom"/>
          </w:tcPr>
          <w:p>
            <w:pPr>
              <w:ind w:left="380"/>
              <w:spacing w:after="0"/>
              <w:rPr>
                <w:sz w:val="20"/>
                <w:szCs w:val="20"/>
                <w:color w:val="auto"/>
              </w:rPr>
            </w:pPr>
            <w:r>
              <w:rPr>
                <w:rFonts w:ascii="Arial" w:cs="Arial" w:eastAsia="Arial" w:hAnsi="Arial"/>
                <w:sz w:val="16"/>
                <w:szCs w:val="16"/>
                <w:color w:val="auto"/>
              </w:rPr>
              <w:t>Severance</w:t>
            </w:r>
          </w:p>
        </w:tc>
        <w:tc>
          <w:tcPr>
            <w:tcW w:w="220" w:type="dxa"/>
            <w:vAlign w:val="bottom"/>
          </w:tcPr>
          <w:p>
            <w:pPr>
              <w:spacing w:after="0"/>
              <w:rPr>
                <w:sz w:val="20"/>
                <w:szCs w:val="20"/>
                <w:color w:val="auto"/>
              </w:rPr>
            </w:pPr>
          </w:p>
        </w:tc>
        <w:tc>
          <w:tcPr>
            <w:tcW w:w="2300" w:type="dxa"/>
            <w:vAlign w:val="bottom"/>
          </w:tcPr>
          <w:p>
            <w:pPr>
              <w:jc w:val="right"/>
              <w:ind w:right="20"/>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22"/>
                <w:szCs w:val="22"/>
                <w:color w:val="auto"/>
              </w:rPr>
            </w:pPr>
          </w:p>
        </w:tc>
        <w:tc>
          <w:tcPr>
            <w:tcW w:w="2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50"/>
        </w:trPr>
        <w:tc>
          <w:tcPr>
            <w:tcW w:w="6180" w:type="dxa"/>
            <w:vAlign w:val="bottom"/>
          </w:tcPr>
          <w:p>
            <w:pPr>
              <w:ind w:left="40"/>
              <w:spacing w:after="0"/>
              <w:rPr>
                <w:sz w:val="20"/>
                <w:szCs w:val="20"/>
                <w:color w:val="auto"/>
              </w:rPr>
            </w:pPr>
            <w:r>
              <w:rPr>
                <w:rFonts w:ascii="Arial" w:cs="Arial" w:eastAsia="Arial" w:hAnsi="Arial"/>
                <w:sz w:val="16"/>
                <w:szCs w:val="16"/>
                <w:color w:val="auto"/>
              </w:rPr>
              <w:t>For the periods ended July 1, 2018</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2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76.1</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24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144.8</w:t>
            </w: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Provision for impaired assets and restaurant closings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323"/>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363"/>
              <w:spacing w:after="0"/>
              <w:rPr>
                <w:sz w:val="20"/>
                <w:szCs w:val="20"/>
                <w:color w:val="auto"/>
              </w:rPr>
            </w:pPr>
            <w:r>
              <w:rPr>
                <w:rFonts w:ascii="Arial" w:cs="Arial" w:eastAsia="Arial" w:hAnsi="Arial"/>
                <w:sz w:val="14"/>
                <w:szCs w:val="14"/>
                <w:b w:val="1"/>
                <w:bCs w:val="1"/>
                <w:color w:val="auto"/>
              </w:rPr>
              <w:t>TWENTY-SIX WEEKS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4"/>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w w:val="99"/>
              </w:rPr>
              <w:t>JULY 1, 2018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w w:val="98"/>
              </w:rPr>
              <w:t>JUNE 25, 2017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JULY 1, 2018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8"/>
              </w:rPr>
              <w:t>JUNE 25, 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Change</w:t>
            </w:r>
          </w:p>
        </w:tc>
      </w:tr>
      <w:tr>
        <w:trPr>
          <w:trHeight w:val="224"/>
        </w:trPr>
        <w:tc>
          <w:tcPr>
            <w:tcW w:w="3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5"/>
              </w:rPr>
              <w:t>Provision for impaired assets and restaurant closings   $</w:t>
            </w:r>
          </w:p>
        </w:tc>
        <w:tc>
          <w:tcPr>
            <w:tcW w:w="112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33"/>
        </w:trPr>
        <w:tc>
          <w:tcPr>
            <w:tcW w:w="3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thirteen and twenty-six weeks ended July 1, 2018, we recognized asset impairment and closure charges of $6.9 million and $9.2 million, respectively, related to the restructuring of certain international markets, including China.</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connection with the Closure Initiatives, we recognized pre-tax impairment and restaurant and closure charges of $18.0 million during the twenty-six weeks ended June 25, 2017. We expect to incur additional charges of approximately $3.2 million to $4.0 million for the Closure Initiatives through Q3 2019, including costs associated with lease obligations.</w:t>
      </w:r>
    </w:p>
    <w:p>
      <w:pPr>
        <w:spacing w:after="0" w:line="20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remaining restaurant impairment and closing charges resulted primarily from the carrying value of a restaurant’s assets exceeding its estimated fair market value, primarily due to locations identified for remodel, relocation or closure.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Note 3 - </w:t>
      </w:r>
      <w:r>
        <w:rPr>
          <w:rFonts w:ascii="Arial" w:cs="Arial" w:eastAsia="Arial" w:hAnsi="Arial"/>
          <w:sz w:val="20"/>
          <w:szCs w:val="20"/>
          <w:i w:val="1"/>
          <w:iCs w:val="1"/>
          <w:color w:val="auto"/>
        </w:rPr>
        <w:t>Impairments and Exit Costs</w:t>
      </w:r>
      <w:r>
        <w:rPr>
          <w:rFonts w:ascii="Arial" w:cs="Arial" w:eastAsia="Arial" w:hAnsi="Arial"/>
          <w:sz w:val="20"/>
          <w:szCs w:val="20"/>
          <w:color w:val="auto"/>
        </w:rPr>
        <w:t xml:space="preserve"> of the Notes to Consolidated Financial Statements for further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operations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403"/>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323"/>
              <w:spacing w:after="0"/>
              <w:rPr>
                <w:sz w:val="20"/>
                <w:szCs w:val="20"/>
                <w:color w:val="auto"/>
              </w:rPr>
            </w:pPr>
            <w:r>
              <w:rPr>
                <w:rFonts w:ascii="Arial" w:cs="Arial" w:eastAsia="Arial" w:hAnsi="Arial"/>
                <w:sz w:val="14"/>
                <w:szCs w:val="14"/>
                <w:b w:val="1"/>
                <w:bCs w:val="1"/>
                <w:color w:val="auto"/>
              </w:rPr>
              <w:t>TWENTY-SIX WEEKS ENDED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58"/>
        </w:trPr>
        <w:tc>
          <w:tcPr>
            <w:tcW w:w="3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JUNE 25, 2017</w:t>
            </w: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2018</w:t>
            </w:r>
          </w:p>
        </w:tc>
        <w:tc>
          <w:tcPr>
            <w:tcW w:w="160" w:type="dxa"/>
            <w:vAlign w:val="bottom"/>
          </w:tcPr>
          <w:p>
            <w:pPr>
              <w:spacing w:after="0"/>
              <w:rPr>
                <w:sz w:val="22"/>
                <w:szCs w:val="22"/>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JUNE 25, 2017</w:t>
            </w: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89"/>
        </w:trPr>
        <w:tc>
          <w:tcPr>
            <w:tcW w:w="338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(Restated) (1)</w:t>
            </w:r>
          </w:p>
        </w:tc>
        <w:tc>
          <w:tcPr>
            <w:tcW w:w="180" w:type="dxa"/>
            <w:vAlign w:val="bottom"/>
          </w:tcPr>
          <w:p>
            <w:pPr>
              <w:spacing w:after="0"/>
              <w:rPr>
                <w:sz w:val="24"/>
                <w:szCs w:val="2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(Restated) (1)</w:t>
            </w:r>
          </w:p>
        </w:tc>
        <w:tc>
          <w:tcPr>
            <w:tcW w:w="180" w:type="dxa"/>
            <w:vAlign w:val="bottom"/>
          </w:tcPr>
          <w:p>
            <w:pPr>
              <w:spacing w:after="0"/>
              <w:rPr>
                <w:sz w:val="24"/>
                <w:szCs w:val="24"/>
                <w:color w:val="auto"/>
              </w:rPr>
            </w:pP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Change</w:t>
            </w:r>
          </w:p>
        </w:tc>
      </w:tr>
      <w:tr>
        <w:trPr>
          <w:trHeight w:val="237"/>
        </w:trPr>
        <w:tc>
          <w:tcPr>
            <w:tcW w:w="3380" w:type="dxa"/>
            <w:vAlign w:val="bottom"/>
            <w:tcBorders>
              <w:top w:val="single" w:sz="8" w:color="CCEEFF"/>
              <w:bottom w:val="single" w:sz="8" w:color="CCEEFF"/>
            </w:tcBorders>
            <w:shd w:val="clear" w:color="auto" w:fill="CCEEFF"/>
          </w:tcPr>
          <w:p>
            <w:pPr>
              <w:jc w:val="center"/>
              <w:ind w:right="1661"/>
              <w:spacing w:after="0"/>
              <w:rPr>
                <w:sz w:val="20"/>
                <w:szCs w:val="20"/>
                <w:color w:val="auto"/>
              </w:rPr>
            </w:pPr>
            <w:r>
              <w:rPr>
                <w:rFonts w:ascii="Arial" w:cs="Arial" w:eastAsia="Arial" w:hAnsi="Arial"/>
                <w:sz w:val="16"/>
                <w:szCs w:val="16"/>
                <w:color w:val="auto"/>
                <w:w w:val="92"/>
              </w:rPr>
              <w:t>Income from operations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32.9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41.3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111.3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118.2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(6.9)</w:t>
            </w:r>
          </w:p>
        </w:tc>
      </w:tr>
      <w:tr>
        <w:trPr>
          <w:trHeight w:val="237"/>
        </w:trPr>
        <w:tc>
          <w:tcPr>
            <w:tcW w:w="3380" w:type="dxa"/>
            <w:vAlign w:val="bottom"/>
          </w:tcPr>
          <w:p>
            <w:pPr>
              <w:jc w:val="center"/>
              <w:ind w:right="1661"/>
              <w:spacing w:after="0"/>
              <w:rPr>
                <w:sz w:val="20"/>
                <w:szCs w:val="20"/>
                <w:color w:val="auto"/>
              </w:rPr>
            </w:pPr>
            <w:r>
              <w:rPr>
                <w:rFonts w:ascii="Arial" w:cs="Arial" w:eastAsia="Arial" w:hAnsi="Arial"/>
                <w:sz w:val="16"/>
                <w:szCs w:val="16"/>
                <w:color w:val="auto"/>
                <w:w w:val="89"/>
              </w:rPr>
              <w:t>% of Total revenues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Arial" w:cs="Arial" w:eastAsia="Arial" w:hAnsi="Arial"/>
                <w:sz w:val="16"/>
                <w:szCs w:val="16"/>
                <w:color w:val="auto"/>
                <w:w w:val="97"/>
              </w:rPr>
              <w:t>(0.8)%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Arial" w:cs="Arial" w:eastAsia="Arial" w:hAnsi="Arial"/>
                <w:sz w:val="16"/>
                <w:szCs w:val="16"/>
                <w:color w:val="auto"/>
                <w:w w:val="97"/>
              </w:rPr>
              <w:t>(0.2)%</w:t>
            </w:r>
          </w:p>
        </w:tc>
      </w:tr>
      <w:tr>
        <w:trPr>
          <w:trHeight w:val="226"/>
        </w:trPr>
        <w:tc>
          <w:tcPr>
            <w:tcW w:w="3380" w:type="dxa"/>
            <w:vAlign w:val="bottom"/>
          </w:tcPr>
          <w:p>
            <w:pPr>
              <w:jc w:val="center"/>
              <w:ind w:right="1681"/>
              <w:spacing w:after="0"/>
              <w:rPr>
                <w:sz w:val="20"/>
                <w:szCs w:val="20"/>
                <w:color w:val="auto"/>
              </w:rPr>
            </w:pPr>
            <w:r>
              <w:rPr>
                <w:rFonts w:ascii="Arial" w:cs="Arial" w:eastAsia="Arial" w:hAnsi="Arial"/>
                <w:sz w:val="16"/>
                <w:szCs w:val="16"/>
                <w:color w:val="auto"/>
                <w:w w:val="91"/>
              </w:rPr>
              <w:t>____________________</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ind w:left="660" w:hanging="652"/>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See Note 1 of the Notes to Consolidated Financial Statements for details of the impact of implementing ASU No. 2014-09.</w:t>
      </w:r>
    </w:p>
    <w:p>
      <w:pPr>
        <w:spacing w:after="0" w:line="22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decrease in income from operations generated in the thirteen weeks ended July 1, 2018 as compared to the thirteen weeks ended June 25, 2017 was primarily due to: (i) higher impairment charges and restaurant closing costs, primarily associated with international restructuring, (ii) higher labor costs from wage inflation, (iii) higher commodity costs and (iv) lower sales in Brazil. These decreases were partially offset by increases primarily due to: (i) increases in average check per person, (ii) the impact of certain cost saving initiatives and (iii) decreases in advertising expense.</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decrease in income from operations generated in the twenty-six weeks ended July 1, 2018 as compared to the twenty-six weeks ended June 25, 2017 was primarily due to: (i) higher labor costs from wage inflation, (ii) higher commodity costs and (iii) operating expense inflation. These decreases were partially offset by increases primarily due to: (i) increases in average check per person, (ii) the impact of certain cost saving initiatives, (iii) lower impairment charges and restaurant closing costs, primarily related to the Closure Initiatives in 2017 and (iv) increases in franchise and other revenues.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(expense) income, net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 xml:space="preserve">Other (expense) income, net, includes items deemed to be non-operating based on management’s assessment of the nature of the item in relation to our core operations. During the thirteen and twenty-six weeks ended June 25, 2017 we recorded aggregate net gain </w:t>
      </w:r>
      <w:r>
        <w:rPr>
          <w:rFonts w:ascii="Arial" w:cs="Arial" w:eastAsia="Arial" w:hAnsi="Arial"/>
          <w:sz w:val="18"/>
          <w:szCs w:val="18"/>
          <w:color w:val="252525"/>
        </w:rPr>
        <w:t>of $7.4 million</w:t>
      </w:r>
      <w:r>
        <w:rPr>
          <w:rFonts w:ascii="Arial" w:cs="Arial" w:eastAsia="Arial" w:hAnsi="Arial"/>
          <w:sz w:val="18"/>
          <w:szCs w:val="18"/>
          <w:color w:val="auto"/>
        </w:rPr>
        <w:t xml:space="preserve"> </w:t>
      </w:r>
      <w:r>
        <w:rPr>
          <w:rFonts w:ascii="Arial" w:cs="Arial" w:eastAsia="Arial" w:hAnsi="Arial"/>
          <w:sz w:val="18"/>
          <w:szCs w:val="18"/>
          <w:color w:val="252525"/>
        </w:rPr>
        <w:t xml:space="preserve">within </w:t>
      </w:r>
      <w:r>
        <w:rPr>
          <w:rFonts w:ascii="Arial" w:cs="Arial" w:eastAsia="Arial" w:hAnsi="Arial"/>
          <w:sz w:val="18"/>
          <w:szCs w:val="18"/>
          <w:color w:val="000000"/>
        </w:rPr>
        <w:t>Other (expense) income, net in connection with</w:t>
      </w:r>
      <w:r>
        <w:rPr>
          <w:rFonts w:ascii="Arial" w:cs="Arial" w:eastAsia="Arial" w:hAnsi="Arial"/>
          <w:sz w:val="18"/>
          <w:szCs w:val="18"/>
          <w:color w:val="252525"/>
        </w:rPr>
        <w:t xml:space="preserve"> the sale of </w:t>
      </w:r>
      <w:r>
        <w:rPr>
          <w:rFonts w:ascii="Arial" w:cs="Arial" w:eastAsia="Arial" w:hAnsi="Arial"/>
          <w:sz w:val="18"/>
          <w:szCs w:val="18"/>
          <w:color w:val="000000"/>
        </w:rPr>
        <w:t>54</w:t>
      </w:r>
      <w:r>
        <w:rPr>
          <w:rFonts w:ascii="Arial" w:cs="Arial" w:eastAsia="Arial" w:hAnsi="Arial"/>
          <w:sz w:val="18"/>
          <w:szCs w:val="18"/>
          <w:color w:val="252525"/>
        </w:rPr>
        <w:t xml:space="preserve"> of our U.S. Company-owned locations to two of our existing franchisees.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 net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443"/>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303"/>
              <w:spacing w:after="0"/>
              <w:rPr>
                <w:sz w:val="20"/>
                <w:szCs w:val="20"/>
                <w:color w:val="auto"/>
              </w:rPr>
            </w:pPr>
            <w:r>
              <w:rPr>
                <w:rFonts w:ascii="Arial" w:cs="Arial" w:eastAsia="Arial" w:hAnsi="Arial"/>
                <w:sz w:val="14"/>
                <w:szCs w:val="14"/>
                <w:b w:val="1"/>
                <w:bCs w:val="1"/>
                <w:color w:val="auto"/>
              </w:rPr>
              <w:t>TWENTY-SIX WEEKS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25, 2017</w:t>
            </w:r>
          </w:p>
        </w:tc>
        <w:tc>
          <w:tcPr>
            <w:tcW w:w="1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2018</w:t>
            </w:r>
          </w:p>
        </w:tc>
        <w:tc>
          <w:tcPr>
            <w:tcW w:w="160" w:type="dxa"/>
            <w:vAlign w:val="bottom"/>
          </w:tcPr>
          <w:p>
            <w:pPr>
              <w:spacing w:after="0"/>
              <w:rPr>
                <w:sz w:val="22"/>
                <w:szCs w:val="22"/>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25, 2017</w:t>
            </w:r>
          </w:p>
        </w:tc>
        <w:tc>
          <w:tcPr>
            <w:tcW w:w="160" w:type="dxa"/>
            <w:vAlign w:val="bottom"/>
          </w:tcPr>
          <w:p>
            <w:pPr>
              <w:spacing w:after="0"/>
              <w:rPr>
                <w:sz w:val="22"/>
                <w:szCs w:val="22"/>
                <w:color w:val="auto"/>
              </w:rPr>
            </w:pPr>
          </w:p>
        </w:tc>
        <w:tc>
          <w:tcPr>
            <w:tcW w:w="740" w:type="dxa"/>
            <w:vAlign w:val="bottom"/>
          </w:tcPr>
          <w:p>
            <w:pPr>
              <w:jc w:val="right"/>
              <w:ind w:right="123"/>
              <w:spacing w:after="0"/>
              <w:rPr>
                <w:sz w:val="20"/>
                <w:szCs w:val="20"/>
                <w:color w:val="auto"/>
              </w:rPr>
            </w:pPr>
            <w:r>
              <w:rPr>
                <w:rFonts w:ascii="Arial" w:cs="Arial" w:eastAsia="Arial" w:hAnsi="Arial"/>
                <w:sz w:val="14"/>
                <w:szCs w:val="14"/>
                <w:b w:val="1"/>
                <w:bCs w:val="1"/>
                <w:color w:val="auto"/>
              </w:rPr>
              <w:t>Change</w:t>
            </w:r>
          </w:p>
        </w:tc>
      </w:tr>
      <w:tr>
        <w:trPr>
          <w:trHeight w:val="224"/>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11.3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9.5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21.6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2.9</w:t>
            </w:r>
          </w:p>
        </w:tc>
      </w:tr>
      <w:tr>
        <w:trPr>
          <w:trHeight w:val="33"/>
        </w:trPr>
        <w:tc>
          <w:tcPr>
            <w:tcW w:w="3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change in Interest expense, net primarily includes increases related to: (i) additional draws on our revolving credit facility, (ii) our May 2017 incremental term loan borrowing and (iii) higher interest rates. These increases were partially offset by: (i) lower interest from our derivative instruments and (ii) repayment of our PRP mortgage loan.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(Benefit) provision for income taxes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40" w:type="dxa"/>
            <w:vAlign w:val="bottom"/>
          </w:tcPr>
          <w:p>
            <w:pPr>
              <w:spacing w:after="0"/>
              <w:rPr>
                <w:sz w:val="17"/>
                <w:szCs w:val="17"/>
                <w:color w:val="auto"/>
              </w:rPr>
            </w:pPr>
          </w:p>
        </w:tc>
        <w:tc>
          <w:tcPr>
            <w:tcW w:w="2880" w:type="dxa"/>
            <w:vAlign w:val="bottom"/>
            <w:tcBorders>
              <w:bottom w:val="single" w:sz="8" w:color="auto"/>
            </w:tcBorders>
            <w:gridSpan w:val="3"/>
          </w:tcPr>
          <w:p>
            <w:pPr>
              <w:jc w:val="right"/>
              <w:ind w:right="423"/>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tcBorders>
              <w:bottom w:val="single" w:sz="8" w:color="auto"/>
            </w:tcBorders>
            <w:gridSpan w:val="3"/>
          </w:tcPr>
          <w:p>
            <w:pPr>
              <w:jc w:val="right"/>
              <w:ind w:right="343"/>
              <w:spacing w:after="0"/>
              <w:rPr>
                <w:sz w:val="20"/>
                <w:szCs w:val="20"/>
                <w:color w:val="auto"/>
              </w:rPr>
            </w:pPr>
            <w:r>
              <w:rPr>
                <w:rFonts w:ascii="Arial" w:cs="Arial" w:eastAsia="Arial" w:hAnsi="Arial"/>
                <w:sz w:val="14"/>
                <w:szCs w:val="14"/>
                <w:b w:val="1"/>
                <w:bCs w:val="1"/>
                <w:color w:val="auto"/>
              </w:rPr>
              <w:t>TWENTY-SIX WEEKS ENDED</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64"/>
        </w:trPr>
        <w:tc>
          <w:tcPr>
            <w:tcW w:w="3340" w:type="dxa"/>
            <w:vAlign w:val="bottom"/>
          </w:tcPr>
          <w:p>
            <w:pPr>
              <w:spacing w:after="0"/>
              <w:rPr>
                <w:sz w:val="22"/>
                <w:szCs w:val="22"/>
                <w:color w:val="auto"/>
              </w:rPr>
            </w:pPr>
          </w:p>
        </w:tc>
        <w:tc>
          <w:tcPr>
            <w:tcW w:w="1520" w:type="dxa"/>
            <w:vAlign w:val="bottom"/>
            <w:gridSpan w:val="2"/>
          </w:tcPr>
          <w:p>
            <w:pPr>
              <w:ind w:left="300"/>
              <w:spacing w:after="0"/>
              <w:rPr>
                <w:sz w:val="20"/>
                <w:szCs w:val="20"/>
                <w:color w:val="auto"/>
              </w:rPr>
            </w:pPr>
            <w:r>
              <w:rPr>
                <w:rFonts w:ascii="Arial" w:cs="Arial" w:eastAsia="Arial" w:hAnsi="Arial"/>
                <w:sz w:val="14"/>
                <w:szCs w:val="14"/>
                <w:b w:val="1"/>
                <w:bCs w:val="1"/>
                <w:color w:val="auto"/>
              </w:rPr>
              <w:t>JULY 1, 2018</w:t>
            </w:r>
          </w:p>
        </w:tc>
        <w:tc>
          <w:tcPr>
            <w:tcW w:w="14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25, 2017</w:t>
            </w:r>
          </w:p>
        </w:tc>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1520" w:type="dxa"/>
            <w:vAlign w:val="bottom"/>
            <w:gridSpan w:val="2"/>
          </w:tcPr>
          <w:p>
            <w:pPr>
              <w:ind w:left="300"/>
              <w:spacing w:after="0"/>
              <w:rPr>
                <w:sz w:val="20"/>
                <w:szCs w:val="20"/>
                <w:color w:val="auto"/>
              </w:rPr>
            </w:pPr>
            <w:r>
              <w:rPr>
                <w:rFonts w:ascii="Arial" w:cs="Arial" w:eastAsia="Arial" w:hAnsi="Arial"/>
                <w:sz w:val="14"/>
                <w:szCs w:val="14"/>
                <w:b w:val="1"/>
                <w:bCs w:val="1"/>
                <w:color w:val="auto"/>
              </w:rPr>
              <w:t>JULY 1, 2018</w:t>
            </w:r>
          </w:p>
        </w:tc>
        <w:tc>
          <w:tcPr>
            <w:tcW w:w="148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25, 2017</w:t>
            </w:r>
          </w:p>
        </w:tc>
        <w:tc>
          <w:tcPr>
            <w:tcW w:w="1000" w:type="dxa"/>
            <w:vAlign w:val="bottom"/>
          </w:tcPr>
          <w:p>
            <w:pPr>
              <w:jc w:val="right"/>
              <w:ind w:right="183"/>
              <w:spacing w:after="0"/>
              <w:rPr>
                <w:sz w:val="20"/>
                <w:szCs w:val="20"/>
                <w:color w:val="auto"/>
              </w:rPr>
            </w:pPr>
            <w:r>
              <w:rPr>
                <w:rFonts w:ascii="Arial" w:cs="Arial" w:eastAsia="Arial" w:hAnsi="Arial"/>
                <w:sz w:val="14"/>
                <w:szCs w:val="14"/>
                <w:b w:val="1"/>
                <w:bCs w:val="1"/>
                <w:color w:val="auto"/>
              </w:rPr>
              <w:t>Change</w:t>
            </w:r>
          </w:p>
        </w:tc>
      </w:tr>
      <w:tr>
        <w:trPr>
          <w:trHeight w:val="224"/>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Effective income tax rate</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33"/>
        </w:trPr>
        <w:tc>
          <w:tcPr>
            <w:tcW w:w="33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The effective income tax rate for the thirteen and twenty-six weeks ended July 1, 2018 decreased primarily due to the reduction in the U.S. federal corporate tax rate from 35% to 21% as part of the Tax Act, lower forecasted pre-tax income and excess tax benefits from equity-based compensation arrangements recorded in 2018, partially offset by a domestic manufacturing deduction recorded in 2017.</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SEGMENT PERFORMANCE</w:t>
      </w:r>
    </w:p>
    <w:p>
      <w:pPr>
        <w:spacing w:after="0" w:line="229"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We have two reportable segments, U.S. and International, which reflects how we manage our business, review operating performance and allocate resources. The U.S. segment includes all brands operating in the U.S. while brands operating outside the U.S. are included in the International segment. Resources are allocated and performance is assessed by our CEO, whom we have determined to be our CODM. Following is a summary of reporting segments: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2600" w:type="dxa"/>
            <w:vAlign w:val="bottom"/>
          </w:tcPr>
          <w:p>
            <w:pPr>
              <w:spacing w:after="0"/>
              <w:rPr>
                <w:sz w:val="20"/>
                <w:szCs w:val="20"/>
                <w:color w:val="auto"/>
              </w:rPr>
            </w:pPr>
            <w:r>
              <w:rPr>
                <w:rFonts w:ascii="Arial" w:cs="Arial" w:eastAsia="Arial" w:hAnsi="Arial"/>
                <w:sz w:val="14"/>
                <w:szCs w:val="14"/>
                <w:b w:val="1"/>
                <w:bCs w:val="1"/>
                <w:color w:val="auto"/>
              </w:rPr>
              <w:t>SEGMENT (1)</w:t>
            </w:r>
          </w:p>
        </w:tc>
        <w:tc>
          <w:tcPr>
            <w:tcW w:w="1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4"/>
                <w:szCs w:val="14"/>
                <w:b w:val="1"/>
                <w:bCs w:val="1"/>
                <w:color w:val="auto"/>
              </w:rPr>
              <w:t>CONCEPT</w:t>
            </w:r>
          </w:p>
        </w:tc>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260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U.S.</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680" w:type="dxa"/>
            <w:vAlign w:val="bottom"/>
            <w:tcBorders>
              <w:top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Outback Steakhouse</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3880" w:type="dxa"/>
            <w:vAlign w:val="bottom"/>
            <w:tcBorders>
              <w:top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auto"/>
            </w:tcBorders>
          </w:tcPr>
          <w:p>
            <w:pPr>
              <w:spacing w:after="0"/>
              <w:rPr>
                <w:sz w:val="23"/>
                <w:szCs w:val="23"/>
                <w:color w:val="auto"/>
              </w:rPr>
            </w:pPr>
          </w:p>
        </w:tc>
        <w:tc>
          <w:tcPr>
            <w:tcW w:w="2600" w:type="dxa"/>
            <w:vAlign w:val="bottom"/>
            <w:tcBorders>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68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Carrabba’s Italian Grill</w:t>
            </w:r>
          </w:p>
        </w:tc>
        <w:tc>
          <w:tcPr>
            <w:tcW w:w="120" w:type="dxa"/>
            <w:vAlign w:val="bottom"/>
            <w:tcBorders>
              <w:right w:val="single" w:sz="8" w:color="auto"/>
            </w:tcBorders>
            <w:shd w:val="clear" w:color="auto" w:fill="CCEEFF"/>
          </w:tcPr>
          <w:p>
            <w:pPr>
              <w:spacing w:after="0"/>
              <w:rPr>
                <w:sz w:val="23"/>
                <w:szCs w:val="23"/>
                <w:color w:val="auto"/>
              </w:rPr>
            </w:pPr>
          </w:p>
        </w:tc>
        <w:tc>
          <w:tcPr>
            <w:tcW w:w="388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color w:val="auto"/>
              </w:rPr>
              <w:t>Bonefish Grill</w:t>
            </w: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continue"/>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40" w:type="dxa"/>
            <w:vAlign w:val="bottom"/>
            <w:tcBorders>
              <w:right w:val="single" w:sz="8" w:color="auto"/>
            </w:tcBorders>
          </w:tcPr>
          <w:p>
            <w:pPr>
              <w:spacing w:after="0"/>
              <w:rPr>
                <w:sz w:val="24"/>
                <w:szCs w:val="24"/>
                <w:color w:val="auto"/>
              </w:rPr>
            </w:pPr>
          </w:p>
        </w:tc>
        <w:tc>
          <w:tcPr>
            <w:tcW w:w="2600" w:type="dxa"/>
            <w:vAlign w:val="bottom"/>
            <w:tcBorders>
              <w:bottom w:val="single" w:sz="8" w:color="CCEEFF"/>
              <w:right w:val="single" w:sz="8" w:color="auto"/>
            </w:tcBorders>
            <w:shd w:val="clear" w:color="auto" w:fill="CCEEFF"/>
          </w:tcPr>
          <w:p>
            <w:pPr>
              <w:spacing w:after="0"/>
              <w:rPr>
                <w:sz w:val="24"/>
                <w:szCs w:val="24"/>
                <w:color w:val="auto"/>
              </w:rPr>
            </w:pP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46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Fleming’s Prime Steakhouse &amp; Wine Bar</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3880" w:type="dxa"/>
            <w:vAlign w:val="bottom"/>
            <w:tcBorders>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260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International</w:t>
            </w:r>
          </w:p>
        </w:tc>
        <w:tc>
          <w:tcPr>
            <w:tcW w:w="120" w:type="dxa"/>
            <w:vAlign w:val="bottom"/>
            <w:tcBorders>
              <w:right w:val="single" w:sz="8" w:color="auto"/>
            </w:tcBorders>
          </w:tcPr>
          <w:p>
            <w:pPr>
              <w:spacing w:after="0"/>
              <w:rPr>
                <w:sz w:val="18"/>
                <w:szCs w:val="18"/>
                <w:color w:val="auto"/>
              </w:rPr>
            </w:pPr>
          </w:p>
        </w:tc>
        <w:tc>
          <w:tcPr>
            <w:tcW w:w="46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Outback Steakhouse</w:t>
            </w:r>
          </w:p>
        </w:tc>
        <w:tc>
          <w:tcPr>
            <w:tcW w:w="120" w:type="dxa"/>
            <w:vAlign w:val="bottom"/>
            <w:tcBorders>
              <w:right w:val="single" w:sz="8" w:color="auto"/>
            </w:tcBorders>
          </w:tcPr>
          <w:p>
            <w:pPr>
              <w:spacing w:after="0"/>
              <w:rPr>
                <w:sz w:val="18"/>
                <w:szCs w:val="18"/>
                <w:color w:val="auto"/>
              </w:rPr>
            </w:pPr>
          </w:p>
        </w:tc>
        <w:tc>
          <w:tcPr>
            <w:tcW w:w="38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 Hong Kong, China</w:t>
            </w:r>
          </w:p>
        </w:tc>
        <w:tc>
          <w:tcPr>
            <w:tcW w:w="0" w:type="dxa"/>
            <w:vAlign w:val="bottom"/>
          </w:tcPr>
          <w:p>
            <w:pPr>
              <w:spacing w:after="0"/>
              <w:rPr>
                <w:sz w:val="1"/>
                <w:szCs w:val="1"/>
                <w:color w:val="auto"/>
              </w:rPr>
            </w:pPr>
          </w:p>
        </w:tc>
      </w:tr>
      <w:tr>
        <w:trPr>
          <w:trHeight w:val="33"/>
        </w:trPr>
        <w:tc>
          <w:tcPr>
            <w:tcW w:w="40" w:type="dxa"/>
            <w:vAlign w:val="bottom"/>
            <w:tcBorders>
              <w:right w:val="single" w:sz="8" w:color="auto"/>
            </w:tcBorders>
          </w:tcPr>
          <w:p>
            <w:pPr>
              <w:spacing w:after="0"/>
              <w:rPr>
                <w:sz w:val="2"/>
                <w:szCs w:val="2"/>
                <w:color w:val="auto"/>
              </w:rPr>
            </w:pPr>
          </w:p>
        </w:tc>
        <w:tc>
          <w:tcPr>
            <w:tcW w:w="260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Carrabba’s Italian Grill (Abbraccio)</w:t>
            </w:r>
          </w:p>
        </w:tc>
        <w:tc>
          <w:tcPr>
            <w:tcW w:w="1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33"/>
        </w:trPr>
        <w:tc>
          <w:tcPr>
            <w:tcW w:w="40" w:type="dxa"/>
            <w:vAlign w:val="bottom"/>
            <w:tcBorders>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600" w:type="dxa"/>
            <w:vAlign w:val="bottom"/>
          </w:tcPr>
          <w:p>
            <w:pPr>
              <w:jc w:val="right"/>
              <w:ind w:right="1181"/>
              <w:spacing w:after="0"/>
              <w:rPr>
                <w:sz w:val="20"/>
                <w:szCs w:val="20"/>
                <w:color w:val="auto"/>
              </w:rPr>
            </w:pPr>
            <w:r>
              <w:rPr>
                <w:rFonts w:ascii="Arial" w:cs="Arial" w:eastAsia="Arial" w:hAnsi="Arial"/>
                <w:sz w:val="16"/>
                <w:szCs w:val="16"/>
                <w:color w:val="auto"/>
                <w:w w:val="87"/>
              </w:rPr>
              <w:t>_________________</w:t>
            </w: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franchise locations.</w:t>
      </w:r>
    </w:p>
    <w:p>
      <w:pPr>
        <w:spacing w:after="0" w:line="200"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Revenues for both segments include only transactions with customers and exclude intersegment revenues. Excluded from net income from operations for U.S. and International are legal and certain corporate costs not directly related to the performance of the segments, certain stock-based compensation expenses and certain bonus expenses.</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40"/>
          </w:cols>
          <w:pgMar w:left="240" w:top="122" w:right="21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reconciliation of segment income (loss) from operations to the consolidated operating results: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301"/>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58"/>
        </w:trPr>
        <w:tc>
          <w:tcPr>
            <w:tcW w:w="5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JUNE 25, 2017</w:t>
            </w:r>
          </w:p>
        </w:tc>
        <w:tc>
          <w:tcPr>
            <w:tcW w:w="18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180" w:type="dxa"/>
            <w:vAlign w:val="bottom"/>
          </w:tcPr>
          <w:p>
            <w:pPr>
              <w:jc w:val="right"/>
              <w:ind w:right="141"/>
              <w:spacing w:after="0"/>
              <w:rPr>
                <w:sz w:val="20"/>
                <w:szCs w:val="20"/>
                <w:color w:val="auto"/>
              </w:rPr>
            </w:pPr>
            <w:r>
              <w:rPr>
                <w:rFonts w:ascii="Arial" w:cs="Arial" w:eastAsia="Arial" w:hAnsi="Arial"/>
                <w:sz w:val="14"/>
                <w:szCs w:val="14"/>
                <w:b w:val="1"/>
                <w:bCs w:val="1"/>
                <w:color w:val="auto"/>
                <w:w w:val="98"/>
              </w:rPr>
              <w:t>JUNE 25, 2017</w:t>
            </w:r>
          </w:p>
        </w:tc>
        <w:tc>
          <w:tcPr>
            <w:tcW w:w="0" w:type="dxa"/>
            <w:vAlign w:val="bottom"/>
          </w:tcPr>
          <w:p>
            <w:pPr>
              <w:spacing w:after="0"/>
              <w:rPr>
                <w:sz w:val="1"/>
                <w:szCs w:val="1"/>
                <w:color w:val="auto"/>
              </w:rPr>
            </w:pPr>
          </w:p>
        </w:tc>
      </w:tr>
      <w:tr>
        <w:trPr>
          <w:trHeight w:val="289"/>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(Restated) (1)</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81"/>
              <w:spacing w:after="0"/>
              <w:rPr>
                <w:sz w:val="20"/>
                <w:szCs w:val="20"/>
                <w:color w:val="auto"/>
              </w:rPr>
            </w:pPr>
            <w:r>
              <w:rPr>
                <w:rFonts w:ascii="Arial" w:cs="Arial" w:eastAsia="Arial" w:hAnsi="Arial"/>
                <w:sz w:val="14"/>
                <w:szCs w:val="14"/>
                <w:b w:val="1"/>
                <w:bCs w:val="1"/>
                <w:color w:val="auto"/>
              </w:rPr>
              <w:t>(Restated) (1)</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income (loss) from operations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U.S.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76,913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74,207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186,047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183,024</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9,728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6,276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18,363</w:t>
            </w:r>
          </w:p>
        </w:tc>
        <w:tc>
          <w:tcPr>
            <w:tcW w:w="0" w:type="dxa"/>
            <w:vAlign w:val="bottom"/>
          </w:tcPr>
          <w:p>
            <w:pPr>
              <w:spacing w:after="0"/>
              <w:rPr>
                <w:sz w:val="1"/>
                <w:szCs w:val="1"/>
                <w:color w:val="auto"/>
              </w:rPr>
            </w:pPr>
          </w:p>
        </w:tc>
      </w:tr>
      <w:tr>
        <w:trPr>
          <w:trHeight w:val="224"/>
        </w:trPr>
        <w:tc>
          <w:tcPr>
            <w:tcW w:w="5620" w:type="dxa"/>
            <w:vAlign w:val="bottom"/>
          </w:tcPr>
          <w:p>
            <w:pPr>
              <w:ind w:left="500"/>
              <w:spacing w:after="0"/>
              <w:rPr>
                <w:sz w:val="20"/>
                <w:szCs w:val="20"/>
                <w:color w:val="auto"/>
              </w:rPr>
            </w:pPr>
            <w:r>
              <w:rPr>
                <w:rFonts w:ascii="Arial" w:cs="Arial" w:eastAsia="Arial" w:hAnsi="Arial"/>
                <w:sz w:val="16"/>
                <w:szCs w:val="16"/>
                <w:color w:val="auto"/>
              </w:rPr>
              <w:t>Total segment income from operations</w:t>
            </w:r>
          </w:p>
        </w:tc>
        <w:tc>
          <w:tcPr>
            <w:tcW w:w="18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74,864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83,935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192,323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201,387</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Unallocated corporate operating expense</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(83,211)</w:t>
            </w:r>
          </w:p>
        </w:tc>
        <w:tc>
          <w:tcPr>
            <w:tcW w:w="0" w:type="dxa"/>
            <w:vAlign w:val="bottom"/>
          </w:tcPr>
          <w:p>
            <w:pPr>
              <w:spacing w:after="0"/>
              <w:rPr>
                <w:sz w:val="1"/>
                <w:szCs w:val="1"/>
                <w:color w:val="auto"/>
              </w:rPr>
            </w:pPr>
          </w:p>
        </w:tc>
      </w:tr>
      <w:tr>
        <w:trPr>
          <w:trHeight w:val="224"/>
        </w:trPr>
        <w:tc>
          <w:tcPr>
            <w:tcW w:w="5620" w:type="dxa"/>
            <w:vAlign w:val="bottom"/>
          </w:tcPr>
          <w:p>
            <w:pPr>
              <w:ind w:left="500"/>
              <w:spacing w:after="0"/>
              <w:rPr>
                <w:sz w:val="20"/>
                <w:szCs w:val="20"/>
                <w:color w:val="auto"/>
              </w:rPr>
            </w:pPr>
            <w:r>
              <w:rPr>
                <w:rFonts w:ascii="Arial" w:cs="Arial" w:eastAsia="Arial" w:hAnsi="Arial"/>
                <w:sz w:val="16"/>
                <w:szCs w:val="16"/>
                <w:color w:val="auto"/>
              </w:rPr>
              <w:t>Total income from operations</w:t>
            </w:r>
          </w:p>
        </w:tc>
        <w:tc>
          <w:tcPr>
            <w:tcW w:w="18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32,924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41,342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111,295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118,176</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on extinguishment and modification of debt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Other (expense) income, net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7,281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7,230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 net</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(18,684)</w:t>
            </w:r>
          </w:p>
        </w:tc>
        <w:tc>
          <w:tcPr>
            <w:tcW w:w="0" w:type="dxa"/>
            <w:vAlign w:val="bottom"/>
          </w:tcPr>
          <w:p>
            <w:pPr>
              <w:spacing w:after="0"/>
              <w:rPr>
                <w:sz w:val="1"/>
                <w:szCs w:val="1"/>
                <w:color w:val="auto"/>
              </w:rPr>
            </w:pPr>
          </w:p>
        </w:tc>
      </w:tr>
      <w:tr>
        <w:trPr>
          <w:trHeight w:val="250"/>
        </w:trPr>
        <w:tc>
          <w:tcPr>
            <w:tcW w:w="5620" w:type="dxa"/>
            <w:vAlign w:val="bottom"/>
          </w:tcPr>
          <w:p>
            <w:pPr>
              <w:ind w:left="500"/>
              <w:spacing w:after="0"/>
              <w:rPr>
                <w:sz w:val="20"/>
                <w:szCs w:val="20"/>
                <w:color w:val="auto"/>
              </w:rPr>
            </w:pPr>
            <w:r>
              <w:rPr>
                <w:rFonts w:ascii="Arial" w:cs="Arial" w:eastAsia="Arial" w:hAnsi="Arial"/>
                <w:sz w:val="16"/>
                <w:szCs w:val="16"/>
                <w:color w:val="auto"/>
              </w:rPr>
              <w:t>Income before (benefit) provision for income taxes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21,599</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38,820</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89,661</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106,462</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6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See Note 1 of the Notes to Consolidated Financial Statements for details of the impact of implementing ASU No. 2014-09.</w:t>
      </w:r>
    </w:p>
    <w:p>
      <w:pPr>
        <w:spacing w:after="0" w:line="18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Restaurant-level operating margin is widely regarded in the industry as a useful metric to evaluate restaurant-level operating efficiency and performance of ongoing restaurant-level operations, and we use it for these purposes, overall and particularly within our two segments. See the </w:t>
      </w:r>
      <w:r>
        <w:rPr>
          <w:rFonts w:ascii="Arial" w:cs="Arial" w:eastAsia="Arial" w:hAnsi="Arial"/>
          <w:sz w:val="20"/>
          <w:szCs w:val="20"/>
          <w:i w:val="1"/>
          <w:iCs w:val="1"/>
          <w:color w:val="auto"/>
        </w:rPr>
        <w:t xml:space="preserve">Overview-Key Performance Indicators </w:t>
      </w:r>
      <w:r>
        <w:rPr>
          <w:rFonts w:ascii="Arial" w:cs="Arial" w:eastAsia="Arial" w:hAnsi="Arial"/>
          <w:sz w:val="20"/>
          <w:szCs w:val="20"/>
          <w:color w:val="auto"/>
        </w:rPr>
        <w:t>section of Management’s Discussion and Analysis for additional details regarding the calculation of</w:t>
      </w:r>
      <w:r>
        <w:rPr>
          <w:rFonts w:ascii="Arial" w:cs="Arial" w:eastAsia="Arial" w:hAnsi="Arial"/>
          <w:sz w:val="20"/>
          <w:szCs w:val="20"/>
          <w:i w:val="1"/>
          <w:iCs w:val="1"/>
          <w:color w:val="auto"/>
        </w:rPr>
        <w:t xml:space="preserve"> </w:t>
      </w:r>
      <w:r>
        <w:rPr>
          <w:rFonts w:ascii="Arial" w:cs="Arial" w:eastAsia="Arial" w:hAnsi="Arial"/>
          <w:sz w:val="20"/>
          <w:szCs w:val="20"/>
          <w:color w:val="auto"/>
        </w:rPr>
        <w:t>restaurant-level operating margin.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441"/>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361"/>
              <w:spacing w:after="0"/>
              <w:rPr>
                <w:sz w:val="20"/>
                <w:szCs w:val="20"/>
                <w:color w:val="auto"/>
              </w:rPr>
            </w:pPr>
            <w:r>
              <w:rPr>
                <w:rFonts w:ascii="Arial" w:cs="Arial" w:eastAsia="Arial" w:hAnsi="Arial"/>
                <w:sz w:val="14"/>
                <w:szCs w:val="14"/>
                <w:b w:val="1"/>
                <w:bCs w:val="1"/>
                <w:color w:val="auto"/>
              </w:rPr>
              <w:t>TWENTY-SIX WEEKS ENDED</w:t>
            </w:r>
          </w:p>
        </w:tc>
      </w:tr>
      <w:tr>
        <w:trPr>
          <w:trHeight w:val="258"/>
        </w:trPr>
        <w:tc>
          <w:tcPr>
            <w:tcW w:w="2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160" w:type="dxa"/>
            <w:vAlign w:val="bottom"/>
          </w:tcPr>
          <w:p>
            <w:pPr>
              <w:spacing w:after="0"/>
              <w:rPr>
                <w:sz w:val="22"/>
                <w:szCs w:val="22"/>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JUNE 25, 2017</w:t>
            </w:r>
          </w:p>
        </w:tc>
        <w:tc>
          <w:tcPr>
            <w:tcW w:w="200" w:type="dxa"/>
            <w:vAlign w:val="bottom"/>
          </w:tcPr>
          <w:p>
            <w:pPr>
              <w:spacing w:after="0"/>
              <w:rPr>
                <w:sz w:val="22"/>
                <w:szCs w:val="22"/>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220" w:type="dxa"/>
            <w:vAlign w:val="bottom"/>
          </w:tcPr>
          <w:p>
            <w:pPr>
              <w:jc w:val="right"/>
              <w:ind w:right="161"/>
              <w:spacing w:after="0"/>
              <w:rPr>
                <w:sz w:val="20"/>
                <w:szCs w:val="20"/>
                <w:color w:val="auto"/>
              </w:rPr>
            </w:pPr>
            <w:r>
              <w:rPr>
                <w:rFonts w:ascii="Arial" w:cs="Arial" w:eastAsia="Arial" w:hAnsi="Arial"/>
                <w:sz w:val="14"/>
                <w:szCs w:val="14"/>
                <w:b w:val="1"/>
                <w:bCs w:val="1"/>
                <w:color w:val="auto"/>
              </w:rPr>
              <w:t>JUNE 25, 2017</w:t>
            </w:r>
          </w:p>
        </w:tc>
      </w:tr>
      <w:tr>
        <w:trPr>
          <w:trHeight w:val="289"/>
        </w:trPr>
        <w:tc>
          <w:tcPr>
            <w:tcW w:w="20" w:type="dxa"/>
            <w:vAlign w:val="bottom"/>
          </w:tcPr>
          <w:p>
            <w:pPr>
              <w:spacing w:after="0"/>
              <w:rPr>
                <w:sz w:val="24"/>
                <w:szCs w:val="24"/>
                <w:color w:val="auto"/>
              </w:rPr>
            </w:pPr>
          </w:p>
        </w:tc>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(Restated) (1)</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201"/>
              <w:spacing w:after="0"/>
              <w:rPr>
                <w:sz w:val="20"/>
                <w:szCs w:val="20"/>
                <w:color w:val="auto"/>
              </w:rPr>
            </w:pPr>
            <w:r>
              <w:rPr>
                <w:rFonts w:ascii="Arial" w:cs="Arial" w:eastAsia="Arial" w:hAnsi="Arial"/>
                <w:sz w:val="14"/>
                <w:szCs w:val="14"/>
                <w:b w:val="1"/>
                <w:bCs w:val="1"/>
                <w:color w:val="auto"/>
              </w:rPr>
              <w:t>(Restated) (1)</w:t>
            </w:r>
          </w:p>
        </w:tc>
      </w:tr>
      <w:tr>
        <w:trPr>
          <w:trHeight w:val="250"/>
        </w:trPr>
        <w:tc>
          <w:tcPr>
            <w:tcW w:w="20" w:type="dxa"/>
            <w:vAlign w:val="bottom"/>
          </w:tcPr>
          <w:p>
            <w:pPr>
              <w:spacing w:after="0"/>
              <w:rPr>
                <w:sz w:val="21"/>
                <w:szCs w:val="21"/>
                <w:color w:val="auto"/>
              </w:rPr>
            </w:pPr>
          </w:p>
        </w:tc>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480" w:type="dxa"/>
            <w:vAlign w:val="bottom"/>
          </w:tcPr>
          <w:p>
            <w:pPr>
              <w:ind w:left="160"/>
              <w:spacing w:after="0"/>
              <w:rPr>
                <w:sz w:val="20"/>
                <w:szCs w:val="20"/>
                <w:color w:val="auto"/>
              </w:rPr>
            </w:pPr>
            <w:r>
              <w:rPr>
                <w:rFonts w:ascii="Arial" w:cs="Arial" w:eastAsia="Arial" w:hAnsi="Arial"/>
                <w:sz w:val="16"/>
                <w:szCs w:val="16"/>
                <w:color w:val="auto"/>
              </w:rPr>
              <w:t>Restaurant sales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908,937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908,264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1,893,281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1,943,819</w:t>
            </w:r>
          </w:p>
        </w:tc>
      </w:tr>
      <w:tr>
        <w:trPr>
          <w:trHeight w:val="33"/>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Franchise and other revenues</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13,418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12,532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27,781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20,650</w:t>
            </w:r>
          </w:p>
        </w:tc>
      </w:tr>
      <w:tr>
        <w:trPr>
          <w:trHeight w:val="224"/>
        </w:trPr>
        <w:tc>
          <w:tcPr>
            <w:tcW w:w="20" w:type="dxa"/>
            <w:vAlign w:val="bottom"/>
          </w:tcPr>
          <w:p>
            <w:pPr>
              <w:spacing w:after="0"/>
              <w:rPr>
                <w:sz w:val="19"/>
                <w:szCs w:val="19"/>
                <w:color w:val="auto"/>
              </w:rPr>
            </w:pPr>
          </w:p>
        </w:tc>
        <w:tc>
          <w:tcPr>
            <w:tcW w:w="5480" w:type="dxa"/>
            <w:vAlign w:val="bottom"/>
          </w:tcPr>
          <w:p>
            <w:pPr>
              <w:ind w:left="360"/>
              <w:spacing w:after="0"/>
              <w:rPr>
                <w:sz w:val="20"/>
                <w:szCs w:val="20"/>
                <w:color w:val="auto"/>
              </w:rPr>
            </w:pPr>
            <w:r>
              <w:rPr>
                <w:rFonts w:ascii="Arial" w:cs="Arial" w:eastAsia="Arial" w:hAnsi="Arial"/>
                <w:sz w:val="16"/>
                <w:szCs w:val="16"/>
                <w:color w:val="auto"/>
              </w:rPr>
              <w:t>Total revenues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922,355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920,796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1,921,062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1,964,469</w:t>
            </w:r>
          </w:p>
        </w:tc>
      </w:tr>
      <w:tr>
        <w:trPr>
          <w:trHeight w:val="33"/>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Restaurant-level operating margin</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37"/>
        </w:trPr>
        <w:tc>
          <w:tcPr>
            <w:tcW w:w="20" w:type="dxa"/>
            <w:vAlign w:val="bottom"/>
          </w:tcPr>
          <w:p>
            <w:pPr>
              <w:spacing w:after="0"/>
              <w:rPr>
                <w:sz w:val="20"/>
                <w:szCs w:val="20"/>
                <w:color w:val="auto"/>
              </w:rPr>
            </w:pPr>
          </w:p>
        </w:tc>
        <w:tc>
          <w:tcPr>
            <w:tcW w:w="5480" w:type="dxa"/>
            <w:vAlign w:val="bottom"/>
          </w:tcPr>
          <w:p>
            <w:pPr>
              <w:ind w:left="160"/>
              <w:spacing w:after="0"/>
              <w:rPr>
                <w:sz w:val="20"/>
                <w:szCs w:val="20"/>
                <w:color w:val="auto"/>
              </w:rPr>
            </w:pPr>
            <w:r>
              <w:rPr>
                <w:rFonts w:ascii="Arial" w:cs="Arial" w:eastAsia="Arial" w:hAnsi="Arial"/>
                <w:sz w:val="16"/>
                <w:szCs w:val="16"/>
                <w:color w:val="auto"/>
              </w:rPr>
              <w:t>Income from operations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76,913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74,207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186,047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183,024</w:t>
            </w:r>
          </w:p>
        </w:tc>
      </w:tr>
      <w:tr>
        <w:trPr>
          <w:trHeight w:val="33"/>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Operating income margin</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193"/>
        </w:trPr>
        <w:tc>
          <w:tcPr>
            <w:tcW w:w="20" w:type="dxa"/>
            <w:vAlign w:val="bottom"/>
          </w:tcPr>
          <w:p>
            <w:pPr>
              <w:spacing w:after="0"/>
              <w:rPr>
                <w:sz w:val="16"/>
                <w:szCs w:val="16"/>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____________________</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ind w:left="660" w:hanging="652"/>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See Note 1 of the Notes to Consolidated Financial Statements for details of the impact of implementing ASU No. 2014-09.</w:t>
      </w:r>
    </w:p>
    <w:p>
      <w:pPr>
        <w:spacing w:after="0" w:line="243"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 sales</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the change in U.S. segment Restaurant sales for the thirteen and twenty-six weeks ended July 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8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7"/>
                <w:szCs w:val="17"/>
                <w:color w:val="auto"/>
              </w:rPr>
            </w:pPr>
          </w:p>
        </w:tc>
        <w:tc>
          <w:tcPr>
            <w:tcW w:w="2420" w:type="dxa"/>
            <w:vAlign w:val="bottom"/>
            <w:gridSpan w:val="2"/>
          </w:tcPr>
          <w:p>
            <w:pPr>
              <w:ind w:left="12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Pr>
          <w:p>
            <w:pPr>
              <w:spacing w:after="0"/>
              <w:rPr>
                <w:sz w:val="17"/>
                <w:szCs w:val="17"/>
                <w:color w:val="auto"/>
              </w:rPr>
            </w:pPr>
          </w:p>
        </w:tc>
        <w:tc>
          <w:tcPr>
            <w:tcW w:w="2400" w:type="dxa"/>
            <w:vAlign w:val="bottom"/>
          </w:tcPr>
          <w:p>
            <w:pPr>
              <w:jc w:val="right"/>
              <w:ind w:right="22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37"/>
        </w:trPr>
        <w:tc>
          <w:tcPr>
            <w:tcW w:w="6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periods ended June 25, 2017 (1)</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4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1,943.8</w:t>
            </w:r>
          </w:p>
        </w:tc>
        <w:tc>
          <w:tcPr>
            <w:tcW w:w="0" w:type="dxa"/>
            <w:vAlign w:val="bottom"/>
          </w:tcPr>
          <w:p>
            <w:pPr>
              <w:spacing w:after="0"/>
              <w:rPr>
                <w:sz w:val="1"/>
                <w:szCs w:val="1"/>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Comparable restaurant sales (2)</w:t>
            </w:r>
          </w:p>
        </w:tc>
        <w:tc>
          <w:tcPr>
            <w:tcW w:w="2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37"/>
        </w:trPr>
        <w:tc>
          <w:tcPr>
            <w:tcW w:w="6180" w:type="dxa"/>
            <w:vAlign w:val="bottom"/>
          </w:tcPr>
          <w:p>
            <w:pPr>
              <w:ind w:left="380"/>
              <w:spacing w:after="0"/>
              <w:rPr>
                <w:sz w:val="20"/>
                <w:szCs w:val="20"/>
                <w:color w:val="auto"/>
              </w:rPr>
            </w:pPr>
            <w:r>
              <w:rPr>
                <w:rFonts w:ascii="Arial" w:cs="Arial" w:eastAsia="Arial" w:hAnsi="Arial"/>
                <w:sz w:val="16"/>
                <w:szCs w:val="16"/>
                <w:color w:val="auto"/>
              </w:rPr>
              <w:t>Restaurant openings (2)</w:t>
            </w:r>
          </w:p>
        </w:tc>
        <w:tc>
          <w:tcPr>
            <w:tcW w:w="220" w:type="dxa"/>
            <w:vAlign w:val="bottom"/>
          </w:tcPr>
          <w:p>
            <w:pPr>
              <w:spacing w:after="0"/>
              <w:rPr>
                <w:sz w:val="20"/>
                <w:szCs w:val="20"/>
                <w:color w:val="auto"/>
              </w:rPr>
            </w:pPr>
          </w:p>
        </w:tc>
        <w:tc>
          <w:tcPr>
            <w:tcW w:w="2300" w:type="dxa"/>
            <w:vAlign w:val="bottom"/>
          </w:tcPr>
          <w:p>
            <w:pPr>
              <w:jc w:val="right"/>
              <w:ind w:right="2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Pr>
          <w:p>
            <w:pPr>
              <w:jc w:val="right"/>
              <w:ind w:right="2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Divestiture of restaurants through refranchising transactions</w:t>
            </w:r>
          </w:p>
        </w:tc>
        <w:tc>
          <w:tcPr>
            <w:tcW w:w="2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270"/>
        </w:trPr>
        <w:tc>
          <w:tcPr>
            <w:tcW w:w="61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Restaurant closings</w:t>
            </w:r>
          </w:p>
        </w:tc>
        <w:tc>
          <w:tcPr>
            <w:tcW w:w="22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periods ended July 1, 2018</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908.9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4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1,893.3</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2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1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right="20" w:hanging="652"/>
        <w:spacing w:after="0" w:line="255"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Restaurant sales have been restated for the thirteen and twenty-six weeks ended June 25, 2017. See Note 1 of the Notes to Consolidated Financial Statements for details of the impact of implementing ASU No. 2014-09.</w:t>
      </w:r>
    </w:p>
    <w:p>
      <w:pPr>
        <w:ind w:left="660" w:hanging="652"/>
        <w:spacing w:after="0"/>
        <w:tabs>
          <w:tab w:leader="none" w:pos="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twenty-six weeks ended July 1, 2018 includes an approximate $19.0 million negative impact on Restaurant sales from a one-week shift in the fiscal calendar.</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 xml:space="preserve">The increase in U.S. Restaurant sales in the thirteen weeks ended July 1, 2018 was primarily attributable to higher comparable restaurant sales and the opening of 15 new restaurants not included in our comparable restaurant sales base. These increases in restaurant sales were partially offset by </w:t>
      </w:r>
      <w:r>
        <w:rPr>
          <w:rFonts w:ascii="Arial" w:cs="Arial" w:eastAsia="Arial" w:hAnsi="Arial"/>
          <w:sz w:val="18"/>
          <w:szCs w:val="18"/>
          <w:color w:val="252525"/>
        </w:rPr>
        <w:t>the refranchising of certain Company-owned</w:t>
      </w:r>
      <w:r>
        <w:rPr>
          <w:rFonts w:ascii="Arial" w:cs="Arial" w:eastAsia="Arial" w:hAnsi="Arial"/>
          <w:sz w:val="18"/>
          <w:szCs w:val="18"/>
          <w:color w:val="auto"/>
        </w:rPr>
        <w:t xml:space="preserve"> restaurants and the closing of nine restaurants since March 26, 2017.</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The decrease in U.S. Restaurant sales in the twenty-six weeks ended July 1, 2018 was primarily attributable to </w:t>
      </w:r>
      <w:r>
        <w:rPr>
          <w:rFonts w:ascii="Arial" w:cs="Arial" w:eastAsia="Arial" w:hAnsi="Arial"/>
          <w:sz w:val="20"/>
          <w:szCs w:val="20"/>
          <w:color w:val="252525"/>
        </w:rPr>
        <w:t>the refranchising of certain</w:t>
      </w:r>
      <w:r>
        <w:rPr>
          <w:rFonts w:ascii="Arial" w:cs="Arial" w:eastAsia="Arial" w:hAnsi="Arial"/>
          <w:sz w:val="20"/>
          <w:szCs w:val="20"/>
          <w:color w:val="auto"/>
        </w:rPr>
        <w:t xml:space="preserve"> </w:t>
      </w:r>
      <w:r>
        <w:rPr>
          <w:rFonts w:ascii="Arial" w:cs="Arial" w:eastAsia="Arial" w:hAnsi="Arial"/>
          <w:sz w:val="20"/>
          <w:szCs w:val="20"/>
          <w:color w:val="252525"/>
        </w:rPr>
        <w:t xml:space="preserve">Company-owned </w:t>
      </w:r>
      <w:r>
        <w:rPr>
          <w:rFonts w:ascii="Arial" w:cs="Arial" w:eastAsia="Arial" w:hAnsi="Arial"/>
          <w:sz w:val="20"/>
          <w:szCs w:val="20"/>
          <w:color w:val="000000"/>
        </w:rPr>
        <w:t>restaurants, the closing of 46 restaurants since December 25, 2016 and the one-week shift in the fiscal calendar. The decrease</w:t>
      </w:r>
      <w:r>
        <w:rPr>
          <w:rFonts w:ascii="Arial" w:cs="Arial" w:eastAsia="Arial" w:hAnsi="Arial"/>
          <w:sz w:val="20"/>
          <w:szCs w:val="20"/>
          <w:color w:val="252525"/>
        </w:rPr>
        <w:t xml:space="preserve"> </w:t>
      </w:r>
      <w:r>
        <w:rPr>
          <w:rFonts w:ascii="Arial" w:cs="Arial" w:eastAsia="Arial" w:hAnsi="Arial"/>
          <w:sz w:val="20"/>
          <w:szCs w:val="20"/>
          <w:color w:val="000000"/>
        </w:rPr>
        <w:t>in restaurant sales was partially offset by higher comparable restaurant sales and the opening of 15 new restaurants not included in our comparable restaurant sales base.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operations</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increase in U.S. income from operations generated in the thirteen weeks ended July 1, 2018 as compared to the thirteen weeks ended June 25, 2017, was primarily due to: (i) increases in average check per person, (ii) the impact of certain cost saving initiatives and (iii) decreases in advertising expense. These increases were partially offset by decreases primarily due to higher labor costs from wage inflation and higher commodity costs.</w:t>
      </w:r>
    </w:p>
    <w:p>
      <w:pPr>
        <w:spacing w:after="0" w:line="20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increase in U.S. income from operations generated in the twenty-six weeks ended July 1, 2018 as compared to the twenty-six weeks ended June 25, 2017, was primarily due to: (i) increases in average check per person, (ii) lower impairment charges and restaurant closing costs, primarily related to the Closure Initiatives in 2017, (iii) the impact of certain cost saving initiatives and (iv) increases in franchise and other revenues. These increases were partially offset by decreases primarily due to: (i) higher labor costs from wage inflation, (ii) higher commodity costs and (iii) operating expense inflation.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International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441"/>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4"/>
                <w:szCs w:val="14"/>
                <w:b w:val="1"/>
                <w:bCs w:val="1"/>
                <w:color w:val="auto"/>
              </w:rPr>
              <w:t>TWENTY-SIX WEEKS ENDED</w:t>
            </w:r>
          </w:p>
        </w:tc>
      </w:tr>
      <w:tr>
        <w:trPr>
          <w:trHeight w:val="258"/>
        </w:trPr>
        <w:tc>
          <w:tcPr>
            <w:tcW w:w="2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160" w:type="dxa"/>
            <w:vAlign w:val="bottom"/>
          </w:tcPr>
          <w:p>
            <w:pPr>
              <w:spacing w:after="0"/>
              <w:rPr>
                <w:sz w:val="22"/>
                <w:szCs w:val="22"/>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JUNE 25, 2017</w:t>
            </w:r>
          </w:p>
        </w:tc>
        <w:tc>
          <w:tcPr>
            <w:tcW w:w="200" w:type="dxa"/>
            <w:vAlign w:val="bottom"/>
          </w:tcPr>
          <w:p>
            <w:pPr>
              <w:spacing w:after="0"/>
              <w:rPr>
                <w:sz w:val="22"/>
                <w:szCs w:val="22"/>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220" w:type="dxa"/>
            <w:vAlign w:val="bottom"/>
          </w:tcPr>
          <w:p>
            <w:pPr>
              <w:jc w:val="right"/>
              <w:ind w:right="161"/>
              <w:spacing w:after="0"/>
              <w:rPr>
                <w:sz w:val="20"/>
                <w:szCs w:val="20"/>
                <w:color w:val="auto"/>
              </w:rPr>
            </w:pPr>
            <w:r>
              <w:rPr>
                <w:rFonts w:ascii="Arial" w:cs="Arial" w:eastAsia="Arial" w:hAnsi="Arial"/>
                <w:sz w:val="14"/>
                <w:szCs w:val="14"/>
                <w:b w:val="1"/>
                <w:bCs w:val="1"/>
                <w:color w:val="auto"/>
              </w:rPr>
              <w:t>JUNE 25, 2017</w:t>
            </w:r>
          </w:p>
        </w:tc>
      </w:tr>
      <w:tr>
        <w:trPr>
          <w:trHeight w:val="289"/>
        </w:trPr>
        <w:tc>
          <w:tcPr>
            <w:tcW w:w="2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(Restated) (1)</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201"/>
              <w:spacing w:after="0"/>
              <w:rPr>
                <w:sz w:val="20"/>
                <w:szCs w:val="20"/>
                <w:color w:val="auto"/>
              </w:rPr>
            </w:pPr>
            <w:r>
              <w:rPr>
                <w:rFonts w:ascii="Arial" w:cs="Arial" w:eastAsia="Arial" w:hAnsi="Arial"/>
                <w:sz w:val="14"/>
                <w:szCs w:val="14"/>
                <w:b w:val="1"/>
                <w:bCs w:val="1"/>
                <w:color w:val="auto"/>
              </w:rPr>
              <w:t>(Restated) (1)</w:t>
            </w:r>
          </w:p>
        </w:tc>
      </w:tr>
      <w:tr>
        <w:trPr>
          <w:trHeight w:val="250"/>
        </w:trPr>
        <w:tc>
          <w:tcPr>
            <w:tcW w:w="20" w:type="dxa"/>
            <w:vAlign w:val="bottom"/>
          </w:tcPr>
          <w:p>
            <w:pPr>
              <w:spacing w:after="0"/>
              <w:rPr>
                <w:sz w:val="21"/>
                <w:szCs w:val="21"/>
                <w:color w:val="auto"/>
              </w:rPr>
            </w:pPr>
          </w:p>
        </w:tc>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460" w:type="dxa"/>
            <w:vAlign w:val="bottom"/>
          </w:tcPr>
          <w:p>
            <w:pPr>
              <w:ind w:left="160"/>
              <w:spacing w:after="0"/>
              <w:rPr>
                <w:sz w:val="20"/>
                <w:szCs w:val="20"/>
                <w:color w:val="auto"/>
              </w:rPr>
            </w:pPr>
            <w:r>
              <w:rPr>
                <w:rFonts w:ascii="Arial" w:cs="Arial" w:eastAsia="Arial" w:hAnsi="Arial"/>
                <w:sz w:val="16"/>
                <w:szCs w:val="16"/>
                <w:color w:val="auto"/>
              </w:rPr>
              <w:t>Restaurant sales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41"/>
              <w:spacing w:after="0"/>
              <w:rPr>
                <w:sz w:val="20"/>
                <w:szCs w:val="20"/>
                <w:color w:val="auto"/>
              </w:rPr>
            </w:pPr>
            <w:r>
              <w:rPr>
                <w:rFonts w:ascii="Arial" w:cs="Arial" w:eastAsia="Arial" w:hAnsi="Arial"/>
                <w:sz w:val="16"/>
                <w:szCs w:val="16"/>
                <w:color w:val="auto"/>
              </w:rPr>
              <w:t>106,547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112,920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221,206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221,196</w:t>
            </w:r>
          </w:p>
        </w:tc>
      </w:tr>
      <w:tr>
        <w:trPr>
          <w:trHeight w:val="33"/>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Franchise and other revenues</w:t>
            </w:r>
          </w:p>
        </w:tc>
        <w:tc>
          <w:tcPr>
            <w:tcW w:w="2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2,912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2,742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6,011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5,504</w:t>
            </w:r>
          </w:p>
        </w:tc>
      </w:tr>
      <w:tr>
        <w:trPr>
          <w:trHeight w:val="224"/>
        </w:trPr>
        <w:tc>
          <w:tcPr>
            <w:tcW w:w="20" w:type="dxa"/>
            <w:vAlign w:val="bottom"/>
          </w:tcPr>
          <w:p>
            <w:pPr>
              <w:spacing w:after="0"/>
              <w:rPr>
                <w:sz w:val="19"/>
                <w:szCs w:val="19"/>
                <w:color w:val="auto"/>
              </w:rPr>
            </w:pPr>
          </w:p>
        </w:tc>
        <w:tc>
          <w:tcPr>
            <w:tcW w:w="5460" w:type="dxa"/>
            <w:vAlign w:val="bottom"/>
          </w:tcPr>
          <w:p>
            <w:pPr>
              <w:ind w:left="360"/>
              <w:spacing w:after="0"/>
              <w:rPr>
                <w:sz w:val="20"/>
                <w:szCs w:val="20"/>
                <w:color w:val="auto"/>
              </w:rPr>
            </w:pPr>
            <w:r>
              <w:rPr>
                <w:rFonts w:ascii="Arial" w:cs="Arial" w:eastAsia="Arial" w:hAnsi="Arial"/>
                <w:sz w:val="16"/>
                <w:szCs w:val="16"/>
                <w:color w:val="auto"/>
              </w:rPr>
              <w:t>Total revenues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41"/>
              <w:spacing w:after="0"/>
              <w:rPr>
                <w:sz w:val="20"/>
                <w:szCs w:val="20"/>
                <w:color w:val="auto"/>
              </w:rPr>
            </w:pPr>
            <w:r>
              <w:rPr>
                <w:rFonts w:ascii="Arial" w:cs="Arial" w:eastAsia="Arial" w:hAnsi="Arial"/>
                <w:sz w:val="16"/>
                <w:szCs w:val="16"/>
                <w:color w:val="auto"/>
              </w:rPr>
              <w:t>109,459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115,662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227,217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226,700</w:t>
            </w:r>
          </w:p>
        </w:tc>
      </w:tr>
      <w:tr>
        <w:trPr>
          <w:trHeight w:val="33"/>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Restaurant-level operating margin</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r>
      <w:tr>
        <w:trPr>
          <w:trHeight w:val="237"/>
        </w:trPr>
        <w:tc>
          <w:tcPr>
            <w:tcW w:w="20" w:type="dxa"/>
            <w:vAlign w:val="bottom"/>
          </w:tcPr>
          <w:p>
            <w:pPr>
              <w:spacing w:after="0"/>
              <w:rPr>
                <w:sz w:val="20"/>
                <w:szCs w:val="20"/>
                <w:color w:val="auto"/>
              </w:rPr>
            </w:pPr>
          </w:p>
        </w:tc>
        <w:tc>
          <w:tcPr>
            <w:tcW w:w="5460" w:type="dxa"/>
            <w:vAlign w:val="bottom"/>
          </w:tcPr>
          <w:p>
            <w:pPr>
              <w:ind w:left="160"/>
              <w:spacing w:after="0"/>
              <w:rPr>
                <w:sz w:val="20"/>
                <w:szCs w:val="20"/>
                <w:color w:val="auto"/>
              </w:rPr>
            </w:pPr>
            <w:r>
              <w:rPr>
                <w:rFonts w:ascii="Arial" w:cs="Arial" w:eastAsia="Arial" w:hAnsi="Arial"/>
                <w:sz w:val="16"/>
                <w:szCs w:val="16"/>
                <w:color w:val="auto"/>
              </w:rPr>
              <w:t>(Loss) income from operations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(2,049)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9,728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6,276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81"/>
              <w:spacing w:after="0"/>
              <w:rPr>
                <w:sz w:val="20"/>
                <w:szCs w:val="20"/>
                <w:color w:val="auto"/>
              </w:rPr>
            </w:pPr>
            <w:r>
              <w:rPr>
                <w:rFonts w:ascii="Arial" w:cs="Arial" w:eastAsia="Arial" w:hAnsi="Arial"/>
                <w:sz w:val="16"/>
                <w:szCs w:val="16"/>
                <w:color w:val="auto"/>
              </w:rPr>
              <w:t>18,363</w:t>
            </w:r>
          </w:p>
        </w:tc>
      </w:tr>
      <w:tr>
        <w:trPr>
          <w:trHeight w:val="33"/>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Operating (loss) income margin</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193"/>
        </w:trPr>
        <w:tc>
          <w:tcPr>
            <w:tcW w:w="20" w:type="dxa"/>
            <w:vAlign w:val="bottom"/>
          </w:tcPr>
          <w:p>
            <w:pPr>
              <w:spacing w:after="0"/>
              <w:rPr>
                <w:sz w:val="16"/>
                <w:szCs w:val="16"/>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____________________</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ind w:left="660" w:hanging="652"/>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See Note 1 of the Notes to Consolidated Financial Statements for details of the impact of implementing ASU No. 2014-09.</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 sales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change in International segment Restaurant sales for the thirteen and twenty-six weeks ended July 1, 2018:</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8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7"/>
                <w:szCs w:val="17"/>
                <w:color w:val="auto"/>
              </w:rPr>
            </w:pPr>
          </w:p>
        </w:tc>
        <w:tc>
          <w:tcPr>
            <w:tcW w:w="2420" w:type="dxa"/>
            <w:vAlign w:val="bottom"/>
            <w:gridSpan w:val="2"/>
          </w:tcPr>
          <w:p>
            <w:pPr>
              <w:ind w:left="12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Pr>
          <w:p>
            <w:pPr>
              <w:spacing w:after="0"/>
              <w:rPr>
                <w:sz w:val="17"/>
                <w:szCs w:val="17"/>
                <w:color w:val="auto"/>
              </w:rPr>
            </w:pPr>
          </w:p>
        </w:tc>
        <w:tc>
          <w:tcPr>
            <w:tcW w:w="2400" w:type="dxa"/>
            <w:vAlign w:val="bottom"/>
          </w:tcPr>
          <w:p>
            <w:pPr>
              <w:jc w:val="right"/>
              <w:ind w:right="220"/>
              <w:spacing w:after="0"/>
              <w:rPr>
                <w:sz w:val="20"/>
                <w:szCs w:val="20"/>
                <w:color w:val="auto"/>
              </w:rPr>
            </w:pPr>
            <w:r>
              <w:rPr>
                <w:rFonts w:ascii="Arial" w:cs="Arial" w:eastAsia="Arial" w:hAnsi="Arial"/>
                <w:sz w:val="14"/>
                <w:szCs w:val="14"/>
                <w:b w:val="1"/>
                <w:bCs w:val="1"/>
                <w:color w:val="auto"/>
              </w:rPr>
              <w:t>TWENTY-SIX WEEKS ENDED</w:t>
            </w:r>
          </w:p>
        </w:tc>
      </w:tr>
      <w:tr>
        <w:trPr>
          <w:trHeight w:val="237"/>
        </w:trPr>
        <w:tc>
          <w:tcPr>
            <w:tcW w:w="6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periods ended June 25, 2017</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4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221.2</w:t>
            </w:r>
          </w:p>
        </w:tc>
      </w:tr>
      <w:tr>
        <w:trPr>
          <w:trHeight w:val="237"/>
        </w:trPr>
        <w:tc>
          <w:tcPr>
            <w:tcW w:w="618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33"/>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foreign currency translation</w:t>
            </w:r>
          </w:p>
        </w:tc>
        <w:tc>
          <w:tcPr>
            <w:tcW w:w="2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37"/>
        </w:trPr>
        <w:tc>
          <w:tcPr>
            <w:tcW w:w="6180" w:type="dxa"/>
            <w:vAlign w:val="bottom"/>
          </w:tcPr>
          <w:p>
            <w:pPr>
              <w:ind w:left="380"/>
              <w:spacing w:after="0"/>
              <w:rPr>
                <w:sz w:val="20"/>
                <w:szCs w:val="20"/>
                <w:color w:val="auto"/>
              </w:rPr>
            </w:pPr>
            <w:r>
              <w:rPr>
                <w:rFonts w:ascii="Arial" w:cs="Arial" w:eastAsia="Arial" w:hAnsi="Arial"/>
                <w:sz w:val="16"/>
                <w:szCs w:val="16"/>
                <w:color w:val="auto"/>
              </w:rPr>
              <w:t>Comparable restaurant sales</w:t>
            </w:r>
          </w:p>
        </w:tc>
        <w:tc>
          <w:tcPr>
            <w:tcW w:w="22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33"/>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Restaurant closings</w:t>
            </w:r>
          </w:p>
        </w:tc>
        <w:tc>
          <w:tcPr>
            <w:tcW w:w="2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70"/>
        </w:trPr>
        <w:tc>
          <w:tcPr>
            <w:tcW w:w="61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Restaurant openings</w:t>
            </w:r>
          </w:p>
        </w:tc>
        <w:tc>
          <w:tcPr>
            <w:tcW w:w="22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18.8</w:t>
            </w: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periods ended July 1, 2018</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4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221.2</w:t>
            </w: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decrease in Restaurant sales in the thirteen weeks ended July 1, 2018 was primarily attributable to: (i) the effect of foreign currency translation of the Brazil Real relative to the U.S. dollar, (ii) lower comparable restaurant sales and (iii) the closing of 12 restaurants since March 26, 2017, partially offset by the opening of 25 new restaurants not included in our comparable restaurant sales base.</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slight increase in Restaurant sales in the twenty-six weeks ended July 1, 2018 was primarily attributable to the opening of 32 new restaurants not included in our comparable restaurant sales base partially offset by: (i) the effect of foreign currency translation of the Brazil Real relative to the U.S. dollar, (ii) lower comparable restaurant sales and (iii) the closing of 12 restaurants since December 25, 2016.</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operations</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decrease in International income from operations in the thirteen weeks ended July 1, 2018 as compared to the thirteen weeks ended June 25, 2017 was primarily due to: (i) certain impairment charges and restaurant closing costs, (ii) lower sales in Brazil, (iii) labor, operating expense and commodity inflation, (iv) favorable resolution of certain legal contingencies in 2017 and (v) changes in product mix. These decreases were partially offset by increases in average check per person.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decrease in International income from operations in the twenty-six weeks ended July 1, 2018 as compared to the twenty-six weeks ended June 25, 2017 was primarily due to: (i) certain impairment charges and restaurant closing costs, (ii) labor, operating expense and commodity inflation, (iii) changes in product mix and (iv) increases in advertising expense. These decreases were partially offset by increases in average check per person.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System-Wide Sales - </w:t>
      </w:r>
      <w:r>
        <w:rPr>
          <w:rFonts w:ascii="Arial" w:cs="Arial" w:eastAsia="Arial" w:hAnsi="Arial"/>
          <w:sz w:val="20"/>
          <w:szCs w:val="20"/>
          <w:color w:val="auto"/>
        </w:rPr>
        <w:t>System-wide sales is a non-GAAP financial measure that includes sales of all restaurants operating under our brand names,</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whether we own them or not. Management uses this information to make decisions about future plans for the development of additional restaurants and new concepts, as well as evaluation of current operations. System-wide sales comprise sales of Company-owned and franchised restaurants. For a summary of sales of Company-owned restaurants, refer to Note 2 </w:t>
      </w:r>
      <w:r>
        <w:rPr>
          <w:rFonts w:ascii="Arial" w:cs="Arial" w:eastAsia="Arial" w:hAnsi="Arial"/>
          <w:sz w:val="18"/>
          <w:szCs w:val="18"/>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Revenue Recognition</w:t>
      </w:r>
      <w:r>
        <w:rPr>
          <w:rFonts w:ascii="Arial" w:cs="Arial" w:eastAsia="Arial" w:hAnsi="Arial"/>
          <w:sz w:val="20"/>
          <w:szCs w:val="20"/>
          <w:color w:val="auto"/>
        </w:rPr>
        <w:t xml:space="preserve"> of the Notes to Consolidated Financial Statements.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following table provides a summary of sales of franchised restaurants, which are not included in our consolidated financial results, and our income from the royalties and/or service fees that franchisees pay us based generally on a percentage of sales. The following table does not represent our sales and is presented only as an indicator of changes in the restaurant system, which management believes is important information regarding the health of our restaurant concepts and in determining our royalties and/or service fees.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FRANCHISE SALES (1)</w:t>
            </w:r>
          </w:p>
        </w:tc>
        <w:tc>
          <w:tcPr>
            <w:tcW w:w="1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22"/>
                <w:szCs w:val="22"/>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25, 2017</w:t>
            </w:r>
          </w:p>
        </w:tc>
        <w:tc>
          <w:tcPr>
            <w:tcW w:w="18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180" w:type="dxa"/>
            <w:vAlign w:val="bottom"/>
          </w:tcPr>
          <w:p>
            <w:pPr>
              <w:jc w:val="right"/>
              <w:ind w:right="140"/>
              <w:spacing w:after="0"/>
              <w:rPr>
                <w:sz w:val="20"/>
                <w:szCs w:val="20"/>
                <w:color w:val="auto"/>
              </w:rPr>
            </w:pPr>
            <w:r>
              <w:rPr>
                <w:rFonts w:ascii="Arial" w:cs="Arial" w:eastAsia="Arial" w:hAnsi="Arial"/>
                <w:sz w:val="14"/>
                <w:szCs w:val="14"/>
                <w:b w:val="1"/>
                <w:bCs w:val="1"/>
                <w:color w:val="auto"/>
                <w:w w:val="98"/>
              </w:rPr>
              <w:t>JUNE 25, 2017</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Outback Steakhouse (2)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Carrabba's Italian Grill (2)</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Bonefish Grill</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Outback Steakhouse-South Korea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 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9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franchise sales (1)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439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franchise sales (3)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6"/>
                <w:szCs w:val="16"/>
                <w:color w:val="auto"/>
              </w:rPr>
              <w:t>_____________________</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6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Franchise sales are not included in Total revenues in the Consolidated Statements of Operations and Comprehensive (Loss) Income.</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Q2 2017, we sold 53 Outback Steakhouse restaurants and one Carrabba’s Italian Grill restaurant, which are now operated as franchises.</w:t>
      </w:r>
    </w:p>
    <w:p>
      <w:pPr>
        <w:spacing w:after="0" w:line="5" w:lineRule="exact"/>
        <w:rPr>
          <w:rFonts w:ascii="Arial" w:cs="Arial" w:eastAsia="Arial" w:hAnsi="Arial"/>
          <w:sz w:val="16"/>
          <w:szCs w:val="16"/>
          <w:color w:val="auto"/>
        </w:rPr>
      </w:pPr>
    </w:p>
    <w:p>
      <w:pPr>
        <w:ind w:left="660" w:right="20" w:hanging="652"/>
        <w:spacing w:after="0" w:line="257"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Represents franchise royalties and initial franchise fees included in the Consolidated Statements of Operations and Comprehensive (Loss) Income in Franchise and other revenues.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restaurant-level operating margin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shows the percentages of certain operating cost financial statement line items in relation to Restaurant sales: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rPr>
              <w:t>THIRTEEN WEEKS ENDED</w:t>
            </w:r>
          </w:p>
        </w:tc>
        <w:tc>
          <w:tcPr>
            <w:tcW w:w="1640" w:type="dxa"/>
            <w:vAlign w:val="bottom"/>
            <w:tcBorders>
              <w:bottom w:val="single" w:sz="8" w:color="auto"/>
            </w:tcBorders>
          </w:tcPr>
          <w:p>
            <w:pPr>
              <w:spacing w:after="0"/>
              <w:rPr>
                <w:sz w:val="17"/>
                <w:szCs w:val="17"/>
                <w:color w:val="auto"/>
              </w:rPr>
            </w:pPr>
          </w:p>
        </w:tc>
      </w:tr>
      <w:tr>
        <w:trPr>
          <w:trHeight w:val="264"/>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340" w:type="dxa"/>
            <w:vAlign w:val="bottom"/>
            <w:tcBorders>
              <w:bottom w:val="single" w:sz="8" w:color="auto"/>
            </w:tcBorders>
            <w:gridSpan w:val="3"/>
          </w:tcPr>
          <w:p>
            <w:pPr>
              <w:jc w:val="right"/>
              <w:ind w:right="1162"/>
              <w:spacing w:after="0"/>
              <w:rPr>
                <w:sz w:val="20"/>
                <w:szCs w:val="20"/>
                <w:color w:val="auto"/>
              </w:rPr>
            </w:pPr>
            <w:r>
              <w:rPr>
                <w:rFonts w:ascii="Arial" w:cs="Arial" w:eastAsia="Arial" w:hAnsi="Arial"/>
                <w:sz w:val="14"/>
                <w:szCs w:val="14"/>
                <w:b w:val="1"/>
                <w:bCs w:val="1"/>
                <w:color w:val="auto"/>
              </w:rPr>
              <w:t>JULY 1, 2018</w:t>
            </w:r>
          </w:p>
        </w:tc>
        <w:tc>
          <w:tcPr>
            <w:tcW w:w="120" w:type="dxa"/>
            <w:vAlign w:val="bottom"/>
          </w:tcPr>
          <w:p>
            <w:pPr>
              <w:spacing w:after="0"/>
              <w:rPr>
                <w:sz w:val="22"/>
                <w:szCs w:val="22"/>
                <w:color w:val="auto"/>
              </w:rPr>
            </w:pPr>
          </w:p>
        </w:tc>
        <w:tc>
          <w:tcPr>
            <w:tcW w:w="3360" w:type="dxa"/>
            <w:vAlign w:val="bottom"/>
            <w:tcBorders>
              <w:bottom w:val="single" w:sz="8" w:color="auto"/>
            </w:tcBorders>
            <w:gridSpan w:val="3"/>
          </w:tcPr>
          <w:p>
            <w:pPr>
              <w:jc w:val="right"/>
              <w:ind w:right="1140"/>
              <w:spacing w:after="0"/>
              <w:rPr>
                <w:sz w:val="20"/>
                <w:szCs w:val="20"/>
                <w:color w:val="auto"/>
              </w:rPr>
            </w:pPr>
            <w:r>
              <w:rPr>
                <w:rFonts w:ascii="Arial" w:cs="Arial" w:eastAsia="Arial" w:hAnsi="Arial"/>
                <w:sz w:val="14"/>
                <w:szCs w:val="14"/>
                <w:b w:val="1"/>
                <w:bCs w:val="1"/>
                <w:color w:val="auto"/>
              </w:rPr>
              <w:t>JUNE 25, 2017</w:t>
            </w:r>
          </w:p>
        </w:tc>
      </w:tr>
      <w:tr>
        <w:trPr>
          <w:trHeight w:val="264"/>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U.S. GAAP</w:t>
            </w:r>
          </w:p>
        </w:tc>
        <w:tc>
          <w:tcPr>
            <w:tcW w:w="1740" w:type="dxa"/>
            <w:vAlign w:val="bottom"/>
            <w:gridSpan w:val="2"/>
          </w:tcPr>
          <w:p>
            <w:pPr>
              <w:ind w:left="340"/>
              <w:spacing w:after="0"/>
              <w:rPr>
                <w:sz w:val="20"/>
                <w:szCs w:val="20"/>
                <w:color w:val="auto"/>
              </w:rPr>
            </w:pPr>
            <w:r>
              <w:rPr>
                <w:rFonts w:ascii="Arial" w:cs="Arial" w:eastAsia="Arial" w:hAnsi="Arial"/>
                <w:sz w:val="14"/>
                <w:szCs w:val="14"/>
                <w:b w:val="1"/>
                <w:bCs w:val="1"/>
                <w:color w:val="auto"/>
              </w:rPr>
              <w:t>ADJUSTED (1)</w:t>
            </w: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U.S. GAAP</w:t>
            </w:r>
          </w:p>
        </w:tc>
        <w:tc>
          <w:tcPr>
            <w:tcW w:w="1640" w:type="dxa"/>
            <w:vAlign w:val="bottom"/>
          </w:tcPr>
          <w:p>
            <w:pPr>
              <w:jc w:val="right"/>
              <w:ind w:right="260"/>
              <w:spacing w:after="0"/>
              <w:rPr>
                <w:sz w:val="20"/>
                <w:szCs w:val="20"/>
                <w:color w:val="auto"/>
              </w:rPr>
            </w:pPr>
            <w:r>
              <w:rPr>
                <w:rFonts w:ascii="Arial" w:cs="Arial" w:eastAsia="Arial" w:hAnsi="Arial"/>
                <w:sz w:val="14"/>
                <w:szCs w:val="14"/>
                <w:b w:val="1"/>
                <w:bCs w:val="1"/>
                <w:color w:val="auto"/>
              </w:rPr>
              <w:t>ADJUSTED (1)</w:t>
            </w:r>
          </w:p>
        </w:tc>
      </w:tr>
      <w:tr>
        <w:trPr>
          <w:trHeight w:val="237"/>
        </w:trPr>
        <w:tc>
          <w:tcPr>
            <w:tcW w:w="20" w:type="dxa"/>
            <w:vAlign w:val="bottom"/>
          </w:tcPr>
          <w:p>
            <w:pPr>
              <w:spacing w:after="0"/>
              <w:rPr>
                <w:sz w:val="20"/>
                <w:szCs w:val="20"/>
                <w:color w:val="auto"/>
              </w:rPr>
            </w:pPr>
          </w:p>
        </w:tc>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 sales</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84"/>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r>
      <w:tr>
        <w:trPr>
          <w:trHeight w:val="237"/>
        </w:trPr>
        <w:tc>
          <w:tcPr>
            <w:tcW w:w="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6"/>
                <w:szCs w:val="16"/>
                <w:color w:val="auto"/>
              </w:rPr>
              <w:t>Labor and other related</w:t>
            </w:r>
          </w:p>
        </w:tc>
        <w:tc>
          <w:tcPr>
            <w:tcW w:w="1620" w:type="dxa"/>
            <w:vAlign w:val="bottom"/>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29.2%</w:t>
            </w:r>
          </w:p>
        </w:tc>
      </w:tr>
      <w:tr>
        <w:trPr>
          <w:trHeight w:val="33"/>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r>
      <w:tr>
        <w:trPr>
          <w:trHeight w:val="284"/>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Restaurant-level operating margin</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54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rPr>
              <w:t>TWENTY-SIX WEEKS ENDED</w:t>
            </w:r>
          </w:p>
        </w:tc>
        <w:tc>
          <w:tcPr>
            <w:tcW w:w="164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340" w:type="dxa"/>
            <w:vAlign w:val="bottom"/>
            <w:tcBorders>
              <w:bottom w:val="single" w:sz="8" w:color="auto"/>
            </w:tcBorders>
            <w:gridSpan w:val="3"/>
          </w:tcPr>
          <w:p>
            <w:pPr>
              <w:jc w:val="right"/>
              <w:ind w:right="1162"/>
              <w:spacing w:after="0"/>
              <w:rPr>
                <w:sz w:val="20"/>
                <w:szCs w:val="20"/>
                <w:color w:val="auto"/>
              </w:rPr>
            </w:pPr>
            <w:r>
              <w:rPr>
                <w:rFonts w:ascii="Arial" w:cs="Arial" w:eastAsia="Arial" w:hAnsi="Arial"/>
                <w:sz w:val="14"/>
                <w:szCs w:val="14"/>
                <w:b w:val="1"/>
                <w:bCs w:val="1"/>
                <w:color w:val="auto"/>
              </w:rPr>
              <w:t>JULY 1, 2018</w:t>
            </w:r>
          </w:p>
        </w:tc>
        <w:tc>
          <w:tcPr>
            <w:tcW w:w="120" w:type="dxa"/>
            <w:vAlign w:val="bottom"/>
          </w:tcPr>
          <w:p>
            <w:pPr>
              <w:spacing w:after="0"/>
              <w:rPr>
                <w:sz w:val="22"/>
                <w:szCs w:val="22"/>
                <w:color w:val="auto"/>
              </w:rPr>
            </w:pPr>
          </w:p>
        </w:tc>
        <w:tc>
          <w:tcPr>
            <w:tcW w:w="3360" w:type="dxa"/>
            <w:vAlign w:val="bottom"/>
            <w:tcBorders>
              <w:bottom w:val="single" w:sz="8" w:color="auto"/>
            </w:tcBorders>
            <w:gridSpan w:val="3"/>
          </w:tcPr>
          <w:p>
            <w:pPr>
              <w:jc w:val="right"/>
              <w:ind w:right="1140"/>
              <w:spacing w:after="0"/>
              <w:rPr>
                <w:sz w:val="20"/>
                <w:szCs w:val="20"/>
                <w:color w:val="auto"/>
              </w:rPr>
            </w:pPr>
            <w:r>
              <w:rPr>
                <w:rFonts w:ascii="Arial" w:cs="Arial" w:eastAsia="Arial" w:hAnsi="Arial"/>
                <w:sz w:val="14"/>
                <w:szCs w:val="14"/>
                <w:b w:val="1"/>
                <w:bCs w:val="1"/>
                <w:color w:val="auto"/>
              </w:rPr>
              <w:t>JUNE 25, 2017</w:t>
            </w:r>
          </w:p>
        </w:tc>
      </w:tr>
      <w:tr>
        <w:trPr>
          <w:trHeight w:val="264"/>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U.S. GAAP</w:t>
            </w:r>
          </w:p>
        </w:tc>
        <w:tc>
          <w:tcPr>
            <w:tcW w:w="1740" w:type="dxa"/>
            <w:vAlign w:val="bottom"/>
            <w:gridSpan w:val="2"/>
          </w:tcPr>
          <w:p>
            <w:pPr>
              <w:ind w:left="340"/>
              <w:spacing w:after="0"/>
              <w:rPr>
                <w:sz w:val="20"/>
                <w:szCs w:val="20"/>
                <w:color w:val="auto"/>
              </w:rPr>
            </w:pPr>
            <w:r>
              <w:rPr>
                <w:rFonts w:ascii="Arial" w:cs="Arial" w:eastAsia="Arial" w:hAnsi="Arial"/>
                <w:sz w:val="14"/>
                <w:szCs w:val="14"/>
                <w:b w:val="1"/>
                <w:bCs w:val="1"/>
                <w:color w:val="auto"/>
              </w:rPr>
              <w:t>ADJUSTED (1)</w:t>
            </w: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U.S. GAAP</w:t>
            </w:r>
          </w:p>
        </w:tc>
        <w:tc>
          <w:tcPr>
            <w:tcW w:w="1640" w:type="dxa"/>
            <w:vAlign w:val="bottom"/>
          </w:tcPr>
          <w:p>
            <w:pPr>
              <w:jc w:val="right"/>
              <w:ind w:right="260"/>
              <w:spacing w:after="0"/>
              <w:rPr>
                <w:sz w:val="20"/>
                <w:szCs w:val="20"/>
                <w:color w:val="auto"/>
              </w:rPr>
            </w:pPr>
            <w:r>
              <w:rPr>
                <w:rFonts w:ascii="Arial" w:cs="Arial" w:eastAsia="Arial" w:hAnsi="Arial"/>
                <w:sz w:val="14"/>
                <w:szCs w:val="14"/>
                <w:b w:val="1"/>
                <w:bCs w:val="1"/>
                <w:color w:val="auto"/>
              </w:rPr>
              <w:t>ADJUSTED (1)</w:t>
            </w:r>
          </w:p>
        </w:tc>
      </w:tr>
      <w:tr>
        <w:trPr>
          <w:trHeight w:val="237"/>
        </w:trPr>
        <w:tc>
          <w:tcPr>
            <w:tcW w:w="20" w:type="dxa"/>
            <w:vAlign w:val="bottom"/>
          </w:tcPr>
          <w:p>
            <w:pPr>
              <w:spacing w:after="0"/>
              <w:rPr>
                <w:sz w:val="20"/>
                <w:szCs w:val="20"/>
                <w:color w:val="auto"/>
              </w:rPr>
            </w:pPr>
          </w:p>
        </w:tc>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 sales</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9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r>
      <w:tr>
        <w:trPr>
          <w:trHeight w:val="237"/>
        </w:trPr>
        <w:tc>
          <w:tcPr>
            <w:tcW w:w="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6"/>
                <w:szCs w:val="16"/>
                <w:color w:val="auto"/>
              </w:rPr>
              <w:t>Labor and other related</w:t>
            </w:r>
          </w:p>
        </w:tc>
        <w:tc>
          <w:tcPr>
            <w:tcW w:w="162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33"/>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9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Restaurant-level operating margin</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193"/>
        </w:trPr>
        <w:tc>
          <w:tcPr>
            <w:tcW w:w="2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_________________</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r>
    </w:tbl>
    <w:p>
      <w:pPr>
        <w:ind w:left="660" w:hanging="652"/>
        <w:spacing w:after="0" w:line="257"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Includes adjustments recorded in Other restaurant operating for the following activities, as described in the </w:t>
      </w:r>
      <w:r>
        <w:rPr>
          <w:rFonts w:ascii="Arial" w:cs="Arial" w:eastAsia="Arial" w:hAnsi="Arial"/>
          <w:sz w:val="16"/>
          <w:szCs w:val="16"/>
          <w:i w:val="1"/>
          <w:iCs w:val="1"/>
          <w:color w:val="auto"/>
        </w:rPr>
        <w:t>Adjusted income from operations, Adjusted net 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Adjusted diluted earnings per share </w:t>
      </w:r>
      <w:r>
        <w:rPr>
          <w:rFonts w:ascii="Arial" w:cs="Arial" w:eastAsia="Arial" w:hAnsi="Arial"/>
          <w:sz w:val="16"/>
          <w:szCs w:val="16"/>
          <w:color w:val="auto"/>
        </w:rPr>
        <w:t>table below:</w:t>
      </w:r>
    </w:p>
    <w:p>
      <w:pPr>
        <w:spacing w:after="0" w:line="95" w:lineRule="exact"/>
        <w:rPr>
          <w:sz w:val="20"/>
          <w:szCs w:val="20"/>
          <w:color w:val="auto"/>
        </w:rPr>
      </w:pPr>
    </w:p>
    <w:tbl>
      <w:tblPr>
        <w:tblLayout w:type="fixed"/>
        <w:tblInd w:w="1050" w:type="dxa"/>
        <w:tblCellMar>
          <w:top w:w="0" w:type="dxa"/>
          <w:left w:w="0" w:type="dxa"/>
          <w:bottom w:w="0" w:type="dxa"/>
          <w:right w:w="0" w:type="dxa"/>
        </w:tblCellMar>
      </w:tblPr>
      <w:tr>
        <w:trPr>
          <w:trHeight w:val="277"/>
        </w:trPr>
        <w:tc>
          <w:tcPr>
            <w:tcW w:w="4860" w:type="dxa"/>
            <w:vAlign w:val="bottom"/>
            <w:tcBorders>
              <w:top w:val="single" w:sz="8" w:color="auto"/>
              <w:left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360" w:type="dxa"/>
            <w:vAlign w:val="bottom"/>
            <w:tcBorders>
              <w:top w:val="single" w:sz="8" w:color="auto"/>
              <w:bottom w:val="single" w:sz="8" w:color="auto"/>
            </w:tcBorders>
            <w:gridSpan w:val="4"/>
          </w:tcPr>
          <w:p>
            <w:pPr>
              <w:jc w:val="right"/>
              <w:ind w:right="242"/>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380" w:type="dxa"/>
            <w:vAlign w:val="bottom"/>
            <w:tcBorders>
              <w:top w:val="single" w:sz="8" w:color="auto"/>
              <w:bottom w:val="single" w:sz="8" w:color="auto"/>
              <w:right w:val="single" w:sz="8" w:color="auto"/>
            </w:tcBorders>
            <w:gridSpan w:val="4"/>
          </w:tcPr>
          <w:p>
            <w:pPr>
              <w:jc w:val="right"/>
              <w:ind w:right="182"/>
              <w:spacing w:after="0"/>
              <w:rPr>
                <w:sz w:val="20"/>
                <w:szCs w:val="20"/>
                <w:color w:val="auto"/>
              </w:rPr>
            </w:pPr>
            <w:r>
              <w:rPr>
                <w:rFonts w:ascii="Arial" w:cs="Arial" w:eastAsia="Arial" w:hAnsi="Arial"/>
                <w:sz w:val="14"/>
                <w:szCs w:val="14"/>
                <w:b w:val="1"/>
                <w:bCs w:val="1"/>
                <w:color w:val="auto"/>
              </w:rPr>
              <w:t>TWENTY-SIX WEEKS ENDED</w:t>
            </w:r>
          </w:p>
        </w:tc>
      </w:tr>
      <w:tr>
        <w:trPr>
          <w:trHeight w:val="264"/>
        </w:trPr>
        <w:tc>
          <w:tcPr>
            <w:tcW w:w="4860" w:type="dxa"/>
            <w:vAlign w:val="bottom"/>
            <w:tcBorders>
              <w:left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22"/>
                <w:szCs w:val="22"/>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JULY 1, 2018</w:t>
            </w:r>
          </w:p>
        </w:tc>
        <w:tc>
          <w:tcPr>
            <w:tcW w:w="120" w:type="dxa"/>
            <w:vAlign w:val="bottom"/>
          </w:tcPr>
          <w:p>
            <w:pPr>
              <w:spacing w:after="0"/>
              <w:rPr>
                <w:sz w:val="22"/>
                <w:szCs w:val="22"/>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25, 2017</w:t>
            </w:r>
          </w:p>
        </w:tc>
        <w:tc>
          <w:tcPr>
            <w:tcW w:w="160" w:type="dxa"/>
            <w:vAlign w:val="bottom"/>
          </w:tcPr>
          <w:p>
            <w:pPr>
              <w:spacing w:after="0"/>
              <w:rPr>
                <w:sz w:val="22"/>
                <w:szCs w:val="22"/>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JULY 1, 2018</w:t>
            </w:r>
          </w:p>
        </w:tc>
        <w:tc>
          <w:tcPr>
            <w:tcW w:w="120" w:type="dxa"/>
            <w:vAlign w:val="bottom"/>
          </w:tcPr>
          <w:p>
            <w:pPr>
              <w:spacing w:after="0"/>
              <w:rPr>
                <w:sz w:val="22"/>
                <w:szCs w:val="22"/>
                <w:color w:val="auto"/>
              </w:rPr>
            </w:pPr>
          </w:p>
        </w:tc>
        <w:tc>
          <w:tcPr>
            <w:tcW w:w="1100" w:type="dxa"/>
            <w:vAlign w:val="bottom"/>
            <w:tcBorders>
              <w:right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6"/>
              </w:rPr>
              <w:t>JUNE 25, 2017</w:t>
            </w:r>
          </w:p>
        </w:tc>
      </w:tr>
      <w:tr>
        <w:trPr>
          <w:trHeight w:val="237"/>
        </w:trPr>
        <w:tc>
          <w:tcPr>
            <w:tcW w:w="4860" w:type="dxa"/>
            <w:vAlign w:val="bottom"/>
            <w:tcBorders>
              <w:top w:val="single" w:sz="8" w:color="CCEEFF"/>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Restaurant and asset impairments and closing costs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CCEEFF"/>
              <w:right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4.8</w:t>
            </w:r>
          </w:p>
        </w:tc>
      </w:tr>
      <w:tr>
        <w:trPr>
          <w:trHeight w:val="237"/>
        </w:trPr>
        <w:tc>
          <w:tcPr>
            <w:tcW w:w="486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Restaurant relocations and related costs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3"/>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3"/>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right w:val="single" w:sz="8" w:color="auto"/>
            </w:tcBorders>
          </w:tcPr>
          <w:p>
            <w:pPr>
              <w:jc w:val="right"/>
              <w:ind w:right="42"/>
              <w:spacing w:after="0"/>
              <w:rPr>
                <w:sz w:val="20"/>
                <w:szCs w:val="20"/>
                <w:color w:val="auto"/>
              </w:rPr>
            </w:pPr>
            <w:r>
              <w:rPr>
                <w:rFonts w:ascii="Arial" w:cs="Arial" w:eastAsia="Arial" w:hAnsi="Arial"/>
                <w:sz w:val="16"/>
                <w:szCs w:val="16"/>
                <w:color w:val="auto"/>
              </w:rPr>
              <w:t>0.5</w:t>
            </w:r>
          </w:p>
        </w:tc>
      </w:tr>
      <w:tr>
        <w:trPr>
          <w:trHeight w:val="33"/>
        </w:trPr>
        <w:tc>
          <w:tcPr>
            <w:tcW w:w="486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income from operations, Adjusted net income and Adjusted diluted earnings per share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20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25, 2017</w:t>
            </w:r>
          </w:p>
        </w:tc>
        <w:tc>
          <w:tcPr>
            <w:tcW w:w="200" w:type="dxa"/>
            <w:vAlign w:val="bottom"/>
          </w:tcPr>
          <w:p>
            <w:pPr>
              <w:spacing w:after="0"/>
              <w:rPr>
                <w:sz w:val="22"/>
                <w:szCs w:val="22"/>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220" w:type="dxa"/>
            <w:vAlign w:val="bottom"/>
          </w:tcPr>
          <w:p>
            <w:pPr>
              <w:jc w:val="right"/>
              <w:ind w:right="159"/>
              <w:spacing w:after="0"/>
              <w:rPr>
                <w:sz w:val="20"/>
                <w:szCs w:val="20"/>
                <w:color w:val="auto"/>
              </w:rPr>
            </w:pPr>
            <w:r>
              <w:rPr>
                <w:rFonts w:ascii="Arial" w:cs="Arial" w:eastAsia="Arial" w:hAnsi="Arial"/>
                <w:sz w:val="14"/>
                <w:szCs w:val="14"/>
                <w:b w:val="1"/>
                <w:bCs w:val="1"/>
                <w:color w:val="auto"/>
              </w:rPr>
              <w:t>JUNE 25, 2017</w:t>
            </w:r>
          </w:p>
        </w:tc>
        <w:tc>
          <w:tcPr>
            <w:tcW w:w="0" w:type="dxa"/>
            <w:vAlign w:val="bottom"/>
          </w:tcPr>
          <w:p>
            <w:pPr>
              <w:spacing w:after="0"/>
              <w:rPr>
                <w:sz w:val="1"/>
                <w:szCs w:val="1"/>
                <w:color w:val="auto"/>
              </w:rPr>
            </w:pPr>
          </w:p>
        </w:tc>
      </w:tr>
      <w:tr>
        <w:trPr>
          <w:trHeight w:val="237"/>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32,924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41,342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111,295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118,176</w:t>
            </w:r>
          </w:p>
        </w:tc>
        <w:tc>
          <w:tcPr>
            <w:tcW w:w="0" w:type="dxa"/>
            <w:vAlign w:val="bottom"/>
          </w:tcPr>
          <w:p>
            <w:pPr>
              <w:spacing w:after="0"/>
              <w:rPr>
                <w:sz w:val="1"/>
                <w:szCs w:val="1"/>
                <w:color w:val="auto"/>
              </w:rPr>
            </w:pPr>
          </w:p>
        </w:tc>
      </w:tr>
      <w:tr>
        <w:trPr>
          <w:trHeight w:val="237"/>
        </w:trPr>
        <w:tc>
          <w:tcPr>
            <w:tcW w:w="5500" w:type="dxa"/>
            <w:vAlign w:val="bottom"/>
          </w:tcPr>
          <w:p>
            <w:pPr>
              <w:ind w:left="180"/>
              <w:spacing w:after="0"/>
              <w:rPr>
                <w:sz w:val="20"/>
                <w:szCs w:val="20"/>
                <w:color w:val="auto"/>
              </w:rPr>
            </w:pPr>
            <w:r>
              <w:rPr>
                <w:rFonts w:ascii="Arial" w:cs="Arial" w:eastAsia="Arial" w:hAnsi="Arial"/>
                <w:sz w:val="16"/>
                <w:szCs w:val="16"/>
                <w:i w:val="1"/>
                <w:iCs w:val="1"/>
                <w:color w:val="auto"/>
              </w:rPr>
              <w:t>Operating income margin</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180"/>
              <w:spacing w:after="0"/>
              <w:rPr>
                <w:sz w:val="20"/>
                <w:szCs w:val="20"/>
                <w:color w:val="auto"/>
              </w:rPr>
            </w:pPr>
            <w:r>
              <w:rPr>
                <w:rFonts w:ascii="Arial" w:cs="Arial" w:eastAsia="Arial" w:hAnsi="Arial"/>
                <w:sz w:val="16"/>
                <w:szCs w:val="16"/>
                <w:color w:val="auto"/>
              </w:rPr>
              <w:t>Restaurant and asset impairments and closing costs (1)</w:t>
            </w:r>
          </w:p>
        </w:tc>
        <w:tc>
          <w:tcPr>
            <w:tcW w:w="200" w:type="dxa"/>
            <w:vAlign w:val="bottom"/>
          </w:tcPr>
          <w:p>
            <w:pPr>
              <w:spacing w:after="0"/>
              <w:rPr>
                <w:sz w:val="20"/>
                <w:szCs w:val="20"/>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7,886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9,181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16,199</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Restaurant relocations and related costs (2)</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3,078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4,358</w:t>
            </w:r>
          </w:p>
        </w:tc>
        <w:tc>
          <w:tcPr>
            <w:tcW w:w="0" w:type="dxa"/>
            <w:vAlign w:val="bottom"/>
          </w:tcPr>
          <w:p>
            <w:pPr>
              <w:spacing w:after="0"/>
              <w:rPr>
                <w:sz w:val="1"/>
                <w:szCs w:val="1"/>
                <w:color w:val="auto"/>
              </w:rPr>
            </w:pPr>
          </w:p>
        </w:tc>
      </w:tr>
      <w:tr>
        <w:trPr>
          <w:trHeight w:val="237"/>
        </w:trPr>
        <w:tc>
          <w:tcPr>
            <w:tcW w:w="5500" w:type="dxa"/>
            <w:vAlign w:val="bottom"/>
          </w:tcPr>
          <w:p>
            <w:pPr>
              <w:ind w:left="180"/>
              <w:spacing w:after="0"/>
              <w:rPr>
                <w:sz w:val="20"/>
                <w:szCs w:val="20"/>
                <w:color w:val="auto"/>
              </w:rPr>
            </w:pPr>
            <w:r>
              <w:rPr>
                <w:rFonts w:ascii="Arial" w:cs="Arial" w:eastAsia="Arial" w:hAnsi="Arial"/>
                <w:sz w:val="16"/>
                <w:szCs w:val="16"/>
                <w:color w:val="auto"/>
              </w:rPr>
              <w:t>Legal and contingent matters</w:t>
            </w:r>
          </w:p>
        </w:tc>
        <w:tc>
          <w:tcPr>
            <w:tcW w:w="200" w:type="dxa"/>
            <w:vAlign w:val="bottom"/>
          </w:tcPr>
          <w:p>
            <w:pPr>
              <w:spacing w:after="0"/>
              <w:rPr>
                <w:sz w:val="20"/>
                <w:szCs w:val="20"/>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758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Severance (3)</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500" w:type="dxa"/>
            <w:vAlign w:val="bottom"/>
          </w:tcPr>
          <w:p>
            <w:pPr>
              <w:ind w:left="180"/>
              <w:spacing w:after="0"/>
              <w:rPr>
                <w:sz w:val="20"/>
                <w:szCs w:val="20"/>
                <w:color w:val="auto"/>
              </w:rPr>
            </w:pPr>
            <w:r>
              <w:rPr>
                <w:rFonts w:ascii="Arial" w:cs="Arial" w:eastAsia="Arial" w:hAnsi="Arial"/>
                <w:sz w:val="16"/>
                <w:szCs w:val="16"/>
                <w:color w:val="auto"/>
              </w:rPr>
              <w:t>Transaction-related expenses (4)</w:t>
            </w:r>
          </w:p>
        </w:tc>
        <w:tc>
          <w:tcPr>
            <w:tcW w:w="200" w:type="dxa"/>
            <w:vAlign w:val="bottom"/>
          </w:tcPr>
          <w:p>
            <w:pPr>
              <w:spacing w:after="0"/>
              <w:rPr>
                <w:sz w:val="23"/>
                <w:szCs w:val="23"/>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1,240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1,447</w:t>
            </w:r>
          </w:p>
        </w:tc>
        <w:tc>
          <w:tcPr>
            <w:tcW w:w="0" w:type="dxa"/>
            <w:vAlign w:val="bottom"/>
          </w:tcPr>
          <w:p>
            <w:pPr>
              <w:spacing w:after="0"/>
              <w:rPr>
                <w:sz w:val="1"/>
                <w:szCs w:val="1"/>
                <w:color w:val="auto"/>
              </w:rPr>
            </w:pPr>
          </w:p>
        </w:tc>
      </w:tr>
      <w:tr>
        <w:trPr>
          <w:trHeight w:val="257"/>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income from operations adjustments</w:t>
            </w: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20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9,527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4,193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20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13,982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22,004</w:t>
            </w:r>
          </w:p>
        </w:tc>
        <w:tc>
          <w:tcPr>
            <w:tcW w:w="0" w:type="dxa"/>
            <w:vAlign w:val="bottom"/>
          </w:tcPr>
          <w:p>
            <w:pPr>
              <w:spacing w:after="0"/>
              <w:rPr>
                <w:sz w:val="1"/>
                <w:szCs w:val="1"/>
                <w:color w:val="auto"/>
              </w:rPr>
            </w:pPr>
          </w:p>
        </w:tc>
      </w:tr>
      <w:tr>
        <w:trPr>
          <w:trHeight w:val="270"/>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income from operations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42,451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45,535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125,277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140,180</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Adjusted operating income margin</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97"/>
        </w:trPr>
        <w:tc>
          <w:tcPr>
            <w:tcW w:w="5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26,721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92,119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83,758</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operations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9,527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13,982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22,004</w:t>
            </w:r>
          </w:p>
        </w:tc>
        <w:tc>
          <w:tcPr>
            <w:tcW w:w="0" w:type="dxa"/>
            <w:vAlign w:val="bottom"/>
          </w:tcPr>
          <w:p>
            <w:pPr>
              <w:spacing w:after="0"/>
              <w:rPr>
                <w:sz w:val="1"/>
                <w:szCs w:val="1"/>
                <w:color w:val="auto"/>
              </w:rPr>
            </w:pPr>
          </w:p>
        </w:tc>
      </w:tr>
      <w:tr>
        <w:trPr>
          <w:trHeight w:val="237"/>
        </w:trPr>
        <w:tc>
          <w:tcPr>
            <w:tcW w:w="5500" w:type="dxa"/>
            <w:vAlign w:val="bottom"/>
          </w:tcPr>
          <w:p>
            <w:pPr>
              <w:ind w:left="180"/>
              <w:spacing w:after="0"/>
              <w:rPr>
                <w:sz w:val="20"/>
                <w:szCs w:val="20"/>
                <w:color w:val="auto"/>
              </w:rPr>
            </w:pPr>
            <w:r>
              <w:rPr>
                <w:rFonts w:ascii="Arial" w:cs="Arial" w:eastAsia="Arial" w:hAnsi="Arial"/>
                <w:sz w:val="16"/>
                <w:szCs w:val="16"/>
                <w:color w:val="auto"/>
              </w:rPr>
              <w:t>Gain on disposal of business and other costs (5)</w:t>
            </w:r>
          </w:p>
        </w:tc>
        <w:tc>
          <w:tcPr>
            <w:tcW w:w="20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(7,284)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(7,284)</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extinguishment and modification of debt</w:t>
            </w:r>
          </w:p>
        </w:tc>
        <w:tc>
          <w:tcPr>
            <w:tcW w:w="2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24"/>
        </w:trPr>
        <w:tc>
          <w:tcPr>
            <w:tcW w:w="55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Total adjustments, before income taxes</w:t>
            </w: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9,527</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(2,831)</w:t>
            </w: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13,982</w:t>
            </w: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14,980</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 to (benefit) provision for income taxes (6)</w:t>
            </w:r>
          </w:p>
        </w:tc>
        <w:tc>
          <w:tcPr>
            <w:tcW w:w="2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(8,944)</w:t>
            </w:r>
          </w:p>
        </w:tc>
        <w:tc>
          <w:tcPr>
            <w:tcW w:w="0" w:type="dxa"/>
            <w:vAlign w:val="bottom"/>
          </w:tcPr>
          <w:p>
            <w:pPr>
              <w:spacing w:after="0"/>
              <w:rPr>
                <w:sz w:val="1"/>
                <w:szCs w:val="1"/>
                <w:color w:val="auto"/>
              </w:rPr>
            </w:pPr>
          </w:p>
        </w:tc>
      </w:tr>
      <w:tr>
        <w:trPr>
          <w:trHeight w:val="270"/>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adjustments</w:t>
            </w: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9,089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(7,356)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11,863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6,036</w:t>
            </w: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35,810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27,777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103,982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89,794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0.97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0.80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diluted earnings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0.38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0.27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0.86</w:t>
            </w:r>
          </w:p>
        </w:tc>
        <w:tc>
          <w:tcPr>
            <w:tcW w:w="0" w:type="dxa"/>
            <w:vAlign w:val="bottom"/>
          </w:tcPr>
          <w:p>
            <w:pPr>
              <w:spacing w:after="0"/>
              <w:rPr>
                <w:sz w:val="1"/>
                <w:szCs w:val="1"/>
                <w:color w:val="auto"/>
              </w:rPr>
            </w:pPr>
          </w:p>
        </w:tc>
      </w:tr>
      <w:tr>
        <w:trPr>
          <w:trHeight w:val="284"/>
        </w:trPr>
        <w:tc>
          <w:tcPr>
            <w:tcW w:w="55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Pr>
          <w:p>
            <w:pPr>
              <w:ind w:left="40"/>
              <w:spacing w:after="0"/>
              <w:rPr>
                <w:sz w:val="20"/>
                <w:szCs w:val="20"/>
                <w:color w:val="auto"/>
              </w:rPr>
            </w:pPr>
            <w:r>
              <w:rPr>
                <w:rFonts w:ascii="Arial" w:cs="Arial" w:eastAsia="Arial" w:hAnsi="Arial"/>
                <w:sz w:val="16"/>
                <w:szCs w:val="16"/>
                <w:color w:val="auto"/>
              </w:rPr>
              <w:t>Diluted weighted average common shares outstanding</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94,361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102,421</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95,072</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104,417</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6"/>
                <w:szCs w:val="16"/>
                <w:color w:val="auto"/>
              </w:rPr>
              <w:t>_________________</w:t>
            </w: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5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right="20" w:hanging="652"/>
        <w:spacing w:after="0" w:line="246"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Represents asset impairment charges and related costs primarily associated with approved closure and restructuring initiatives, and the restructuring of certain international markets.</w:t>
      </w:r>
    </w:p>
    <w:p>
      <w:pPr>
        <w:ind w:left="660" w:hanging="652"/>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Represents asset impairment charges and accelerated depreciation incurred in connection with our relocation program.</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Relates to severance expense incurred primarily as a result of restructuring of certain functions.</w:t>
      </w:r>
    </w:p>
    <w:p>
      <w:pPr>
        <w:spacing w:after="0" w:line="5" w:lineRule="exact"/>
        <w:rPr>
          <w:rFonts w:ascii="Arial" w:cs="Arial" w:eastAsia="Arial" w:hAnsi="Arial"/>
          <w:sz w:val="16"/>
          <w:szCs w:val="16"/>
          <w:color w:val="auto"/>
        </w:rPr>
      </w:pPr>
    </w:p>
    <w:p>
      <w:pPr>
        <w:ind w:left="660" w:right="20" w:hanging="652"/>
        <w:spacing w:after="0" w:line="246"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Relates primarily to professional fees related to certain income tax items in which the associated tax benefit is adjusted in Adjustments to provision for income taxes, as described in footnote 6 below.</w:t>
      </w:r>
    </w:p>
    <w:p>
      <w:pPr>
        <w:ind w:left="660" w:hanging="652"/>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Primarily relates to the sale of 54 U.S. Company-owned restaurants to existing franchisees in 2017.</w:t>
      </w:r>
    </w:p>
    <w:p>
      <w:pPr>
        <w:spacing w:after="0" w:line="5" w:lineRule="exact"/>
        <w:rPr>
          <w:rFonts w:ascii="Arial" w:cs="Arial" w:eastAsia="Arial" w:hAnsi="Arial"/>
          <w:sz w:val="16"/>
          <w:szCs w:val="16"/>
          <w:color w:val="auto"/>
        </w:rPr>
      </w:pPr>
    </w:p>
    <w:p>
      <w:pPr>
        <w:ind w:left="660" w:right="20" w:hanging="652"/>
        <w:spacing w:after="0" w:line="257"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Represents income tax effect of the adjustments for the periods presented. Adjustments include the impact of excluding $4.6 million of discrete income tax items for the thirteen and twenty-six weeks ended June 25, 2017.</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LIQUIDITY</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Our liquidity sources consist of cash flow from our operations, cash and cash equivalents and credit capacity under our credit facilities. We expect to use cash primarily for general operating expenses, share repurchases and dividend payments, remodeling or relocating older restaurants, principal and interest payments on our debt, development of new restaurants and new markets, obligations related to our deferred compensation plans and investments in technology.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1" w:right="239" w:bottom="1440" w:gutter="0" w:footer="0" w:header="0"/>
          <w:type w:val="continuous"/>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believe that our expected liquidity sources are adequate to fund debt service requirements, lease obligations, capital expenditures and working capital obligations for at least the next 12 months. However, our ability to continue to meet these requirements and obligations will depend on, among other things, our ability to achieve anticipated levels of revenue and cash flow and our ability to manage costs and working capital successfully.</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Cash and Cash Equivalents </w:t>
      </w:r>
      <w:r>
        <w:rPr>
          <w:rFonts w:ascii="Arial" w:cs="Arial" w:eastAsia="Arial" w:hAnsi="Arial"/>
          <w:sz w:val="20"/>
          <w:szCs w:val="20"/>
          <w:color w:val="auto"/>
        </w:rPr>
        <w:t>- As of July 1, 2018, we had $81.7 million in cash and cash equivalents, of which $25.9 million was held by</w:t>
      </w:r>
      <w:r>
        <w:rPr>
          <w:rFonts w:ascii="Arial" w:cs="Arial" w:eastAsia="Arial" w:hAnsi="Arial"/>
          <w:sz w:val="20"/>
          <w:szCs w:val="20"/>
          <w:i w:val="1"/>
          <w:iCs w:val="1"/>
          <w:color w:val="auto"/>
        </w:rPr>
        <w:t xml:space="preserve"> </w:t>
      </w:r>
      <w:r>
        <w:rPr>
          <w:rFonts w:ascii="Arial" w:cs="Arial" w:eastAsia="Arial" w:hAnsi="Arial"/>
          <w:sz w:val="20"/>
          <w:szCs w:val="20"/>
          <w:color w:val="auto"/>
        </w:rPr>
        <w:t>foreign affiliates. The international jurisdictions in which we have significant cash do not have any known restrictions that would prohibit the repatriation of cash and cash equivalents.</w:t>
      </w:r>
    </w:p>
    <w:p>
      <w:pPr>
        <w:spacing w:after="0" w:line="20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We previously considered the earnings in our non-U.S. subsidiaries to be indefinitely reinvested and, accordingly, recorded no deferred income taxes. Given the Tax Act’s significant changes and potential opportunities to repatriate cash free of U.S. federal tax, we continue to evaluate our current permanent reinvestment assertions. This evaluation includes the repatriation of historical earnings (2017 and prior) that have been previously taxed under the Tax Act. See Note 12 - </w:t>
      </w:r>
      <w:r>
        <w:rPr>
          <w:rFonts w:ascii="Arial" w:cs="Arial" w:eastAsia="Arial" w:hAnsi="Arial"/>
          <w:sz w:val="20"/>
          <w:szCs w:val="20"/>
          <w:i w:val="1"/>
          <w:iCs w:val="1"/>
          <w:color w:val="auto"/>
        </w:rPr>
        <w:t>Income Taxes</w:t>
      </w:r>
      <w:r>
        <w:rPr>
          <w:rFonts w:ascii="Arial" w:cs="Arial" w:eastAsia="Arial" w:hAnsi="Arial"/>
          <w:sz w:val="20"/>
          <w:szCs w:val="20"/>
          <w:color w:val="auto"/>
        </w:rPr>
        <w:t xml:space="preserve"> of the Notes to Consolidated Financial Statements for further information regarding the Tax Act.</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As of July 1, 2018, we had aggregate E&amp;P from foreign subsidiaries of approximately $122.9 million, which is considered previously taxed income subsequent to the Tax Act. We currently consider the remaining financial statement carrying amounts over the tax basis of our investments in our foreign subsidiaries to be indefinitely reinvested and have not recorded a deferred tax liability. The determination of any unrecorded deferred tax liability on this amount is not practicable due to the uncertainty of how these investments would be recovered.</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Closure Initiatives </w:t>
      </w:r>
      <w:r>
        <w:rPr>
          <w:rFonts w:ascii="Arial" w:cs="Arial" w:eastAsia="Arial" w:hAnsi="Arial"/>
          <w:sz w:val="19"/>
          <w:szCs w:val="19"/>
          <w:color w:val="auto"/>
        </w:rPr>
        <w:t>- Total aggregate future undiscounted cash expenditures of $22.3 million to $27.4 million for the Closure Initiatives,</w:t>
      </w:r>
      <w:r>
        <w:rPr>
          <w:rFonts w:ascii="Arial" w:cs="Arial" w:eastAsia="Arial" w:hAnsi="Arial"/>
          <w:sz w:val="19"/>
          <w:szCs w:val="19"/>
          <w:i w:val="1"/>
          <w:iCs w:val="1"/>
          <w:color w:val="auto"/>
        </w:rPr>
        <w:t xml:space="preserve"> </w:t>
      </w:r>
      <w:r>
        <w:rPr>
          <w:rFonts w:ascii="Arial" w:cs="Arial" w:eastAsia="Arial" w:hAnsi="Arial"/>
          <w:sz w:val="19"/>
          <w:szCs w:val="19"/>
          <w:color w:val="auto"/>
        </w:rPr>
        <w:t>primarily related to lease liabilities, are expected to occur over the remaining lease terms with the final term ending in January 2029.</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Capital Expenditures </w:t>
      </w:r>
      <w:r>
        <w:rPr>
          <w:rFonts w:ascii="Arial" w:cs="Arial" w:eastAsia="Arial" w:hAnsi="Arial"/>
          <w:sz w:val="20"/>
          <w:szCs w:val="20"/>
          <w:color w:val="auto"/>
        </w:rPr>
        <w:t>- We estimate that our capital expenditures will total approximately $200.0 million in 2018. The amount of actual capital</w:t>
      </w:r>
      <w:r>
        <w:rPr>
          <w:rFonts w:ascii="Arial" w:cs="Arial" w:eastAsia="Arial" w:hAnsi="Arial"/>
          <w:sz w:val="20"/>
          <w:szCs w:val="20"/>
          <w:i w:val="1"/>
          <w:iCs w:val="1"/>
          <w:color w:val="auto"/>
        </w:rPr>
        <w:t xml:space="preserve"> </w:t>
      </w:r>
      <w:r>
        <w:rPr>
          <w:rFonts w:ascii="Arial" w:cs="Arial" w:eastAsia="Arial" w:hAnsi="Arial"/>
          <w:sz w:val="20"/>
          <w:szCs w:val="20"/>
          <w:color w:val="auto"/>
        </w:rPr>
        <w:t>expenditures may be affected by general economic, financial, competitive, legislative and regulatory factors, among other things, including restrictions imposed by our borrowing arrangements.</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Credit Facilities </w:t>
      </w:r>
      <w:r>
        <w:rPr>
          <w:rFonts w:ascii="Arial" w:cs="Arial" w:eastAsia="Arial" w:hAnsi="Arial"/>
          <w:sz w:val="20"/>
          <w:szCs w:val="20"/>
          <w:color w:val="auto"/>
        </w:rPr>
        <w:t>- As of July 1, 2018, we had $1.1 billion of outstanding borrowings under our Senior Secured Credit Facility. Following is a</w:t>
      </w:r>
      <w:r>
        <w:rPr>
          <w:rFonts w:ascii="Arial" w:cs="Arial" w:eastAsia="Arial" w:hAnsi="Arial"/>
          <w:sz w:val="20"/>
          <w:szCs w:val="20"/>
          <w:i w:val="1"/>
          <w:iCs w:val="1"/>
          <w:color w:val="auto"/>
        </w:rPr>
        <w:t xml:space="preserve"> </w:t>
      </w:r>
      <w:r>
        <w:rPr>
          <w:rFonts w:ascii="Arial" w:cs="Arial" w:eastAsia="Arial" w:hAnsi="Arial"/>
          <w:sz w:val="20"/>
          <w:szCs w:val="20"/>
          <w:color w:val="auto"/>
        </w:rPr>
        <w:t>summary of principal payments and debt issuance from December 31, 2017 to July 1,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gridSpan w:val="5"/>
          </w:tcPr>
          <w:p>
            <w:pPr>
              <w:ind w:left="260"/>
              <w:spacing w:after="0"/>
              <w:rPr>
                <w:sz w:val="20"/>
                <w:szCs w:val="20"/>
                <w:color w:val="auto"/>
              </w:rPr>
            </w:pPr>
            <w:r>
              <w:rPr>
                <w:rFonts w:ascii="Arial" w:cs="Arial" w:eastAsia="Arial" w:hAnsi="Arial"/>
                <w:sz w:val="14"/>
                <w:szCs w:val="14"/>
                <w:b w:val="1"/>
                <w:bCs w:val="1"/>
                <w:color w:val="auto"/>
              </w:rPr>
              <w:t>SENIOR SECURED CREDIT FACILITY</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28"/>
        </w:trPr>
        <w:tc>
          <w:tcPr>
            <w:tcW w:w="65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rPr>
              <w:t>TOTAL CREDIT</w:t>
            </w:r>
          </w:p>
        </w:tc>
      </w:tr>
      <w:tr>
        <w:trPr>
          <w:trHeight w:val="205"/>
        </w:trPr>
        <w:tc>
          <w:tcPr>
            <w:tcW w:w="65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7"/>
                <w:szCs w:val="17"/>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TERM LOAN A</w:t>
            </w:r>
          </w:p>
        </w:tc>
        <w:tc>
          <w:tcPr>
            <w:tcW w:w="1820" w:type="dxa"/>
            <w:vAlign w:val="bottom"/>
            <w:gridSpan w:val="3"/>
          </w:tcPr>
          <w:p>
            <w:pPr>
              <w:ind w:left="60"/>
              <w:spacing w:after="0"/>
              <w:rPr>
                <w:sz w:val="20"/>
                <w:szCs w:val="20"/>
                <w:color w:val="auto"/>
              </w:rPr>
            </w:pPr>
            <w:r>
              <w:rPr>
                <w:rFonts w:ascii="Arial" w:cs="Arial" w:eastAsia="Arial" w:hAnsi="Arial"/>
                <w:sz w:val="14"/>
                <w:szCs w:val="14"/>
                <w:b w:val="1"/>
                <w:bCs w:val="1"/>
                <w:color w:val="auto"/>
              </w:rPr>
              <w:t>REVOLVING FACILITY</w:t>
            </w:r>
          </w:p>
        </w:tc>
        <w:tc>
          <w:tcPr>
            <w:tcW w:w="160" w:type="dxa"/>
            <w:vAlign w:val="bottom"/>
          </w:tcPr>
          <w:p>
            <w:pPr>
              <w:spacing w:after="0"/>
              <w:rPr>
                <w:sz w:val="17"/>
                <w:szCs w:val="17"/>
                <w:color w:val="auto"/>
              </w:rPr>
            </w:pPr>
          </w:p>
        </w:tc>
        <w:tc>
          <w:tcPr>
            <w:tcW w:w="1080" w:type="dxa"/>
            <w:vAlign w:val="bottom"/>
          </w:tcPr>
          <w:p>
            <w:pPr>
              <w:jc w:val="right"/>
              <w:ind w:right="141"/>
              <w:spacing w:after="0"/>
              <w:rPr>
                <w:sz w:val="20"/>
                <w:szCs w:val="20"/>
                <w:color w:val="auto"/>
              </w:rPr>
            </w:pPr>
            <w:r>
              <w:rPr>
                <w:rFonts w:ascii="Arial" w:cs="Arial" w:eastAsia="Arial" w:hAnsi="Arial"/>
                <w:sz w:val="14"/>
                <w:szCs w:val="14"/>
                <w:b w:val="1"/>
                <w:bCs w:val="1"/>
                <w:color w:val="auto"/>
              </w:rPr>
              <w:t>FACILITIES</w:t>
            </w:r>
          </w:p>
        </w:tc>
      </w:tr>
      <w:tr>
        <w:trPr>
          <w:trHeight w:val="237"/>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2017</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500,000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1,100,000</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2018 new debt</w:t>
            </w:r>
          </w:p>
        </w:tc>
        <w:tc>
          <w:tcPr>
            <w:tcW w:w="22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268,000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268,000</w:t>
            </w:r>
          </w:p>
        </w:tc>
      </w:tr>
      <w:tr>
        <w:trPr>
          <w:trHeight w:val="33"/>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 payments</w:t>
            </w:r>
          </w:p>
        </w:tc>
        <w:tc>
          <w:tcPr>
            <w:tcW w:w="2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(12,500)</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(234,500)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(247,000)</w:t>
            </w: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color w:val="auto"/>
              </w:rPr>
              <w:t>Balance as of July 1, 2018</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487,500</w:t>
            </w:r>
          </w:p>
        </w:tc>
        <w:tc>
          <w:tcPr>
            <w:tcW w:w="120" w:type="dxa"/>
            <w:vAlign w:val="bottom"/>
          </w:tcPr>
          <w:p>
            <w:pPr>
              <w:spacing w:after="0"/>
              <w:rPr>
                <w:sz w:val="21"/>
                <w:szCs w:val="21"/>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633,500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1,121,000</w:t>
            </w: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We continue to evaluate whether we will make further payments of our outstanding debt ahead of scheduled maturities. Following is a summary of our outstanding credit facilities as of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00" w:type="dxa"/>
            <w:vAlign w:val="bottom"/>
          </w:tcPr>
          <w:p>
            <w:pPr>
              <w:spacing w:after="0"/>
              <w:rPr>
                <w:sz w:val="17"/>
                <w:szCs w:val="17"/>
                <w:color w:val="auto"/>
              </w:rPr>
            </w:pPr>
          </w:p>
        </w:tc>
        <w:tc>
          <w:tcPr>
            <w:tcW w:w="17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INTEREST RATE</w:t>
            </w:r>
          </w:p>
        </w:tc>
        <w:tc>
          <w:tcPr>
            <w:tcW w:w="240" w:type="dxa"/>
            <w:vAlign w:val="bottom"/>
          </w:tcPr>
          <w:p>
            <w:pPr>
              <w:spacing w:after="0"/>
              <w:rPr>
                <w:sz w:val="17"/>
                <w:szCs w:val="17"/>
                <w:color w:val="auto"/>
              </w:rPr>
            </w:pPr>
          </w:p>
        </w:tc>
        <w:tc>
          <w:tcPr>
            <w:tcW w:w="1220" w:type="dxa"/>
            <w:vAlign w:val="bottom"/>
            <w:vMerge w:val="restart"/>
          </w:tcPr>
          <w:p>
            <w:pPr>
              <w:jc w:val="right"/>
              <w:ind w:right="283"/>
              <w:spacing w:after="0"/>
              <w:rPr>
                <w:sz w:val="20"/>
                <w:szCs w:val="20"/>
                <w:color w:val="auto"/>
              </w:rPr>
            </w:pPr>
            <w:r>
              <w:rPr>
                <w:rFonts w:ascii="Arial" w:cs="Arial" w:eastAsia="Arial" w:hAnsi="Arial"/>
                <w:sz w:val="14"/>
                <w:szCs w:val="14"/>
                <w:b w:val="1"/>
                <w:bCs w:val="1"/>
                <w:color w:val="auto"/>
              </w:rPr>
              <w:t>ORIGINAL</w:t>
            </w:r>
          </w:p>
        </w:tc>
        <w:tc>
          <w:tcPr>
            <w:tcW w:w="120" w:type="dxa"/>
            <w:vAlign w:val="bottom"/>
          </w:tcPr>
          <w:p>
            <w:pPr>
              <w:spacing w:after="0"/>
              <w:rPr>
                <w:sz w:val="17"/>
                <w:szCs w:val="17"/>
                <w:color w:val="auto"/>
              </w:rPr>
            </w:pP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PRINCIPAL</w:t>
            </w:r>
          </w:p>
        </w:tc>
        <w:tc>
          <w:tcPr>
            <w:tcW w:w="16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1021"/>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58"/>
        </w:trPr>
        <w:tc>
          <w:tcPr>
            <w:tcW w:w="3100" w:type="dxa"/>
            <w:vAlign w:val="bottom"/>
          </w:tcPr>
          <w:p>
            <w:pPr>
              <w:spacing w:after="0"/>
              <w:rPr>
                <w:sz w:val="5"/>
                <w:szCs w:val="5"/>
                <w:color w:val="auto"/>
              </w:rPr>
            </w:pPr>
          </w:p>
        </w:tc>
        <w:tc>
          <w:tcPr>
            <w:tcW w:w="17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31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6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JULY 1, 2018 (1)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FACILITY</w:t>
            </w:r>
          </w:p>
        </w:tc>
        <w:tc>
          <w:tcPr>
            <w:tcW w:w="12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 DATE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7"/>
              </w:rPr>
              <w:t>JULY 1, 2018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Term loan A</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November 2022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487,500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70"/>
        </w:trPr>
        <w:tc>
          <w:tcPr>
            <w:tcW w:w="3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Revolving credit facility</w:t>
            </w: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1,000,000</w:t>
            </w:r>
          </w:p>
        </w:tc>
        <w:tc>
          <w:tcPr>
            <w:tcW w:w="120" w:type="dxa"/>
            <w:vAlign w:val="bottom"/>
            <w:tcBorders>
              <w:bottom w:val="single" w:sz="8" w:color="CCEEFF"/>
            </w:tcBorders>
          </w:tcPr>
          <w:p>
            <w:pPr>
              <w:spacing w:after="0"/>
              <w:rPr>
                <w:sz w:val="23"/>
                <w:szCs w:val="23"/>
                <w:color w:val="auto"/>
              </w:rPr>
            </w:pPr>
          </w:p>
        </w:tc>
        <w:tc>
          <w:tcPr>
            <w:tcW w:w="17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3"/>
              </w:rPr>
              <w:t>November 2022</w:t>
            </w: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633,500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600,000</w:t>
            </w: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Senior secured credit facility</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1,500,000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1,121,000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1,100,000</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10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the weighted-average interest rate.</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Credit Agreement </w:t>
      </w:r>
      <w:r>
        <w:rPr>
          <w:rFonts w:ascii="Arial" w:cs="Arial" w:eastAsia="Arial" w:hAnsi="Arial"/>
          <w:sz w:val="20"/>
          <w:szCs w:val="20"/>
          <w:color w:val="auto"/>
        </w:rPr>
        <w:t>- As of July 1, 2018, we had $343.0 million in available unused borrowing capacity under our revolving credit facility, net of</w:t>
      </w:r>
      <w:r>
        <w:rPr>
          <w:rFonts w:ascii="Arial" w:cs="Arial" w:eastAsia="Arial" w:hAnsi="Arial"/>
          <w:sz w:val="20"/>
          <w:szCs w:val="20"/>
          <w:i w:val="1"/>
          <w:iCs w:val="1"/>
          <w:color w:val="auto"/>
        </w:rPr>
        <w:t xml:space="preserve"> </w:t>
      </w:r>
      <w:r>
        <w:rPr>
          <w:rFonts w:ascii="Arial" w:cs="Arial" w:eastAsia="Arial" w:hAnsi="Arial"/>
          <w:sz w:val="20"/>
          <w:szCs w:val="20"/>
          <w:color w:val="auto"/>
        </w:rPr>
        <w:t>letters of credit of $23.5 million.</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Credit Agreement contains term loan mandatory prepayment requirements of 50% of our annual excess cash flow, as defined in the Credit Agreement. The amount outstanding required to be prepaid may vary based on our leverage ratio and year end results. Other than the required minimum amortization premiums of $25.0 million, we do not anticipate any other payments will be required through June 30, 2019.</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We are currently exploring options to address the May 2019 maturity of our interest rate swap agreements.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Debt Covenants </w:t>
      </w:r>
      <w:r>
        <w:rPr>
          <w:rFonts w:ascii="Arial" w:cs="Arial" w:eastAsia="Arial" w:hAnsi="Arial"/>
          <w:sz w:val="20"/>
          <w:szCs w:val="20"/>
          <w:color w:val="auto"/>
        </w:rPr>
        <w:t>- Our Credit Agreement contains various financial and non-financial covenants. A violation of these covenants could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negatively impact our liquidity by restricting our ability to borrow under the revolving credit facility and cause an acceleration of the amounts due under the credit facilities. See Note 12 - </w:t>
      </w:r>
      <w:r>
        <w:rPr>
          <w:rFonts w:ascii="Arial" w:cs="Arial" w:eastAsia="Arial" w:hAnsi="Arial"/>
          <w:sz w:val="20"/>
          <w:szCs w:val="20"/>
          <w:i w:val="1"/>
          <w:iCs w:val="1"/>
          <w:color w:val="auto"/>
        </w:rPr>
        <w:t>Long-term Debt, Net</w:t>
      </w:r>
      <w:r>
        <w:rPr>
          <w:rFonts w:ascii="Arial" w:cs="Arial" w:eastAsia="Arial" w:hAnsi="Arial"/>
          <w:sz w:val="20"/>
          <w:szCs w:val="20"/>
          <w:color w:val="auto"/>
        </w:rPr>
        <w:t xml:space="preserve"> in our Annual Report on Form 10-K for the year ended December 31, 2017 for further information.</w:t>
      </w:r>
    </w:p>
    <w:p>
      <w:pPr>
        <w:spacing w:after="0" w:line="19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As of July 1, 2018 and December 31, 2017, we were in compliance with our debt covenants. We believe that we will remain in compliance with our debt covenants during the next 12 months.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SUMMARY OF CASH FLOWS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a summary of our cash flows provided by (used in) operating, investing and financing activities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TWENTY-SIX WEEKS ENDED</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22"/>
                <w:szCs w:val="22"/>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180" w:type="dxa"/>
            <w:vAlign w:val="bottom"/>
          </w:tcPr>
          <w:p>
            <w:pPr>
              <w:jc w:val="right"/>
              <w:ind w:right="140"/>
              <w:spacing w:after="0"/>
              <w:rPr>
                <w:sz w:val="20"/>
                <w:szCs w:val="20"/>
                <w:color w:val="auto"/>
              </w:rPr>
            </w:pPr>
            <w:r>
              <w:rPr>
                <w:rFonts w:ascii="Arial" w:cs="Arial" w:eastAsia="Arial" w:hAnsi="Arial"/>
                <w:sz w:val="14"/>
                <w:szCs w:val="14"/>
                <w:b w:val="1"/>
                <w:bCs w:val="1"/>
                <w:color w:val="auto"/>
                <w:w w:val="98"/>
              </w:rPr>
              <w:t>JUNE 25, 2017</w:t>
            </w:r>
          </w:p>
        </w:tc>
      </w:tr>
      <w:tr>
        <w:trPr>
          <w:trHeight w:val="237"/>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Net cash provided by operating activities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100,083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183,137</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(81,944)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(33,601)</w:t>
            </w:r>
          </w:p>
        </w:tc>
      </w:tr>
      <w:tr>
        <w:trPr>
          <w:trHeight w:val="33"/>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Net cash used in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(183,250)</w:t>
            </w:r>
          </w:p>
        </w:tc>
      </w:tr>
      <w:tr>
        <w:trPr>
          <w:trHeight w:val="270"/>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1,002</w:t>
            </w: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(32,712)</w:t>
            </w: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Operating activities </w:t>
      </w:r>
      <w:r>
        <w:rPr>
          <w:rFonts w:ascii="Arial" w:cs="Arial" w:eastAsia="Arial" w:hAnsi="Arial"/>
          <w:sz w:val="20"/>
          <w:szCs w:val="20"/>
          <w:color w:val="auto"/>
        </w:rPr>
        <w:t>- Net cash provided by operating activities decreased during the twenty-six weeks ended July 1, 2018, as compared to the</w:t>
      </w:r>
      <w:r>
        <w:rPr>
          <w:rFonts w:ascii="Arial" w:cs="Arial" w:eastAsia="Arial" w:hAnsi="Arial"/>
          <w:sz w:val="20"/>
          <w:szCs w:val="20"/>
          <w:i w:val="1"/>
          <w:iCs w:val="1"/>
          <w:color w:val="auto"/>
        </w:rPr>
        <w:t xml:space="preserve"> </w:t>
      </w:r>
      <w:r>
        <w:rPr>
          <w:rFonts w:ascii="Arial" w:cs="Arial" w:eastAsia="Arial" w:hAnsi="Arial"/>
          <w:sz w:val="20"/>
          <w:szCs w:val="20"/>
          <w:color w:val="auto"/>
        </w:rPr>
        <w:t>twenty-six weeks ended June 25, 2017 primarily due to decreases from: (i) the timing of collections of gift card receivables, (ii) an increase in incentive compensation payments, (iii) the timing of payments on accounts payable and other accrual payments and (iv) higher payments for inventory. These decreases were partially offset by lower income tax payments.</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Investing activities - </w:t>
      </w:r>
      <w:r>
        <w:rPr>
          <w:rFonts w:ascii="Arial" w:cs="Arial" w:eastAsia="Arial" w:hAnsi="Arial"/>
          <w:sz w:val="19"/>
          <w:szCs w:val="19"/>
          <w:color w:val="auto"/>
        </w:rPr>
        <w:t>Net cash used in investing activities for the twenty-six weeks ended July 1, 2018 consisted of capital expenditures,</w:t>
      </w:r>
      <w:r>
        <w:rPr>
          <w:rFonts w:ascii="Arial" w:cs="Arial" w:eastAsia="Arial" w:hAnsi="Arial"/>
          <w:sz w:val="19"/>
          <w:szCs w:val="19"/>
          <w:i w:val="1"/>
          <w:iCs w:val="1"/>
          <w:color w:val="auto"/>
        </w:rPr>
        <w:t xml:space="preserve"> </w:t>
      </w:r>
      <w:r>
        <w:rPr>
          <w:rFonts w:ascii="Arial" w:cs="Arial" w:eastAsia="Arial" w:hAnsi="Arial"/>
          <w:sz w:val="19"/>
          <w:szCs w:val="19"/>
          <w:color w:val="auto"/>
        </w:rPr>
        <w:t>partially offset by proceeds from the disposal of property, fixtures and equipment and proceeds from sale-leaseback transactions.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Net cash used in investing activities for the twenty-six weeks ended June 25, 2017 consisted primarily of capital expenditures, partially offset by proceeds from sale-leaseback transactions and proceeds from refranchising transactions.</w:t>
      </w:r>
    </w:p>
    <w:p>
      <w:pPr>
        <w:spacing w:after="0" w:line="190" w:lineRule="exact"/>
        <w:rPr>
          <w:sz w:val="20"/>
          <w:szCs w:val="20"/>
          <w:color w:val="auto"/>
        </w:rPr>
      </w:pPr>
    </w:p>
    <w:p>
      <w:pPr>
        <w:spacing w:after="0" w:line="275" w:lineRule="auto"/>
        <w:rPr>
          <w:sz w:val="20"/>
          <w:szCs w:val="20"/>
          <w:color w:val="auto"/>
        </w:rPr>
      </w:pPr>
      <w:r>
        <w:rPr>
          <w:rFonts w:ascii="Arial" w:cs="Arial" w:eastAsia="Arial" w:hAnsi="Arial"/>
          <w:sz w:val="18"/>
          <w:szCs w:val="18"/>
          <w:i w:val="1"/>
          <w:iCs w:val="1"/>
          <w:color w:val="auto"/>
        </w:rPr>
        <w:t xml:space="preserve">Financing activities - </w:t>
      </w:r>
      <w:r>
        <w:rPr>
          <w:rFonts w:ascii="Arial" w:cs="Arial" w:eastAsia="Arial" w:hAnsi="Arial"/>
          <w:sz w:val="18"/>
          <w:szCs w:val="18"/>
          <w:color w:val="auto"/>
        </w:rPr>
        <w:t>Net cash used in financing activities for the twenty-six weeks ended July 1, 2018 was primarily attributable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(i) the repurchase of common stock, (ii) payment of cash dividends on our common stock, (iii) the repayment of long-term debt and</w:t>
      </w:r>
    </w:p>
    <w:p>
      <w:pPr>
        <w:spacing w:after="0" w:line="1" w:lineRule="exact"/>
        <w:rPr>
          <w:sz w:val="20"/>
          <w:szCs w:val="20"/>
          <w:color w:val="auto"/>
        </w:rPr>
      </w:pPr>
    </w:p>
    <w:p>
      <w:pPr>
        <w:ind w:firstLine="8"/>
        <w:spacing w:after="0" w:line="244" w:lineRule="auto"/>
        <w:tabs>
          <w:tab w:leader="none" w:pos="342" w:val="left"/>
        </w:tabs>
        <w:numPr>
          <w:ilvl w:val="0"/>
          <w:numId w:val="48"/>
        </w:numPr>
        <w:rPr>
          <w:rFonts w:ascii="Arial" w:cs="Arial" w:eastAsia="Arial" w:hAnsi="Arial"/>
          <w:sz w:val="20"/>
          <w:szCs w:val="20"/>
          <w:color w:val="auto"/>
        </w:rPr>
      </w:pPr>
      <w:r>
        <w:rPr>
          <w:rFonts w:ascii="Arial" w:cs="Arial" w:eastAsia="Arial" w:hAnsi="Arial"/>
          <w:sz w:val="20"/>
          <w:szCs w:val="20"/>
          <w:color w:val="auto"/>
        </w:rPr>
        <w:t>repayments of partner deposits and accrued partner obligations. Net cash used in financing activities was partially offset by proceeds from the exercise of stock options and drawdowns on our revolving credit facility, net of repayments.</w:t>
      </w:r>
    </w:p>
    <w:p>
      <w:pPr>
        <w:spacing w:after="0" w:line="20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Net cash used in financing activities for the twenty-six weeks ended June 25, 2017 was primarily attributable to the following: (i) the repurchase of common stock, (ii) repayments on our PRP Mortgage Loan, (iii) payments on our revolving credit facility, net of drawdowns, (iv) payment of cash dividends on our common stock and (v) repayments of partner deposits and accrued partner obligations. Net cash used in financing activities was partially offset by proceeds from: (i) net proceeds from the incremental Term loan A-2 and (ii) the sale of a property that did not qualify for sale-leaseback accounting.</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our current assets, current liabilities and working capital (deficit):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220" w:type="dxa"/>
            <w:vAlign w:val="bottom"/>
          </w:tcPr>
          <w:p>
            <w:pPr>
              <w:spacing w:after="0"/>
              <w:rPr>
                <w:sz w:val="17"/>
                <w:szCs w:val="17"/>
                <w:color w:val="auto"/>
              </w:rPr>
            </w:pPr>
          </w:p>
        </w:tc>
        <w:tc>
          <w:tcPr>
            <w:tcW w:w="1820" w:type="dxa"/>
            <w:vAlign w:val="bottom"/>
          </w:tcPr>
          <w:p>
            <w:pPr>
              <w:jc w:val="right"/>
              <w:ind w:right="261"/>
              <w:spacing w:after="0"/>
              <w:rPr>
                <w:sz w:val="20"/>
                <w:szCs w:val="20"/>
                <w:color w:val="auto"/>
              </w:rPr>
            </w:pPr>
            <w:r>
              <w:rPr>
                <w:rFonts w:ascii="Arial" w:cs="Arial" w:eastAsia="Arial" w:hAnsi="Arial"/>
                <w:sz w:val="14"/>
                <w:szCs w:val="14"/>
                <w:b w:val="1"/>
                <w:bCs w:val="1"/>
                <w:color w:val="auto"/>
              </w:rPr>
              <w:t>DECEMBER 31, 2017</w:t>
            </w:r>
          </w:p>
        </w:tc>
      </w:tr>
      <w:tr>
        <w:trPr>
          <w:trHeight w:val="237"/>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248,064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360,209</w:t>
            </w:r>
          </w:p>
        </w:tc>
      </w:tr>
      <w:tr>
        <w:trPr>
          <w:trHeight w:val="270"/>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631,170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813,392</w:t>
            </w: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Working capital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(383,106)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(453,183)</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Working capital (deficit) includes Unearned revenue primarily from unredeemed gift cards of $221.9 million and $330.8 million as of July 1, 2018 and December 31, 2017, respectively. We have, and in the future may continue to have, negative working capital balances (as is common for many restaurant companies). We operate successfully with negative working capital because cash collected on restaurant sales is typically received before payment is due on our current liabilities, and our inventory turnover rates require relatively low investment in inventories. Additionally, ongoing cash flows from restaurant operations and gift card sales are used to service debt obligations and to make capital expenditures.</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Deferred Compensation Programs - </w:t>
      </w:r>
      <w:r>
        <w:rPr>
          <w:rFonts w:ascii="Arial" w:cs="Arial" w:eastAsia="Arial" w:hAnsi="Arial"/>
          <w:sz w:val="20"/>
          <w:szCs w:val="20"/>
          <w:color w:val="auto"/>
        </w:rPr>
        <w:t>The deferred compensation obligation due to managing and chef partners was $84.5 million and $96.3</w:t>
      </w:r>
      <w:r>
        <w:rPr>
          <w:rFonts w:ascii="Arial" w:cs="Arial" w:eastAsia="Arial" w:hAnsi="Arial"/>
          <w:sz w:val="20"/>
          <w:szCs w:val="20"/>
          <w:i w:val="1"/>
          <w:iCs w:val="1"/>
          <w:color w:val="auto"/>
        </w:rPr>
        <w:t xml:space="preserve"> </w:t>
      </w:r>
      <w:r>
        <w:rPr>
          <w:rFonts w:ascii="Arial" w:cs="Arial" w:eastAsia="Arial" w:hAnsi="Arial"/>
          <w:sz w:val="20"/>
          <w:szCs w:val="20"/>
          <w:color w:val="auto"/>
        </w:rPr>
        <w:t>million as of July 1, 2018 and December 31, 2017, respectively. We invest in various corporate-owned life insurance policies, which are held within an irrevocable grantor or “rabbi” trust account for settlement of our obligations under the deferred compensation plans. The rabbi trust is funded through our voluntary contributions. The unfunded obligation for managing and chef partners’ deferred compensation was $33.8 million as of July 1, 2018.</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use capital to fund the deferred compensation plans and currently expect annual cash funding of $13.0 million to $15.0 million. Actual funding of the deferred compensation obligations and future funding requirements may vary significantly depending on the actual performance compared to targets, timing of deferred payments of partner contracts, forfeiture rates, number of partner participants, growth of partner investments and our funding strategy.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DIVIDENDS AND SHARE REPURCHASES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Dividends </w:t>
      </w:r>
      <w:r>
        <w:rPr>
          <w:rFonts w:ascii="Arial" w:cs="Arial" w:eastAsia="Arial" w:hAnsi="Arial"/>
          <w:sz w:val="20"/>
          <w:szCs w:val="20"/>
          <w:color w:val="auto"/>
        </w:rPr>
        <w:t>- In July 2018, the Board declared a quarterly cash dividend of $0.09 per share, payable on August 22, 2018. Future dividend</w:t>
      </w:r>
      <w:r>
        <w:rPr>
          <w:rFonts w:ascii="Arial" w:cs="Arial" w:eastAsia="Arial" w:hAnsi="Arial"/>
          <w:sz w:val="20"/>
          <w:szCs w:val="20"/>
          <w:i w:val="1"/>
          <w:iCs w:val="1"/>
          <w:color w:val="auto"/>
        </w:rPr>
        <w:t xml:space="preserve"> </w:t>
      </w:r>
      <w:r>
        <w:rPr>
          <w:rFonts w:ascii="Arial" w:cs="Arial" w:eastAsia="Arial" w:hAnsi="Arial"/>
          <w:sz w:val="20"/>
          <w:szCs w:val="20"/>
          <w:color w:val="auto"/>
        </w:rPr>
        <w:t>payments are dependent on our earnings, financial condition, capital expenditure requirements, surplus and other factors that the Board considers relevant.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Share Repurchases </w:t>
      </w:r>
      <w:r>
        <w:rPr>
          <w:rFonts w:ascii="Arial" w:cs="Arial" w:eastAsia="Arial" w:hAnsi="Arial"/>
          <w:sz w:val="16"/>
          <w:szCs w:val="16"/>
          <w:color w:val="auto"/>
        </w:rPr>
        <w:t>- On February 16, 2018, our Board canceled the remaining $55.0 million of authorization under the 2017 Share Repurchase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and approved a new $150.0 million authorization. The 2018 Share Repurchase Program will expire on August 16, 2019. As of July 1, 2018, we had $69.0 million remaining available for repurchase under the 2018 Share Repurchase Program, as of the date of this filing.</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our dividends and share repurchases from December 29, 2014 through July 1, 2018:</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4"/>
          </w:tcPr>
          <w:p>
            <w:pPr>
              <w:jc w:val="center"/>
              <w:ind w:right="162"/>
              <w:spacing w:after="0"/>
              <w:rPr>
                <w:sz w:val="20"/>
                <w:szCs w:val="20"/>
                <w:color w:val="auto"/>
              </w:rPr>
            </w:pPr>
            <w:r>
              <w:rPr>
                <w:rFonts w:ascii="Arial" w:cs="Arial" w:eastAsia="Arial" w:hAnsi="Arial"/>
                <w:sz w:val="14"/>
                <w:szCs w:val="14"/>
                <w:b w:val="1"/>
                <w:bCs w:val="1"/>
                <w:color w:val="auto"/>
                <w:w w:val="99"/>
              </w:rPr>
              <w:t>SHARE REPURCHASES</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REPURCHASE</w:t>
            </w:r>
          </w:p>
        </w:tc>
        <w:tc>
          <w:tcPr>
            <w:tcW w:w="140" w:type="dxa"/>
            <w:vAlign w:val="bottom"/>
          </w:tcPr>
          <w:p>
            <w:pPr>
              <w:spacing w:after="0"/>
              <w:rPr>
                <w:sz w:val="13"/>
                <w:szCs w:val="13"/>
                <w:color w:val="auto"/>
              </w:rPr>
            </w:pPr>
          </w:p>
        </w:tc>
        <w:tc>
          <w:tcPr>
            <w:tcW w:w="20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SETTLEMENT OF TAXES</w:t>
            </w:r>
          </w:p>
        </w:tc>
        <w:tc>
          <w:tcPr>
            <w:tcW w:w="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RELATED TO EQUITY</w:t>
            </w:r>
          </w:p>
        </w:tc>
        <w:tc>
          <w:tcPr>
            <w:tcW w:w="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7"/>
                <w:szCs w:val="17"/>
                <w:color w:val="auto"/>
              </w:rPr>
            </w:pPr>
          </w:p>
        </w:tc>
        <w:tc>
          <w:tcPr>
            <w:tcW w:w="1760" w:type="dxa"/>
            <w:vAlign w:val="bottom"/>
            <w:gridSpan w:val="2"/>
          </w:tcPr>
          <w:p>
            <w:pPr>
              <w:ind w:left="120"/>
              <w:spacing w:after="0"/>
              <w:rPr>
                <w:sz w:val="20"/>
                <w:szCs w:val="20"/>
                <w:color w:val="auto"/>
              </w:rPr>
            </w:pPr>
            <w:r>
              <w:rPr>
                <w:rFonts w:ascii="Arial" w:cs="Arial" w:eastAsia="Arial" w:hAnsi="Arial"/>
                <w:sz w:val="14"/>
                <w:szCs w:val="14"/>
                <w:b w:val="1"/>
                <w:bCs w:val="1"/>
                <w:color w:val="auto"/>
              </w:rPr>
              <w:t>DIVIDENDS PAID</w:t>
            </w:r>
          </w:p>
        </w:tc>
        <w:tc>
          <w:tcPr>
            <w:tcW w:w="260" w:type="dxa"/>
            <w:vAlign w:val="bottom"/>
          </w:tcPr>
          <w:p>
            <w:pPr>
              <w:spacing w:after="0"/>
              <w:rPr>
                <w:sz w:val="17"/>
                <w:szCs w:val="17"/>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PROGRAMS</w:t>
            </w:r>
          </w:p>
        </w:tc>
        <w:tc>
          <w:tcPr>
            <w:tcW w:w="140" w:type="dxa"/>
            <w:vAlign w:val="bottom"/>
          </w:tcPr>
          <w:p>
            <w:pPr>
              <w:spacing w:after="0"/>
              <w:rPr>
                <w:sz w:val="17"/>
                <w:szCs w:val="17"/>
                <w:color w:val="auto"/>
              </w:rPr>
            </w:pPr>
          </w:p>
        </w:tc>
        <w:tc>
          <w:tcPr>
            <w:tcW w:w="2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AWARDS</w:t>
            </w:r>
          </w:p>
        </w:tc>
        <w:tc>
          <w:tcPr>
            <w:tcW w:w="380" w:type="dxa"/>
            <w:vAlign w:val="bottom"/>
          </w:tcPr>
          <w:p>
            <w:pPr>
              <w:spacing w:after="0"/>
              <w:rPr>
                <w:sz w:val="17"/>
                <w:szCs w:val="17"/>
                <w:color w:val="auto"/>
              </w:rPr>
            </w:pPr>
          </w:p>
        </w:tc>
        <w:tc>
          <w:tcPr>
            <w:tcW w:w="1420" w:type="dxa"/>
            <w:vAlign w:val="bottom"/>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 2015</w:t>
            </w: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29,332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169,999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200,101</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Fiscal year 2016</w:t>
            </w:r>
          </w:p>
        </w:tc>
        <w:tc>
          <w:tcPr>
            <w:tcW w:w="220" w:type="dxa"/>
            <w:vAlign w:val="bottom"/>
          </w:tcPr>
          <w:p>
            <w:pPr>
              <w:spacing w:after="0"/>
              <w:rPr>
                <w:sz w:val="20"/>
                <w:szCs w:val="20"/>
                <w:color w:val="auto"/>
              </w:rPr>
            </w:pP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31,379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jc w:val="right"/>
              <w:ind w:right="42"/>
              <w:spacing w:after="0"/>
              <w:rPr>
                <w:sz w:val="20"/>
                <w:szCs w:val="20"/>
                <w:color w:val="auto"/>
              </w:rPr>
            </w:pPr>
            <w:r>
              <w:rPr>
                <w:rFonts w:ascii="Arial" w:cs="Arial" w:eastAsia="Arial" w:hAnsi="Arial"/>
                <w:sz w:val="16"/>
                <w:szCs w:val="16"/>
                <w:color w:val="auto"/>
              </w:rPr>
              <w:t>309,887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jc w:val="right"/>
              <w:ind w:right="22"/>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341,713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 2017</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30,988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272,736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303,904</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First fiscal quarter 2018</w:t>
            </w:r>
          </w:p>
        </w:tc>
        <w:tc>
          <w:tcPr>
            <w:tcW w:w="220" w:type="dxa"/>
            <w:vAlign w:val="bottom"/>
          </w:tcPr>
          <w:p>
            <w:pPr>
              <w:spacing w:after="0"/>
              <w:rPr>
                <w:sz w:val="20"/>
                <w:szCs w:val="20"/>
                <w:color w:val="auto"/>
              </w:rPr>
            </w:pP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8,371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jc w:val="right"/>
              <w:ind w:right="42"/>
              <w:spacing w:after="0"/>
              <w:rPr>
                <w:sz w:val="20"/>
                <w:szCs w:val="20"/>
                <w:color w:val="auto"/>
              </w:rPr>
            </w:pPr>
            <w:r>
              <w:rPr>
                <w:rFonts w:ascii="Arial" w:cs="Arial" w:eastAsia="Arial" w:hAnsi="Arial"/>
                <w:sz w:val="16"/>
                <w:szCs w:val="16"/>
                <w:color w:val="auto"/>
              </w:rPr>
              <w:t>50,996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59,367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Second fiscal quarter 2018</w:t>
            </w:r>
          </w:p>
        </w:tc>
        <w:tc>
          <w:tcPr>
            <w:tcW w:w="2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8,363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30,004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38,367</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108,433</w:t>
            </w: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833,622</w:t>
            </w:r>
          </w:p>
        </w:tc>
        <w:tc>
          <w:tcPr>
            <w:tcW w:w="100" w:type="dxa"/>
            <w:vAlign w:val="bottom"/>
            <w:tcBorders>
              <w:top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1,397</w:t>
            </w:r>
          </w:p>
        </w:tc>
        <w:tc>
          <w:tcPr>
            <w:tcW w:w="120" w:type="dxa"/>
            <w:vAlign w:val="bottom"/>
            <w:tcBorders>
              <w:top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943,452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Financial Accounting Standards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For a description of recently issued Financial Accounting Standards, see Note 1 - </w:t>
      </w:r>
      <w:r>
        <w:rPr>
          <w:rFonts w:ascii="Arial" w:cs="Arial" w:eastAsia="Arial" w:hAnsi="Arial"/>
          <w:sz w:val="20"/>
          <w:szCs w:val="20"/>
          <w:i w:val="1"/>
          <w:iCs w:val="1"/>
          <w:color w:val="auto"/>
        </w:rPr>
        <w:t>Description of the Business and Basis of Presentation</w:t>
      </w:r>
      <w:r>
        <w:rPr>
          <w:rFonts w:ascii="Arial" w:cs="Arial" w:eastAsia="Arial" w:hAnsi="Arial"/>
          <w:sz w:val="20"/>
          <w:szCs w:val="20"/>
          <w:color w:val="auto"/>
        </w:rPr>
        <w:t xml:space="preserve"> of the Notes to the Consolidated Financial Statements of this Quarterly Report on Form 10-Q.</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are exposed to market risk from changes in interest rates, changes in foreign currency exchange rates and changes in commodity prices. We believe that there have been no material changes in our market risk since December 31, 2017, except as set forth below. See Part II, Item 7A., “Quantitative and Qualitative Disclosures about Market Risk,” in our Annual Report on Form 10-K for the year ended December 31, 2017 for further information regarding market risk.</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Exchange Rate Risk</w:t>
      </w:r>
    </w:p>
    <w:p>
      <w:pPr>
        <w:spacing w:after="0" w:line="23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are subject to foreign currency exchange risk for our restaurants operating in foreign countries. Our exposure to foreign currency exchange risk is primarily related to fluctuations in the Brazil Real relative to the U.S. dollar. Our operations in other markets consist of Company-owned restaurants on a smaller scale than Brazil. If foreign currency exchange rates depreciate in the countries in which we operate, we may experience declines in our operating results. For the twenty-six weeks ended July 1, 2018, a 10% change in average foreign currency rates against the U.S. dollar would have increased or decreased our total revenues for our consolidated foreign entities by $24.6 million and have a nominal impact on net income. Currently, we do not enter into currency forward exchange or option contracts to hedge foreign currency exposures.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2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We have established and maintain disclosure controls and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and Administrative Officer, as appropriate to allow timely decisions regarding required disclosure. We carried out an evaluation, under the supervision and with the participation of our management, including our Chief Executive Officer and Chief Financial and Administrative Officer, of the effectiveness of our disclosure controls and procedures as of the end of the period covered by this report. Based on that evaluation, the Chief Executive Officer and Chief Financial and Administrative Officer concluded that our disclosure controls and procedures were effective as of July 1, 2018.</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There have been no changes in our internal control over financial reporting during the thirteen weeks ended July 1, 2018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 OTHER INFORMATION</w:t>
      </w:r>
    </w:p>
    <w:p>
      <w:pPr>
        <w:spacing w:after="0" w:line="229"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For a description of our legal proceedings, see Note 13 - </w:t>
      </w:r>
      <w:r>
        <w:rPr>
          <w:rFonts w:ascii="Arial" w:cs="Arial" w:eastAsia="Arial" w:hAnsi="Arial"/>
          <w:sz w:val="20"/>
          <w:szCs w:val="20"/>
          <w:i w:val="1"/>
          <w:iCs w:val="1"/>
          <w:color w:val="auto"/>
        </w:rPr>
        <w:t>Commitments and Contingencies</w:t>
      </w:r>
      <w:r>
        <w:rPr>
          <w:rFonts w:ascii="Arial" w:cs="Arial" w:eastAsia="Arial" w:hAnsi="Arial"/>
          <w:sz w:val="20"/>
          <w:szCs w:val="20"/>
          <w:color w:val="auto"/>
        </w:rPr>
        <w:t>, of the Notes to the Consolidated Financial Statements of this Quarterly Report on Form 10-Q.</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addition to the other information discussed in this report, please consider the factors described in Part I, Item 1A., “Risk Factors” in our 2017 Form 10-K which could materially affect our business, financial condition or future results. There have not been any material changes to the risk factors described in our 2017 Form 10-K, but these are not the only risks facing our Company. Additional risks and uncertainties not currently known to us or that we currently deem to be immaterial also may adversely affect our business, financial condition or operating results.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There were no sales of equity securities during the second quarter of 2018 that were not registered under the Securities Act of 1933.</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provides information regarding our purchases of common stock during the thirteen weeks ended July 1, 2018:</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4"/>
                <w:szCs w:val="14"/>
                <w:color w:val="auto"/>
              </w:rPr>
            </w:pPr>
          </w:p>
        </w:tc>
        <w:tc>
          <w:tcPr>
            <w:tcW w:w="1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SHARES PURCHASED AS</w:t>
            </w:r>
          </w:p>
        </w:tc>
        <w:tc>
          <w:tcPr>
            <w:tcW w:w="100" w:type="dxa"/>
            <w:vAlign w:val="bottom"/>
          </w:tcPr>
          <w:p>
            <w:pPr>
              <w:spacing w:after="0"/>
              <w:rPr>
                <w:sz w:val="12"/>
                <w:szCs w:val="12"/>
                <w:color w:val="auto"/>
              </w:rPr>
            </w:pPr>
          </w:p>
        </w:tc>
        <w:tc>
          <w:tcPr>
            <w:tcW w:w="1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2"/>
                <w:szCs w:val="12"/>
                <w:color w:val="auto"/>
              </w:rPr>
            </w:pPr>
          </w:p>
        </w:tc>
        <w:tc>
          <w:tcPr>
            <w:tcW w:w="1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49"/>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REPORTING PERIOD</w:t>
            </w:r>
          </w:p>
        </w:tc>
        <w:tc>
          <w:tcPr>
            <w:tcW w:w="120" w:type="dxa"/>
            <w:vAlign w:val="bottom"/>
            <w:vMerge w:val="restart"/>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ANNOUNCED PLANS 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205"/>
        </w:trPr>
        <w:tc>
          <w:tcPr>
            <w:tcW w:w="39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PROGRAMS (1)</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April 2, 2018 through April 29, 2018</w:t>
            </w:r>
          </w:p>
        </w:tc>
        <w:tc>
          <w:tcPr>
            <w:tcW w:w="1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164,040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24.41</w:t>
            </w: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164,040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95,000,035</w:t>
            </w:r>
          </w:p>
        </w:tc>
        <w:tc>
          <w:tcPr>
            <w:tcW w:w="0" w:type="dxa"/>
            <w:vAlign w:val="bottom"/>
          </w:tcPr>
          <w:p>
            <w:pPr>
              <w:spacing w:after="0"/>
              <w:rPr>
                <w:sz w:val="1"/>
                <w:szCs w:val="1"/>
                <w:color w:val="auto"/>
              </w:rPr>
            </w:pP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April 30, 2018 through May 27, 2018</w:t>
            </w:r>
          </w:p>
        </w:tc>
        <w:tc>
          <w:tcPr>
            <w:tcW w:w="1840" w:type="dxa"/>
            <w:vAlign w:val="bottom"/>
          </w:tcPr>
          <w:p>
            <w:pPr>
              <w:jc w:val="right"/>
              <w:ind w:right="42"/>
              <w:spacing w:after="0"/>
              <w:rPr>
                <w:sz w:val="20"/>
                <w:szCs w:val="20"/>
                <w:color w:val="auto"/>
              </w:rPr>
            </w:pPr>
            <w:r>
              <w:rPr>
                <w:rFonts w:ascii="Arial" w:cs="Arial" w:eastAsia="Arial" w:hAnsi="Arial"/>
                <w:sz w:val="16"/>
                <w:szCs w:val="16"/>
                <w:color w:val="auto"/>
              </w:rPr>
              <w:t>1,122,950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23.15</w:t>
            </w:r>
          </w:p>
        </w:tc>
        <w:tc>
          <w:tcPr>
            <w:tcW w:w="100" w:type="dxa"/>
            <w:vAlign w:val="bottom"/>
          </w:tcPr>
          <w:p>
            <w:pPr>
              <w:spacing w:after="0"/>
              <w:rPr>
                <w:sz w:val="20"/>
                <w:szCs w:val="20"/>
                <w:color w:val="auto"/>
              </w:rPr>
            </w:pPr>
          </w:p>
        </w:tc>
        <w:tc>
          <w:tcPr>
            <w:tcW w:w="1820" w:type="dxa"/>
            <w:vAlign w:val="bottom"/>
          </w:tcPr>
          <w:p>
            <w:pPr>
              <w:jc w:val="right"/>
              <w:ind w:right="44"/>
              <w:spacing w:after="0"/>
              <w:rPr>
                <w:sz w:val="20"/>
                <w:szCs w:val="20"/>
                <w:color w:val="auto"/>
              </w:rPr>
            </w:pPr>
            <w:r>
              <w:rPr>
                <w:rFonts w:ascii="Arial" w:cs="Arial" w:eastAsia="Arial" w:hAnsi="Arial"/>
                <w:sz w:val="16"/>
                <w:szCs w:val="16"/>
                <w:color w:val="auto"/>
              </w:rPr>
              <w:t>1,122,950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23"/>
              <w:spacing w:after="0"/>
              <w:rPr>
                <w:sz w:val="20"/>
                <w:szCs w:val="20"/>
                <w:color w:val="auto"/>
              </w:rPr>
            </w:pPr>
            <w:r>
              <w:rPr>
                <w:rFonts w:ascii="Arial" w:cs="Arial" w:eastAsia="Arial" w:hAnsi="Arial"/>
                <w:sz w:val="16"/>
                <w:szCs w:val="16"/>
                <w:color w:val="auto"/>
              </w:rPr>
              <w:t>69,000,043</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May 28, 2018 through July 1, 2018</w:t>
            </w:r>
          </w:p>
        </w:tc>
        <w:tc>
          <w:tcPr>
            <w:tcW w:w="18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69,000,043</w:t>
            </w:r>
          </w:p>
        </w:tc>
        <w:tc>
          <w:tcPr>
            <w:tcW w:w="0" w:type="dxa"/>
            <w:vAlign w:val="bottom"/>
          </w:tcPr>
          <w:p>
            <w:pPr>
              <w:spacing w:after="0"/>
              <w:rPr>
                <w:sz w:val="1"/>
                <w:szCs w:val="1"/>
                <w:color w:val="auto"/>
              </w:rPr>
            </w:pPr>
          </w:p>
        </w:tc>
      </w:tr>
      <w:tr>
        <w:trPr>
          <w:trHeight w:val="244"/>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8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1,286,990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1,286,990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660" w:right="20" w:hanging="652"/>
        <w:spacing w:after="0" w:line="275"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On February 16, 2018, the Board of Directors authorized the repurchase of $150.0 million of our outstanding common stock as announced in our press release issued on February 22, 2018 (the “2018 Share Repurchase Program”). The 2018 Share Repurchase Program will expire on August 16, 2019.</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780"/>
              <w:spacing w:after="0"/>
              <w:rPr>
                <w:sz w:val="20"/>
                <w:szCs w:val="20"/>
                <w:color w:val="auto"/>
              </w:rPr>
            </w:pPr>
            <w:r>
              <w:rPr>
                <w:rFonts w:ascii="Arial" w:cs="Arial" w:eastAsia="Arial" w:hAnsi="Arial"/>
                <w:sz w:val="16"/>
                <w:szCs w:val="16"/>
                <w:b w:val="1"/>
                <w:bCs w:val="1"/>
                <w:color w:val="auto"/>
              </w:rPr>
              <w:t>FILINGS REFERENCED FOR</w:t>
            </w:r>
          </w:p>
        </w:tc>
      </w:tr>
      <w:tr>
        <w:trPr>
          <w:trHeight w:val="210"/>
        </w:trPr>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580" w:type="dxa"/>
            <w:vAlign w:val="bottom"/>
            <w:gridSpan w:val="7"/>
          </w:tcPr>
          <w:p>
            <w:pPr>
              <w:ind w:left="240"/>
              <w:spacing w:after="0"/>
              <w:rPr>
                <w:sz w:val="20"/>
                <w:szCs w:val="20"/>
                <w:color w:val="auto"/>
              </w:rPr>
            </w:pPr>
            <w:r>
              <w:rPr>
                <w:rFonts w:ascii="Arial" w:cs="Arial" w:eastAsia="Arial" w:hAnsi="Arial"/>
                <w:sz w:val="16"/>
                <w:szCs w:val="16"/>
                <w:b w:val="1"/>
                <w:bCs w:val="1"/>
                <w:color w:val="auto"/>
              </w:rPr>
              <w:t>DESCRIPTION OF EXHIBITS</w:t>
            </w:r>
          </w:p>
        </w:tc>
        <w:tc>
          <w:tcPr>
            <w:tcW w:w="3760" w:type="dxa"/>
            <w:vAlign w:val="bottom"/>
          </w:tcPr>
          <w:p>
            <w:pPr>
              <w:ind w:left="520"/>
              <w:spacing w:after="0"/>
              <w:rPr>
                <w:sz w:val="20"/>
                <w:szCs w:val="20"/>
                <w:color w:val="auto"/>
              </w:rPr>
            </w:pPr>
            <w:r>
              <w:rPr>
                <w:rFonts w:ascii="Arial" w:cs="Arial" w:eastAsia="Arial" w:hAnsi="Arial"/>
                <w:sz w:val="16"/>
                <w:szCs w:val="16"/>
                <w:b w:val="1"/>
                <w:bCs w:val="1"/>
                <w:color w:val="auto"/>
              </w:rPr>
              <w:t>INCORPORATION BY REFERENCE</w:t>
            </w:r>
          </w:p>
        </w:tc>
      </w:tr>
      <w:tr>
        <w:trPr>
          <w:trHeight w:val="40"/>
        </w:trPr>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r>
      <w:tr>
        <w:trPr>
          <w:trHeight w:val="338"/>
        </w:trPr>
        <w:tc>
          <w:tcPr>
            <w:tcW w:w="1160" w:type="dxa"/>
            <w:vAlign w:val="bottom"/>
          </w:tcPr>
          <w:p>
            <w:pPr>
              <w:jc w:val="center"/>
              <w:spacing w:after="0"/>
              <w:rPr>
                <w:sz w:val="20"/>
                <w:szCs w:val="20"/>
                <w:color w:val="auto"/>
              </w:rPr>
            </w:pPr>
            <w:r>
              <w:rPr>
                <w:rFonts w:ascii="Arial" w:cs="Arial" w:eastAsia="Arial" w:hAnsi="Arial"/>
                <w:sz w:val="20"/>
                <w:szCs w:val="20"/>
                <w:color w:val="auto"/>
                <w:w w:val="92"/>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0" w:type="dxa"/>
            <w:vAlign w:val="bottom"/>
            <w:tcBorders>
              <w:bottom w:val="single" w:sz="8" w:color="0000FF"/>
            </w:tcBorders>
            <w:gridSpan w:val="5"/>
          </w:tcPr>
          <w:p>
            <w:pPr>
              <w:spacing w:after="0"/>
              <w:rPr>
                <w:rFonts w:ascii="Arial" w:cs="Arial" w:eastAsia="Arial" w:hAnsi="Arial"/>
                <w:sz w:val="20"/>
                <w:szCs w:val="20"/>
                <w:color w:val="0000FF"/>
              </w:rPr>
            </w:pPr>
            <w:hyperlink w:anchor="page54">
              <w:r>
                <w:rPr>
                  <w:rFonts w:ascii="Arial" w:cs="Arial" w:eastAsia="Arial" w:hAnsi="Arial"/>
                  <w:sz w:val="20"/>
                  <w:szCs w:val="20"/>
                  <w:color w:val="0000FF"/>
                </w:rPr>
                <w:t>Certification of Chief Executive Officer pursuant to Section 302 of the</w:t>
              </w:r>
            </w:hyperlink>
          </w:p>
        </w:tc>
        <w:tc>
          <w:tcPr>
            <w:tcW w:w="140" w:type="dxa"/>
            <w:vAlign w:val="bottom"/>
            <w:gridSpan w:val="3"/>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tcBorders>
              <w:bottom w:val="single" w:sz="8" w:color="0000FF"/>
            </w:tcBorders>
            <w:gridSpan w:val="2"/>
          </w:tcPr>
          <w:p>
            <w:pPr>
              <w:spacing w:after="0" w:line="209" w:lineRule="exact"/>
              <w:rPr>
                <w:rFonts w:ascii="Arial" w:cs="Arial" w:eastAsia="Arial" w:hAnsi="Arial"/>
                <w:sz w:val="20"/>
                <w:szCs w:val="20"/>
                <w:color w:val="0000FF"/>
                <w:w w:val="89"/>
              </w:rPr>
            </w:pPr>
            <w:hyperlink w:anchor="page54">
              <w:r>
                <w:rPr>
                  <w:rFonts w:ascii="Arial" w:cs="Arial" w:eastAsia="Arial" w:hAnsi="Arial"/>
                  <w:sz w:val="20"/>
                  <w:szCs w:val="20"/>
                  <w:color w:val="0000FF"/>
                  <w:w w:val="89"/>
                </w:rPr>
                <w:t>Sarbanes-Oxley Act of 2002</w:t>
              </w:r>
            </w:hyperlink>
          </w:p>
        </w:tc>
        <w:tc>
          <w:tcPr>
            <w:tcW w:w="4080" w:type="dxa"/>
            <w:vAlign w:val="bottom"/>
            <w:gridSpan w:val="6"/>
          </w:tcPr>
          <w:p>
            <w:pPr>
              <w:spacing w:after="0"/>
              <w:rPr>
                <w:sz w:val="18"/>
                <w:szCs w:val="18"/>
                <w:color w:val="auto"/>
              </w:rPr>
            </w:pPr>
          </w:p>
        </w:tc>
        <w:tc>
          <w:tcPr>
            <w:tcW w:w="3760" w:type="dxa"/>
            <w:vAlign w:val="bottom"/>
          </w:tcPr>
          <w:p>
            <w:pPr>
              <w:spacing w:after="0"/>
              <w:rPr>
                <w:sz w:val="18"/>
                <w:szCs w:val="18"/>
                <w:color w:val="auto"/>
              </w:rPr>
            </w:pPr>
          </w:p>
        </w:tc>
      </w:tr>
      <w:tr>
        <w:trPr>
          <w:trHeight w:val="385"/>
        </w:trPr>
        <w:tc>
          <w:tcPr>
            <w:tcW w:w="1160" w:type="dxa"/>
            <w:vAlign w:val="bottom"/>
          </w:tcPr>
          <w:p>
            <w:pPr>
              <w:jc w:val="center"/>
              <w:spacing w:after="0"/>
              <w:rPr>
                <w:sz w:val="20"/>
                <w:szCs w:val="20"/>
                <w:color w:val="auto"/>
              </w:rPr>
            </w:pPr>
            <w:r>
              <w:rPr>
                <w:rFonts w:ascii="Arial" w:cs="Arial" w:eastAsia="Arial" w:hAnsi="Arial"/>
                <w:sz w:val="20"/>
                <w:szCs w:val="20"/>
                <w:color w:val="auto"/>
                <w:w w:val="92"/>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tcBorders>
              <w:bottom w:val="single" w:sz="8" w:color="0000FF"/>
            </w:tcBorders>
            <w:gridSpan w:val="6"/>
          </w:tcPr>
          <w:p>
            <w:pPr>
              <w:spacing w:after="0"/>
              <w:rPr>
                <w:rFonts w:ascii="Arial" w:cs="Arial" w:eastAsia="Arial" w:hAnsi="Arial"/>
                <w:sz w:val="20"/>
                <w:szCs w:val="20"/>
                <w:color w:val="0000FF"/>
              </w:rPr>
            </w:pPr>
            <w:hyperlink w:anchor="page55">
              <w:r>
                <w:rPr>
                  <w:rFonts w:ascii="Arial" w:cs="Arial" w:eastAsia="Arial" w:hAnsi="Arial"/>
                  <w:sz w:val="20"/>
                  <w:szCs w:val="20"/>
                  <w:color w:val="0000FF"/>
                </w:rPr>
                <w:t>Certification of Chief Financial and Administrative Officer pursuant to</w:t>
              </w:r>
            </w:hyperlink>
          </w:p>
        </w:tc>
        <w:tc>
          <w:tcPr>
            <w:tcW w:w="120" w:type="dxa"/>
            <w:vAlign w:val="bottom"/>
            <w:gridSpan w:val="2"/>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40" w:type="dxa"/>
            <w:vAlign w:val="bottom"/>
            <w:gridSpan w:val="8"/>
          </w:tcPr>
          <w:p>
            <w:pPr>
              <w:spacing w:after="0" w:line="209" w:lineRule="exact"/>
              <w:rPr>
                <w:rFonts w:ascii="Arial" w:cs="Arial" w:eastAsia="Arial" w:hAnsi="Arial"/>
                <w:sz w:val="20"/>
                <w:szCs w:val="20"/>
                <w:color w:val="0000FF"/>
              </w:rPr>
            </w:pPr>
            <w:hyperlink w:anchor="page55">
              <w:r>
                <w:rPr>
                  <w:rFonts w:ascii="Arial" w:cs="Arial" w:eastAsia="Arial" w:hAnsi="Arial"/>
                  <w:sz w:val="20"/>
                  <w:szCs w:val="20"/>
                  <w:color w:val="0000FF"/>
                </w:rPr>
                <w:t>Section 302 of the Sarbanes-Oxley Act of 2002</w:t>
              </w:r>
            </w:hyperlink>
          </w:p>
        </w:tc>
        <w:tc>
          <w:tcPr>
            <w:tcW w:w="37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385"/>
        </w:trPr>
        <w:tc>
          <w:tcPr>
            <w:tcW w:w="1160" w:type="dxa"/>
            <w:vAlign w:val="bottom"/>
          </w:tcPr>
          <w:p>
            <w:pPr>
              <w:jc w:val="center"/>
              <w:spacing w:after="0"/>
              <w:rPr>
                <w:sz w:val="20"/>
                <w:szCs w:val="20"/>
                <w:color w:val="auto"/>
              </w:rPr>
            </w:pPr>
            <w:r>
              <w:rPr>
                <w:rFonts w:ascii="Arial" w:cs="Arial" w:eastAsia="Arial" w:hAnsi="Arial"/>
                <w:sz w:val="20"/>
                <w:szCs w:val="20"/>
                <w:color w:val="auto"/>
                <w:w w:val="92"/>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tcBorders>
              <w:bottom w:val="single" w:sz="8" w:color="0000FF"/>
            </w:tcBorders>
            <w:gridSpan w:val="6"/>
          </w:tcPr>
          <w:p>
            <w:pPr>
              <w:spacing w:after="0"/>
              <w:rPr>
                <w:rFonts w:ascii="Arial" w:cs="Arial" w:eastAsia="Arial" w:hAnsi="Arial"/>
                <w:sz w:val="20"/>
                <w:szCs w:val="20"/>
                <w:color w:val="0000FF"/>
                <w:w w:val="93"/>
              </w:rPr>
            </w:pPr>
            <w:hyperlink w:anchor="page56">
              <w:r>
                <w:rPr>
                  <w:rFonts w:ascii="Arial" w:cs="Arial" w:eastAsia="Arial" w:hAnsi="Arial"/>
                  <w:sz w:val="20"/>
                  <w:szCs w:val="20"/>
                  <w:color w:val="0000FF"/>
                  <w:w w:val="93"/>
                </w:rPr>
                <w:t>Certification of Chief Executive Officer pursuant to 18 U.S.C. Section 1350,</w:t>
              </w:r>
            </w:hyperlink>
          </w:p>
        </w:tc>
        <w:tc>
          <w:tcPr>
            <w:tcW w:w="120" w:type="dxa"/>
            <w:vAlign w:val="bottom"/>
            <w:gridSpan w:val="2"/>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40" w:type="dxa"/>
            <w:vAlign w:val="bottom"/>
            <w:gridSpan w:val="8"/>
          </w:tcPr>
          <w:p>
            <w:pPr>
              <w:spacing w:after="0" w:line="209" w:lineRule="exact"/>
              <w:rPr>
                <w:rFonts w:ascii="Arial" w:cs="Arial" w:eastAsia="Arial" w:hAnsi="Arial"/>
                <w:sz w:val="20"/>
                <w:szCs w:val="20"/>
                <w:color w:val="0000FF"/>
                <w:w w:val="96"/>
              </w:rPr>
            </w:pPr>
            <w:hyperlink w:anchor="page56">
              <w:r>
                <w:rPr>
                  <w:rFonts w:ascii="Arial" w:cs="Arial" w:eastAsia="Arial" w:hAnsi="Arial"/>
                  <w:sz w:val="20"/>
                  <w:szCs w:val="20"/>
                  <w:color w:val="0000FF"/>
                  <w:w w:val="96"/>
                </w:rPr>
                <w:t>as adopted pursuant to Section 906 of the Sarbanes-Oxley Act of 2002 (1)</w:t>
              </w:r>
            </w:hyperlink>
          </w:p>
        </w:tc>
        <w:tc>
          <w:tcPr>
            <w:tcW w:w="37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10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385"/>
        </w:trPr>
        <w:tc>
          <w:tcPr>
            <w:tcW w:w="1160" w:type="dxa"/>
            <w:vAlign w:val="bottom"/>
          </w:tcPr>
          <w:p>
            <w:pPr>
              <w:jc w:val="center"/>
              <w:spacing w:after="0"/>
              <w:rPr>
                <w:sz w:val="20"/>
                <w:szCs w:val="20"/>
                <w:color w:val="auto"/>
              </w:rPr>
            </w:pPr>
            <w:r>
              <w:rPr>
                <w:rFonts w:ascii="Arial" w:cs="Arial" w:eastAsia="Arial" w:hAnsi="Arial"/>
                <w:sz w:val="20"/>
                <w:szCs w:val="20"/>
                <w:color w:val="auto"/>
                <w:w w:val="92"/>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tcBorders>
              <w:bottom w:val="single" w:sz="8" w:color="0000FF"/>
            </w:tcBorders>
            <w:gridSpan w:val="6"/>
          </w:tcPr>
          <w:p>
            <w:pPr>
              <w:spacing w:after="0"/>
              <w:rPr>
                <w:rFonts w:ascii="Arial" w:cs="Arial" w:eastAsia="Arial" w:hAnsi="Arial"/>
                <w:sz w:val="20"/>
                <w:szCs w:val="20"/>
                <w:color w:val="0000FF"/>
                <w:w w:val="97"/>
              </w:rPr>
            </w:pPr>
            <w:hyperlink w:anchor="page57">
              <w:r>
                <w:rPr>
                  <w:rFonts w:ascii="Arial" w:cs="Arial" w:eastAsia="Arial" w:hAnsi="Arial"/>
                  <w:sz w:val="20"/>
                  <w:szCs w:val="20"/>
                  <w:color w:val="0000FF"/>
                  <w:w w:val="97"/>
                </w:rPr>
                <w:t>Certification of Chief Financial and Administrative Officer pursuant to 18</w:t>
              </w:r>
            </w:hyperlink>
          </w:p>
        </w:tc>
        <w:tc>
          <w:tcPr>
            <w:tcW w:w="120" w:type="dxa"/>
            <w:vAlign w:val="bottom"/>
            <w:gridSpan w:val="2"/>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0" w:type="dxa"/>
            <w:vAlign w:val="bottom"/>
            <w:tcBorders>
              <w:bottom w:val="single" w:sz="8" w:color="0000FF"/>
            </w:tcBorders>
            <w:gridSpan w:val="5"/>
          </w:tcPr>
          <w:p>
            <w:pPr>
              <w:spacing w:after="0" w:line="209" w:lineRule="exact"/>
              <w:rPr>
                <w:rFonts w:ascii="Arial" w:cs="Arial" w:eastAsia="Arial" w:hAnsi="Arial"/>
                <w:sz w:val="20"/>
                <w:szCs w:val="20"/>
                <w:color w:val="0000FF"/>
                <w:w w:val="93"/>
              </w:rPr>
            </w:pPr>
            <w:hyperlink w:anchor="page57">
              <w:r>
                <w:rPr>
                  <w:rFonts w:ascii="Arial" w:cs="Arial" w:eastAsia="Arial" w:hAnsi="Arial"/>
                  <w:sz w:val="20"/>
                  <w:szCs w:val="20"/>
                  <w:color w:val="0000FF"/>
                  <w:w w:val="93"/>
                </w:rPr>
                <w:t>U.S.C. Section 1350, as adopted pursuant to Section 906 of the Sarbanes-</w:t>
              </w:r>
            </w:hyperlink>
          </w:p>
        </w:tc>
        <w:tc>
          <w:tcPr>
            <w:tcW w:w="140" w:type="dxa"/>
            <w:vAlign w:val="bottom"/>
            <w:gridSpan w:val="3"/>
          </w:tcPr>
          <w:p>
            <w:pPr>
              <w:spacing w:after="0"/>
              <w:rPr>
                <w:sz w:val="18"/>
                <w:szCs w:val="18"/>
                <w:color w:val="auto"/>
              </w:rPr>
            </w:pPr>
          </w:p>
        </w:tc>
        <w:tc>
          <w:tcPr>
            <w:tcW w:w="376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40" w:type="dxa"/>
            <w:vAlign w:val="bottom"/>
            <w:gridSpan w:val="8"/>
          </w:tcPr>
          <w:p>
            <w:pPr>
              <w:spacing w:after="0" w:line="209" w:lineRule="exact"/>
              <w:rPr>
                <w:rFonts w:ascii="Arial" w:cs="Arial" w:eastAsia="Arial" w:hAnsi="Arial"/>
                <w:sz w:val="20"/>
                <w:szCs w:val="20"/>
                <w:color w:val="0000FF"/>
              </w:rPr>
            </w:pPr>
            <w:hyperlink w:anchor="page57">
              <w:r>
                <w:rPr>
                  <w:rFonts w:ascii="Arial" w:cs="Arial" w:eastAsia="Arial" w:hAnsi="Arial"/>
                  <w:sz w:val="20"/>
                  <w:szCs w:val="20"/>
                  <w:color w:val="0000FF"/>
                </w:rPr>
                <w:t>Oxley Act of 2002 (1)</w:t>
              </w:r>
            </w:hyperlink>
          </w:p>
        </w:tc>
        <w:tc>
          <w:tcPr>
            <w:tcW w:w="3760" w:type="dxa"/>
            <w:vAlign w:val="bottom"/>
          </w:tcPr>
          <w:p>
            <w:pPr>
              <w:spacing w:after="0"/>
              <w:rPr>
                <w:sz w:val="18"/>
                <w:szCs w:val="18"/>
                <w:color w:val="auto"/>
              </w:rPr>
            </w:pPr>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430"/>
        </w:trPr>
        <w:tc>
          <w:tcPr>
            <w:tcW w:w="1280" w:type="dxa"/>
            <w:vAlign w:val="bottom"/>
            <w:gridSpan w:val="2"/>
          </w:tcPr>
          <w:p>
            <w:pPr>
              <w:jc w:val="center"/>
              <w:ind w:right="120"/>
              <w:spacing w:after="0"/>
              <w:rPr>
                <w:sz w:val="20"/>
                <w:szCs w:val="20"/>
                <w:color w:val="auto"/>
              </w:rPr>
            </w:pPr>
            <w:r>
              <w:rPr>
                <w:rFonts w:ascii="Arial" w:cs="Arial" w:eastAsia="Arial" w:hAnsi="Arial"/>
                <w:sz w:val="20"/>
                <w:szCs w:val="20"/>
                <w:color w:val="auto"/>
                <w:w w:val="94"/>
              </w:rPr>
              <w:t>101.INS</w:t>
            </w:r>
          </w:p>
        </w:tc>
        <w:tc>
          <w:tcPr>
            <w:tcW w:w="20" w:type="dxa"/>
            <w:vAlign w:val="bottom"/>
          </w:tcPr>
          <w:p>
            <w:pPr>
              <w:spacing w:after="0"/>
              <w:rPr>
                <w:sz w:val="24"/>
                <w:szCs w:val="24"/>
                <w:color w:val="auto"/>
              </w:rPr>
            </w:pPr>
          </w:p>
        </w:tc>
        <w:tc>
          <w:tcPr>
            <w:tcW w:w="6340" w:type="dxa"/>
            <w:vAlign w:val="bottom"/>
            <w:gridSpan w:val="8"/>
          </w:tcPr>
          <w:p>
            <w:pPr>
              <w:spacing w:after="0"/>
              <w:rPr>
                <w:sz w:val="20"/>
                <w:szCs w:val="20"/>
                <w:color w:val="auto"/>
              </w:rPr>
            </w:pPr>
            <w:r>
              <w:rPr>
                <w:rFonts w:ascii="Arial" w:cs="Arial" w:eastAsia="Arial" w:hAnsi="Arial"/>
                <w:sz w:val="20"/>
                <w:szCs w:val="20"/>
                <w:color w:val="auto"/>
              </w:rPr>
              <w:t>XBRL Instance Document</w:t>
            </w: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405"/>
        </w:trPr>
        <w:tc>
          <w:tcPr>
            <w:tcW w:w="1280" w:type="dxa"/>
            <w:vAlign w:val="bottom"/>
            <w:gridSpan w:val="2"/>
          </w:tcPr>
          <w:p>
            <w:pPr>
              <w:jc w:val="center"/>
              <w:ind w:right="120"/>
              <w:spacing w:after="0"/>
              <w:rPr>
                <w:sz w:val="20"/>
                <w:szCs w:val="20"/>
                <w:color w:val="auto"/>
              </w:rPr>
            </w:pPr>
            <w:r>
              <w:rPr>
                <w:rFonts w:ascii="Arial" w:cs="Arial" w:eastAsia="Arial" w:hAnsi="Arial"/>
                <w:sz w:val="20"/>
                <w:szCs w:val="20"/>
                <w:color w:val="auto"/>
                <w:w w:val="88"/>
              </w:rPr>
              <w:t>101.SCH</w:t>
            </w:r>
          </w:p>
        </w:tc>
        <w:tc>
          <w:tcPr>
            <w:tcW w:w="20" w:type="dxa"/>
            <w:vAlign w:val="bottom"/>
          </w:tcPr>
          <w:p>
            <w:pPr>
              <w:spacing w:after="0"/>
              <w:rPr>
                <w:sz w:val="24"/>
                <w:szCs w:val="24"/>
                <w:color w:val="auto"/>
              </w:rPr>
            </w:pPr>
          </w:p>
        </w:tc>
        <w:tc>
          <w:tcPr>
            <w:tcW w:w="6340" w:type="dxa"/>
            <w:vAlign w:val="bottom"/>
            <w:gridSpan w:val="8"/>
          </w:tcPr>
          <w:p>
            <w:pPr>
              <w:spacing w:after="0"/>
              <w:rPr>
                <w:sz w:val="20"/>
                <w:szCs w:val="20"/>
                <w:color w:val="auto"/>
              </w:rPr>
            </w:pPr>
            <w:r>
              <w:rPr>
                <w:rFonts w:ascii="Arial" w:cs="Arial" w:eastAsia="Arial" w:hAnsi="Arial"/>
                <w:sz w:val="20"/>
                <w:szCs w:val="20"/>
                <w:color w:val="auto"/>
              </w:rPr>
              <w:t>XBRL Taxonomy Extension Schema Document</w:t>
            </w: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405"/>
        </w:trPr>
        <w:tc>
          <w:tcPr>
            <w:tcW w:w="1280" w:type="dxa"/>
            <w:vAlign w:val="bottom"/>
            <w:gridSpan w:val="2"/>
          </w:tcPr>
          <w:p>
            <w:pPr>
              <w:jc w:val="center"/>
              <w:ind w:right="100"/>
              <w:spacing w:after="0"/>
              <w:rPr>
                <w:sz w:val="20"/>
                <w:szCs w:val="20"/>
                <w:color w:val="auto"/>
              </w:rPr>
            </w:pPr>
            <w:r>
              <w:rPr>
                <w:rFonts w:ascii="Arial" w:cs="Arial" w:eastAsia="Arial" w:hAnsi="Arial"/>
                <w:sz w:val="20"/>
                <w:szCs w:val="20"/>
                <w:color w:val="auto"/>
                <w:w w:val="95"/>
              </w:rPr>
              <w:t>101.CAL</w:t>
            </w:r>
          </w:p>
        </w:tc>
        <w:tc>
          <w:tcPr>
            <w:tcW w:w="20" w:type="dxa"/>
            <w:vAlign w:val="bottom"/>
          </w:tcPr>
          <w:p>
            <w:pPr>
              <w:spacing w:after="0"/>
              <w:rPr>
                <w:sz w:val="24"/>
                <w:szCs w:val="24"/>
                <w:color w:val="auto"/>
              </w:rPr>
            </w:pPr>
          </w:p>
        </w:tc>
        <w:tc>
          <w:tcPr>
            <w:tcW w:w="6340" w:type="dxa"/>
            <w:vAlign w:val="bottom"/>
            <w:gridSpan w:val="8"/>
          </w:tcPr>
          <w:p>
            <w:pPr>
              <w:spacing w:after="0"/>
              <w:rPr>
                <w:sz w:val="20"/>
                <w:szCs w:val="20"/>
                <w:color w:val="auto"/>
              </w:rPr>
            </w:pPr>
            <w:r>
              <w:rPr>
                <w:rFonts w:ascii="Arial" w:cs="Arial" w:eastAsia="Arial" w:hAnsi="Arial"/>
                <w:sz w:val="20"/>
                <w:szCs w:val="20"/>
                <w:color w:val="auto"/>
              </w:rPr>
              <w:t>XBRL Taxonomy Extension Calculation Linkbase Document</w:t>
            </w: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405"/>
        </w:trPr>
        <w:tc>
          <w:tcPr>
            <w:tcW w:w="1280" w:type="dxa"/>
            <w:vAlign w:val="bottom"/>
            <w:gridSpan w:val="2"/>
          </w:tcPr>
          <w:p>
            <w:pPr>
              <w:jc w:val="center"/>
              <w:ind w:right="120"/>
              <w:spacing w:after="0"/>
              <w:rPr>
                <w:sz w:val="20"/>
                <w:szCs w:val="20"/>
                <w:color w:val="auto"/>
              </w:rPr>
            </w:pPr>
            <w:r>
              <w:rPr>
                <w:rFonts w:ascii="Arial" w:cs="Arial" w:eastAsia="Arial" w:hAnsi="Arial"/>
                <w:sz w:val="20"/>
                <w:szCs w:val="20"/>
                <w:color w:val="auto"/>
                <w:w w:val="91"/>
              </w:rPr>
              <w:t>101.DEF</w:t>
            </w:r>
          </w:p>
        </w:tc>
        <w:tc>
          <w:tcPr>
            <w:tcW w:w="20" w:type="dxa"/>
            <w:vAlign w:val="bottom"/>
          </w:tcPr>
          <w:p>
            <w:pPr>
              <w:spacing w:after="0"/>
              <w:rPr>
                <w:sz w:val="24"/>
                <w:szCs w:val="24"/>
                <w:color w:val="auto"/>
              </w:rPr>
            </w:pPr>
          </w:p>
        </w:tc>
        <w:tc>
          <w:tcPr>
            <w:tcW w:w="6340" w:type="dxa"/>
            <w:vAlign w:val="bottom"/>
            <w:gridSpan w:val="8"/>
          </w:tcPr>
          <w:p>
            <w:pPr>
              <w:spacing w:after="0"/>
              <w:rPr>
                <w:sz w:val="20"/>
                <w:szCs w:val="20"/>
                <w:color w:val="auto"/>
              </w:rPr>
            </w:pPr>
            <w:r>
              <w:rPr>
                <w:rFonts w:ascii="Arial" w:cs="Arial" w:eastAsia="Arial" w:hAnsi="Arial"/>
                <w:sz w:val="20"/>
                <w:szCs w:val="20"/>
                <w:color w:val="auto"/>
              </w:rPr>
              <w:t>XBRL Taxonomy Extension Definition Linkbase Document</w:t>
            </w: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405"/>
        </w:trPr>
        <w:tc>
          <w:tcPr>
            <w:tcW w:w="1280" w:type="dxa"/>
            <w:vAlign w:val="bottom"/>
            <w:gridSpan w:val="2"/>
          </w:tcPr>
          <w:p>
            <w:pPr>
              <w:jc w:val="center"/>
              <w:ind w:right="100"/>
              <w:spacing w:after="0"/>
              <w:rPr>
                <w:sz w:val="20"/>
                <w:szCs w:val="20"/>
                <w:color w:val="auto"/>
              </w:rPr>
            </w:pPr>
            <w:r>
              <w:rPr>
                <w:rFonts w:ascii="Arial" w:cs="Arial" w:eastAsia="Arial" w:hAnsi="Arial"/>
                <w:sz w:val="20"/>
                <w:szCs w:val="20"/>
                <w:color w:val="auto"/>
                <w:w w:val="96"/>
              </w:rPr>
              <w:t>101.LAB</w:t>
            </w:r>
          </w:p>
        </w:tc>
        <w:tc>
          <w:tcPr>
            <w:tcW w:w="20" w:type="dxa"/>
            <w:vAlign w:val="bottom"/>
          </w:tcPr>
          <w:p>
            <w:pPr>
              <w:spacing w:after="0"/>
              <w:rPr>
                <w:sz w:val="24"/>
                <w:szCs w:val="24"/>
                <w:color w:val="auto"/>
              </w:rPr>
            </w:pPr>
          </w:p>
        </w:tc>
        <w:tc>
          <w:tcPr>
            <w:tcW w:w="6340" w:type="dxa"/>
            <w:vAlign w:val="bottom"/>
            <w:gridSpan w:val="8"/>
          </w:tcPr>
          <w:p>
            <w:pPr>
              <w:spacing w:after="0"/>
              <w:rPr>
                <w:sz w:val="20"/>
                <w:szCs w:val="20"/>
                <w:color w:val="auto"/>
              </w:rPr>
            </w:pPr>
            <w:r>
              <w:rPr>
                <w:rFonts w:ascii="Arial" w:cs="Arial" w:eastAsia="Arial" w:hAnsi="Arial"/>
                <w:sz w:val="20"/>
                <w:szCs w:val="20"/>
                <w:color w:val="auto"/>
              </w:rPr>
              <w:t>XBRL Taxonomy Extension Label Linkbase Document</w:t>
            </w: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405"/>
        </w:trPr>
        <w:tc>
          <w:tcPr>
            <w:tcW w:w="1280" w:type="dxa"/>
            <w:vAlign w:val="bottom"/>
            <w:gridSpan w:val="2"/>
          </w:tcPr>
          <w:p>
            <w:pPr>
              <w:jc w:val="center"/>
              <w:ind w:right="120"/>
              <w:spacing w:after="0"/>
              <w:rPr>
                <w:sz w:val="20"/>
                <w:szCs w:val="20"/>
                <w:color w:val="auto"/>
              </w:rPr>
            </w:pPr>
            <w:r>
              <w:rPr>
                <w:rFonts w:ascii="Arial" w:cs="Arial" w:eastAsia="Arial" w:hAnsi="Arial"/>
                <w:sz w:val="20"/>
                <w:szCs w:val="20"/>
                <w:color w:val="auto"/>
                <w:w w:val="89"/>
              </w:rPr>
              <w:t>101.PRE</w:t>
            </w:r>
          </w:p>
        </w:tc>
        <w:tc>
          <w:tcPr>
            <w:tcW w:w="20" w:type="dxa"/>
            <w:vAlign w:val="bottom"/>
          </w:tcPr>
          <w:p>
            <w:pPr>
              <w:spacing w:after="0"/>
              <w:rPr>
                <w:sz w:val="24"/>
                <w:szCs w:val="24"/>
                <w:color w:val="auto"/>
              </w:rPr>
            </w:pPr>
          </w:p>
        </w:tc>
        <w:tc>
          <w:tcPr>
            <w:tcW w:w="6340" w:type="dxa"/>
            <w:vAlign w:val="bottom"/>
            <w:gridSpan w:val="8"/>
          </w:tcPr>
          <w:p>
            <w:pPr>
              <w:spacing w:after="0"/>
              <w:rPr>
                <w:sz w:val="20"/>
                <w:szCs w:val="20"/>
                <w:color w:val="auto"/>
              </w:rPr>
            </w:pPr>
            <w:r>
              <w:rPr>
                <w:rFonts w:ascii="Arial" w:cs="Arial" w:eastAsia="Arial" w:hAnsi="Arial"/>
                <w:sz w:val="20"/>
                <w:szCs w:val="20"/>
                <w:color w:val="auto"/>
              </w:rPr>
              <w:t>XBRL Taxonomy Extension Presentation Linkbase Document</w:t>
            </w: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bl>
    <w:p>
      <w:pPr>
        <w:spacing w:after="0" w:line="236" w:lineRule="exact"/>
        <w:rPr>
          <w:sz w:val="20"/>
          <w:szCs w:val="20"/>
          <w:color w:val="auto"/>
        </w:rPr>
      </w:pPr>
    </w:p>
    <w:p>
      <w:pPr>
        <w:jc w:val="both"/>
        <w:ind w:firstLine="8"/>
        <w:spacing w:after="0" w:line="250" w:lineRule="auto"/>
        <w:tabs>
          <w:tab w:leader="none" w:pos="283"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These certifications are not deemed to be “filed” for purposes of Section 18 of the Exchange Act, or otherwise subject to the liability of that section. These certifications will not be deemed to be incorporated by reference into any filing under the Securities Act or the Exchange Act,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5" w:lineRule="exact"/>
        <w:rPr>
          <w:sz w:val="20"/>
          <w:szCs w:val="20"/>
          <w:color w:val="auto"/>
        </w:rPr>
      </w:pPr>
    </w:p>
    <w:p>
      <w:pPr>
        <w:ind w:left="40"/>
        <w:spacing w:after="0"/>
        <w:tabs>
          <w:tab w:leader="none" w:pos="4700" w:val="left"/>
        </w:tabs>
        <w:rPr>
          <w:sz w:val="20"/>
          <w:szCs w:val="20"/>
          <w:color w:val="auto"/>
        </w:rPr>
      </w:pPr>
      <w:r>
        <w:rPr>
          <w:rFonts w:ascii="Arial" w:cs="Arial" w:eastAsia="Arial" w:hAnsi="Arial"/>
          <w:sz w:val="20"/>
          <w:szCs w:val="20"/>
          <w:color w:val="auto"/>
        </w:rPr>
        <w:t>Date:  August 2, 2018</w:t>
      </w:r>
      <w:r>
        <w:rPr>
          <w:sz w:val="20"/>
          <w:szCs w:val="20"/>
          <w:color w:val="auto"/>
        </w:rPr>
        <w:tab/>
      </w:r>
      <w:r>
        <w:rPr>
          <w:rFonts w:ascii="Arial" w:cs="Arial" w:eastAsia="Arial" w:hAnsi="Arial"/>
          <w:sz w:val="19"/>
          <w:szCs w:val="19"/>
          <w:color w:val="auto"/>
        </w:rPr>
        <w:t>BLOOMIN’ BRANDS, INC.</w:t>
      </w:r>
    </w:p>
    <w:p>
      <w:pPr>
        <w:spacing w:after="0" w:line="54"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(Registrant)</w:t>
      </w:r>
    </w:p>
    <w:p>
      <w:pPr>
        <w:spacing w:after="0" w:line="216"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27305</wp:posOffset>
            </wp:positionV>
            <wp:extent cx="42710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71010" cy="17145"/>
                    </a:xfrm>
                    <a:prstGeom prst="rect">
                      <a:avLst/>
                    </a:prstGeom>
                    <a:noFill/>
                  </pic:spPr>
                </pic:pic>
              </a:graphicData>
            </a:graphic>
          </wp:anchor>
        </w:drawing>
      </w:r>
    </w:p>
    <w:p>
      <w:pPr>
        <w:spacing w:after="0" w:line="61"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David J. Deno</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Executive Vice President and Chief Financial and</w:t>
      </w:r>
    </w:p>
    <w:p>
      <w:pPr>
        <w:ind w:left="5200"/>
        <w:spacing w:after="0"/>
        <w:rPr>
          <w:sz w:val="20"/>
          <w:szCs w:val="20"/>
          <w:color w:val="auto"/>
        </w:rPr>
      </w:pPr>
      <w:r>
        <w:rPr>
          <w:rFonts w:ascii="Arial" w:cs="Arial" w:eastAsia="Arial" w:hAnsi="Arial"/>
          <w:sz w:val="20"/>
          <w:szCs w:val="20"/>
          <w:color w:val="auto"/>
        </w:rPr>
        <w:t>Administrative Officer</w:t>
      </w:r>
    </w:p>
    <w:p>
      <w:pPr>
        <w:ind w:left="5200"/>
        <w:spacing w:after="0"/>
        <w:rPr>
          <w:sz w:val="20"/>
          <w:szCs w:val="20"/>
          <w:color w:val="auto"/>
        </w:rPr>
      </w:pPr>
      <w:r>
        <w:rPr>
          <w:rFonts w:ascii="Arial" w:cs="Arial" w:eastAsia="Arial" w:hAnsi="Arial"/>
          <w:sz w:val="20"/>
          <w:szCs w:val="20"/>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[Remainder of page intentionally left blank]</w:t>
      </w:r>
    </w:p>
    <w:p>
      <w:pPr>
        <w:sectPr>
          <w:pgSz w:w="11900" w:h="16838" w:orient="portrait"/>
          <w:cols w:equalWidth="0" w:num="1">
            <w:col w:w="11420"/>
          </w:cols>
          <w:pgMar w:left="240" w:top="122"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Elizabeth A. Smith, certify that:</w:t>
      </w:r>
    </w:p>
    <w:p>
      <w:pPr>
        <w:spacing w:after="0" w:line="229" w:lineRule="exact"/>
        <w:rPr>
          <w:sz w:val="20"/>
          <w:szCs w:val="20"/>
          <w:color w:val="auto"/>
        </w:rPr>
      </w:pPr>
    </w:p>
    <w:p>
      <w:pPr>
        <w:ind w:left="580" w:hanging="572"/>
        <w:spacing w:after="0"/>
        <w:tabs>
          <w:tab w:leader="none" w:pos="5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Bloomin’ Brands, Inc.;</w:t>
      </w:r>
    </w:p>
    <w:p>
      <w:pPr>
        <w:spacing w:after="0" w:line="229"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580" w:right="20" w:hanging="572"/>
        <w:spacing w:after="0" w:line="316"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580" w:hanging="572"/>
        <w:spacing w:after="0" w:line="275"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58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13" w:lineRule="exact"/>
        <w:rPr>
          <w:rFonts w:ascii="Arial" w:cs="Arial" w:eastAsia="Arial" w:hAnsi="Arial"/>
          <w:sz w:val="18"/>
          <w:szCs w:val="18"/>
          <w:color w:val="auto"/>
        </w:rPr>
      </w:pPr>
    </w:p>
    <w:p>
      <w:pPr>
        <w:jc w:val="both"/>
        <w:ind w:left="1300" w:hanging="482"/>
        <w:spacing w:after="0" w:line="291"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300" w:hanging="482"/>
        <w:spacing w:after="0" w:line="269" w:lineRule="auto"/>
        <w:tabs>
          <w:tab w:leader="none" w:pos="1300" w:val="left"/>
        </w:tabs>
        <w:numPr>
          <w:ilvl w:val="1"/>
          <w:numId w:val="51"/>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9"/>
          <w:szCs w:val="19"/>
          <w:color w:val="auto"/>
        </w:rPr>
      </w:pPr>
    </w:p>
    <w:p>
      <w:pPr>
        <w:jc w:val="both"/>
        <w:ind w:left="1300" w:hanging="482"/>
        <w:spacing w:after="0" w:line="250" w:lineRule="auto"/>
        <w:tabs>
          <w:tab w:leader="none" w:pos="1300" w:val="left"/>
        </w:tabs>
        <w:numPr>
          <w:ilvl w:val="1"/>
          <w:numId w:val="5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300" w:hanging="482"/>
        <w:spacing w:after="0" w:line="269" w:lineRule="auto"/>
        <w:tabs>
          <w:tab w:leader="none" w:pos="1300" w:val="left"/>
        </w:tabs>
        <w:numPr>
          <w:ilvl w:val="1"/>
          <w:numId w:val="51"/>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9"/>
          <w:szCs w:val="19"/>
          <w:color w:val="auto"/>
        </w:rPr>
      </w:pPr>
    </w:p>
    <w:p>
      <w:pPr>
        <w:jc w:val="both"/>
        <w:ind w:left="580" w:hanging="572"/>
        <w:spacing w:after="0" w:line="250" w:lineRule="auto"/>
        <w:tabs>
          <w:tab w:leader="none" w:pos="5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1300" w:hanging="482"/>
        <w:spacing w:after="0" w:line="250" w:lineRule="auto"/>
        <w:tabs>
          <w:tab w:leader="none" w:pos="1300" w:val="left"/>
        </w:tabs>
        <w:numPr>
          <w:ilvl w:val="1"/>
          <w:numId w:val="5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520" w:hanging="1702"/>
        <w:spacing w:after="0" w:line="260" w:lineRule="auto"/>
        <w:tabs>
          <w:tab w:leader="none" w:pos="1305" w:val="left"/>
        </w:tabs>
        <w:numPr>
          <w:ilvl w:val="1"/>
          <w:numId w:val="5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53" w:lineRule="exact"/>
        <w:rPr>
          <w:sz w:val="20"/>
          <w:szCs w:val="20"/>
          <w:color w:val="auto"/>
        </w:rPr>
      </w:pPr>
    </w:p>
    <w:p>
      <w:pPr>
        <w:ind w:left="40"/>
        <w:spacing w:after="0"/>
        <w:tabs>
          <w:tab w:leader="none" w:pos="700" w:val="left"/>
          <w:tab w:leader="none" w:pos="5040" w:val="left"/>
        </w:tabs>
        <w:rPr>
          <w:sz w:val="20"/>
          <w:szCs w:val="20"/>
          <w:color w:val="auto"/>
        </w:rPr>
      </w:pPr>
      <w:r>
        <w:rPr>
          <w:rFonts w:ascii="Arial" w:cs="Arial" w:eastAsia="Arial" w:hAnsi="Arial"/>
          <w:sz w:val="20"/>
          <w:szCs w:val="20"/>
          <w:color w:val="auto"/>
        </w:rPr>
        <w:t>Date:</w:t>
        <w:tab/>
        <w:t>August 2, 2018</w:t>
      </w:r>
      <w:r>
        <w:rPr>
          <w:sz w:val="20"/>
          <w:szCs w:val="20"/>
          <w:color w:val="auto"/>
        </w:rPr>
        <w:tab/>
      </w:r>
      <w:r>
        <w:rPr>
          <w:rFonts w:ascii="Arial" w:cs="Arial" w:eastAsia="Arial" w:hAnsi="Arial"/>
          <w:sz w:val="18"/>
          <w:szCs w:val="18"/>
          <w:color w:val="auto"/>
        </w:rPr>
        <w:t>/s/ Elizabeth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27305</wp:posOffset>
            </wp:positionV>
            <wp:extent cx="40563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56380" cy="17145"/>
                    </a:xfrm>
                    <a:prstGeom prst="rect">
                      <a:avLst/>
                    </a:prstGeom>
                    <a:noFill/>
                  </pic:spPr>
                </pic:pic>
              </a:graphicData>
            </a:graphic>
          </wp:anchor>
        </w:drawing>
      </w:r>
    </w:p>
    <w:p>
      <w:pPr>
        <w:spacing w:after="0" w:line="61"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Elizabeth A. Smith</w:t>
      </w:r>
    </w:p>
    <w:p>
      <w:pPr>
        <w:spacing w:after="0" w:line="54"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Chief Executive Officer</w:t>
      </w:r>
    </w:p>
    <w:p>
      <w:pPr>
        <w:spacing w:after="0" w:line="16"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(Principal Executive Officer)</w:t>
      </w:r>
    </w:p>
    <w:p>
      <w:pPr>
        <w:sectPr>
          <w:pgSz w:w="11900" w:h="16838" w:orient="portrait"/>
          <w:cols w:equalWidth="0" w:num="1">
            <w:col w:w="11420"/>
          </w:cols>
          <w:pgMar w:left="240" w:top="116"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 David J. Deno, certify that:</w:t>
      </w:r>
    </w:p>
    <w:p>
      <w:pPr>
        <w:spacing w:after="0" w:line="216" w:lineRule="exact"/>
        <w:rPr>
          <w:sz w:val="20"/>
          <w:szCs w:val="20"/>
          <w:color w:val="auto"/>
        </w:rPr>
      </w:pPr>
    </w:p>
    <w:p>
      <w:pPr>
        <w:ind w:left="580" w:hanging="572"/>
        <w:spacing w:after="0"/>
        <w:tabs>
          <w:tab w:leader="none" w:pos="5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Bloomin’ Brands, Inc.;</w:t>
      </w:r>
    </w:p>
    <w:p>
      <w:pPr>
        <w:spacing w:after="0" w:line="229"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580" w:right="20" w:hanging="572"/>
        <w:spacing w:after="0" w:line="316"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580" w:hanging="572"/>
        <w:spacing w:after="0" w:line="275"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58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13" w:lineRule="exact"/>
        <w:rPr>
          <w:rFonts w:ascii="Arial" w:cs="Arial" w:eastAsia="Arial" w:hAnsi="Arial"/>
          <w:sz w:val="18"/>
          <w:szCs w:val="18"/>
          <w:color w:val="auto"/>
        </w:rPr>
      </w:pPr>
    </w:p>
    <w:p>
      <w:pPr>
        <w:jc w:val="both"/>
        <w:ind w:left="1300" w:hanging="482"/>
        <w:spacing w:after="0" w:line="291"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300" w:hanging="482"/>
        <w:spacing w:after="0" w:line="269" w:lineRule="auto"/>
        <w:tabs>
          <w:tab w:leader="none" w:pos="1300" w:val="left"/>
        </w:tabs>
        <w:numPr>
          <w:ilvl w:val="1"/>
          <w:numId w:val="52"/>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9"/>
          <w:szCs w:val="19"/>
          <w:color w:val="auto"/>
        </w:rPr>
      </w:pPr>
    </w:p>
    <w:p>
      <w:pPr>
        <w:jc w:val="both"/>
        <w:ind w:left="1300" w:hanging="482"/>
        <w:spacing w:after="0" w:line="250" w:lineRule="auto"/>
        <w:tabs>
          <w:tab w:leader="none" w:pos="1300" w:val="left"/>
        </w:tabs>
        <w:numPr>
          <w:ilvl w:val="1"/>
          <w:numId w:val="5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300" w:hanging="482"/>
        <w:spacing w:after="0" w:line="269" w:lineRule="auto"/>
        <w:tabs>
          <w:tab w:leader="none" w:pos="1300" w:val="left"/>
        </w:tabs>
        <w:numPr>
          <w:ilvl w:val="1"/>
          <w:numId w:val="52"/>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9"/>
          <w:szCs w:val="19"/>
          <w:color w:val="auto"/>
        </w:rPr>
      </w:pPr>
    </w:p>
    <w:p>
      <w:pPr>
        <w:jc w:val="both"/>
        <w:ind w:left="580" w:hanging="572"/>
        <w:spacing w:after="0" w:line="250" w:lineRule="auto"/>
        <w:tabs>
          <w:tab w:leader="none" w:pos="5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1300" w:hanging="482"/>
        <w:spacing w:after="0" w:line="250" w:lineRule="auto"/>
        <w:tabs>
          <w:tab w:leader="none" w:pos="1300" w:val="left"/>
        </w:tabs>
        <w:numPr>
          <w:ilvl w:val="1"/>
          <w:numId w:val="5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520" w:hanging="1702"/>
        <w:spacing w:after="0" w:line="260" w:lineRule="auto"/>
        <w:tabs>
          <w:tab w:leader="none" w:pos="1305" w:val="left"/>
        </w:tabs>
        <w:numPr>
          <w:ilvl w:val="1"/>
          <w:numId w:val="5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53" w:lineRule="exact"/>
        <w:rPr>
          <w:sz w:val="20"/>
          <w:szCs w:val="20"/>
          <w:color w:val="auto"/>
        </w:rPr>
      </w:pPr>
    </w:p>
    <w:p>
      <w:pPr>
        <w:ind w:left="40"/>
        <w:spacing w:after="0"/>
        <w:tabs>
          <w:tab w:leader="none" w:pos="700" w:val="left"/>
          <w:tab w:leader="none" w:pos="5040" w:val="left"/>
        </w:tabs>
        <w:rPr>
          <w:sz w:val="20"/>
          <w:szCs w:val="20"/>
          <w:color w:val="auto"/>
        </w:rPr>
      </w:pPr>
      <w:r>
        <w:rPr>
          <w:rFonts w:ascii="Arial" w:cs="Arial" w:eastAsia="Arial" w:hAnsi="Arial"/>
          <w:sz w:val="20"/>
          <w:szCs w:val="20"/>
          <w:color w:val="auto"/>
        </w:rPr>
        <w:t>Date:</w:t>
        <w:tab/>
        <w:t>August 2, 2018</w:t>
      </w:r>
      <w:r>
        <w:rPr>
          <w:sz w:val="20"/>
          <w:szCs w:val="20"/>
          <w:color w:val="auto"/>
        </w:rPr>
        <w:tab/>
      </w:r>
      <w:r>
        <w:rPr>
          <w:rFonts w:ascii="Arial" w:cs="Arial" w:eastAsia="Arial" w:hAnsi="Arial"/>
          <w:sz w:val="18"/>
          <w:szCs w:val="18"/>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27305</wp:posOffset>
            </wp:positionV>
            <wp:extent cx="40563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56380" cy="17145"/>
                    </a:xfrm>
                    <a:prstGeom prst="rect">
                      <a:avLst/>
                    </a:prstGeom>
                    <a:noFill/>
                  </pic:spPr>
                </pic:pic>
              </a:graphicData>
            </a:graphic>
          </wp:anchor>
        </w:drawing>
      </w:r>
    </w:p>
    <w:p>
      <w:pPr>
        <w:spacing w:after="0" w:line="61"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David J. Deno</w:t>
      </w:r>
    </w:p>
    <w:p>
      <w:pPr>
        <w:spacing w:after="0" w:line="54"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Executive Vice President and Chief Financial and Administrative Officer</w:t>
      </w:r>
    </w:p>
    <w:p>
      <w:pPr>
        <w:spacing w:after="0" w:line="16"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(Principal Financial Officer)</w:t>
      </w:r>
    </w:p>
    <w:p>
      <w:pPr>
        <w:sectPr>
          <w:pgSz w:w="11900" w:h="16838" w:orient="portrait"/>
          <w:cols w:equalWidth="0" w:num="1">
            <w:col w:w="11420"/>
          </w:cols>
          <w:pgMar w:left="240" w:top="118"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260" w:right="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Quarterly Report of Bloomin’ Brands, Inc. (the “Company”) on Form 10-Q for the quarter ended July 1, 2018 as filed with the Securities and Exchange Commission on the date hereof (the “Report”), I, Elizabeth A. Smith, Chief Executive Officer of the Company, hereby certify, pursuant to 18 U.S.C. Section 1350, as adopted pursuant to Section 906 of the Sarbanes-Oxley Act of 2002, to the best of my knowledge, that:</w:t>
      </w:r>
    </w:p>
    <w:p>
      <w:pPr>
        <w:spacing w:after="0" w:line="192"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660" w:right="20" w:hanging="328"/>
        <w:spacing w:after="0" w:line="260" w:lineRule="auto"/>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353" w:lineRule="exact"/>
        <w:rPr>
          <w:sz w:val="20"/>
          <w:szCs w:val="20"/>
          <w:color w:val="auto"/>
        </w:rPr>
      </w:pPr>
    </w:p>
    <w:p>
      <w:pPr>
        <w:ind w:left="80"/>
        <w:spacing w:after="0"/>
        <w:tabs>
          <w:tab w:leader="none" w:pos="760" w:val="left"/>
          <w:tab w:leader="none" w:pos="5080" w:val="left"/>
        </w:tabs>
        <w:rPr>
          <w:sz w:val="20"/>
          <w:szCs w:val="20"/>
          <w:color w:val="auto"/>
        </w:rPr>
      </w:pPr>
      <w:r>
        <w:rPr>
          <w:rFonts w:ascii="Arial" w:cs="Arial" w:eastAsia="Arial" w:hAnsi="Arial"/>
          <w:sz w:val="20"/>
          <w:szCs w:val="20"/>
          <w:color w:val="auto"/>
        </w:rPr>
        <w:t>Date:</w:t>
        <w:tab/>
        <w:t>August 2, 2018</w:t>
      </w:r>
      <w:r>
        <w:rPr>
          <w:sz w:val="20"/>
          <w:szCs w:val="20"/>
          <w:color w:val="auto"/>
        </w:rPr>
        <w:tab/>
      </w:r>
      <w:r>
        <w:rPr>
          <w:rFonts w:ascii="Arial" w:cs="Arial" w:eastAsia="Arial" w:hAnsi="Arial"/>
          <w:sz w:val="18"/>
          <w:szCs w:val="18"/>
          <w:color w:val="auto"/>
        </w:rPr>
        <w:t>/s/ Elizabeth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27305</wp:posOffset>
            </wp:positionV>
            <wp:extent cx="40303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30345" cy="17145"/>
                    </a:xfrm>
                    <a:prstGeom prst="rect">
                      <a:avLst/>
                    </a:prstGeom>
                    <a:noFill/>
                  </pic:spPr>
                </pic:pic>
              </a:graphicData>
            </a:graphic>
          </wp:anchor>
        </w:drawing>
      </w:r>
    </w:p>
    <w:p>
      <w:pPr>
        <w:spacing w:after="0" w:line="61"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Elizabeth A. Smith</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Chief Executive Officer</w:t>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(Principal Executive Officer)</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and will be retained by, Bloomin’ Brands, Inc. and furnished to the Securities and Exchange Commission or its staff upon request.</w:t>
      </w:r>
    </w:p>
    <w:p>
      <w:pPr>
        <w:sectPr>
          <w:pgSz w:w="11900" w:h="16838" w:orient="portrait"/>
          <w:cols w:equalWidth="0" w:num="1">
            <w:col w:w="11420"/>
          </w:cols>
          <w:pgMar w:left="240" w:top="576"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260" w:right="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Quarterly Report of Bloomin’ Brands, Inc. (the “Company”) on Form 10-Q for the quarter ended July 1, 2018 as filed with the Securities and Exchange Commission on the date hereof (the “Report”), I, David J. Deno, Executive Vice President and Chief Financial and Administrative Officer of the Company, hereby certify, pursuant to 18 U.S.C. Section 1350, as adopted pursuant to Section 906 of the Sarbanes-Oxley Act of 2002, to the best of my knowledge, that:</w:t>
      </w:r>
    </w:p>
    <w:p>
      <w:pPr>
        <w:spacing w:after="0" w:line="192"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660" w:right="20" w:hanging="328"/>
        <w:spacing w:after="0" w:line="260" w:lineRule="auto"/>
        <w:tabs>
          <w:tab w:leader="none" w:pos="6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353" w:lineRule="exact"/>
        <w:rPr>
          <w:sz w:val="20"/>
          <w:szCs w:val="20"/>
          <w:color w:val="auto"/>
        </w:rPr>
      </w:pPr>
    </w:p>
    <w:p>
      <w:pPr>
        <w:ind w:left="80"/>
        <w:spacing w:after="0"/>
        <w:tabs>
          <w:tab w:leader="none" w:pos="760" w:val="left"/>
          <w:tab w:leader="none" w:pos="5080" w:val="left"/>
        </w:tabs>
        <w:rPr>
          <w:sz w:val="20"/>
          <w:szCs w:val="20"/>
          <w:color w:val="auto"/>
        </w:rPr>
      </w:pPr>
      <w:r>
        <w:rPr>
          <w:rFonts w:ascii="Arial" w:cs="Arial" w:eastAsia="Arial" w:hAnsi="Arial"/>
          <w:sz w:val="20"/>
          <w:szCs w:val="20"/>
          <w:color w:val="auto"/>
        </w:rPr>
        <w:t>Date:</w:t>
        <w:tab/>
        <w:t>August 2, 2018</w:t>
      </w:r>
      <w:r>
        <w:rPr>
          <w:sz w:val="20"/>
          <w:szCs w:val="20"/>
          <w:color w:val="auto"/>
        </w:rPr>
        <w:tab/>
      </w:r>
      <w:r>
        <w:rPr>
          <w:rFonts w:ascii="Arial" w:cs="Arial" w:eastAsia="Arial" w:hAnsi="Arial"/>
          <w:sz w:val="18"/>
          <w:szCs w:val="18"/>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27305</wp:posOffset>
            </wp:positionV>
            <wp:extent cx="40303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30345" cy="17145"/>
                    </a:xfrm>
                    <a:prstGeom prst="rect">
                      <a:avLst/>
                    </a:prstGeom>
                    <a:noFill/>
                  </pic:spPr>
                </pic:pic>
              </a:graphicData>
            </a:graphic>
          </wp:anchor>
        </w:drawing>
      </w:r>
    </w:p>
    <w:p>
      <w:pPr>
        <w:spacing w:after="0" w:line="61"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David J. Deno</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19"/>
          <w:szCs w:val="19"/>
          <w:color w:val="auto"/>
        </w:rPr>
        <w:t>Executive Vice President and Chief Financial and Administrative Officer</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(Principal Financial Officer)</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and will be retained by, Bloomin’ Brands, Inc.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upperLetter"/>
      <w:start w:val="24"/>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decimal"/>
      <w:start w:val="1"/>
    </w:lvl>
  </w:abstractNum>
  <w:abstractNum w:abstractNumId="9">
    <w:nsid w:val="6CEAF087"/>
    <w:multiLevelType w:val="hybridMultilevel"/>
    <w:lvl w:ilvl="0">
      <w:lvlJc w:val="left"/>
      <w:lvlText w:val="(%1)"/>
      <w:numFmt w:val="decimal"/>
      <w:start w:val="1"/>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1."/>
      <w:numFmt w:val="decimal"/>
      <w:start w:val="9"/>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1."/>
      <w:numFmt w:val="decimal"/>
      <w:start w:val="11"/>
    </w:lvl>
  </w:abstractNum>
  <w:abstractNum w:abstractNumId="18">
    <w:nsid w:val="3804823E"/>
    <w:multiLevelType w:val="hybridMultilevel"/>
    <w:lvl w:ilvl="0">
      <w:lvlJc w:val="left"/>
      <w:lvlText w:val="(%1)"/>
      <w:numFmt w:val="decimal"/>
      <w:start w:val="1"/>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1)"/>
      <w:numFmt w:val="lowerRoman"/>
      <w:start w:val="1"/>
    </w:lvl>
  </w:abstractNum>
  <w:abstractNum w:abstractNumId="24">
    <w:nsid w:val="51EAD36B"/>
    <w:multiLevelType w:val="hybridMultilevel"/>
    <w:lvl w:ilvl="0">
      <w:lvlJc w:val="left"/>
      <w:lvlText w:val="(%1)"/>
      <w:numFmt w:val="lowerRoman"/>
      <w:start w:val="8"/>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1)"/>
      <w:numFmt w:val="lowerRoman"/>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1)"/>
      <w:numFmt w:val="decimal"/>
      <w:start w:val="1"/>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decimal"/>
      <w:start w:val="1"/>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1)"/>
      <w:numFmt w:val="lowerRoman"/>
      <w:start w:val="4"/>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2019-12-28T20:53:57Z</dcterms:created>
  <dcterms:modified xsi:type="dcterms:W3CDTF">2019-12-28T20:53:57Z</dcterms:modified>
</cp:coreProperties>
</file>