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  </w:t>
      </w:r>
      <w:r>
        <w:rPr>
          <w:rFonts w:ascii="Times New Roman;serif" w:hAnsi="Times New Roman;serif"/>
          <w:b/>
          <w:color w:val="000000"/>
          <w:sz w:val="22"/>
        </w:rPr>
        <w:t>September 25, 2026</w:t>
      </w:r>
      <w:r>
        <w:rPr>
          <w:color w:val="000000"/>
        </w:rPr>
        <w:t xml:space="preserve">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p>
      <w:pPr>
        <w:pStyle w:val="TextBody"/>
        <w:bidi w:val="0"/>
        <w:spacing w:before="0" w:after="0"/>
        <w:jc w:val="left"/>
        <w:rPr/>
      </w:pPr>
      <w:r>
        <w:rPr/>
      </w:r>
    </w:p>
    <w:tbl>
      <w:tblPr>
        <w:tblW w:w="8728" w:type="dxa"/>
        <w:jc w:val="center"/>
        <w:tblInd w:w="0" w:type="dxa"/>
        <w:tblLayout w:type="fixed"/>
        <w:tblCellMar>
          <w:top w:w="28" w:type="dxa"/>
          <w:left w:w="28" w:type="dxa"/>
          <w:bottom w:w="28" w:type="dxa"/>
          <w:right w:w="28" w:type="dxa"/>
        </w:tblCellMar>
      </w:tblPr>
      <w:tblGrid>
        <w:gridCol w:w="1520"/>
        <w:gridCol w:w="1335"/>
        <w:gridCol w:w="1344"/>
        <w:gridCol w:w="882"/>
        <w:gridCol w:w="882"/>
        <w:gridCol w:w="890"/>
        <w:gridCol w:w="548"/>
        <w:gridCol w:w="548"/>
        <w:gridCol w:w="779"/>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001-35625</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20-8023465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 incorporation)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 xml:space="preserve">2202 North West Shore Boulevard, Suite 500, Tampa, </w:t>
      </w:r>
      <w:r>
        <w:rPr>
          <w:rFonts w:ascii="Times New Roman;serif" w:hAnsi="Times New Roman;serif"/>
          <w:b/>
          <w:color w:val="000000"/>
          <w:sz w:val="20"/>
        </w:rPr>
        <w:t>FL</w:t>
      </w:r>
      <w:r>
        <w:rPr>
          <w:color w:val="000000"/>
        </w:rPr>
        <w:t xml:space="preserve"> </w:t>
      </w:r>
      <w:r>
        <w:rPr>
          <w:rFonts w:ascii="Times New Roman;serif" w:hAnsi="Times New Roman;serif"/>
          <w:b/>
          <w:color w:val="000000"/>
          <w:sz w:val="22"/>
        </w:rPr>
        <w:t xml:space="preserve">33607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Registrant’s telephone number, including area code  </w:t>
      </w:r>
      <w:r>
        <w:rPr>
          <w:rFonts w:ascii="Times New Roman;serif" w:hAnsi="Times New Roman;serif"/>
          <w:b/>
          <w:color w:val="000000"/>
          <w:sz w:val="22"/>
        </w:rPr>
        <w:t>(</w:t>
      </w:r>
      <w:r>
        <w:rPr>
          <w:rFonts w:ascii="Times New Roman;serif" w:hAnsi="Times New Roman;serif"/>
          <w:b/>
          <w:color w:val="000000"/>
          <w:sz w:val="20"/>
        </w:rPr>
        <w:t>813</w:t>
      </w:r>
      <w:r>
        <w:rPr>
          <w:rFonts w:ascii="Times New Roman;serif" w:hAnsi="Times New Roman;serif"/>
          <w:b/>
          <w:color w:val="000000"/>
          <w:sz w:val="22"/>
        </w:rPr>
        <w:t xml:space="preserve">) </w:t>
      </w:r>
      <w:r>
        <w:rPr>
          <w:rFonts w:ascii="Times New Roman;serif" w:hAnsi="Times New Roman;serif"/>
          <w:b/>
          <w:color w:val="000000"/>
          <w:sz w:val="20"/>
        </w:rPr>
        <w:t>282-1225</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477"/>
        <w:gridCol w:w="420"/>
        <w:gridCol w:w="422"/>
        <w:gridCol w:w="425"/>
        <w:gridCol w:w="425"/>
        <w:gridCol w:w="425"/>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$0.01 par value</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The Nasdaq Stock Market LLC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hanging="1440"/>
        <w:jc w:val="both"/>
        <w:rPr/>
      </w:pPr>
      <w:r>
        <w:rPr>
          <w:rFonts w:ascii="Times New Roman;serif" w:hAnsi="Times New Roman;serif"/>
          <w:b/>
          <w:color w:val="000000"/>
          <w:sz w:val="22"/>
        </w:rPr>
        <w:t>Item 1.01</w:t>
      </w:r>
      <w:r>
        <w:rPr>
          <w:color w:val="000000"/>
        </w:rPr>
        <w:t>    </w:t>
      </w:r>
      <w:r>
        <w:rPr>
          <w:rFonts w:ascii="Times New Roman;serif" w:hAnsi="Times New Roman;serif"/>
          <w:b/>
          <w:color w:val="000000"/>
          <w:sz w:val="22"/>
        </w:rPr>
        <w:t>Entry into a Material Definitive Agreement</w:t>
      </w:r>
    </w:p>
    <w:p>
      <w:pPr>
        <w:pStyle w:val="TextBody"/>
        <w:bidi w:val="0"/>
        <w:spacing w:before="0" w:after="12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25, 2026, Bloomin’ Brands, Inc. (the “Company”) and its wholly-owned subsidiary, OSI Restaurant Partners, LLC, as co-borrowers (each, a “Borrower” and together, the “Borrowers”), certain lenders and Wells Fargo Bank, National Association, as administrative agent (the “Administrative Agent”), entered into a Fourth Amended and Restated Credit Agreement (the “New Credit Agreement”). The New Credit Agreement amends and restates the Third Amended and Restated Credit Agreement, dated September 19, 2024 (as previously amended, the “Existing 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New Credit Agreement extends the maturity date to September 25, 2031. The amount of the revolving credit commitments, terms regarding the potential increase of commitments and interest rate elections and spreads remained substantially unchanged.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New Credit Agreement continues to include a financial covenant requiring that the Borrowers’ Total Net Leverage Ratio not exceed 4.50 to 1.00, and adds a new financial covenant requiring that the Borrowers’ Consolidated Senior Secured Net Leverage Ratio not exceed 3.50 to 1.00 (in each case with a limited ability to temporarily increase such ratios in connection with material acquisitions). The New Credit Agreement also includes other affirmative and negative covenants that are in each case substantially similar to those contained in the Existing 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New Credit Agreement remains guaranteed by each of the Company’s current and future domestic 100% owned subsidiaries (other than the co-Borrower), subject to certain exceptions (the “Guarantors”), and secured by substantially all owned or later acquired assets of the Borrowers and Guarantors, including a pledge of all the capital stock of substantially all of the Company’s domestic subsidiaries.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Certain of the lenders and certain of their affiliates have performed investment banking, commercial lending and advisory services for the Company and its subsidiaries from time to time, for which they have received customary fees and expenses, including in connection with prior credit facilities and prior securities offerings. These parties may, from time to time, engage in transactions with, and perform services for, the Company and its subsidiaries in the ordinary course of their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New Credit Agreement does not purport to be complete and is subject to, and qualified in its entirety by, the full text of the New Credit Agreement that is attached to this Current Report on Form 8-K as Exhibit 10.1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2"/>
        </w:rPr>
      </w:pPr>
      <w:r>
        <w:rPr>
          <w:rFonts w:ascii="Times New Roman;serif" w:hAnsi="Times New Roman;serif"/>
          <w:b/>
          <w:color w:val="000000"/>
          <w:sz w:val="22"/>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set forth under Item 1.01 of this Current Report on Form 8-K is incorporated by reference into this Item 2.03.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ind w:left="0" w:right="0" w:hanging="1440"/>
        <w:jc w:val="both"/>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On September 29, 2026, the Company issued a press release announcing the New Credit Agreement. A copy of the press release is furnished as Exhibit 99.1 hereto.</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Item 7.01, including Exhibit 99.1 attached hereto, is being furnished and shall not be deemed “filed” for any purpose, and shall not be deemed incorporated by reference in any document whether or not filed under the Securities Act of 1933, as amended, or the Securities Exchange Act of 1934, as amended, regardless of any general incorporation language in any such document.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
        <w:gridCol w:w="290"/>
        <w:gridCol w:w="291"/>
        <w:gridCol w:w="109"/>
        <w:gridCol w:w="109"/>
        <w:gridCol w:w="109"/>
        <w:gridCol w:w="2529"/>
        <w:gridCol w:w="2529"/>
        <w:gridCol w:w="36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Exhibit </w:t>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2026amendedcreditagr.htm">
              <w:r>
                <w:rPr>
                  <w:rStyle w:val="InternetLink"/>
                  <w:rFonts w:ascii="Times New Roman;serif" w:hAnsi="Times New Roman;serif"/>
                  <w:b w:val="false"/>
                  <w:color w:val="0000FF"/>
                  <w:sz w:val="22"/>
                  <w:u w:val="single"/>
                </w:rPr>
                <w:t>Fourth Amended and Restated Credit Agreement, dated September 25, 2026, by and among Bloomin’ Brands, Inc., OSI Restaurant Partners, LLC, the guarantors party thereto, the lenders party thereto, and Wells Fargo Bank, National Association, as Administrative Agent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pressreleasex2026ame.htm">
              <w:r>
                <w:rPr>
                  <w:rStyle w:val="InternetLink"/>
                  <w:rFonts w:ascii="Times New Roman;serif" w:hAnsi="Times New Roman;serif"/>
                  <w:b w:val="false"/>
                  <w:color w:val="0000FF"/>
                  <w:sz w:val="22"/>
                  <w:u w:val="single"/>
                </w:rPr>
                <w:t>Press Release of Bloomin’ Brands, Inc., dated September 29,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813" w:type="dxa"/>
        <w:jc w:val="left"/>
        <w:tblInd w:w="0" w:type="dxa"/>
        <w:tblLayout w:type="fixed"/>
        <w:tblCellMar>
          <w:top w:w="28" w:type="dxa"/>
          <w:left w:w="28" w:type="dxa"/>
          <w:bottom w:w="28" w:type="dxa"/>
          <w:right w:w="28" w:type="dxa"/>
        </w:tblCellMar>
      </w:tblPr>
      <w:tblGrid>
        <w:gridCol w:w="222"/>
        <w:gridCol w:w="196"/>
        <w:gridCol w:w="197"/>
        <w:gridCol w:w="664"/>
        <w:gridCol w:w="664"/>
        <w:gridCol w:w="666"/>
        <w:gridCol w:w="144"/>
        <w:gridCol w:w="144"/>
        <w:gridCol w:w="146"/>
        <w:gridCol w:w="1394"/>
        <w:gridCol w:w="1394"/>
        <w:gridCol w:w="1982"/>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29,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Kelly Lefferts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Kelly Lefferts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Legal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hanging="180"/>
        <w:jc w:val="right"/>
        <w:rPr>
          <w:rFonts w:ascii="Times New Roman;serif" w:hAnsi="Times New Roman;serif"/>
          <w:b w:val="false"/>
          <w:color w:val="000000"/>
          <w:sz w:val="22"/>
        </w:rPr>
      </w:pPr>
      <w:r>
        <w:rPr>
          <w:rFonts w:ascii="Times New Roman;serif" w:hAnsi="Times New Roman;serif"/>
          <w:b w:val="false"/>
          <w:color w:val="000000"/>
          <w:sz w:val="22"/>
        </w:rPr>
        <w:t>EXECUTION VERSION</w:t>
      </w:r>
    </w:p>
    <w:p>
      <w:pPr>
        <w:pStyle w:val="TextBody"/>
        <w:bidi w:val="0"/>
        <w:spacing w:lineRule="auto" w:line="268" w:before="0" w:after="0"/>
        <w:ind w:left="0" w:right="0" w:hanging="180"/>
        <w:jc w:val="right"/>
        <w:rPr>
          <w:rFonts w:ascii="Times New Roman;serif" w:hAnsi="Times New Roman;serif"/>
          <w:b w:val="false"/>
          <w:color w:val="000000"/>
          <w:sz w:val="24"/>
        </w:rPr>
      </w:pPr>
      <w:r>
        <w:rPr>
          <w:rFonts w:ascii="Times New Roman;serif" w:hAnsi="Times New Roman;serif"/>
          <w:b w:val="false"/>
          <w:color w:val="000000"/>
          <w:sz w:val="24"/>
        </w:rPr>
        <w:t>Published CUSIP Number: 67105DAZ7</w:t>
      </w:r>
    </w:p>
    <w:p>
      <w:pPr>
        <w:pStyle w:val="TextBody"/>
        <w:bidi w:val="0"/>
        <w:spacing w:lineRule="auto" w:line="268" w:before="0" w:after="0"/>
        <w:jc w:val="right"/>
        <w:rPr>
          <w:rFonts w:ascii="Times New Roman;serif" w:hAnsi="Times New Roman;serif"/>
          <w:b w:val="false"/>
          <w:color w:val="000000"/>
          <w:sz w:val="24"/>
        </w:rPr>
      </w:pPr>
      <w:r>
        <w:rPr>
          <w:rFonts w:ascii="Times New Roman;serif" w:hAnsi="Times New Roman;serif"/>
          <w:b w:val="false"/>
          <w:color w:val="000000"/>
          <w:sz w:val="24"/>
        </w:rPr>
        <w:t>Revolving Credit CUSIP Number: 67105DBA1</w:t>
      </w:r>
    </w:p>
    <w:p>
      <w:pPr>
        <w:pStyle w:val="TextBody"/>
        <w:bidi w:val="0"/>
        <w:spacing w:before="0" w:after="0"/>
        <w:ind w:left="0" w:right="0" w:hanging="18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2"/>
        </w:rPr>
        <w:t>FOURTH AMENDED AND RESTATED CREDIT AGREEMENT</w:t>
      </w:r>
      <w:r>
        <w:rPr>
          <w:rFonts w:ascii="Times New Roman;serif" w:hAnsi="Times New Roman;serif"/>
          <w:b w:val="false"/>
          <w:color w:val="000000"/>
          <w:sz w:val="22"/>
        </w:rPr>
        <w:br/>
        <w:t>Dated as of September 25, 2026</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br/>
        <w:t>among</w:t>
        <w:br/>
        <w:br/>
        <w:t xml:space="preserve">OSI RESTAURANT PARTNERS, LLC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BLOOMIN’ BRANDS, INC., </w:t>
        <w:br/>
        <w:t>as Borrowers,</w:t>
        <w:br/>
        <w:br/>
        <w:t>WELLS FARGO BANK, NATIONAL ASSOCIATION,</w:t>
        <w:br/>
        <w:t>as Administrative Agent,</w:t>
        <w:br/>
        <w:t>Swing Line Lender and an L/C Issuer,</w:t>
        <w:br/>
        <w:br/>
        <w:t>THE OTHER LENDERS PARTY HERETO,</w:t>
        <w:br/>
        <w:br/>
        <w:t>BANK OF AMERICA,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COÖPERATIEVE RABOBANK U.A., NEW YORK BRANCH,</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TRUIST BANK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br/>
        <w:t xml:space="preserve">as Co-Syndication Agents </w:t>
        <w:br/>
        <w:b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TD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BMO BANK N.A.,</w:t>
        <w:br/>
        <w:t>as Co-Documentation Agents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WELLS FARGO SECURITIES, LLC,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BofA SECURITIES,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COÖPERATIEVE RABOBANK U.A., NEW YORK BRANCH,</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TRUIST SECURITIES,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TD BANK, N.A.,</w:t>
        <w:br/>
        <w:t>as Joint Lead Arrangers and Joint Bookrunners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 CID# 000010817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84"/>
        <w:gridCol w:w="515"/>
        <w:gridCol w:w="515"/>
        <w:gridCol w:w="556"/>
        <w:gridCol w:w="515"/>
        <w:gridCol w:w="515"/>
        <w:gridCol w:w="2195"/>
        <w:gridCol w:w="2095"/>
        <w:gridCol w:w="2013"/>
        <w:gridCol w:w="207"/>
        <w:gridCol w:w="207"/>
        <w:gridCol w:w="288"/>
      </w:tblGrid>
      <w:tr>
        <w:trPr/>
        <w:tc>
          <w:tcPr>
            <w:tcW w:w="58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 DEFINITIONS AND ACCOUNTING TERMS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0">
              <w:r>
                <w:rPr>
                  <w:rStyle w:val="InternetLink"/>
                  <w:rFonts w:ascii="Times New Roman;serif" w:hAnsi="Times New Roman;serif"/>
                  <w:b w:val="false"/>
                  <w:strike w:val="false"/>
                  <w:dstrike w:val="false"/>
                  <w:color w:val="000000"/>
                  <w:sz w:val="22"/>
                  <w:u w:val="none"/>
                  <w:effect w:val="none"/>
                </w:rPr>
                <w:t>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3">
              <w:r>
                <w:rPr>
                  <w:rStyle w:val="InternetLink"/>
                  <w:rFonts w:ascii="Times New Roman;serif" w:hAnsi="Times New Roman;serif"/>
                  <w:b w:val="false"/>
                  <w:strike w:val="false"/>
                  <w:dstrike w:val="false"/>
                  <w:color w:val="000000"/>
                  <w:sz w:val="22"/>
                  <w:u w:val="none"/>
                  <w:effect w:val="none"/>
                </w:rPr>
                <w:t>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Interpretive Provisions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6">
              <w:r>
                <w:rPr>
                  <w:rStyle w:val="InternetLink"/>
                  <w:rFonts w:ascii="Times New Roman;serif" w:hAnsi="Times New Roman;serif"/>
                  <w:b w:val="false"/>
                  <w:strike w:val="false"/>
                  <w:dstrike w:val="false"/>
                  <w:color w:val="000000"/>
                  <w:sz w:val="22"/>
                  <w:u w:val="none"/>
                  <w:effect w:val="none"/>
                </w:rPr>
                <w:t>48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1.03</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9">
              <w:r>
                <w:rPr>
                  <w:rStyle w:val="InternetLink"/>
                  <w:rFonts w:ascii="Times New Roman;serif" w:hAnsi="Times New Roman;serif"/>
                  <w:b w:val="false"/>
                  <w:strike w:val="false"/>
                  <w:dstrike w:val="false"/>
                  <w:color w:val="000000"/>
                  <w:sz w:val="22"/>
                  <w:u w:val="none"/>
                  <w:effect w:val="none"/>
                </w:rPr>
                <w:t>48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1.04</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Rounding</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2">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1.05</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References to Agreements, Laws, Etc.</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5">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1.06</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Times of Day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8">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1.07</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Timing of Payment of Performance</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1">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1.08</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Currency Equivalents Generally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4">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1.09</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of Currency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7">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Cumulative Growth Amount Transactions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0">
              <w:r>
                <w:rPr>
                  <w:rStyle w:val="InternetLink"/>
                  <w:rFonts w:ascii="Times New Roman;serif" w:hAnsi="Times New Roman;serif"/>
                  <w:b w:val="false"/>
                  <w:strike w:val="false"/>
                  <w:dstrike w:val="false"/>
                  <w:color w:val="000000"/>
                  <w:sz w:val="22"/>
                  <w:u w:val="none"/>
                  <w:effect w:val="none"/>
                </w:rPr>
                <w:t>49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1.11</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 Forma and Other Calculations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3">
              <w:r>
                <w:rPr>
                  <w:rStyle w:val="InternetLink"/>
                  <w:rFonts w:ascii="Times New Roman;serif" w:hAnsi="Times New Roman;serif"/>
                  <w:b w:val="false"/>
                  <w:strike w:val="false"/>
                  <w:dstrike w:val="false"/>
                  <w:color w:val="000000"/>
                  <w:sz w:val="22"/>
                  <w:u w:val="none"/>
                  <w:effect w:val="none"/>
                </w:rPr>
                <w:t>50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1.12</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Condition Acquisitions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6">
              <w:r>
                <w:rPr>
                  <w:rStyle w:val="InternetLink"/>
                  <w:rFonts w:ascii="Times New Roman;serif" w:hAnsi="Times New Roman;serif"/>
                  <w:b w:val="false"/>
                  <w:strike w:val="false"/>
                  <w:dstrike w:val="false"/>
                  <w:color w:val="000000"/>
                  <w:sz w:val="22"/>
                  <w:u w:val="none"/>
                  <w:effect w:val="none"/>
                </w:rPr>
                <w:t>51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1.13</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Rates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9">
              <w:r>
                <w:rPr>
                  <w:rStyle w:val="InternetLink"/>
                  <w:rFonts w:ascii="Times New Roman;serif" w:hAnsi="Times New Roman;serif"/>
                  <w:b w:val="false"/>
                  <w:strike w:val="false"/>
                  <w:dstrike w:val="false"/>
                  <w:color w:val="000000"/>
                  <w:sz w:val="22"/>
                  <w:u w:val="none"/>
                  <w:effect w:val="none"/>
                </w:rPr>
                <w:t>52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1.14</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Divisions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52">
              <w:r>
                <w:rPr>
                  <w:rStyle w:val="InternetLink"/>
                  <w:rFonts w:ascii="Times New Roman;serif" w:hAnsi="Times New Roman;serif"/>
                  <w:b w:val="false"/>
                  <w:strike w:val="false"/>
                  <w:dstrike w:val="false"/>
                  <w:color w:val="000000"/>
                  <w:sz w:val="22"/>
                  <w:u w:val="none"/>
                  <w:effect w:val="non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 THE COMMITMENTS AND CREDIT EXTENSIONS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55">
              <w:r>
                <w:rPr>
                  <w:rStyle w:val="InternetLink"/>
                  <w:rFonts w:ascii="Times New Roman;serif" w:hAnsi="Times New Roman;serif"/>
                  <w:b w:val="false"/>
                  <w:strike w:val="false"/>
                  <w:dstrike w:val="false"/>
                  <w:color w:val="000000"/>
                  <w:sz w:val="22"/>
                  <w:u w:val="none"/>
                  <w:effect w:val="non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2.01</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58">
              <w:r>
                <w:rPr>
                  <w:rStyle w:val="InternetLink"/>
                  <w:rFonts w:ascii="Times New Roman;serif" w:hAnsi="Times New Roman;serif"/>
                  <w:b w:val="false"/>
                  <w:strike w:val="false"/>
                  <w:dstrike w:val="false"/>
                  <w:color w:val="000000"/>
                  <w:sz w:val="22"/>
                  <w:u w:val="none"/>
                  <w:effect w:val="non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2.02</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Conversions and Continuations of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61">
              <w:r>
                <w:rPr>
                  <w:rStyle w:val="InternetLink"/>
                  <w:rFonts w:ascii="Times New Roman;serif" w:hAnsi="Times New Roman;serif"/>
                  <w:b w:val="false"/>
                  <w:strike w:val="false"/>
                  <w:dstrike w:val="false"/>
                  <w:color w:val="000000"/>
                  <w:sz w:val="22"/>
                  <w:u w:val="none"/>
                  <w:effect w:val="none"/>
                </w:rPr>
                <w:t>53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2.03</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64">
              <w:r>
                <w:rPr>
                  <w:rStyle w:val="InternetLink"/>
                  <w:rFonts w:ascii="Times New Roman;serif" w:hAnsi="Times New Roman;serif"/>
                  <w:b w:val="false"/>
                  <w:strike w:val="false"/>
                  <w:dstrike w:val="false"/>
                  <w:color w:val="000000"/>
                  <w:sz w:val="22"/>
                  <w:u w:val="none"/>
                  <w:effect w:val="none"/>
                </w:rPr>
                <w:t>55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2.04</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Swing Line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67">
              <w:r>
                <w:rPr>
                  <w:rStyle w:val="InternetLink"/>
                  <w:rFonts w:ascii="Times New Roman;serif" w:hAnsi="Times New Roman;serif"/>
                  <w:b w:val="false"/>
                  <w:strike w:val="false"/>
                  <w:dstrike w:val="false"/>
                  <w:color w:val="000000"/>
                  <w:sz w:val="22"/>
                  <w:u w:val="none"/>
                  <w:effect w:val="none"/>
                </w:rPr>
                <w:t>63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2.05</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70">
              <w:r>
                <w:rPr>
                  <w:rStyle w:val="InternetLink"/>
                  <w:rFonts w:ascii="Times New Roman;serif" w:hAnsi="Times New Roman;serif"/>
                  <w:b w:val="false"/>
                  <w:strike w:val="false"/>
                  <w:dstrike w:val="false"/>
                  <w:color w:val="000000"/>
                  <w:sz w:val="22"/>
                  <w:u w:val="none"/>
                  <w:effect w:val="none"/>
                </w:rPr>
                <w:t>66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2.06</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or Reduction of Commitments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73">
              <w:r>
                <w:rPr>
                  <w:rStyle w:val="InternetLink"/>
                  <w:rFonts w:ascii="Times New Roman;serif" w:hAnsi="Times New Roman;serif"/>
                  <w:b w:val="false"/>
                  <w:strike w:val="false"/>
                  <w:dstrike w:val="false"/>
                  <w:color w:val="000000"/>
                  <w:sz w:val="22"/>
                  <w:u w:val="none"/>
                  <w:effect w:val="non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2.07</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76">
              <w:r>
                <w:rPr>
                  <w:rStyle w:val="InternetLink"/>
                  <w:rFonts w:ascii="Times New Roman;serif" w:hAnsi="Times New Roman;serif"/>
                  <w:b w:val="false"/>
                  <w:strike w:val="false"/>
                  <w:dstrike w:val="false"/>
                  <w:color w:val="000000"/>
                  <w:sz w:val="22"/>
                  <w:u w:val="none"/>
                  <w:effect w:val="non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2.08</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79">
              <w:r>
                <w:rPr>
                  <w:rStyle w:val="InternetLink"/>
                  <w:rFonts w:ascii="Times New Roman;serif" w:hAnsi="Times New Roman;serif"/>
                  <w:b w:val="false"/>
                  <w:strike w:val="false"/>
                  <w:dstrike w:val="false"/>
                  <w:color w:val="000000"/>
                  <w:sz w:val="22"/>
                  <w:u w:val="none"/>
                  <w:effect w:val="none"/>
                </w:rPr>
                <w:t>68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2.09</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6805">
              <w:r>
                <w:rPr>
                  <w:rStyle w:val="InternetLink"/>
                  <w:rFonts w:ascii="Times New Roman;serif" w:hAnsi="Times New Roman;serif"/>
                  <w:b w:val="false"/>
                  <w:strike w:val="false"/>
                  <w:dstrike w:val="false"/>
                  <w:color w:val="000000"/>
                  <w:sz w:val="22"/>
                  <w:u w:val="none"/>
                  <w:effect w:val="none"/>
                </w:rPr>
                <w:t>69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2.10</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Computation of Interest and Fees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85">
              <w:r>
                <w:rPr>
                  <w:rStyle w:val="InternetLink"/>
                  <w:rFonts w:ascii="Times New Roman;serif" w:hAnsi="Times New Roman;serif"/>
                  <w:b w:val="false"/>
                  <w:strike w:val="false"/>
                  <w:dstrike w:val="false"/>
                  <w:color w:val="000000"/>
                  <w:sz w:val="22"/>
                  <w:u w:val="none"/>
                  <w:effect w:val="none"/>
                </w:rPr>
                <w:t>70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2.11</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Evidence of Indebtedness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88">
              <w:r>
                <w:rPr>
                  <w:rStyle w:val="InternetLink"/>
                  <w:rFonts w:ascii="Times New Roman;serif" w:hAnsi="Times New Roman;serif"/>
                  <w:b w:val="false"/>
                  <w:strike w:val="false"/>
                  <w:dstrike w:val="false"/>
                  <w:color w:val="000000"/>
                  <w:sz w:val="22"/>
                  <w:u w:val="none"/>
                  <w:effect w:val="none"/>
                </w:rPr>
                <w:t>70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2.12</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Generally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91">
              <w:r>
                <w:rPr>
                  <w:rStyle w:val="InternetLink"/>
                  <w:rFonts w:ascii="Times New Roman;serif" w:hAnsi="Times New Roman;serif"/>
                  <w:b w:val="false"/>
                  <w:strike w:val="false"/>
                  <w:dstrike w:val="false"/>
                  <w:color w:val="000000"/>
                  <w:sz w:val="22"/>
                  <w:u w:val="none"/>
                  <w:effect w:val="none"/>
                </w:rPr>
                <w:t>71</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2.13</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Sharing of Payments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94">
              <w:r>
                <w:rPr>
                  <w:rStyle w:val="InternetLink"/>
                  <w:rFonts w:ascii="Times New Roman;serif" w:hAnsi="Times New Roman;serif"/>
                  <w:b w:val="false"/>
                  <w:strike w:val="false"/>
                  <w:dstrike w:val="false"/>
                  <w:color w:val="000000"/>
                  <w:sz w:val="22"/>
                  <w:u w:val="none"/>
                  <w:effect w:val="none"/>
                </w:rPr>
                <w:t>72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2.14</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Extension of Revolving Credit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97">
              <w:r>
                <w:rPr>
                  <w:rStyle w:val="InternetLink"/>
                  <w:rFonts w:ascii="Times New Roman;serif" w:hAnsi="Times New Roman;serif"/>
                  <w:b w:val="false"/>
                  <w:strike w:val="false"/>
                  <w:dstrike w:val="false"/>
                  <w:color w:val="000000"/>
                  <w:sz w:val="22"/>
                  <w:u w:val="none"/>
                  <w:effect w:val="none"/>
                </w:rPr>
                <w:t>73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2.15</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Incremental Borrowings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00">
              <w:r>
                <w:rPr>
                  <w:rStyle w:val="InternetLink"/>
                  <w:rFonts w:ascii="Times New Roman;serif" w:hAnsi="Times New Roman;serif"/>
                  <w:b w:val="false"/>
                  <w:strike w:val="false"/>
                  <w:dstrike w:val="false"/>
                  <w:color w:val="000000"/>
                  <w:sz w:val="22"/>
                  <w:u w:val="none"/>
                  <w:effect w:val="none"/>
                </w:rPr>
                <w:t>75</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2.16</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Refinancing Amendments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03">
              <w:r>
                <w:rPr>
                  <w:rStyle w:val="InternetLink"/>
                  <w:rFonts w:ascii="Times New Roman;serif" w:hAnsi="Times New Roman;serif"/>
                  <w:b w:val="false"/>
                  <w:strike w:val="false"/>
                  <w:dstrike w:val="false"/>
                  <w:color w:val="000000"/>
                  <w:sz w:val="22"/>
                  <w:u w:val="none"/>
                  <w:effect w:val="none"/>
                </w:rPr>
                <w:t>79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2.17</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06">
              <w:r>
                <w:rPr>
                  <w:rStyle w:val="InternetLink"/>
                  <w:rFonts w:ascii="Times New Roman;serif" w:hAnsi="Times New Roman;serif"/>
                  <w:b w:val="false"/>
                  <w:strike w:val="false"/>
                  <w:dstrike w:val="false"/>
                  <w:color w:val="000000"/>
                  <w:sz w:val="22"/>
                  <w:u w:val="none"/>
                  <w:effect w:val="none"/>
                </w:rPr>
                <w:t>80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 TAXES, INCREASED COSTS PROTECTION AND ILLEGALITY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09">
              <w:r>
                <w:rPr>
                  <w:rStyle w:val="InternetLink"/>
                  <w:rFonts w:ascii="Times New Roman;serif" w:hAnsi="Times New Roman;serif"/>
                  <w:b w:val="false"/>
                  <w:strike w:val="false"/>
                  <w:dstrike w:val="false"/>
                  <w:color w:val="000000"/>
                  <w:sz w:val="22"/>
                  <w:u w:val="none"/>
                  <w:effect w:val="none"/>
                </w:rPr>
                <w:t>83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3.01</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12">
              <w:r>
                <w:rPr>
                  <w:rStyle w:val="InternetLink"/>
                  <w:rFonts w:ascii="Times New Roman;serif" w:hAnsi="Times New Roman;serif"/>
                  <w:b w:val="false"/>
                  <w:strike w:val="false"/>
                  <w:dstrike w:val="false"/>
                  <w:color w:val="000000"/>
                  <w:sz w:val="22"/>
                  <w:u w:val="none"/>
                  <w:effect w:val="none"/>
                </w:rPr>
                <w:t>83</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3.02</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Illegality</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15">
              <w:r>
                <w:rPr>
                  <w:rStyle w:val="InternetLink"/>
                  <w:rFonts w:ascii="Times New Roman;serif" w:hAnsi="Times New Roman;serif"/>
                  <w:b w:val="false"/>
                  <w:strike w:val="false"/>
                  <w:dstrike w:val="false"/>
                  <w:color w:val="000000"/>
                  <w:sz w:val="22"/>
                  <w:u w:val="none"/>
                  <w:effect w:val="none"/>
                </w:rPr>
                <w:t>86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3.03</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Inability to Determine Rates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18">
              <w:r>
                <w:rPr>
                  <w:rStyle w:val="InternetLink"/>
                  <w:rFonts w:ascii="Times New Roman;serif" w:hAnsi="Times New Roman;serif"/>
                  <w:b w:val="false"/>
                  <w:strike w:val="false"/>
                  <w:dstrike w:val="false"/>
                  <w:color w:val="000000"/>
                  <w:sz w:val="22"/>
                  <w:u w:val="none"/>
                  <w:effect w:val="none"/>
                </w:rPr>
                <w:t>86</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3.04</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 and Reduced Return; Capital Adequacy; Reserves on SOFR Loans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21">
              <w:r>
                <w:rPr>
                  <w:rStyle w:val="InternetLink"/>
                  <w:rFonts w:ascii="Times New Roman;serif" w:hAnsi="Times New Roman;serif"/>
                  <w:b w:val="false"/>
                  <w:strike w:val="false"/>
                  <w:dstrike w:val="false"/>
                  <w:color w:val="000000"/>
                  <w:sz w:val="22"/>
                  <w:u w:val="none"/>
                  <w:effect w:val="none"/>
                </w:rPr>
                <w:t>88</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3.05</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Funding Losses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24">
              <w:r>
                <w:rPr>
                  <w:rStyle w:val="InternetLink"/>
                  <w:rFonts w:ascii="Times New Roman;serif" w:hAnsi="Times New Roman;serif"/>
                  <w:b w:val="false"/>
                  <w:strike w:val="false"/>
                  <w:dstrike w:val="false"/>
                  <w:color w:val="000000"/>
                  <w:sz w:val="22"/>
                  <w:u w:val="none"/>
                  <w:effect w:val="none"/>
                </w:rPr>
                <w:t>89</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3.06</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Matters Applicable to All Requests for Compensation</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27">
              <w:r>
                <w:rPr>
                  <w:rStyle w:val="InternetLink"/>
                  <w:rFonts w:ascii="Times New Roman;serif" w:hAnsi="Times New Roman;serif"/>
                  <w:b w:val="false"/>
                  <w:strike w:val="false"/>
                  <w:dstrike w:val="false"/>
                  <w:color w:val="000000"/>
                  <w:sz w:val="22"/>
                  <w:u w:val="none"/>
                  <w:effect w:val="none"/>
                </w:rPr>
                <w:t>90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3.07</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Lenders under Certain Circumstances</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30">
              <w:r>
                <w:rPr>
                  <w:rStyle w:val="InternetLink"/>
                  <w:rFonts w:ascii="Times New Roman;serif" w:hAnsi="Times New Roman;serif"/>
                  <w:b w:val="false"/>
                  <w:strike w:val="false"/>
                  <w:dstrike w:val="false"/>
                  <w:color w:val="000000"/>
                  <w:sz w:val="22"/>
                  <w:u w:val="none"/>
                  <w:effect w:val="none"/>
                </w:rPr>
                <w:t>90</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3.08</w:t>
            </w:r>
          </w:p>
        </w:tc>
        <w:tc>
          <w:tcPr>
            <w:tcW w:w="6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33">
              <w:r>
                <w:rPr>
                  <w:rStyle w:val="InternetLink"/>
                  <w:rFonts w:ascii="Times New Roman;serif" w:hAnsi="Times New Roman;serif"/>
                  <w:b w:val="false"/>
                  <w:strike w:val="false"/>
                  <w:dstrike w:val="false"/>
                  <w:color w:val="000000"/>
                  <w:sz w:val="22"/>
                  <w:u w:val="none"/>
                  <w:effect w:val="none"/>
                </w:rPr>
                <w:t>92</w:t>
              </w:r>
            </w:hyperlink>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9245"/>
                <wp:effectExtent l="0" t="0" r="0" b="0"/>
                <wp:wrapNone/>
                <wp:docPr id="7" name="Frame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29"/>
        <w:gridCol w:w="466"/>
        <w:gridCol w:w="466"/>
        <w:gridCol w:w="612"/>
        <w:gridCol w:w="466"/>
        <w:gridCol w:w="466"/>
        <w:gridCol w:w="2546"/>
        <w:gridCol w:w="2062"/>
        <w:gridCol w:w="2077"/>
        <w:gridCol w:w="148"/>
        <w:gridCol w:w="148"/>
        <w:gridCol w:w="219"/>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 CONDITIONS PRECEDENT TO CREDIT EXTENSIONS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36">
              <w:r>
                <w:rPr>
                  <w:rStyle w:val="InternetLink"/>
                  <w:rFonts w:ascii="Times New Roman;serif" w:hAnsi="Times New Roman;serif"/>
                  <w:b w:val="false"/>
                  <w:strike w:val="false"/>
                  <w:dstrike w:val="false"/>
                  <w:color w:val="000000"/>
                  <w:sz w:val="22"/>
                  <w:u w:val="none"/>
                  <w:effect w:val="none"/>
                </w:rPr>
                <w:t>92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of Initial Credit Extension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39">
              <w:r>
                <w:rPr>
                  <w:rStyle w:val="InternetLink"/>
                  <w:rFonts w:ascii="Times New Roman;serif" w:hAnsi="Times New Roman;serif"/>
                  <w:b w:val="false"/>
                  <w:strike w:val="false"/>
                  <w:dstrike w:val="false"/>
                  <w:color w:val="000000"/>
                  <w:sz w:val="22"/>
                  <w:u w:val="none"/>
                  <w:effect w:val="none"/>
                </w:rPr>
                <w:t>92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All Credit Extensions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42">
              <w:r>
                <w:rPr>
                  <w:rStyle w:val="InternetLink"/>
                  <w:rFonts w:ascii="Times New Roman;serif" w:hAnsi="Times New Roman;serif"/>
                  <w:b w:val="false"/>
                  <w:strike w:val="false"/>
                  <w:dstrike w:val="false"/>
                  <w:color w:val="000000"/>
                  <w:sz w:val="22"/>
                  <w:u w:val="none"/>
                  <w:effect w:val="none"/>
                </w:rPr>
                <w:t>95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 REPRESENTATIONS AND WARRANTIES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45">
              <w:r>
                <w:rPr>
                  <w:rStyle w:val="InternetLink"/>
                  <w:rFonts w:ascii="Times New Roman;serif" w:hAnsi="Times New Roman;serif"/>
                  <w:b w:val="false"/>
                  <w:strike w:val="false"/>
                  <w:dstrike w:val="false"/>
                  <w:color w:val="000000"/>
                  <w:sz w:val="22"/>
                  <w:u w:val="none"/>
                  <w:effect w:val="none"/>
                </w:rPr>
                <w:t>96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Existence, Qualification and Power; Compliance with Laws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48">
              <w:r>
                <w:rPr>
                  <w:rStyle w:val="InternetLink"/>
                  <w:rFonts w:ascii="Times New Roman;serif" w:hAnsi="Times New Roman;serif"/>
                  <w:b w:val="false"/>
                  <w:strike w:val="false"/>
                  <w:dstrike w:val="false"/>
                  <w:color w:val="000000"/>
                  <w:sz w:val="22"/>
                  <w:u w:val="none"/>
                  <w:effect w:val="none"/>
                </w:rPr>
                <w:t>96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No Contravention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51">
              <w:r>
                <w:rPr>
                  <w:rStyle w:val="InternetLink"/>
                  <w:rFonts w:ascii="Times New Roman;serif" w:hAnsi="Times New Roman;serif"/>
                  <w:b w:val="false"/>
                  <w:strike w:val="false"/>
                  <w:dstrike w:val="false"/>
                  <w:color w:val="000000"/>
                  <w:sz w:val="22"/>
                  <w:u w:val="none"/>
                  <w:effect w:val="none"/>
                </w:rPr>
                <w:t>96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5.03</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Authorization; Other Consents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54">
              <w:r>
                <w:rPr>
                  <w:rStyle w:val="InternetLink"/>
                  <w:rFonts w:ascii="Times New Roman;serif" w:hAnsi="Times New Roman;serif"/>
                  <w:b w:val="false"/>
                  <w:strike w:val="false"/>
                  <w:dstrike w:val="false"/>
                  <w:color w:val="000000"/>
                  <w:sz w:val="22"/>
                  <w:u w:val="none"/>
                  <w:effect w:val="none"/>
                </w:rPr>
                <w:t>97</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5.04</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57">
              <w:r>
                <w:rPr>
                  <w:rStyle w:val="InternetLink"/>
                  <w:rFonts w:ascii="Times New Roman;serif" w:hAnsi="Times New Roman;serif"/>
                  <w:b w:val="false"/>
                  <w:strike w:val="false"/>
                  <w:dstrike w:val="false"/>
                  <w:color w:val="000000"/>
                  <w:sz w:val="22"/>
                  <w:u w:val="none"/>
                  <w:effect w:val="none"/>
                </w:rPr>
                <w:t>97</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5.05</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 No Material Adverse Effect</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60">
              <w:r>
                <w:rPr>
                  <w:rStyle w:val="InternetLink"/>
                  <w:rFonts w:ascii="Times New Roman;serif" w:hAnsi="Times New Roman;serif"/>
                  <w:b w:val="false"/>
                  <w:strike w:val="false"/>
                  <w:dstrike w:val="false"/>
                  <w:color w:val="000000"/>
                  <w:sz w:val="22"/>
                  <w:u w:val="none"/>
                  <w:effect w:val="none"/>
                </w:rPr>
                <w:t>97</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5.06</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63">
              <w:r>
                <w:rPr>
                  <w:rStyle w:val="InternetLink"/>
                  <w:rFonts w:ascii="Times New Roman;serif" w:hAnsi="Times New Roman;serif"/>
                  <w:b w:val="false"/>
                  <w:strike w:val="false"/>
                  <w:dstrike w:val="false"/>
                  <w:color w:val="000000"/>
                  <w:sz w:val="22"/>
                  <w:u w:val="none"/>
                  <w:effect w:val="none"/>
                </w:rPr>
                <w:t>98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5.07</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66">
              <w:r>
                <w:rPr>
                  <w:rStyle w:val="InternetLink"/>
                  <w:rFonts w:ascii="Times New Roman;serif" w:hAnsi="Times New Roman;serif"/>
                  <w:b w:val="false"/>
                  <w:strike w:val="false"/>
                  <w:dstrike w:val="false"/>
                  <w:color w:val="000000"/>
                  <w:sz w:val="22"/>
                  <w:u w:val="none"/>
                  <w:effect w:val="none"/>
                </w:rPr>
                <w:t>98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5.08</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Property; Liens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69">
              <w:r>
                <w:rPr>
                  <w:rStyle w:val="InternetLink"/>
                  <w:rFonts w:ascii="Times New Roman;serif" w:hAnsi="Times New Roman;serif"/>
                  <w:b w:val="false"/>
                  <w:strike w:val="false"/>
                  <w:dstrike w:val="false"/>
                  <w:color w:val="000000"/>
                  <w:sz w:val="22"/>
                  <w:u w:val="none"/>
                  <w:effect w:val="none"/>
                </w:rPr>
                <w:t>98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5.09</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Compliance</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72">
              <w:r>
                <w:rPr>
                  <w:rStyle w:val="InternetLink"/>
                  <w:rFonts w:ascii="Times New Roman;serif" w:hAnsi="Times New Roman;serif"/>
                  <w:b w:val="false"/>
                  <w:strike w:val="false"/>
                  <w:dstrike w:val="false"/>
                  <w:color w:val="000000"/>
                  <w:sz w:val="22"/>
                  <w:u w:val="none"/>
                  <w:effect w:val="none"/>
                </w:rPr>
                <w:t>98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5.10</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75">
              <w:r>
                <w:rPr>
                  <w:rStyle w:val="InternetLink"/>
                  <w:rFonts w:ascii="Times New Roman;serif" w:hAnsi="Times New Roman;serif"/>
                  <w:b w:val="false"/>
                  <w:strike w:val="false"/>
                  <w:dstrike w:val="false"/>
                  <w:color w:val="000000"/>
                  <w:sz w:val="22"/>
                  <w:u w:val="none"/>
                  <w:effect w:val="none"/>
                </w:rPr>
                <w:t>99</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Compliance</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78">
              <w:r>
                <w:rPr>
                  <w:rStyle w:val="InternetLink"/>
                  <w:rFonts w:ascii="Times New Roman;serif" w:hAnsi="Times New Roman;serif"/>
                  <w:b w:val="false"/>
                  <w:strike w:val="false"/>
                  <w:dstrike w:val="false"/>
                  <w:color w:val="000000"/>
                  <w:sz w:val="22"/>
                  <w:u w:val="none"/>
                  <w:effect w:val="none"/>
                </w:rPr>
                <w:t>99</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 Equity Interests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81">
              <w:r>
                <w:rPr>
                  <w:rStyle w:val="InternetLink"/>
                  <w:rFonts w:ascii="Times New Roman;serif" w:hAnsi="Times New Roman;serif"/>
                  <w:b w:val="false"/>
                  <w:strike w:val="false"/>
                  <w:dstrike w:val="false"/>
                  <w:color w:val="000000"/>
                  <w:sz w:val="22"/>
                  <w:u w:val="none"/>
                  <w:effect w:val="none"/>
                </w:rPr>
                <w:t>100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5.13</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Margin Regulations; Investment Company Act</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84">
              <w:r>
                <w:rPr>
                  <w:rStyle w:val="InternetLink"/>
                  <w:rFonts w:ascii="Times New Roman;serif" w:hAnsi="Times New Roman;serif"/>
                  <w:b w:val="false"/>
                  <w:strike w:val="false"/>
                  <w:dstrike w:val="false"/>
                  <w:color w:val="000000"/>
                  <w:sz w:val="22"/>
                  <w:u w:val="none"/>
                  <w:effect w:val="none"/>
                </w:rPr>
                <w:t>100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5.14</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87">
              <w:r>
                <w:rPr>
                  <w:rStyle w:val="InternetLink"/>
                  <w:rFonts w:ascii="Times New Roman;serif" w:hAnsi="Times New Roman;serif"/>
                  <w:b w:val="false"/>
                  <w:strike w:val="false"/>
                  <w:dstrike w:val="false"/>
                  <w:color w:val="000000"/>
                  <w:sz w:val="22"/>
                  <w:u w:val="none"/>
                  <w:effect w:val="none"/>
                </w:rPr>
                <w:t>100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5.15</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 Licenses, Etc.</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90">
              <w:r>
                <w:rPr>
                  <w:rStyle w:val="InternetLink"/>
                  <w:rFonts w:ascii="Times New Roman;serif" w:hAnsi="Times New Roman;serif"/>
                  <w:b w:val="false"/>
                  <w:strike w:val="false"/>
                  <w:dstrike w:val="false"/>
                  <w:color w:val="000000"/>
                  <w:sz w:val="22"/>
                  <w:u w:val="none"/>
                  <w:effect w:val="none"/>
                </w:rPr>
                <w:t>100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5.16</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93">
              <w:r>
                <w:rPr>
                  <w:rStyle w:val="InternetLink"/>
                  <w:rFonts w:ascii="Times New Roman;serif" w:hAnsi="Times New Roman;serif"/>
                  <w:b w:val="false"/>
                  <w:strike w:val="false"/>
                  <w:dstrike w:val="false"/>
                  <w:color w:val="000000"/>
                  <w:sz w:val="22"/>
                  <w:u w:val="none"/>
                  <w:effect w:val="none"/>
                </w:rPr>
                <w:t>101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5.17</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Subordination of Junior Financing</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96">
              <w:r>
                <w:rPr>
                  <w:rStyle w:val="InternetLink"/>
                  <w:rFonts w:ascii="Times New Roman;serif" w:hAnsi="Times New Roman;serif"/>
                  <w:b w:val="false"/>
                  <w:strike w:val="false"/>
                  <w:dstrike w:val="false"/>
                  <w:color w:val="000000"/>
                  <w:sz w:val="22"/>
                  <w:u w:val="none"/>
                  <w:effect w:val="none"/>
                </w:rPr>
                <w:t>101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5.18</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Labor Matters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199">
              <w:r>
                <w:rPr>
                  <w:rStyle w:val="InternetLink"/>
                  <w:rFonts w:ascii="Times New Roman;serif" w:hAnsi="Times New Roman;serif"/>
                  <w:b w:val="false"/>
                  <w:strike w:val="false"/>
                  <w:dstrike w:val="false"/>
                  <w:color w:val="000000"/>
                  <w:sz w:val="22"/>
                  <w:u w:val="none"/>
                  <w:effect w:val="none"/>
                </w:rPr>
                <w:t>101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5.19</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Perfection, Etc.</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02">
              <w:r>
                <w:rPr>
                  <w:rStyle w:val="InternetLink"/>
                  <w:rFonts w:ascii="Times New Roman;serif" w:hAnsi="Times New Roman;serif"/>
                  <w:b w:val="false"/>
                  <w:strike w:val="false"/>
                  <w:dstrike w:val="false"/>
                  <w:color w:val="000000"/>
                  <w:sz w:val="22"/>
                  <w:u w:val="none"/>
                  <w:effect w:val="none"/>
                </w:rPr>
                <w:t>101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5.20</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Anti-Money Laundering Laws, Anti-Corruption Laws, Sanctions and Outbound Investment Rules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05">
              <w:r>
                <w:rPr>
                  <w:rStyle w:val="InternetLink"/>
                  <w:rFonts w:ascii="Times New Roman;serif" w:hAnsi="Times New Roman;serif"/>
                  <w:b w:val="false"/>
                  <w:strike w:val="false"/>
                  <w:dstrike w:val="false"/>
                  <w:color w:val="000000"/>
                  <w:sz w:val="22"/>
                  <w:u w:val="none"/>
                  <w:effect w:val="none"/>
                </w:rPr>
                <w:t>101</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 AFFIRMATIVE COVENANTS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08">
              <w:r>
                <w:rPr>
                  <w:rStyle w:val="InternetLink"/>
                  <w:rFonts w:ascii="Times New Roman;serif" w:hAnsi="Times New Roman;serif"/>
                  <w:b w:val="false"/>
                  <w:strike w:val="false"/>
                  <w:dstrike w:val="false"/>
                  <w:color w:val="000000"/>
                  <w:sz w:val="22"/>
                  <w:u w:val="none"/>
                  <w:effect w:val="none"/>
                </w:rPr>
                <w:t>102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11">
              <w:r>
                <w:rPr>
                  <w:rStyle w:val="InternetLink"/>
                  <w:rFonts w:ascii="Times New Roman;serif" w:hAnsi="Times New Roman;serif"/>
                  <w:b w:val="false"/>
                  <w:strike w:val="false"/>
                  <w:dstrike w:val="false"/>
                  <w:color w:val="000000"/>
                  <w:sz w:val="22"/>
                  <w:u w:val="none"/>
                  <w:effect w:val="none"/>
                </w:rPr>
                <w:t>102</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Certificates; Other Information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14">
              <w:r>
                <w:rPr>
                  <w:rStyle w:val="InternetLink"/>
                  <w:rFonts w:ascii="Times New Roman;serif" w:hAnsi="Times New Roman;serif"/>
                  <w:b w:val="false"/>
                  <w:strike w:val="false"/>
                  <w:dstrike w:val="false"/>
                  <w:color w:val="000000"/>
                  <w:sz w:val="22"/>
                  <w:u w:val="none"/>
                  <w:effect w:val="none"/>
                </w:rPr>
                <w:t>103</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6.03</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17">
              <w:r>
                <w:rPr>
                  <w:rStyle w:val="InternetLink"/>
                  <w:rFonts w:ascii="Times New Roman;serif" w:hAnsi="Times New Roman;serif"/>
                  <w:b w:val="false"/>
                  <w:strike w:val="false"/>
                  <w:dstrike w:val="false"/>
                  <w:color w:val="000000"/>
                  <w:sz w:val="22"/>
                  <w:u w:val="none"/>
                  <w:effect w:val="none"/>
                </w:rPr>
                <w:t>104</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6.04</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20">
              <w:r>
                <w:rPr>
                  <w:rStyle w:val="InternetLink"/>
                  <w:rFonts w:ascii="Times New Roman;serif" w:hAnsi="Times New Roman;serif"/>
                  <w:b w:val="false"/>
                  <w:strike w:val="false"/>
                  <w:dstrike w:val="false"/>
                  <w:color w:val="000000"/>
                  <w:sz w:val="22"/>
                  <w:u w:val="none"/>
                  <w:effect w:val="none"/>
                </w:rPr>
                <w:t>105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6.05</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Existence, Etc.</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23">
              <w:r>
                <w:rPr>
                  <w:rStyle w:val="InternetLink"/>
                  <w:rFonts w:ascii="Times New Roman;serif" w:hAnsi="Times New Roman;serif"/>
                  <w:b w:val="false"/>
                  <w:strike w:val="false"/>
                  <w:dstrike w:val="false"/>
                  <w:color w:val="000000"/>
                  <w:sz w:val="22"/>
                  <w:u w:val="none"/>
                  <w:effect w:val="none"/>
                </w:rPr>
                <w:t>105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6.06</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26">
              <w:r>
                <w:rPr>
                  <w:rStyle w:val="InternetLink"/>
                  <w:rFonts w:ascii="Times New Roman;serif" w:hAnsi="Times New Roman;serif"/>
                  <w:b w:val="false"/>
                  <w:strike w:val="false"/>
                  <w:dstrike w:val="false"/>
                  <w:color w:val="000000"/>
                  <w:sz w:val="22"/>
                  <w:u w:val="none"/>
                  <w:effect w:val="none"/>
                </w:rPr>
                <w:t>105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6.07</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29">
              <w:r>
                <w:rPr>
                  <w:rStyle w:val="InternetLink"/>
                  <w:rFonts w:ascii="Times New Roman;serif" w:hAnsi="Times New Roman;serif"/>
                  <w:b w:val="false"/>
                  <w:strike w:val="false"/>
                  <w:dstrike w:val="false"/>
                  <w:color w:val="000000"/>
                  <w:sz w:val="22"/>
                  <w:u w:val="none"/>
                  <w:effect w:val="none"/>
                </w:rPr>
                <w:t>105</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6.08</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32">
              <w:r>
                <w:rPr>
                  <w:rStyle w:val="InternetLink"/>
                  <w:rFonts w:ascii="Times New Roman;serif" w:hAnsi="Times New Roman;serif"/>
                  <w:b w:val="false"/>
                  <w:strike w:val="false"/>
                  <w:dstrike w:val="false"/>
                  <w:color w:val="000000"/>
                  <w:sz w:val="22"/>
                  <w:u w:val="none"/>
                  <w:effect w:val="none"/>
                </w:rPr>
                <w:t>106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6.09</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35">
              <w:r>
                <w:rPr>
                  <w:rStyle w:val="InternetLink"/>
                  <w:rFonts w:ascii="Times New Roman;serif" w:hAnsi="Times New Roman;serif"/>
                  <w:b w:val="false"/>
                  <w:strike w:val="false"/>
                  <w:dstrike w:val="false"/>
                  <w:color w:val="000000"/>
                  <w:sz w:val="22"/>
                  <w:u w:val="none"/>
                  <w:effect w:val="none"/>
                </w:rPr>
                <w:t>106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6.10</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Inspection Rights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38">
              <w:r>
                <w:rPr>
                  <w:rStyle w:val="InternetLink"/>
                  <w:rFonts w:ascii="Times New Roman;serif" w:hAnsi="Times New Roman;serif"/>
                  <w:b w:val="false"/>
                  <w:strike w:val="false"/>
                  <w:dstrike w:val="false"/>
                  <w:color w:val="000000"/>
                  <w:sz w:val="22"/>
                  <w:u w:val="none"/>
                  <w:effect w:val="none"/>
                </w:rPr>
                <w:t>106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 to Guarantee Obligations and Give Security</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41">
              <w:r>
                <w:rPr>
                  <w:rStyle w:val="InternetLink"/>
                  <w:rFonts w:ascii="Times New Roman;serif" w:hAnsi="Times New Roman;serif"/>
                  <w:b w:val="false"/>
                  <w:strike w:val="false"/>
                  <w:dstrike w:val="false"/>
                  <w:color w:val="000000"/>
                  <w:sz w:val="22"/>
                  <w:u w:val="none"/>
                  <w:effect w:val="none"/>
                </w:rPr>
                <w:t>106</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Environmental Laws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44">
              <w:r>
                <w:rPr>
                  <w:rStyle w:val="InternetLink"/>
                  <w:rFonts w:ascii="Times New Roman;serif" w:hAnsi="Times New Roman;serif"/>
                  <w:b w:val="false"/>
                  <w:strike w:val="false"/>
                  <w:dstrike w:val="false"/>
                  <w:color w:val="000000"/>
                  <w:sz w:val="22"/>
                  <w:u w:val="none"/>
                  <w:effect w:val="none"/>
                </w:rPr>
                <w:t>108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6.13</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Further Assurances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47">
              <w:r>
                <w:rPr>
                  <w:rStyle w:val="InternetLink"/>
                  <w:rFonts w:ascii="Times New Roman;serif" w:hAnsi="Times New Roman;serif"/>
                  <w:b w:val="false"/>
                  <w:strike w:val="false"/>
                  <w:dstrike w:val="false"/>
                  <w:color w:val="000000"/>
                  <w:sz w:val="22"/>
                  <w:u w:val="none"/>
                  <w:effect w:val="none"/>
                </w:rPr>
                <w:t>108</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6.14</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50">
              <w:r>
                <w:rPr>
                  <w:rStyle w:val="InternetLink"/>
                  <w:rFonts w:ascii="Times New Roman;serif" w:hAnsi="Times New Roman;serif"/>
                  <w:b w:val="false"/>
                  <w:strike w:val="false"/>
                  <w:dstrike w:val="false"/>
                  <w:color w:val="000000"/>
                  <w:sz w:val="22"/>
                  <w:u w:val="none"/>
                  <w:effect w:val="none"/>
                </w:rPr>
                <w:t>110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6.15</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Anti-Corruption Laws, Beneficial Ownership Regulation, Anti-Money Laundering Laws and Sanctions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53">
              <w:r>
                <w:rPr>
                  <w:rStyle w:val="InternetLink"/>
                  <w:rFonts w:ascii="Times New Roman;serif" w:hAnsi="Times New Roman;serif"/>
                  <w:b w:val="false"/>
                  <w:strike w:val="false"/>
                  <w:dstrike w:val="false"/>
                  <w:color w:val="000000"/>
                  <w:sz w:val="22"/>
                  <w:u w:val="none"/>
                  <w:effect w:val="none"/>
                </w:rPr>
                <w:t>110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 NEGATIVE COVENANTS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56">
              <w:r>
                <w:rPr>
                  <w:rStyle w:val="InternetLink"/>
                  <w:rFonts w:ascii="Times New Roman;serif" w:hAnsi="Times New Roman;serif"/>
                  <w:b w:val="false"/>
                  <w:strike w:val="false"/>
                  <w:dstrike w:val="false"/>
                  <w:color w:val="000000"/>
                  <w:sz w:val="22"/>
                  <w:u w:val="none"/>
                  <w:effect w:val="none"/>
                </w:rPr>
                <w:t>110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7.01</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59">
              <w:r>
                <w:rPr>
                  <w:rStyle w:val="InternetLink"/>
                  <w:rFonts w:ascii="Times New Roman;serif" w:hAnsi="Times New Roman;serif"/>
                  <w:b w:val="false"/>
                  <w:strike w:val="false"/>
                  <w:dstrike w:val="false"/>
                  <w:color w:val="000000"/>
                  <w:sz w:val="22"/>
                  <w:u w:val="none"/>
                  <w:effect w:val="none"/>
                </w:rPr>
                <w:t>110</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7.02</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62">
              <w:r>
                <w:rPr>
                  <w:rStyle w:val="InternetLink"/>
                  <w:rFonts w:ascii="Times New Roman;serif" w:hAnsi="Times New Roman;serif"/>
                  <w:b w:val="false"/>
                  <w:strike w:val="false"/>
                  <w:dstrike w:val="false"/>
                  <w:color w:val="000000"/>
                  <w:sz w:val="22"/>
                  <w:u w:val="none"/>
                  <w:effect w:val="none"/>
                </w:rPr>
                <w:t>113</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7.03</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65">
              <w:r>
                <w:rPr>
                  <w:rStyle w:val="InternetLink"/>
                  <w:rFonts w:ascii="Times New Roman;serif" w:hAnsi="Times New Roman;serif"/>
                  <w:b w:val="false"/>
                  <w:strike w:val="false"/>
                  <w:dstrike w:val="false"/>
                  <w:color w:val="000000"/>
                  <w:sz w:val="22"/>
                  <w:u w:val="none"/>
                  <w:effect w:val="none"/>
                </w:rPr>
                <w:t>117</w:t>
              </w:r>
            </w:hyperlink>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7.04</w:t>
            </w:r>
          </w:p>
        </w:tc>
        <w:tc>
          <w:tcPr>
            <w:tcW w:w="6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Fundamental Changes</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68">
              <w:r>
                <w:rPr>
                  <w:rStyle w:val="InternetLink"/>
                  <w:rFonts w:ascii="Times New Roman;serif" w:hAnsi="Times New Roman;serif"/>
                  <w:b w:val="false"/>
                  <w:strike w:val="false"/>
                  <w:dstrike w:val="false"/>
                  <w:color w:val="000000"/>
                  <w:sz w:val="22"/>
                  <w:u w:val="none"/>
                  <w:effect w:val="none"/>
                </w:rPr>
                <w:t>122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9245"/>
                <wp:effectExtent l="0" t="0" r="0" b="0"/>
                <wp:wrapNone/>
                <wp:docPr id="8" name="Frame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tbl>
      <w:tblPr>
        <w:tblW w:w="7406" w:type="dxa"/>
        <w:jc w:val="center"/>
        <w:tblInd w:w="0" w:type="dxa"/>
        <w:tblLayout w:type="fixed"/>
        <w:tblCellMar>
          <w:top w:w="28" w:type="dxa"/>
          <w:left w:w="28" w:type="dxa"/>
          <w:bottom w:w="28" w:type="dxa"/>
          <w:right w:w="28" w:type="dxa"/>
        </w:tblCellMar>
      </w:tblPr>
      <w:tblGrid>
        <w:gridCol w:w="124"/>
        <w:gridCol w:w="109"/>
        <w:gridCol w:w="109"/>
        <w:gridCol w:w="464"/>
        <w:gridCol w:w="464"/>
        <w:gridCol w:w="466"/>
        <w:gridCol w:w="1718"/>
        <w:gridCol w:w="1718"/>
        <w:gridCol w:w="1723"/>
        <w:gridCol w:w="149"/>
        <w:gridCol w:w="149"/>
        <w:gridCol w:w="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Dispositions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71">
              <w:r>
                <w:rPr>
                  <w:rStyle w:val="InternetLink"/>
                  <w:rFonts w:ascii="Times New Roman;serif" w:hAnsi="Times New Roman;serif"/>
                  <w:b w:val="false"/>
                  <w:strike w:val="false"/>
                  <w:dstrike w:val="false"/>
                  <w:color w:val="000000"/>
                  <w:sz w:val="22"/>
                  <w:u w:val="none"/>
                  <w:effect w:val="none"/>
                </w:rPr>
                <w:t>123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7.06</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74">
              <w:r>
                <w:rPr>
                  <w:rStyle w:val="InternetLink"/>
                  <w:rFonts w:ascii="Times New Roman;serif" w:hAnsi="Times New Roman;serif"/>
                  <w:b w:val="false"/>
                  <w:strike w:val="false"/>
                  <w:dstrike w:val="false"/>
                  <w:color w:val="000000"/>
                  <w:sz w:val="22"/>
                  <w:u w:val="none"/>
                  <w:effect w:val="none"/>
                </w:rPr>
                <w:t>125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7.07</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Nature of Business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77">
              <w:r>
                <w:rPr>
                  <w:rStyle w:val="InternetLink"/>
                  <w:rFonts w:ascii="Times New Roman;serif" w:hAnsi="Times New Roman;serif"/>
                  <w:b w:val="false"/>
                  <w:strike w:val="false"/>
                  <w:dstrike w:val="false"/>
                  <w:color w:val="000000"/>
                  <w:sz w:val="22"/>
                  <w:u w:val="none"/>
                  <w:effect w:val="none"/>
                </w:rPr>
                <w:t>127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7.08</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80">
              <w:r>
                <w:rPr>
                  <w:rStyle w:val="InternetLink"/>
                  <w:rFonts w:ascii="Times New Roman;serif" w:hAnsi="Times New Roman;serif"/>
                  <w:b w:val="false"/>
                  <w:strike w:val="false"/>
                  <w:dstrike w:val="false"/>
                  <w:color w:val="000000"/>
                  <w:sz w:val="22"/>
                  <w:u w:val="none"/>
                  <w:effect w:val="none"/>
                </w:rPr>
                <w:t>127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7.09</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Burdensome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83">
              <w:r>
                <w:rPr>
                  <w:rStyle w:val="InternetLink"/>
                  <w:rFonts w:ascii="Times New Roman;serif" w:hAnsi="Times New Roman;serif"/>
                  <w:b w:val="false"/>
                  <w:strike w:val="false"/>
                  <w:dstrike w:val="false"/>
                  <w:color w:val="000000"/>
                  <w:sz w:val="22"/>
                  <w:u w:val="none"/>
                  <w:effect w:val="none"/>
                </w:rPr>
                <w:t>128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7.10</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86">
              <w:r>
                <w:rPr>
                  <w:rStyle w:val="InternetLink"/>
                  <w:rFonts w:ascii="Times New Roman;serif" w:hAnsi="Times New Roman;serif"/>
                  <w:b w:val="false"/>
                  <w:strike w:val="false"/>
                  <w:dstrike w:val="false"/>
                  <w:color w:val="000000"/>
                  <w:sz w:val="22"/>
                  <w:u w:val="none"/>
                  <w:effect w:val="none"/>
                </w:rPr>
                <w:t>128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89">
              <w:r>
                <w:rPr>
                  <w:rStyle w:val="InternetLink"/>
                  <w:rFonts w:ascii="Times New Roman;serif" w:hAnsi="Times New Roman;serif"/>
                  <w:b w:val="false"/>
                  <w:strike w:val="false"/>
                  <w:dstrike w:val="false"/>
                  <w:color w:val="000000"/>
                  <w:sz w:val="22"/>
                  <w:u w:val="none"/>
                  <w:effect w:val="none"/>
                </w:rPr>
                <w:t>129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92">
              <w:r>
                <w:rPr>
                  <w:rStyle w:val="InternetLink"/>
                  <w:rFonts w:ascii="Times New Roman;serif" w:hAnsi="Times New Roman;serif"/>
                  <w:b w:val="false"/>
                  <w:strike w:val="false"/>
                  <w:dstrike w:val="false"/>
                  <w:color w:val="000000"/>
                  <w:sz w:val="22"/>
                  <w:u w:val="none"/>
                  <w:effect w:val="none"/>
                </w:rPr>
                <w:t>129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Sanctions; Anti-Corruption Laws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95">
              <w:r>
                <w:rPr>
                  <w:rStyle w:val="InternetLink"/>
                  <w:rFonts w:ascii="Times New Roman;serif" w:hAnsi="Times New Roman;serif"/>
                  <w:b w:val="false"/>
                  <w:strike w:val="false"/>
                  <w:dstrike w:val="false"/>
                  <w:color w:val="000000"/>
                  <w:sz w:val="22"/>
                  <w:u w:val="none"/>
                  <w:effect w:val="none"/>
                </w:rPr>
                <w:t>130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Regarding Outbound Investment Rules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6738">
              <w:r>
                <w:rPr>
                  <w:rStyle w:val="InternetLink"/>
                  <w:rFonts w:ascii="Times New Roman;serif" w:hAnsi="Times New Roman;serif"/>
                  <w:b w:val="false"/>
                  <w:strike w:val="false"/>
                  <w:dstrike w:val="false"/>
                  <w:color w:val="000000"/>
                  <w:sz w:val="22"/>
                  <w:u w:val="none"/>
                  <w:effect w:val="none"/>
                </w:rPr>
                <w:t>130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 EVENTS OF DEFAULT AND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298">
              <w:r>
                <w:rPr>
                  <w:rStyle w:val="InternetLink"/>
                  <w:rFonts w:ascii="Times New Roman;serif" w:hAnsi="Times New Roman;serif"/>
                  <w:b w:val="false"/>
                  <w:strike w:val="false"/>
                  <w:dstrike w:val="false"/>
                  <w:color w:val="000000"/>
                  <w:sz w:val="22"/>
                  <w:u w:val="none"/>
                  <w:effect w:val="none"/>
                </w:rPr>
                <w:t>130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01">
              <w:r>
                <w:rPr>
                  <w:rStyle w:val="InternetLink"/>
                  <w:rFonts w:ascii="Times New Roman;serif" w:hAnsi="Times New Roman;serif"/>
                  <w:b w:val="false"/>
                  <w:strike w:val="false"/>
                  <w:dstrike w:val="false"/>
                  <w:color w:val="000000"/>
                  <w:sz w:val="22"/>
                  <w:u w:val="none"/>
                  <w:effect w:val="none"/>
                </w:rPr>
                <w:t>130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 Upon Event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04">
              <w:r>
                <w:rPr>
                  <w:rStyle w:val="InternetLink"/>
                  <w:rFonts w:ascii="Times New Roman;serif" w:hAnsi="Times New Roman;serif"/>
                  <w:b w:val="false"/>
                  <w:strike w:val="false"/>
                  <w:dstrike w:val="false"/>
                  <w:color w:val="000000"/>
                  <w:sz w:val="22"/>
                  <w:u w:val="none"/>
                  <w:effect w:val="none"/>
                </w:rPr>
                <w:t>132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Exclusion of Immaterial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07">
              <w:r>
                <w:rPr>
                  <w:rStyle w:val="InternetLink"/>
                  <w:rFonts w:ascii="Times New Roman;serif" w:hAnsi="Times New Roman;serif"/>
                  <w:b w:val="false"/>
                  <w:strike w:val="false"/>
                  <w:dstrike w:val="false"/>
                  <w:color w:val="000000"/>
                  <w:sz w:val="22"/>
                  <w:u w:val="none"/>
                  <w:effect w:val="none"/>
                </w:rPr>
                <w:t>133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Funds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10">
              <w:r>
                <w:rPr>
                  <w:rStyle w:val="InternetLink"/>
                  <w:rFonts w:ascii="Times New Roman;serif" w:hAnsi="Times New Roman;serif"/>
                  <w:b w:val="false"/>
                  <w:strike w:val="false"/>
                  <w:dstrike w:val="false"/>
                  <w:color w:val="000000"/>
                  <w:sz w:val="22"/>
                  <w:u w:val="none"/>
                  <w:effect w:val="none"/>
                </w:rPr>
                <w:t>133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 ADMINISTRATIVE AGENT AND OTHER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13">
              <w:r>
                <w:rPr>
                  <w:rStyle w:val="InternetLink"/>
                  <w:rFonts w:ascii="Times New Roman;serif" w:hAnsi="Times New Roman;serif"/>
                  <w:b w:val="false"/>
                  <w:strike w:val="false"/>
                  <w:dstrike w:val="false"/>
                  <w:color w:val="000000"/>
                  <w:sz w:val="22"/>
                  <w:u w:val="none"/>
                  <w:effect w:val="none"/>
                </w:rPr>
                <w:t>134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and Authorization of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16">
              <w:r>
                <w:rPr>
                  <w:rStyle w:val="InternetLink"/>
                  <w:rFonts w:ascii="Times New Roman;serif" w:hAnsi="Times New Roman;serif"/>
                  <w:b w:val="false"/>
                  <w:strike w:val="false"/>
                  <w:dstrike w:val="false"/>
                  <w:color w:val="000000"/>
                  <w:sz w:val="22"/>
                  <w:u w:val="none"/>
                  <w:effect w:val="none"/>
                </w:rPr>
                <w:t>134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19">
              <w:r>
                <w:rPr>
                  <w:rStyle w:val="InternetLink"/>
                  <w:rFonts w:ascii="Times New Roman;serif" w:hAnsi="Times New Roman;serif"/>
                  <w:b w:val="false"/>
                  <w:strike w:val="false"/>
                  <w:dstrike w:val="false"/>
                  <w:color w:val="000000"/>
                  <w:sz w:val="22"/>
                  <w:u w:val="none"/>
                  <w:effect w:val="none"/>
                </w:rPr>
                <w:t>135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Liability of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22">
              <w:r>
                <w:rPr>
                  <w:rStyle w:val="InternetLink"/>
                  <w:rFonts w:ascii="Times New Roman;serif" w:hAnsi="Times New Roman;serif"/>
                  <w:b w:val="false"/>
                  <w:strike w:val="false"/>
                  <w:dstrike w:val="false"/>
                  <w:color w:val="000000"/>
                  <w:sz w:val="22"/>
                  <w:u w:val="none"/>
                  <w:effect w:val="none"/>
                </w:rPr>
                <w:t>135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by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25">
              <w:r>
                <w:rPr>
                  <w:rStyle w:val="InternetLink"/>
                  <w:rFonts w:ascii="Times New Roman;serif" w:hAnsi="Times New Roman;serif"/>
                  <w:b w:val="false"/>
                  <w:strike w:val="false"/>
                  <w:dstrike w:val="false"/>
                  <w:color w:val="000000"/>
                  <w:sz w:val="22"/>
                  <w:u w:val="none"/>
                  <w:effect w:val="none"/>
                </w:rPr>
                <w:t>136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28">
              <w:r>
                <w:rPr>
                  <w:rStyle w:val="InternetLink"/>
                  <w:rFonts w:ascii="Times New Roman;serif" w:hAnsi="Times New Roman;serif"/>
                  <w:b w:val="false"/>
                  <w:strike w:val="false"/>
                  <w:dstrike w:val="false"/>
                  <w:color w:val="000000"/>
                  <w:sz w:val="22"/>
                  <w:u w:val="none"/>
                  <w:effect w:val="none"/>
                </w:rPr>
                <w:t>136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9.06</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Credit Decision; Disclosure of Information by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31">
              <w:r>
                <w:rPr>
                  <w:rStyle w:val="InternetLink"/>
                  <w:rFonts w:ascii="Times New Roman;serif" w:hAnsi="Times New Roman;serif"/>
                  <w:b w:val="false"/>
                  <w:strike w:val="false"/>
                  <w:dstrike w:val="false"/>
                  <w:color w:val="000000"/>
                  <w:sz w:val="22"/>
                  <w:u w:val="none"/>
                  <w:effect w:val="none"/>
                </w:rPr>
                <w:t>136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9.07</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of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34">
              <w:r>
                <w:rPr>
                  <w:rStyle w:val="InternetLink"/>
                  <w:rFonts w:ascii="Times New Roman;serif" w:hAnsi="Times New Roman;serif"/>
                  <w:b w:val="false"/>
                  <w:strike w:val="false"/>
                  <w:dstrike w:val="false"/>
                  <w:color w:val="000000"/>
                  <w:sz w:val="22"/>
                  <w:u w:val="none"/>
                  <w:effect w:val="none"/>
                </w:rPr>
                <w:t>137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9.08</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Agents in their Individual Capacities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37">
              <w:r>
                <w:rPr>
                  <w:rStyle w:val="InternetLink"/>
                  <w:rFonts w:ascii="Times New Roman;serif" w:hAnsi="Times New Roman;serif"/>
                  <w:b w:val="false"/>
                  <w:strike w:val="false"/>
                  <w:dstrike w:val="false"/>
                  <w:color w:val="000000"/>
                  <w:sz w:val="22"/>
                  <w:u w:val="none"/>
                  <w:effect w:val="none"/>
                </w:rPr>
                <w:t>137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9.09</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40">
              <w:r>
                <w:rPr>
                  <w:rStyle w:val="InternetLink"/>
                  <w:rFonts w:ascii="Times New Roman;serif" w:hAnsi="Times New Roman;serif"/>
                  <w:b w:val="false"/>
                  <w:strike w:val="false"/>
                  <w:dstrike w:val="false"/>
                  <w:color w:val="000000"/>
                  <w:sz w:val="22"/>
                  <w:u w:val="none"/>
                  <w:effect w:val="none"/>
                </w:rPr>
                <w:t>138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9.10</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43">
              <w:r>
                <w:rPr>
                  <w:rStyle w:val="InternetLink"/>
                  <w:rFonts w:ascii="Times New Roman;serif" w:hAnsi="Times New Roman;serif"/>
                  <w:b w:val="false"/>
                  <w:strike w:val="false"/>
                  <w:dstrike w:val="false"/>
                  <w:color w:val="000000"/>
                  <w:sz w:val="22"/>
                  <w:u w:val="none"/>
                  <w:effect w:val="none"/>
                </w:rPr>
                <w:t>138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and Guaranty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46">
              <w:r>
                <w:rPr>
                  <w:rStyle w:val="InternetLink"/>
                  <w:rFonts w:ascii="Times New Roman;serif" w:hAnsi="Times New Roman;serif"/>
                  <w:b w:val="false"/>
                  <w:strike w:val="false"/>
                  <w:dstrike w:val="false"/>
                  <w:color w:val="000000"/>
                  <w:sz w:val="22"/>
                  <w:u w:val="none"/>
                  <w:effect w:val="none"/>
                </w:rPr>
                <w:t>139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Agents; Arrangers and Managers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49">
              <w:r>
                <w:rPr>
                  <w:rStyle w:val="InternetLink"/>
                  <w:rFonts w:ascii="Times New Roman;serif" w:hAnsi="Times New Roman;serif"/>
                  <w:b w:val="false"/>
                  <w:strike w:val="false"/>
                  <w:dstrike w:val="false"/>
                  <w:color w:val="000000"/>
                  <w:sz w:val="22"/>
                  <w:u w:val="none"/>
                  <w:effect w:val="none"/>
                </w:rPr>
                <w:t>140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of Supplemental Administrative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52">
              <w:r>
                <w:rPr>
                  <w:rStyle w:val="InternetLink"/>
                  <w:rFonts w:ascii="Times New Roman;serif" w:hAnsi="Times New Roman;serif"/>
                  <w:b w:val="false"/>
                  <w:strike w:val="false"/>
                  <w:dstrike w:val="false"/>
                  <w:color w:val="000000"/>
                  <w:sz w:val="22"/>
                  <w:u w:val="none"/>
                  <w:effect w:val="none"/>
                </w:rPr>
                <w:t>140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Representation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55">
              <w:r>
                <w:rPr>
                  <w:rStyle w:val="InternetLink"/>
                  <w:rFonts w:ascii="Times New Roman;serif" w:hAnsi="Times New Roman;serif"/>
                  <w:b w:val="false"/>
                  <w:strike w:val="false"/>
                  <w:dstrike w:val="false"/>
                  <w:color w:val="000000"/>
                  <w:sz w:val="22"/>
                  <w:u w:val="none"/>
                  <w:effect w:val="none"/>
                </w:rPr>
                <w:t>141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58">
              <w:r>
                <w:rPr>
                  <w:rStyle w:val="InternetLink"/>
                  <w:rFonts w:ascii="Times New Roman;serif" w:hAnsi="Times New Roman;serif"/>
                  <w:b w:val="false"/>
                  <w:strike w:val="false"/>
                  <w:dstrike w:val="false"/>
                  <w:color w:val="000000"/>
                  <w:sz w:val="22"/>
                  <w:u w:val="none"/>
                  <w:effect w:val="none"/>
                </w:rPr>
                <w:t>142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61">
              <w:r>
                <w:rPr>
                  <w:rStyle w:val="InternetLink"/>
                  <w:rFonts w:ascii="Times New Roman;serif" w:hAnsi="Times New Roman;serif"/>
                  <w:b w:val="false"/>
                  <w:strike w:val="false"/>
                  <w:dstrike w:val="false"/>
                  <w:color w:val="000000"/>
                  <w:sz w:val="22"/>
                  <w:u w:val="none"/>
                  <w:effect w:val="none"/>
                </w:rPr>
                <w:t>144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64">
              <w:r>
                <w:rPr>
                  <w:rStyle w:val="InternetLink"/>
                  <w:rFonts w:ascii="Times New Roman;serif" w:hAnsi="Times New Roman;serif"/>
                  <w:b w:val="false"/>
                  <w:strike w:val="false"/>
                  <w:dstrike w:val="false"/>
                  <w:color w:val="000000"/>
                  <w:sz w:val="22"/>
                  <w:u w:val="none"/>
                  <w:effect w:val="none"/>
                </w:rPr>
                <w:t>144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and Other Communications; Facsimile Copies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67">
              <w:r>
                <w:rPr>
                  <w:rStyle w:val="InternetLink"/>
                  <w:rFonts w:ascii="Times New Roman;serif" w:hAnsi="Times New Roman;serif"/>
                  <w:b w:val="false"/>
                  <w:strike w:val="false"/>
                  <w:dstrike w:val="false"/>
                  <w:color w:val="000000"/>
                  <w:sz w:val="22"/>
                  <w:u w:val="none"/>
                  <w:effect w:val="none"/>
                </w:rPr>
                <w:t>147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Cumulative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70">
              <w:r>
                <w:rPr>
                  <w:rStyle w:val="InternetLink"/>
                  <w:rFonts w:ascii="Times New Roman;serif" w:hAnsi="Times New Roman;serif"/>
                  <w:b w:val="false"/>
                  <w:strike w:val="false"/>
                  <w:dstrike w:val="false"/>
                  <w:color w:val="000000"/>
                  <w:sz w:val="22"/>
                  <w:u w:val="none"/>
                  <w:effect w:val="none"/>
                </w:rPr>
                <w:t>148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Attorney Costs, Expenses and Taxes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73">
              <w:r>
                <w:rPr>
                  <w:rStyle w:val="InternetLink"/>
                  <w:rFonts w:ascii="Times New Roman;serif" w:hAnsi="Times New Roman;serif"/>
                  <w:b w:val="false"/>
                  <w:strike w:val="false"/>
                  <w:dstrike w:val="false"/>
                  <w:color w:val="000000"/>
                  <w:sz w:val="22"/>
                  <w:u w:val="none"/>
                  <w:effect w:val="none"/>
                </w:rPr>
                <w:t>148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by the Borrowers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76">
              <w:r>
                <w:rPr>
                  <w:rStyle w:val="InternetLink"/>
                  <w:rFonts w:ascii="Times New Roman;serif" w:hAnsi="Times New Roman;serif"/>
                  <w:b w:val="false"/>
                  <w:strike w:val="false"/>
                  <w:dstrike w:val="false"/>
                  <w:color w:val="000000"/>
                  <w:sz w:val="22"/>
                  <w:u w:val="none"/>
                  <w:effect w:val="none"/>
                </w:rPr>
                <w:t>149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10.06</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Set Aside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79">
              <w:r>
                <w:rPr>
                  <w:rStyle w:val="InternetLink"/>
                  <w:rFonts w:ascii="Times New Roman;serif" w:hAnsi="Times New Roman;serif"/>
                  <w:b w:val="false"/>
                  <w:strike w:val="false"/>
                  <w:dstrike w:val="false"/>
                  <w:color w:val="000000"/>
                  <w:sz w:val="22"/>
                  <w:u w:val="none"/>
                  <w:effect w:val="none"/>
                </w:rPr>
                <w:t>150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10.07</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82">
              <w:r>
                <w:rPr>
                  <w:rStyle w:val="InternetLink"/>
                  <w:rFonts w:ascii="Times New Roman;serif" w:hAnsi="Times New Roman;serif"/>
                  <w:b w:val="false"/>
                  <w:strike w:val="false"/>
                  <w:dstrike w:val="false"/>
                  <w:color w:val="000000"/>
                  <w:sz w:val="22"/>
                  <w:u w:val="none"/>
                  <w:effect w:val="none"/>
                </w:rPr>
                <w:t>150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10.08</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85">
              <w:r>
                <w:rPr>
                  <w:rStyle w:val="InternetLink"/>
                  <w:rFonts w:ascii="Times New Roman;serif" w:hAnsi="Times New Roman;serif"/>
                  <w:b w:val="false"/>
                  <w:strike w:val="false"/>
                  <w:dstrike w:val="false"/>
                  <w:color w:val="000000"/>
                  <w:sz w:val="22"/>
                  <w:u w:val="none"/>
                  <w:effect w:val="none"/>
                </w:rPr>
                <w:t>155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10.09</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88">
              <w:r>
                <w:rPr>
                  <w:rStyle w:val="InternetLink"/>
                  <w:rFonts w:ascii="Times New Roman;serif" w:hAnsi="Times New Roman;serif"/>
                  <w:b w:val="false"/>
                  <w:strike w:val="false"/>
                  <w:dstrike w:val="false"/>
                  <w:color w:val="000000"/>
                  <w:sz w:val="22"/>
                  <w:u w:val="none"/>
                  <w:effect w:val="none"/>
                </w:rPr>
                <w:t>155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10.10</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91">
              <w:r>
                <w:rPr>
                  <w:rStyle w:val="InternetLink"/>
                  <w:rFonts w:ascii="Times New Roman;serif" w:hAnsi="Times New Roman;serif"/>
                  <w:b w:val="false"/>
                  <w:strike w:val="false"/>
                  <w:dstrike w:val="false"/>
                  <w:color w:val="000000"/>
                  <w:sz w:val="22"/>
                  <w:u w:val="none"/>
                  <w:effect w:val="none"/>
                </w:rPr>
                <w:t>156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10.11</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Electronic Execution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94">
              <w:r>
                <w:rPr>
                  <w:rStyle w:val="InternetLink"/>
                  <w:rFonts w:ascii="Times New Roman;serif" w:hAnsi="Times New Roman;serif"/>
                  <w:b w:val="false"/>
                  <w:strike w:val="false"/>
                  <w:dstrike w:val="false"/>
                  <w:color w:val="000000"/>
                  <w:sz w:val="22"/>
                  <w:u w:val="none"/>
                  <w:effect w:val="none"/>
                </w:rPr>
                <w:t>156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10.12</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Integration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397">
              <w:r>
                <w:rPr>
                  <w:rStyle w:val="InternetLink"/>
                  <w:rFonts w:ascii="Times New Roman;serif" w:hAnsi="Times New Roman;serif"/>
                  <w:b w:val="false"/>
                  <w:strike w:val="false"/>
                  <w:dstrike w:val="false"/>
                  <w:color w:val="000000"/>
                  <w:sz w:val="22"/>
                  <w:u w:val="none"/>
                  <w:effect w:val="none"/>
                </w:rPr>
                <w:t>157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00">
              <w:r>
                <w:rPr>
                  <w:rStyle w:val="InternetLink"/>
                  <w:rFonts w:ascii="Times New Roman;serif" w:hAnsi="Times New Roman;serif"/>
                  <w:b w:val="false"/>
                  <w:strike w:val="false"/>
                  <w:dstrike w:val="false"/>
                  <w:color w:val="000000"/>
                  <w:sz w:val="22"/>
                  <w:u w:val="none"/>
                  <w:effect w:val="none"/>
                </w:rPr>
                <w:t>157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10.14</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03">
              <w:r>
                <w:rPr>
                  <w:rStyle w:val="InternetLink"/>
                  <w:rFonts w:ascii="Times New Roman;serif" w:hAnsi="Times New Roman;serif"/>
                  <w:b w:val="false"/>
                  <w:strike w:val="false"/>
                  <w:dstrike w:val="false"/>
                  <w:color w:val="000000"/>
                  <w:sz w:val="22"/>
                  <w:u w:val="none"/>
                  <w:effect w:val="none"/>
                </w:rPr>
                <w:t>158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10.15</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06">
              <w:r>
                <w:rPr>
                  <w:rStyle w:val="InternetLink"/>
                  <w:rFonts w:ascii="Times New Roman;serif" w:hAnsi="Times New Roman;serif"/>
                  <w:b w:val="false"/>
                  <w:strike w:val="false"/>
                  <w:dstrike w:val="false"/>
                  <w:color w:val="000000"/>
                  <w:sz w:val="22"/>
                  <w:u w:val="none"/>
                  <w:effect w:val="none"/>
                </w:rPr>
                <w:t>158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10.16</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RIGHT TO TRIAL BY JURY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09">
              <w:r>
                <w:rPr>
                  <w:rStyle w:val="InternetLink"/>
                  <w:rFonts w:ascii="Times New Roman;serif" w:hAnsi="Times New Roman;serif"/>
                  <w:b w:val="false"/>
                  <w:strike w:val="false"/>
                  <w:dstrike w:val="false"/>
                  <w:color w:val="000000"/>
                  <w:sz w:val="22"/>
                  <w:u w:val="none"/>
                  <w:effect w:val="none"/>
                </w:rPr>
                <w:t>159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9245"/>
                <wp:effectExtent l="0" t="0" r="0" b="0"/>
                <wp:wrapNone/>
                <wp:docPr id="9" name="Frame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tbl>
      <w:tblPr>
        <w:tblW w:w="9432" w:type="dxa"/>
        <w:jc w:val="center"/>
        <w:tblInd w:w="0" w:type="dxa"/>
        <w:tblLayout w:type="fixed"/>
        <w:tblCellMar>
          <w:top w:w="28" w:type="dxa"/>
          <w:left w:w="28" w:type="dxa"/>
          <w:bottom w:w="28" w:type="dxa"/>
          <w:right w:w="28" w:type="dxa"/>
        </w:tblCellMar>
      </w:tblPr>
      <w:tblGrid>
        <w:gridCol w:w="124"/>
        <w:gridCol w:w="109"/>
        <w:gridCol w:w="109"/>
        <w:gridCol w:w="464"/>
        <w:gridCol w:w="464"/>
        <w:gridCol w:w="466"/>
        <w:gridCol w:w="2392"/>
        <w:gridCol w:w="2392"/>
        <w:gridCol w:w="2401"/>
        <w:gridCol w:w="149"/>
        <w:gridCol w:w="149"/>
        <w:gridCol w:w="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10.17</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12">
              <w:r>
                <w:rPr>
                  <w:rStyle w:val="InternetLink"/>
                  <w:rFonts w:ascii="Times New Roman;serif" w:hAnsi="Times New Roman;serif"/>
                  <w:b w:val="false"/>
                  <w:strike w:val="false"/>
                  <w:dstrike w:val="false"/>
                  <w:color w:val="000000"/>
                  <w:sz w:val="22"/>
                  <w:u w:val="none"/>
                  <w:effect w:val="none"/>
                </w:rPr>
                <w:t>159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10.18</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Lender Action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15">
              <w:r>
                <w:rPr>
                  <w:rStyle w:val="InternetLink"/>
                  <w:rFonts w:ascii="Times New Roman;serif" w:hAnsi="Times New Roman;serif"/>
                  <w:b w:val="false"/>
                  <w:strike w:val="false"/>
                  <w:dstrike w:val="false"/>
                  <w:color w:val="000000"/>
                  <w:sz w:val="22"/>
                  <w:u w:val="none"/>
                  <w:effect w:val="none"/>
                </w:rPr>
                <w:t>159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10.19</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 Anti-Money Laundering Laws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18">
              <w:r>
                <w:rPr>
                  <w:rStyle w:val="InternetLink"/>
                  <w:rFonts w:ascii="Times New Roman;serif" w:hAnsi="Times New Roman;serif"/>
                  <w:b w:val="false"/>
                  <w:strike w:val="false"/>
                  <w:dstrike w:val="false"/>
                  <w:color w:val="000000"/>
                  <w:sz w:val="22"/>
                  <w:u w:val="none"/>
                  <w:effect w:val="none"/>
                </w:rPr>
                <w:t>159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10.20</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Advisory or Fiduciary Responsibility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21">
              <w:r>
                <w:rPr>
                  <w:rStyle w:val="InternetLink"/>
                  <w:rFonts w:ascii="Times New Roman;serif" w:hAnsi="Times New Roman;serif"/>
                  <w:b w:val="false"/>
                  <w:strike w:val="false"/>
                  <w:dstrike w:val="false"/>
                  <w:color w:val="000000"/>
                  <w:sz w:val="22"/>
                  <w:u w:val="none"/>
                  <w:effect w:val="none"/>
                </w:rPr>
                <w:t>159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10.21</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Intercreditor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24">
              <w:r>
                <w:rPr>
                  <w:rStyle w:val="InternetLink"/>
                  <w:rFonts w:ascii="Times New Roman;serif" w:hAnsi="Times New Roman;serif"/>
                  <w:b w:val="false"/>
                  <w:strike w:val="false"/>
                  <w:dstrike w:val="false"/>
                  <w:color w:val="000000"/>
                  <w:sz w:val="22"/>
                  <w:u w:val="none"/>
                  <w:effect w:val="none"/>
                </w:rPr>
                <w:t>160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10.22</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Company as Agent for the Borrowers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27">
              <w:r>
                <w:rPr>
                  <w:rStyle w:val="InternetLink"/>
                  <w:rFonts w:ascii="Times New Roman;serif" w:hAnsi="Times New Roman;serif"/>
                  <w:b w:val="false"/>
                  <w:strike w:val="false"/>
                  <w:dstrike w:val="false"/>
                  <w:color w:val="000000"/>
                  <w:sz w:val="22"/>
                  <w:u w:val="none"/>
                  <w:effect w:val="none"/>
                </w:rPr>
                <w:t>160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10.23</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30">
              <w:r>
                <w:rPr>
                  <w:rStyle w:val="InternetLink"/>
                  <w:rFonts w:ascii="Times New Roman;serif" w:hAnsi="Times New Roman;serif"/>
                  <w:b w:val="false"/>
                  <w:strike w:val="false"/>
                  <w:dstrike w:val="false"/>
                  <w:color w:val="000000"/>
                  <w:sz w:val="22"/>
                  <w:u w:val="none"/>
                  <w:effect w:val="none"/>
                </w:rPr>
                <w:t>161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10.24</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 No Novation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33">
              <w:r>
                <w:rPr>
                  <w:rStyle w:val="InternetLink"/>
                  <w:rFonts w:ascii="Times New Roman;serif" w:hAnsi="Times New Roman;serif"/>
                  <w:b w:val="false"/>
                  <w:strike w:val="false"/>
                  <w:dstrike w:val="false"/>
                  <w:color w:val="000000"/>
                  <w:sz w:val="22"/>
                  <w:u w:val="none"/>
                  <w:effect w:val="none"/>
                </w:rPr>
                <w:t>161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10.25</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9b18b9599514a328bfa5874fc40f42f_436">
              <w:r>
                <w:rPr>
                  <w:rStyle w:val="InternetLink"/>
                  <w:rFonts w:ascii="Times New Roman;serif" w:hAnsi="Times New Roman;serif"/>
                  <w:b w:val="false"/>
                  <w:strike w:val="false"/>
                  <w:dstrike w:val="false"/>
                  <w:color w:val="000000"/>
                  <w:sz w:val="22"/>
                  <w:u w:val="none"/>
                  <w:effect w:val="none"/>
                </w:rPr>
                <w:t>162</w:t>
              </w:r>
            </w:hyperlink>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9245"/>
                <wp:effectExtent l="0" t="0" r="0" b="0"/>
                <wp:wrapNone/>
                <wp:docPr id="10" name="Frame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SCHEDULES</w:t>
      </w:r>
    </w:p>
    <w:tbl>
      <w:tblPr>
        <w:tblW w:w="7015" w:type="dxa"/>
        <w:jc w:val="left"/>
        <w:tblInd w:w="0" w:type="dxa"/>
        <w:tblLayout w:type="fixed"/>
        <w:tblCellMar>
          <w:top w:w="28" w:type="dxa"/>
          <w:left w:w="28" w:type="dxa"/>
          <w:bottom w:w="28" w:type="dxa"/>
          <w:right w:w="28" w:type="dxa"/>
        </w:tblCellMar>
      </w:tblPr>
      <w:tblGrid>
        <w:gridCol w:w="292"/>
        <w:gridCol w:w="258"/>
        <w:gridCol w:w="259"/>
        <w:gridCol w:w="109"/>
        <w:gridCol w:w="109"/>
        <w:gridCol w:w="109"/>
        <w:gridCol w:w="1719"/>
        <w:gridCol w:w="1719"/>
        <w:gridCol w:w="2441"/>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45">
              <w:r>
                <w:rPr>
                  <w:rStyle w:val="InternetLink"/>
                  <w:rFonts w:ascii="Times New Roman;serif" w:hAnsi="Times New Roman;serif"/>
                  <w:b w:val="false"/>
                  <w:strike w:val="false"/>
                  <w:dstrike w:val="false"/>
                  <w:color w:val="000000"/>
                  <w:sz w:val="22"/>
                  <w:u w:val="none"/>
                  <w:effect w:val="none"/>
                </w:rPr>
                <w:t>Excluded Assets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48">
              <w:r>
                <w:rPr>
                  <w:rStyle w:val="InternetLink"/>
                  <w:rFonts w:ascii="Times New Roman;serif" w:hAnsi="Times New Roman;serif"/>
                  <w:b w:val="false"/>
                  <w:strike w:val="false"/>
                  <w:dstrike w:val="false"/>
                  <w:color w:val="000000"/>
                  <w:sz w:val="22"/>
                  <w:u w:val="none"/>
                  <w:effect w:val="none"/>
                </w:rPr>
                <w:t>Excluded Real Property</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51">
              <w:r>
                <w:rPr>
                  <w:rStyle w:val="InternetLink"/>
                  <w:rFonts w:ascii="Times New Roman;serif" w:hAnsi="Times New Roman;serif"/>
                  <w:b w:val="false"/>
                  <w:strike w:val="false"/>
                  <w:dstrike w:val="false"/>
                  <w:color w:val="000000"/>
                  <w:sz w:val="22"/>
                  <w:u w:val="none"/>
                  <w:effect w:val="none"/>
                </w:rPr>
                <w:t>Existing Letters of Credit</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51">
              <w:r>
                <w:rPr>
                  <w:rStyle w:val="InternetLink"/>
                  <w:rFonts w:ascii="Times New Roman;serif" w:hAnsi="Times New Roman;serif"/>
                  <w:b w:val="false"/>
                  <w:strike w:val="false"/>
                  <w:dstrike w:val="false"/>
                  <w:color w:val="000000"/>
                  <w:sz w:val="22"/>
                  <w:u w:val="none"/>
                  <w:effect w:val="none"/>
                </w:rPr>
                <w:t>Foreign Subsidiaries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57">
              <w:r>
                <w:rPr>
                  <w:rStyle w:val="InternetLink"/>
                  <w:rFonts w:ascii="Times New Roman;serif" w:hAnsi="Times New Roman;serif"/>
                  <w:b w:val="false"/>
                  <w:strike w:val="false"/>
                  <w:dstrike w:val="false"/>
                  <w:color w:val="000080"/>
                  <w:sz w:val="22"/>
                  <w:u w:val="single"/>
                  <w:effect w:val="none"/>
                </w:rPr>
                <w:t>Certain Restaurant L.P.</w:t>
              </w:r>
            </w:hyperlink>
            <w:hyperlink w:anchor="i79b18b9599514a328bfa5874fc40f42f_484">
              <w:r>
                <w:rPr>
                  <w:rStyle w:val="InternetLink"/>
                  <w:rFonts w:ascii="Times New Roman;serif" w:hAnsi="Times New Roman;serif"/>
                  <w:b w:val="false"/>
                  <w:strike w:val="false"/>
                  <w:dstrike w:val="false"/>
                  <w:color w:val="000080"/>
                  <w:sz w:val="22"/>
                  <w:u w:val="single"/>
                  <w:effect w:val="none"/>
                </w:rPr>
                <w:t>’</w:t>
              </w:r>
            </w:hyperlink>
            <w:hyperlink w:anchor="i79b18b9599514a328bfa5874fc40f42f_457">
              <w:r>
                <w:rPr>
                  <w:rStyle w:val="InternetLink"/>
                  <w:rFonts w:ascii="Times New Roman;serif" w:hAnsi="Times New Roman;serif"/>
                  <w:b w:val="false"/>
                  <w:strike w:val="false"/>
                  <w:dstrike w:val="false"/>
                  <w:color w:val="000080"/>
                  <w:sz w:val="22"/>
                  <w:u w:val="single"/>
                  <w:effect w:val="none"/>
                </w:rPr>
                <w:t>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60">
              <w:r>
                <w:rPr>
                  <w:rStyle w:val="InternetLink"/>
                  <w:rFonts w:ascii="Times New Roman;serif" w:hAnsi="Times New Roman;serif"/>
                  <w:b w:val="false"/>
                  <w:strike w:val="false"/>
                  <w:dstrike w:val="false"/>
                  <w:color w:val="000000"/>
                  <w:sz w:val="22"/>
                  <w:u w:val="none"/>
                  <w:effect w:val="none"/>
                </w:rPr>
                <w:t>Commitments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63">
              <w:r>
                <w:rPr>
                  <w:rStyle w:val="InternetLink"/>
                  <w:rFonts w:ascii="Times New Roman;serif" w:hAnsi="Times New Roman;serif"/>
                  <w:b w:val="false"/>
                  <w:strike w:val="false"/>
                  <w:dstrike w:val="false"/>
                  <w:color w:val="000000"/>
                  <w:sz w:val="22"/>
                  <w:u w:val="none"/>
                  <w:effect w:val="none"/>
                </w:rPr>
                <w:t>Certain Litigation</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66">
              <w:r>
                <w:rPr>
                  <w:rStyle w:val="InternetLink"/>
                  <w:rFonts w:ascii="Times New Roman;serif" w:hAnsi="Times New Roman;serif"/>
                  <w:b w:val="false"/>
                  <w:strike w:val="false"/>
                  <w:dstrike w:val="false"/>
                  <w:color w:val="000000"/>
                  <w:sz w:val="22"/>
                  <w:u w:val="none"/>
                  <w:effect w:val="none"/>
                </w:rPr>
                <w:t>Subsidiaries and Other Equity Interests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69">
              <w:r>
                <w:rPr>
                  <w:rStyle w:val="InternetLink"/>
                  <w:rFonts w:ascii="Times New Roman;serif" w:hAnsi="Times New Roman;serif"/>
                  <w:b w:val="false"/>
                  <w:strike w:val="false"/>
                  <w:dstrike w:val="false"/>
                  <w:color w:val="000000"/>
                  <w:sz w:val="22"/>
                  <w:u w:val="none"/>
                  <w:effect w:val="none"/>
                </w:rPr>
                <w:t>Existing Liens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7.02(f)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72">
              <w:r>
                <w:rPr>
                  <w:rStyle w:val="InternetLink"/>
                  <w:rFonts w:ascii="Times New Roman;serif" w:hAnsi="Times New Roman;serif"/>
                  <w:b w:val="false"/>
                  <w:strike w:val="false"/>
                  <w:dstrike w:val="false"/>
                  <w:color w:val="000000"/>
                  <w:sz w:val="22"/>
                  <w:u w:val="none"/>
                  <w:effect w:val="none"/>
                </w:rPr>
                <w:t>Existing Investments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75">
              <w:r>
                <w:rPr>
                  <w:rStyle w:val="InternetLink"/>
                  <w:rFonts w:ascii="Times New Roman;serif" w:hAnsi="Times New Roman;serif"/>
                  <w:b w:val="false"/>
                  <w:strike w:val="false"/>
                  <w:dstrike w:val="false"/>
                  <w:color w:val="000000"/>
                  <w:sz w:val="22"/>
                  <w:u w:val="none"/>
                  <w:effect w:val="none"/>
                </w:rPr>
                <w:t>Existing Indebtedness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78">
              <w:r>
                <w:rPr>
                  <w:rStyle w:val="InternetLink"/>
                  <w:rFonts w:ascii="Times New Roman;serif" w:hAnsi="Times New Roman;serif"/>
                  <w:b w:val="false"/>
                  <w:strike w:val="false"/>
                  <w:dstrike w:val="false"/>
                  <w:color w:val="000000"/>
                  <w:sz w:val="22"/>
                  <w:u w:val="none"/>
                  <w:effect w:val="none"/>
                </w:rPr>
                <w:t>Transactions with Affiliates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81">
              <w:r>
                <w:rPr>
                  <w:rStyle w:val="InternetLink"/>
                  <w:rFonts w:ascii="Times New Roman;serif" w:hAnsi="Times New Roman;serif"/>
                  <w:b w:val="false"/>
                  <w:strike w:val="false"/>
                  <w:dstrike w:val="false"/>
                  <w:color w:val="000000"/>
                  <w:sz w:val="22"/>
                  <w:u w:val="none"/>
                  <w:effect w:val="none"/>
                </w:rPr>
                <w:t>Existing Restrictions</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84">
              <w:r>
                <w:rPr>
                  <w:rStyle w:val="InternetLink"/>
                  <w:rFonts w:ascii="Times New Roman;serif" w:hAnsi="Times New Roman;serif"/>
                  <w:b w:val="false"/>
                  <w:strike w:val="false"/>
                  <w:dstrike w:val="false"/>
                  <w:color w:val="000000"/>
                  <w:sz w:val="22"/>
                  <w:u w:val="none"/>
                  <w:effect w:val="none"/>
                </w:rPr>
                <w:t>Administrative Agent’s Office, Certain Addresses for Notices</w:t>
              </w:r>
            </w:hyperlink>
          </w:p>
        </w:tc>
      </w:tr>
    </w:tbl>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EXHIBITS</w:t>
      </w:r>
    </w:p>
    <w:tbl>
      <w:tblPr>
        <w:tblW w:w="5185" w:type="dxa"/>
        <w:jc w:val="left"/>
        <w:tblInd w:w="0" w:type="dxa"/>
        <w:tblLayout w:type="fixed"/>
        <w:tblCellMar>
          <w:top w:w="28" w:type="dxa"/>
          <w:left w:w="28" w:type="dxa"/>
          <w:bottom w:w="28" w:type="dxa"/>
          <w:right w:w="28" w:type="dxa"/>
        </w:tblCellMar>
      </w:tblPr>
      <w:tblGrid>
        <w:gridCol w:w="314"/>
        <w:gridCol w:w="277"/>
        <w:gridCol w:w="278"/>
        <w:gridCol w:w="109"/>
        <w:gridCol w:w="109"/>
        <w:gridCol w:w="109"/>
        <w:gridCol w:w="1167"/>
        <w:gridCol w:w="1167"/>
        <w:gridCol w:w="1655"/>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Form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90">
              <w:r>
                <w:rPr>
                  <w:rStyle w:val="InternetLink"/>
                  <w:rFonts w:ascii="Times New Roman;serif" w:hAnsi="Times New Roman;serif"/>
                  <w:b w:val="false"/>
                  <w:strike w:val="false"/>
                  <w:dstrike w:val="false"/>
                  <w:color w:val="000000"/>
                  <w:sz w:val="22"/>
                  <w:u w:val="none"/>
                  <w:effect w:val="none"/>
                </w:rPr>
                <w:t>Committed Loan Notice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93">
              <w:r>
                <w:rPr>
                  <w:rStyle w:val="InternetLink"/>
                  <w:rFonts w:ascii="Times New Roman;serif" w:hAnsi="Times New Roman;serif"/>
                  <w:b w:val="false"/>
                  <w:strike w:val="false"/>
                  <w:dstrike w:val="false"/>
                  <w:color w:val="000000"/>
                  <w:sz w:val="22"/>
                  <w:u w:val="none"/>
                  <w:effect w:val="none"/>
                </w:rPr>
                <w:t>Swing Line Loan Notice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96">
              <w:r>
                <w:rPr>
                  <w:rStyle w:val="InternetLink"/>
                  <w:rFonts w:ascii="Times New Roman;serif" w:hAnsi="Times New Roman;serif"/>
                  <w:b w:val="false"/>
                  <w:strike w:val="false"/>
                  <w:dstrike w:val="false"/>
                  <w:color w:val="000000"/>
                  <w:sz w:val="22"/>
                  <w:u w:val="none"/>
                  <w:effect w:val="none"/>
                </w:rPr>
                <w:t>Revolving Credit Not</w:t>
              </w:r>
            </w:hyperlink>
            <w:r>
              <w:rPr>
                <w:rFonts w:ascii="Times New Roman;serif" w:hAnsi="Times New Roman;serif"/>
                <w:b w:val="false"/>
                <w:color w:val="000000"/>
                <w:sz w:val="22"/>
              </w:rPr>
              <w:t>e</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499">
              <w:r>
                <w:rPr>
                  <w:rStyle w:val="InternetLink"/>
                  <w:rFonts w:ascii="Times New Roman;serif" w:hAnsi="Times New Roman;serif"/>
                  <w:b w:val="false"/>
                  <w:strike w:val="false"/>
                  <w:dstrike w:val="false"/>
                  <w:color w:val="000000"/>
                  <w:sz w:val="22"/>
                  <w:u w:val="none"/>
                  <w:effect w:val="none"/>
                </w:rPr>
                <w:t>Swing Line Note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502">
              <w:r>
                <w:rPr>
                  <w:rStyle w:val="InternetLink"/>
                  <w:rFonts w:ascii="Times New Roman;serif" w:hAnsi="Times New Roman;serif"/>
                  <w:b w:val="false"/>
                  <w:strike w:val="false"/>
                  <w:dstrike w:val="false"/>
                  <w:color w:val="000000"/>
                  <w:sz w:val="22"/>
                  <w:u w:val="none"/>
                  <w:effect w:val="none"/>
                </w:rPr>
                <w:t>Compliance Certificate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505">
              <w:r>
                <w:rPr>
                  <w:rStyle w:val="InternetLink"/>
                  <w:rFonts w:ascii="Times New Roman;serif" w:hAnsi="Times New Roman;serif"/>
                  <w:b w:val="false"/>
                  <w:strike w:val="false"/>
                  <w:dstrike w:val="false"/>
                  <w:color w:val="000000"/>
                  <w:sz w:val="22"/>
                  <w:u w:val="none"/>
                  <w:effect w:val="none"/>
                </w:rPr>
                <w:t>Assignment and Assumption Agreement</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511">
              <w:r>
                <w:rPr>
                  <w:rStyle w:val="InternetLink"/>
                  <w:rFonts w:ascii="Times New Roman;serif" w:hAnsi="Times New Roman;serif"/>
                  <w:b w:val="false"/>
                  <w:strike w:val="false"/>
                  <w:dstrike w:val="false"/>
                  <w:color w:val="000000"/>
                  <w:sz w:val="22"/>
                  <w:u w:val="none"/>
                  <w:effect w:val="none"/>
                </w:rPr>
                <w:t>Guaranty</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640">
              <w:r>
                <w:rPr>
                  <w:rStyle w:val="InternetLink"/>
                  <w:rFonts w:ascii="Times New Roman;serif" w:hAnsi="Times New Roman;serif"/>
                  <w:b w:val="false"/>
                  <w:strike w:val="false"/>
                  <w:dstrike w:val="false"/>
                  <w:color w:val="000000"/>
                  <w:sz w:val="22"/>
                  <w:u w:val="none"/>
                  <w:effect w:val="none"/>
                </w:rPr>
                <w:t>Security Agreement</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47">
              <w:r>
                <w:rPr>
                  <w:rStyle w:val="InternetLink"/>
                  <w:rFonts w:ascii="Times New Roman;serif" w:hAnsi="Times New Roman;serif"/>
                  <w:b w:val="false"/>
                  <w:strike w:val="false"/>
                  <w:dstrike w:val="false"/>
                  <w:color w:val="000000"/>
                  <w:sz w:val="22"/>
                  <w:u w:val="none"/>
                  <w:effect w:val="none"/>
                </w:rPr>
                <w:t>Intercompany Note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50">
              <w:r>
                <w:rPr>
                  <w:rStyle w:val="InternetLink"/>
                  <w:rFonts w:ascii="Times New Roman;serif" w:hAnsi="Times New Roman;serif"/>
                  <w:b w:val="false"/>
                  <w:strike w:val="false"/>
                  <w:dstrike w:val="false"/>
                  <w:color w:val="000000"/>
                  <w:sz w:val="22"/>
                  <w:u w:val="none"/>
                  <w:effect w:val="none"/>
                </w:rPr>
                <w:t>First Lien Intercreditor Agreement</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1003">
              <w:r>
                <w:rPr>
                  <w:rStyle w:val="InternetLink"/>
                  <w:rFonts w:ascii="Times New Roman;serif" w:hAnsi="Times New Roman;serif"/>
                  <w:b w:val="false"/>
                  <w:strike w:val="false"/>
                  <w:dstrike w:val="false"/>
                  <w:color w:val="000000"/>
                  <w:sz w:val="22"/>
                  <w:u w:val="none"/>
                  <w:effect w:val="none"/>
                </w:rPr>
                <w:t>Form of U.S. Tax Compliance Certificate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1006">
              <w:r>
                <w:rPr>
                  <w:rStyle w:val="InternetLink"/>
                  <w:rFonts w:ascii="Times New Roman;serif" w:hAnsi="Times New Roman;serif"/>
                  <w:b w:val="false"/>
                  <w:strike w:val="false"/>
                  <w:dstrike w:val="false"/>
                  <w:color w:val="000000"/>
                  <w:sz w:val="22"/>
                  <w:u w:val="none"/>
                  <w:effect w:val="none"/>
                </w:rPr>
                <w:t>Form of U.S. Tax Compliance Certificate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1009">
              <w:r>
                <w:rPr>
                  <w:rStyle w:val="InternetLink"/>
                  <w:rFonts w:ascii="Times New Roman;serif" w:hAnsi="Times New Roman;serif"/>
                  <w:b w:val="false"/>
                  <w:strike w:val="false"/>
                  <w:dstrike w:val="false"/>
                  <w:color w:val="000000"/>
                  <w:sz w:val="22"/>
                  <w:u w:val="none"/>
                  <w:effect w:val="none"/>
                </w:rPr>
                <w:t>Form of U.S. Tax Compliance Certificate</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1012">
              <w:r>
                <w:rPr>
                  <w:rStyle w:val="InternetLink"/>
                  <w:rFonts w:ascii="Times New Roman;serif" w:hAnsi="Times New Roman;serif"/>
                  <w:b w:val="false"/>
                  <w:strike w:val="false"/>
                  <w:dstrike w:val="false"/>
                  <w:color w:val="000000"/>
                  <w:sz w:val="22"/>
                  <w:u w:val="none"/>
                  <w:effect w:val="none"/>
                </w:rPr>
                <w:t>Form of U.S. Tax Compliance Certificate</w:t>
              </w:r>
            </w:hyperlink>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9245"/>
                <wp:effectExtent l="0" t="0" r="0" b="0"/>
                <wp:wrapNone/>
                <wp:docPr id="11" name="Frame1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FOURTH 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FOURTH AMENDED AND RESTATED CREDIT AGREEMENT is entered into as of September 25, 2026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WELLS FARGO BANK, NATIONAL ASSOCIATION, as Administrative Agent, Collateral Agent, Swing Line Lender and an L/C Issuer and each lender from time to time party 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PRELIMINARY STATEMENTS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Borrowers, Wells Fargo Bank, National Association, as administrative agent and collateral agent, and the lenders from time to time party thereto, entered into that certain Third Amended and Restated Credit Agreement, dated as of September 19, 2024 (as amended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Lenders have indicated their willingness to lend, and the L/C Issuers have indicated their willingness to issue (or continue hereunder) Letters of Credit, in each case, on the terms and subject to the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and agreements herein contained, the parties hereto hereby agree to amend and restate the Existing Credit Agreement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DEFINITIONS AND ACCOUNTING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     </w:t>
      </w:r>
      <w:r>
        <w:rPr>
          <w:rFonts w:ascii="Times New Roman;serif" w:hAnsi="Times New Roman;serif"/>
          <w:b/>
          <w:color w:val="000000"/>
          <w:sz w:val="22"/>
          <w:u w:val="single"/>
        </w:rPr>
        <w:t>Defined Terms</w:t>
      </w:r>
      <w:r>
        <w:rPr>
          <w:rFonts w:ascii="Times New Roman;serif" w:hAnsi="Times New Roman;serif"/>
          <w:b w:val="false"/>
          <w:color w:val="000000"/>
          <w:sz w:val="22"/>
        </w:rPr>
        <w:t>. As used in this Agreement, the following terms shall have the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2029 Senior Notes</w:t>
      </w:r>
      <w:r>
        <w:rPr>
          <w:color w:val="000000"/>
        </w:rPr>
        <w:t xml:space="preserve">” </w:t>
      </w:r>
      <w:r>
        <w:rPr>
          <w:rFonts w:ascii="Times New Roman;serif" w:hAnsi="Times New Roman;serif"/>
          <w:b w:val="false"/>
          <w:color w:val="000000"/>
          <w:sz w:val="22"/>
        </w:rPr>
        <w:t xml:space="preserve">means the 5.125% Senior Notes due 2029, issued by the Borrowers.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Additional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Additional Refinancing Lender</w:t>
      </w:r>
      <w:r>
        <w:rPr>
          <w:color w:val="000000"/>
        </w:rPr>
        <w:t xml:space="preserve">” </w:t>
      </w:r>
      <w:r>
        <w:rPr>
          <w:rFonts w:ascii="Times New Roman;serif" w:hAnsi="Times New Roman;serif"/>
          <w:b w:val="false"/>
          <w:color w:val="000000"/>
          <w:sz w:val="22"/>
        </w:rPr>
        <w:t xml:space="preserve">means, at any time, any bank, financial institution or other institutional lender or investor that, in any case, is not an existing Lender and that agrees to provide any portion of Credit Agreement Refinancing Indebtedness pursuant to a Refinancing Amendment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Additional Refinancing Lender shall be subject to the approval of the Administrative Agent, such approval not to be unreasonably withheld or delayed, to the extent that any such consent would be required from the Administrative Agent under </w:t>
      </w:r>
      <w:r>
        <w:rPr>
          <w:rFonts w:ascii="Times New Roman;serif" w:hAnsi="Times New Roman;serif"/>
          <w:b w:val="false"/>
          <w:color w:val="000000"/>
          <w:sz w:val="22"/>
          <w:u w:val="single"/>
        </w:rPr>
        <w:t>Section 10.07(b)(i)(B)</w:t>
      </w:r>
      <w:r>
        <w:rPr>
          <w:color w:val="000000"/>
        </w:rPr>
        <w:t xml:space="preserve"> </w:t>
      </w:r>
      <w:r>
        <w:rPr>
          <w:rFonts w:ascii="Times New Roman;serif" w:hAnsi="Times New Roman;serif"/>
          <w:b w:val="false"/>
          <w:color w:val="000000"/>
          <w:sz w:val="22"/>
        </w:rPr>
        <w:t>for an assignment of Loans to such Additional Refinancing Lender and in the case of Other Revolving Credit Commitments with respect to the Revolving Credit Facility, the Swing Line Lender and each L/C Issuer, solely to the extent such consent would be required for any assignment to such Lender.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4505"/>
                <wp:effectExtent l="0" t="0" r="0" b="0"/>
                <wp:wrapNone/>
                <wp:docPr id="12" name="Frame1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Administrative Agent</w:t>
      </w:r>
      <w:r>
        <w:rPr>
          <w:color w:val="000000"/>
        </w:rPr>
        <w:t xml:space="preserve">” </w:t>
      </w:r>
      <w:r>
        <w:rPr>
          <w:rFonts w:ascii="Times New Roman;serif" w:hAnsi="Times New Roman;serif"/>
          <w:b w:val="false"/>
          <w:color w:val="000000"/>
          <w:sz w:val="22"/>
        </w:rPr>
        <w:t>means Wells Fargo (or any of its designated branch offices or affiliates), in its capacity as administrative agent under any of the Loan Documents, or any successor administrative agent. Unless the context otherwise requires, the term “Administrative Agent” as used herein and in the other Loan Documents shall include the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Administrative Agent’s Office</w:t>
      </w:r>
      <w:r>
        <w:rPr>
          <w:color w:val="000000"/>
        </w:rPr>
        <w:t xml:space="preserve">” </w:t>
      </w:r>
      <w:r>
        <w:rPr>
          <w:rFonts w:ascii="Times New Roman;serif" w:hAnsi="Times New Roman;serif"/>
          <w:b w:val="false"/>
          <w:color w:val="000000"/>
          <w:sz w:val="22"/>
        </w:rPr>
        <w:t xml:space="preserve">means the Administrative Agent’s address as set forth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or such other address as the Administrative Agent may from time to time notify the Borrowers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Affiliate</w:t>
      </w:r>
      <w:r>
        <w:rPr>
          <w:color w:val="000000"/>
        </w:rPr>
        <w:t xml:space="preserve">” </w:t>
      </w:r>
      <w:r>
        <w:rPr>
          <w:rFonts w:ascii="Times New Roman;serif" w:hAnsi="Times New Roman;serif"/>
          <w:b w:val="false"/>
          <w:color w:val="000000"/>
          <w:sz w:val="22"/>
        </w:rPr>
        <w:t>means, with respect to any Person, another Person that directly, or indirectly through one or more intermediaries, Controls or is Controlled by or is under 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Agent-Related Distress Event</w:t>
      </w:r>
      <w:r>
        <w:rPr>
          <w:color w:val="000000"/>
        </w:rPr>
        <w:t xml:space="preserve">” </w:t>
      </w:r>
      <w:r>
        <w:rPr>
          <w:rFonts w:ascii="Times New Roman;serif" w:hAnsi="Times New Roman;serif"/>
          <w:b w:val="false"/>
          <w:color w:val="000000"/>
          <w:sz w:val="22"/>
        </w:rPr>
        <w:t>means, with respect to the Administrative Agent or any Person that directly or indirectly Controls the Administrative Agent (each, a “</w:t>
      </w:r>
      <w:r>
        <w:rPr>
          <w:rFonts w:ascii="Times New Roman;serif" w:hAnsi="Times New Roman;serif"/>
          <w:b w:val="false"/>
          <w:color w:val="000000"/>
          <w:sz w:val="22"/>
          <w:u w:val="single"/>
        </w:rPr>
        <w:t>Distressed Agent-Related Person</w:t>
      </w:r>
      <w:r>
        <w:rPr>
          <w:color w:val="000000"/>
        </w:rPr>
        <w:t>”</w:t>
      </w:r>
      <w:r>
        <w:rPr>
          <w:rFonts w:ascii="Times New Roman;serif" w:hAnsi="Times New Roman;serif"/>
          <w:b w:val="false"/>
          <w:color w:val="000000"/>
          <w:sz w:val="22"/>
        </w:rPr>
        <w:t xml:space="preserve">), a voluntary or involuntary case with respect to such Distressed Agent-Related Person under any Debtor Relief Law,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Agent-Related Persons</w:t>
      </w:r>
      <w:r>
        <w:rPr>
          <w:color w:val="000000"/>
        </w:rPr>
        <w:t xml:space="preserve">” </w:t>
      </w:r>
      <w:r>
        <w:rPr>
          <w:rFonts w:ascii="Times New Roman;serif" w:hAnsi="Times New Roman;serif"/>
          <w:b w:val="false"/>
          <w:color w:val="000000"/>
          <w:sz w:val="22"/>
        </w:rPr>
        <w:t>means each Agent and each Joint Lead Arranger, together with its respective Affiliates, and the officers, directors, employees, agents and attorneys-in-fact of such Person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Agents</w:t>
      </w:r>
      <w:r>
        <w:rPr>
          <w:color w:val="000000"/>
        </w:rPr>
        <w:t xml:space="preserve">” </w:t>
      </w:r>
      <w:r>
        <w:rPr>
          <w:rFonts w:ascii="Times New Roman;serif" w:hAnsi="Times New Roman;serif"/>
          <w:b w:val="false"/>
          <w:color w:val="000000"/>
          <w:sz w:val="22"/>
        </w:rPr>
        <w:t>means, collectively, the Administrative Agent, the Collateral Agent, the Co-Syndication Agents, the Co-Documentation Agents and the Supplemental Administrative Agents (if 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Aggregate Commitments</w:t>
      </w:r>
      <w:r>
        <w:rPr>
          <w:color w:val="000000"/>
        </w:rPr>
        <w:t xml:space="preserve">” </w:t>
      </w:r>
      <w:r>
        <w:rPr>
          <w:rFonts w:ascii="Times New Roman;serif" w:hAnsi="Times New Roman;serif"/>
          <w:b w:val="false"/>
          <w:color w:val="000000"/>
          <w:sz w:val="22"/>
        </w:rPr>
        <w:t>means the Commitments of all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Agreement</w:t>
      </w:r>
      <w:r>
        <w:rPr>
          <w:color w:val="000000"/>
        </w:rPr>
        <w:t xml:space="preserve">” </w:t>
      </w:r>
      <w:r>
        <w:rPr>
          <w:rFonts w:ascii="Times New Roman;serif" w:hAnsi="Times New Roman;serif"/>
          <w:b w:val="false"/>
          <w:color w:val="000000"/>
          <w:sz w:val="22"/>
        </w:rPr>
        <w:t>means this Fourth Amended and Restated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AICPA</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All-In Yield</w:t>
      </w:r>
      <w:r>
        <w:rPr>
          <w:color w:val="000000"/>
        </w:rPr>
        <w:t xml:space="preserve">” </w:t>
      </w:r>
      <w:r>
        <w:rPr>
          <w:rFonts w:ascii="Times New Roman;serif" w:hAnsi="Times New Roman;serif"/>
          <w:b w:val="false"/>
          <w:color w:val="000000"/>
          <w:sz w:val="22"/>
        </w:rPr>
        <w:t xml:space="preserve">means, as to any Indebtedness, the yield thereof, whether in the form of interest rate margins, original issue discount, upfront fees, an interest rate floor or otherwise;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original issue discount and upfront fees shall be equated to interest rate assuming a 4-year life to maturity (or, if less, the stated life to maturity at the time of its incurrence of the applicable Indebtedness), and the amount of any upfront fees for purposes of the calculation of the “All-In Yield” shall be the weighted average of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84505"/>
                <wp:effectExtent l="0" t="0" r="0" b="0"/>
                <wp:wrapNone/>
                <wp:docPr id="13" name="Frame1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fees paid to the applicable Lenders;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“All-In Yield” shall not include arrangement, structuring, commitment, underwriting or other similar fees.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Anti-Corruption Laws</w:t>
      </w:r>
      <w:r>
        <w:rPr>
          <w:color w:val="000000"/>
        </w:rPr>
        <w:t xml:space="preserve">” </w:t>
      </w:r>
      <w:r>
        <w:rPr>
          <w:rFonts w:ascii="Times New Roman;serif" w:hAnsi="Times New Roman;serif"/>
          <w:b w:val="false"/>
          <w:color w:val="000000"/>
          <w:sz w:val="22"/>
        </w:rPr>
        <w:t>means all laws, rules, and regulations of any jurisdiction from time to time concerning or relating to bribery or corruption applicable to the Company or any of its Subsidiaries by virtue of such Person being organized or operating in such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Anti-Money Laundering Laws</w:t>
      </w:r>
      <w:r>
        <w:rPr>
          <w:color w:val="000000"/>
        </w:rPr>
        <w:t xml:space="preserve">” </w:t>
      </w:r>
      <w:r>
        <w:rPr>
          <w:rFonts w:ascii="Times New Roman;serif" w:hAnsi="Times New Roman;serif"/>
          <w:b w:val="false"/>
          <w:color w:val="000000"/>
          <w:sz w:val="22"/>
        </w:rPr>
        <w:t xml:space="preserve">means any and all laws, statutes, regulations or obligatory government orders, decrees, ordinances or rules applicable to the Company or its Subsidiaries related to terrorism financing or money laundering, including any applicable provision of the Act and The Currency and Foreign Transactions Reporting Act (also known as the “Bank Secrecy Act,” 31 U.S.C. §§ 5311-5330 and 12 U.S.C. §§ 1818(s), 1820(b) and 1951-1959).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Applicable Rate</w:t>
      </w:r>
      <w:r>
        <w:rPr>
          <w:color w:val="000000"/>
        </w:rPr>
        <w:t xml:space="preserve">” </w:t>
      </w:r>
      <w:r>
        <w:rPr>
          <w:rFonts w:ascii="Times New Roman;serif" w:hAnsi="Times New Roman;serif"/>
          <w:b w:val="false"/>
          <w:color w:val="000000"/>
          <w:sz w:val="22"/>
        </w:rPr>
        <w:t>means a percentage per annum equal 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(a)with respect to unused Revolving Credit Commitments and the commitment fee therefor, (i) until delivery of financial statements for the fiscal year of the Company ending December 27, 2026, 0.25%, and (ii) thereafter, the percentages per annum set forth in the table below applicable to commitment fees, based upon the Total Net Leverage Ratio as set forth in the most recent Compliance Certificate received by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(b)with respect to Revolving Credit Loans and Letter of Credit fees, (i) until delivery of financial statements for the fiscal year of the Company ending December 27, 2026, (A) for SOFR Loans, 1.75%, (B) for Base Rate Loans, 0.75% and (C) for Letter of Credit fees, 1.75%, and (ii) thereafter, the following percentages per annum applicable to Revolving Credit Loans or Letter of Credit fees, as the case may be, based upon the Total Net Leverage Ratio as set forth in the most recent Compliance Certificate received by the Administrative Agent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w:t>
      </w:r>
    </w:p>
    <w:tbl>
      <w:tblPr>
        <w:tblW w:w="8277" w:type="dxa"/>
        <w:jc w:val="left"/>
        <w:tblInd w:w="0" w:type="dxa"/>
        <w:tblLayout w:type="fixed"/>
        <w:tblCellMar>
          <w:top w:w="28" w:type="dxa"/>
          <w:left w:w="28" w:type="dxa"/>
          <w:bottom w:w="28" w:type="dxa"/>
          <w:right w:w="28" w:type="dxa"/>
        </w:tblCellMar>
      </w:tblPr>
      <w:tblGrid>
        <w:gridCol w:w="283"/>
        <w:gridCol w:w="248"/>
        <w:gridCol w:w="250"/>
        <w:gridCol w:w="774"/>
        <w:gridCol w:w="774"/>
        <w:gridCol w:w="776"/>
        <w:gridCol w:w="569"/>
        <w:gridCol w:w="569"/>
        <w:gridCol w:w="571"/>
        <w:gridCol w:w="569"/>
        <w:gridCol w:w="569"/>
        <w:gridCol w:w="571"/>
        <w:gridCol w:w="513"/>
        <w:gridCol w:w="513"/>
        <w:gridCol w:w="728"/>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Pricing</w:t>
              <w:br/>
              <w:t>Level</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Total Net Leverage</w:t>
              <w:br/>
              <w:t>Ratio</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Term SOFR</w:t>
              <w:br/>
              <w:t>for Revolving</w:t>
              <w:br/>
              <w:t>Credit Loans and</w:t>
              <w:br/>
              <w:t>Letter of Credit</w:t>
              <w:br/>
              <w:t>Fees</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Base Rate for</w:t>
              <w:br/>
              <w:t>Revolving Credit</w:t>
              <w:br/>
              <w:t>Loans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Commitment Fee</w:t>
              <w:br/>
              <w:t>for unused</w:t>
              <w:br/>
              <w:t>Revolving Credit</w:t>
              <w:br/>
              <w:t>Commitments</w:t>
            </w:r>
          </w:p>
        </w:tc>
      </w:tr>
      <w:tr>
        <w:trPr/>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Greater than or equal to</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3.75:1.00</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0.400%</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Less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than 3.75:1.00 but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greater than or equal to</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3.00:1.00</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0.350%</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124"/>
        <w:gridCol w:w="109"/>
        <w:gridCol w:w="109"/>
        <w:gridCol w:w="759"/>
        <w:gridCol w:w="759"/>
        <w:gridCol w:w="761"/>
        <w:gridCol w:w="234"/>
        <w:gridCol w:w="234"/>
        <w:gridCol w:w="236"/>
        <w:gridCol w:w="234"/>
        <w:gridCol w:w="234"/>
        <w:gridCol w:w="236"/>
        <w:gridCol w:w="254"/>
        <w:gridCol w:w="254"/>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Less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than 3.00:1.00 but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greater than or equal to</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2.25:1.00</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0.300%</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Less</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than 2.25:1.00 but</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greater than or equal to</w:t>
            </w:r>
          </w:p>
          <w:p>
            <w:pPr>
              <w:pStyle w:val="TableContents"/>
              <w:bidi w:val="0"/>
              <w:spacing w:before="0" w:after="0"/>
              <w:jc w:val="left"/>
              <w:rPr/>
            </w:pPr>
            <w:r>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84505"/>
                <wp:effectExtent l="0" t="0" r="0" b="0"/>
                <wp:wrapNone/>
                <wp:docPr id="14" name="Frame1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tbl>
      <w:tblPr>
        <w:tblW w:w="4088" w:type="dxa"/>
        <w:jc w:val="left"/>
        <w:tblInd w:w="0" w:type="dxa"/>
        <w:tblLayout w:type="fixed"/>
        <w:tblCellMar>
          <w:top w:w="28" w:type="dxa"/>
          <w:left w:w="28" w:type="dxa"/>
          <w:bottom w:w="28" w:type="dxa"/>
          <w:right w:w="28" w:type="dxa"/>
        </w:tblCellMar>
      </w:tblPr>
      <w:tblGrid>
        <w:gridCol w:w="124"/>
        <w:gridCol w:w="109"/>
        <w:gridCol w:w="109"/>
        <w:gridCol w:w="489"/>
        <w:gridCol w:w="489"/>
        <w:gridCol w:w="491"/>
        <w:gridCol w:w="234"/>
        <w:gridCol w:w="234"/>
        <w:gridCol w:w="236"/>
        <w:gridCol w:w="234"/>
        <w:gridCol w:w="234"/>
        <w:gridCol w:w="236"/>
        <w:gridCol w:w="254"/>
        <w:gridCol w:w="254"/>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1.50:1.00</w:t>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Less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than 1.50:1.00</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Any increase or decrease in the Applicable Rate resulting from a change in the Total Net Leverage Ratio shall become effective as of the first Business Day immediately following the date a Compliance Certificate is delivered pursuant to </w:t>
      </w:r>
      <w:r>
        <w:rPr>
          <w:rFonts w:ascii="Times New Roman;serif" w:hAnsi="Times New Roman;serif"/>
          <w:b w:val="false"/>
          <w:color w:val="000000"/>
          <w:sz w:val="22"/>
          <w:u w:val="single"/>
        </w:rPr>
        <w:t>Section 6.02(b)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option of the Administrative Agent or the Required Lenders, the highest Pricing Level shall apply (x) as of the first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and (y) as of the first Business Day after an Event of Default under </w:t>
      </w:r>
      <w:r>
        <w:rPr>
          <w:rFonts w:ascii="Times New Roman;serif" w:hAnsi="Times New Roman;serif"/>
          <w:b w:val="false"/>
          <w:color w:val="000000"/>
          <w:sz w:val="22"/>
          <w:u w:val="single"/>
        </w:rPr>
        <w:t>Section 8.01(a)</w:t>
      </w:r>
      <w:r>
        <w:rPr>
          <w:color w:val="000000"/>
        </w:rPr>
        <w:t xml:space="preserve"> </w:t>
      </w:r>
      <w:r>
        <w:rPr>
          <w:rFonts w:ascii="Times New Roman;serif" w:hAnsi="Times New Roman;serif"/>
          <w:b w:val="false"/>
          <w:color w:val="000000"/>
          <w:sz w:val="22"/>
        </w:rPr>
        <w:t>shall have occurred and be continuing, and shall continue to so apply to but excluding the date on which such Event of Default is cured or waived (and thereafter the Pricing Level otherwise determined in accordance with this definition shall apply).</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Appropriate Lender</w:t>
      </w:r>
      <w:r>
        <w:rPr>
          <w:color w:val="000000"/>
        </w:rPr>
        <w:t xml:space="preserve">” </w:t>
      </w:r>
      <w:r>
        <w:rPr>
          <w:rFonts w:ascii="Times New Roman;serif" w:hAnsi="Times New Roman;serif"/>
          <w:b w:val="false"/>
          <w:color w:val="000000"/>
          <w:sz w:val="22"/>
        </w:rPr>
        <w:t>means, at any time, (a) with respect to Loans of any Class, the Lenders of such Class, (b) with respect to Letters of Credit, (i) the relevant L/C Issuers and (ii) the relevant Revolving Credit Lenders and (c) with respect to the Swing Line Facility, (i) the Swing Line Lender and (ii) the Revolving Credit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Approved Bank</w:t>
      </w:r>
      <w:r>
        <w:rPr>
          <w:color w:val="000000"/>
        </w:rPr>
        <w:t xml:space="preserve">” </w:t>
      </w:r>
      <w:r>
        <w:rPr>
          <w:rFonts w:ascii="Times New Roman;serif" w:hAnsi="Times New Roman;serif"/>
          <w:b w:val="false"/>
          <w:color w:val="000000"/>
          <w:sz w:val="22"/>
        </w:rPr>
        <w:t>has the meaning specified in clause (c) of the definition of “Cash Equivalents”.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advised or managed by (a) a Lender, (b) an Affiliate of a Lender or (c) an entity or an Affiliate of an entity that administers, advises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Assignees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Assignment and Assumption Agreement</w:t>
      </w:r>
      <w:r>
        <w:rPr>
          <w:color w:val="000000"/>
        </w:rPr>
        <w:t xml:space="preserve">” </w:t>
      </w:r>
      <w:r>
        <w:rPr>
          <w:rFonts w:ascii="Times New Roman;serif" w:hAnsi="Times New Roman;serif"/>
          <w:b w:val="false"/>
          <w:color w:val="000000"/>
          <w:sz w:val="22"/>
        </w:rPr>
        <w:t xml:space="preserve">means an Assignment and Assumption Agreement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Attorney Costs</w:t>
      </w:r>
      <w:r>
        <w:rPr>
          <w:color w:val="000000"/>
        </w:rPr>
        <w:t xml:space="preserve">” </w:t>
      </w:r>
      <w:r>
        <w:rPr>
          <w:rFonts w:ascii="Times New Roman;serif" w:hAnsi="Times New Roman;serif"/>
          <w:b w:val="false"/>
          <w:color w:val="000000"/>
          <w:sz w:val="22"/>
        </w:rPr>
        <w:t>means and includes all reasonable fees, expenses and disbursements of any law firm or other external legal counsel.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Attributable Indebtedness</w:t>
      </w:r>
      <w:r>
        <w:rPr>
          <w:color w:val="000000"/>
        </w:rPr>
        <w:t xml:space="preserve">” </w:t>
      </w:r>
      <w:r>
        <w:rPr>
          <w:rFonts w:ascii="Times New Roman;serif" w:hAnsi="Times New Roman;serif"/>
          <w:b w:val="false"/>
          <w:color w:val="000000"/>
          <w:sz w:val="22"/>
        </w:rPr>
        <w:t>means, on any date, in respect of any Finance Lease of any Person, the capitalized amount thereof that would appear on a balance sheet of such Person prepared as of such date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sheets of the Company and its Subsidiaries as of December 28, 2025, December 29, 2024 and December 31, 2023, and the related audited consolidated statements of income, stockholders’ equity and cash flows for the Company and its Subsidiaries for the fiscal years ended December 28, 2025, December 29, 2024 and December 31, 2023, respectively, as any of the foregoing may have been restated prior to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Auto-Renewal Letter of Credit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Available Incremental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2.15(d)(iv)</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84505"/>
                <wp:effectExtent l="0" t="0" r="0" b="0"/>
                <wp:wrapNone/>
                <wp:docPr id="15" name="Frame1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Available Tenor</w:t>
      </w:r>
      <w:r>
        <w:rPr>
          <w:color w:val="000000"/>
        </w:rPr>
        <w:t xml:space="preserve">” </w:t>
      </w:r>
      <w:r>
        <w:rPr>
          <w:rFonts w:ascii="Times New Roman;serif" w:hAnsi="Times New Roman;serif"/>
          <w:b w:val="false"/>
          <w:color w:val="000000"/>
          <w:sz w:val="22"/>
        </w:rPr>
        <w:t xml:space="preserve">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3.03(b)(iv)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per annum equal to the highest of (a) the Federal Funds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1/2 of 1%, (b) the rate of interest in effect for such day as publicly announced from time to time by the Administrative Agent as its “prime rate” and (c) Term SOFR for a one-month tenor in effect on such day (or, if such day is not a Business Day, the immediately preceding Business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1.00%.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the Base Rate due to a change in the “prime rate”, the Federal Funds Rate or Term SOFR shall be effective as of the opening of business on the day of such change in the “prime rate”, the Federal Funds Rate or Term SOFR,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Base Rate Loan</w:t>
      </w:r>
      <w:r>
        <w:rPr>
          <w:color w:val="000000"/>
        </w:rPr>
        <w:t xml:space="preserve">” </w:t>
      </w:r>
      <w:r>
        <w:rPr>
          <w:rFonts w:ascii="Times New Roman;serif" w:hAnsi="Times New Roman;serif"/>
          <w:b w:val="false"/>
          <w:color w:val="000000"/>
          <w:sz w:val="22"/>
        </w:rPr>
        <w:t>means a Loan that bears interest based on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w:t>
      </w:r>
      <w:r>
        <w:rPr>
          <w:color w:val="000000"/>
        </w:rPr>
        <w:t xml:space="preserve">” </w:t>
      </w:r>
      <w:r>
        <w:rPr>
          <w:rFonts w:ascii="Times New Roman;serif" w:hAnsi="Times New Roman;serif"/>
          <w:b w:val="false"/>
          <w:color w:val="000000"/>
          <w:sz w:val="22"/>
        </w:rPr>
        <w:t xml:space="preserve">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3.03(b)(i)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Replacement</w:t>
      </w:r>
      <w:r>
        <w:rPr>
          <w:color w:val="000000"/>
        </w:rPr>
        <w:t xml:space="preserve">” </w:t>
      </w:r>
      <w:r>
        <w:rPr>
          <w:rFonts w:ascii="Times New Roman;serif" w:hAnsi="Times New Roman;serif"/>
          <w:b w:val="false"/>
          <w:color w:val="000000"/>
          <w:sz w:val="22"/>
        </w:rPr>
        <w:t xml:space="preserve">means, with respect to any Benchmark Transition Event, the sum of: (a) the alternate benchmark rate that has been selected by the Administrative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Benchmark Replacement as so determined would be less than the Floor, such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Replacement Adjustment</w:t>
      </w:r>
      <w:r>
        <w:rPr>
          <w:color w:val="000000"/>
        </w:rPr>
        <w:t xml:space="preserve">” </w:t>
      </w:r>
      <w:r>
        <w:rPr>
          <w:rFonts w:ascii="Times New Roman;serif" w:hAnsi="Times New Roman;serif"/>
          <w:b w:val="false"/>
          <w:color w:val="000000"/>
          <w:sz w:val="22"/>
        </w:rPr>
        <w:t xml:space="preserve">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84505"/>
                <wp:effectExtent l="0" t="0" r="0" b="0"/>
                <wp:wrapNone/>
                <wp:docPr id="16" name="Frame1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Replacement Date</w:t>
      </w:r>
      <w:r>
        <w:rPr>
          <w:color w:val="000000"/>
        </w:rPr>
        <w:t xml:space="preserve">” </w:t>
      </w:r>
      <w:r>
        <w:rPr>
          <w:rFonts w:ascii="Times New Roman;serif" w:hAnsi="Times New Roman;serif"/>
          <w:b w:val="false"/>
          <w:color w:val="000000"/>
          <w:sz w:val="22"/>
        </w:rPr>
        <w:t>means the earliest to occur of the following events with respect to the then-current Benchmark:</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Transition Event</w:t>
      </w:r>
      <w:r>
        <w:rPr>
          <w:color w:val="000000"/>
        </w:rPr>
        <w:t xml:space="preserve">” </w:t>
      </w:r>
      <w:r>
        <w:rPr>
          <w:rFonts w:ascii="Times New Roman;serif" w:hAnsi="Times New Roman;serif"/>
          <w:b w:val="false"/>
          <w:color w:val="000000"/>
          <w:sz w:val="22"/>
        </w:rPr>
        <w:t>means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all Available Tenors of such Benchmark (or such component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84505"/>
                <wp:effectExtent l="0" t="0" r="0" b="0"/>
                <wp:wrapNone/>
                <wp:docPr id="17" name="Frame1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Transition Start Date</w:t>
      </w:r>
      <w:r>
        <w:rPr>
          <w:color w:val="000000"/>
        </w:rPr>
        <w:t xml:space="preserve">” </w:t>
      </w:r>
      <w:r>
        <w:rPr>
          <w:rFonts w:ascii="Times New Roman;serif" w:hAnsi="Times New Roman;serif"/>
          <w:b w:val="false"/>
          <w:color w:val="000000"/>
          <w:sz w:val="22"/>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and (b)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3.03(b)(i)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Borrowers</w:t>
      </w:r>
      <w:r>
        <w:rPr>
          <w:color w:val="000000"/>
        </w:rPr>
        <w:t xml:space="preserve">” </w:t>
      </w:r>
      <w:r>
        <w:rPr>
          <w:rFonts w:ascii="Times New Roman;serif" w:hAnsi="Times New Roman;serif"/>
          <w:b w:val="false"/>
          <w:color w:val="000000"/>
          <w:sz w:val="22"/>
        </w:rPr>
        <w:t>has the meaning specified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Borrowing</w:t>
      </w:r>
      <w:r>
        <w:rPr>
          <w:color w:val="000000"/>
        </w:rPr>
        <w:t xml:space="preserve">” </w:t>
      </w:r>
      <w:r>
        <w:rPr>
          <w:rFonts w:ascii="Times New Roman;serif" w:hAnsi="Times New Roman;serif"/>
          <w:b w:val="false"/>
          <w:color w:val="000000"/>
          <w:sz w:val="22"/>
        </w:rPr>
        <w:t>means a Revolving Credit Borrowing or a Swing Line Borrowing,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Business Day</w:t>
      </w:r>
      <w:r>
        <w:rPr>
          <w:color w:val="000000"/>
        </w:rPr>
        <w:t xml:space="preserve">” </w:t>
      </w:r>
      <w:r>
        <w:rPr>
          <w:rFonts w:ascii="Times New Roman;serif" w:hAnsi="Times New Roman;serif"/>
          <w:b w:val="false"/>
          <w:color w:val="000000"/>
          <w:sz w:val="22"/>
        </w:rPr>
        <w:t>means any day that (a) is not a Saturday, Sunday or other day on which the Federal Reserve Bank of New York is closed and (b) is not a day on which commercial banks in the state where the Administrative Agent’s Office is located are closed.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Collateral</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Collateral Account</w:t>
      </w:r>
      <w:r>
        <w:rPr>
          <w:color w:val="000000"/>
        </w:rPr>
        <w:t xml:space="preserve">” </w:t>
      </w:r>
      <w:r>
        <w:rPr>
          <w:rFonts w:ascii="Times New Roman;serif" w:hAnsi="Times New Roman;serif"/>
          <w:b w:val="false"/>
          <w:color w:val="000000"/>
          <w:sz w:val="22"/>
        </w:rPr>
        <w:t xml:space="preserve">means a blocked account at the Administrative Agent (or another commercial bank selected in compliance with </w:t>
      </w:r>
      <w:r>
        <w:rPr>
          <w:rFonts w:ascii="Times New Roman;serif" w:hAnsi="Times New Roman;serif"/>
          <w:b w:val="false"/>
          <w:color w:val="000000"/>
          <w:sz w:val="22"/>
          <w:u w:val="single"/>
        </w:rPr>
        <w:t>Section 9.09</w:t>
      </w:r>
      <w:r>
        <w:rPr>
          <w:rFonts w:ascii="Times New Roman;serif" w:hAnsi="Times New Roman;serif"/>
          <w:b w:val="false"/>
          <w:color w:val="000000"/>
          <w:sz w:val="22"/>
        </w:rPr>
        <w:t>) in the name of the Administrative Agent and under the sole dominion and control of the Administrative Agent, and otherwise established in a manner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Collateralize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2.03(g)</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84505"/>
                <wp:effectExtent l="0" t="0" r="0" b="0"/>
                <wp:wrapNone/>
                <wp:docPr id="18" name="Frame1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Equivalents</w:t>
      </w:r>
      <w:r>
        <w:rPr>
          <w:color w:val="000000"/>
        </w:rPr>
        <w:t xml:space="preserve">” </w:t>
      </w:r>
      <w:r>
        <w:rPr>
          <w:rFonts w:ascii="Times New Roman;serif" w:hAnsi="Times New Roman;serif"/>
          <w:b w:val="false"/>
          <w:color w:val="000000"/>
          <w:sz w:val="22"/>
        </w:rPr>
        <w:t>means any of the following types of Investments, to the extent owned by the Company or any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(a)Dollars or, in the case of any Foreign Subsidiary, such local currencies held by it from time to time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(b)readily marketable obligations issued or directly and fully guaranteed or insured by the government or any agency or instrumentality of the United States, having average maturities of not more than 24 months from the date of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full faith and credit of the United States is pledged in support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(c)time deposits with, or insured certificates of deposit or bankers’ acceptances of, any commercial bank that (i) is a Lender or (ii) (A)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 for Economic Cooperation and Development, and is a member of the Federal Reserve System, and (B) has combined capital and surplus of at least $250,000,000 (any such bank in the foregoing clauses (i) or (ii) being an “</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 in each case with average maturities of not more than 12 months from the date of acquisition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(e)repurchase agreements entered into by any Person with a bank or trust company (including any of the Lenders) or recognized securities dealer, in each case, having capital and surplus in excess of $250,000,000 for direct obligations issued by or fully guaranteed or insured by the government or any agency or instrumentality of the United States, in which such Person shall have a perfected first priority security interest (subject to no other Liens) and having, on the date of purchase thereof, a fair market value of at least 100% of the amount of the repurchase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(f)securities with average maturities of 24 months or less from the date of acquisition issued or fully guaranteed by any state, commonwealth or territory of the United States, by any political subdivision, taxing authority agency or instrumentality of any such state, commonwealth or territory or by any foreign government having an investment grade rating from either S&amp;P or Moody’s (or the equivalent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(g)Investments with average maturities of 12 months or less from the date of acquisition in money market funds rated AAA- (or the equivalent thereof) or better by S&amp;P or Aaa3 (or the equivalent thereof) or better by Moody’s;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(h)Indebtedness or preferred stock issued by Persons with a rating of “A” or higher from S&amp;P or “A2” or higher from Moody’s with maturities of 24 months or less from the date of acquisition, in each case in Dollars or another currency permitted above in this definition;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(i)in the case of Foreign Subsidiaries only, instruments equivalent to those referred to in clauses (a) through (h) above or clause (j) below in each case denominated in any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84505"/>
                <wp:effectExtent l="0" t="0" r="0" b="0"/>
                <wp:wrapNone/>
                <wp:docPr id="19" name="Frame1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currency comparable in credit quality and tenor to those referred to in such clauses above and customarily used by corporations for cash management purposes in any jurisdiction outside the United States to the extent reasonably required in connection with any business conducted by any Foreign Subsidiary organized in such jurisdiction;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(j)Investments, classified in accordance with GAAP as current assets of the Company or any Subsidiary,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(a) through (g)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Management Banks</w:t>
      </w:r>
      <w:r>
        <w:rPr>
          <w:color w:val="000000"/>
        </w:rPr>
        <w:t xml:space="preserve">” </w:t>
      </w:r>
      <w:r>
        <w:rPr>
          <w:rFonts w:ascii="Times New Roman;serif" w:hAnsi="Times New Roman;serif"/>
          <w:b w:val="false"/>
          <w:color w:val="000000"/>
          <w:sz w:val="22"/>
        </w:rPr>
        <w:t>means any Person that (a) is an Agent, Joint Lead Arranger, Lender or any Affiliate of such Agent, Joint Lead Arranger or Lender at any time that such Person initially provides any Cash Management Services to the Company or any Subsidiary, whether or not such Person subsequently ceases to be an Agent, Joint Lead Arranger, Lender or Affiliate of such Agent, Joint Lead Arranger or Lender or (b) at the time it becomes a Lender (including on the Closing Date), is already providing Cash Management Services to the Company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Management Obligations</w:t>
      </w:r>
      <w:r>
        <w:rPr>
          <w:color w:val="000000"/>
        </w:rPr>
        <w:t xml:space="preserve">” </w:t>
      </w:r>
      <w:r>
        <w:rPr>
          <w:rFonts w:ascii="Times New Roman;serif" w:hAnsi="Times New Roman;serif"/>
          <w:b w:val="false"/>
          <w:color w:val="000000"/>
          <w:sz w:val="22"/>
        </w:rPr>
        <w:t>means obligations owed by the Company or any Subsidiary to any Cash Management Bank in respect of any Cash Management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Cash Management Services</w:t>
      </w:r>
      <w:r>
        <w:rPr>
          <w:color w:val="000000"/>
        </w:rPr>
        <w:t xml:space="preserve">” </w:t>
      </w:r>
      <w:r>
        <w:rPr>
          <w:rFonts w:ascii="Times New Roman;serif" w:hAnsi="Times New Roman;serif"/>
          <w:b w:val="false"/>
          <w:color w:val="000000"/>
          <w:sz w:val="22"/>
        </w:rPr>
        <w:t>means any agreement or arrangement to provide cash management services, including treasury, depository, overdraft, credit card processing, credit or debit card, purchase card, electronic funds transfer and other cash management arrangements.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Casualty Event</w:t>
      </w:r>
      <w:r>
        <w:rPr>
          <w:color w:val="000000"/>
        </w:rPr>
        <w:t xml:space="preserve">” </w:t>
      </w:r>
      <w:r>
        <w:rPr>
          <w:rFonts w:ascii="Times New Roman;serif" w:hAnsi="Times New Roman;serif"/>
          <w:b w:val="false"/>
          <w:color w:val="000000"/>
          <w:sz w:val="22"/>
        </w:rPr>
        <w:t>means any event that gives rise to the receipt by the Company or any Subsidiary of any insurance proceeds or condemnation awards in respect of any equipment, fixed assets or real property (including any improvements thereon) to replace or repair such equipment, fixed assets or real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CERCLA</w:t>
      </w:r>
      <w:r>
        <w:rPr>
          <w:color w:val="000000"/>
        </w:rPr>
        <w:t xml:space="preserve">” </w:t>
      </w:r>
      <w:r>
        <w:rPr>
          <w:rFonts w:ascii="Times New Roman;serif" w:hAnsi="Times New Roman;serif"/>
          <w:b w:val="false"/>
          <w:color w:val="000000"/>
          <w:sz w:val="22"/>
        </w:rPr>
        <w:t>means the Comprehensive Environmental Response, Compensation and Liability Act of 1980, as subsequently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CERCLIS</w:t>
      </w:r>
      <w:r>
        <w:rPr>
          <w:color w:val="000000"/>
        </w:rPr>
        <w:t xml:space="preserve">” </w:t>
      </w:r>
      <w:r>
        <w:rPr>
          <w:rFonts w:ascii="Times New Roman;serif" w:hAnsi="Times New Roman;serif"/>
          <w:b w:val="false"/>
          <w:color w:val="000000"/>
          <w:sz w:val="22"/>
        </w:rPr>
        <w:t>means the Comprehensive Environmental Response, Compensation and Liability Information System maintained by the U.S. Environmental Protection Agency.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CFC</w:t>
      </w:r>
      <w:r>
        <w:rPr>
          <w:color w:val="000000"/>
        </w:rPr>
        <w:t xml:space="preserve">” </w:t>
      </w:r>
      <w:r>
        <w:rPr>
          <w:rFonts w:ascii="Times New Roman;serif" w:hAnsi="Times New Roman;serif"/>
          <w:b w:val="false"/>
          <w:color w:val="000000"/>
          <w:sz w:val="22"/>
        </w:rPr>
        <w:t>means a “controlled foreign corporation” within the meaning of Section 957(a)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Change of Control</w:t>
      </w:r>
      <w:r>
        <w:rPr>
          <w:color w:val="000000"/>
        </w:rPr>
        <w:t xml:space="preserve">” </w:t>
      </w:r>
      <w:r>
        <w:rPr>
          <w:rFonts w:ascii="Times New Roman;serif" w:hAnsi="Times New Roman;serif"/>
          <w:b w:val="false"/>
          <w:color w:val="000000"/>
          <w:sz w:val="22"/>
        </w:rPr>
        <w:t>means the earliest to occur 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(a)(1) any Person or (2) Persons constituting a “group” (as such term is used in Sections 13(d) and 14(d) of the Exchange Act, but excluding any employee benefit plan of such Person and its Subsidiaries, and any Person or entity acting in its capacity as trustee, agent or other fiduciary or administrator of any such plan), becomes the “beneficial owner” (as defined in Rules 13(d)-3 and 13(d)-5 of the Exchange Act), directly or indirectly, of Equity Interests representing more than forty percent (40%) of the aggregate ordinary voting power represented by the issued and outstanding Equity Interests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“Change of Control” (or any comparable term) in any document pertaining to (i) any Permitted Pari Passu Secured Refinancing Debt, any Permitted Unsecured Refinancing Debt, any Incremental Equivalent Debt, any Junior Financing, in each case with an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84505"/>
                <wp:effectExtent l="0" t="0" r="0" b="0"/>
                <wp:wrapNone/>
                <wp:docPr id="20" name="Frame1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outstanding principal amount in excess of the Threshold Amount or (ii) any Disqualified Equity Interests with an aggregate liquidation preference in excess of the Threshold Amount;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(c)OSI ceases to be a Wholly Owned Subsidiary of the Company (or any successor under </w:t>
      </w:r>
      <w:r>
        <w:rPr>
          <w:rFonts w:ascii="Times New Roman;serif" w:hAnsi="Times New Roman;serif"/>
          <w:b w:val="false"/>
          <w:color w:val="000000"/>
          <w:sz w:val="22"/>
          <w:u w:val="single"/>
        </w:rPr>
        <w:t>Section 7.04(a)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Class</w:t>
      </w:r>
      <w:r>
        <w:rPr>
          <w:color w:val="000000"/>
        </w:rPr>
        <w:t xml:space="preserve">” </w:t>
      </w:r>
      <w:r>
        <w:rPr>
          <w:rFonts w:ascii="Times New Roman;serif" w:hAnsi="Times New Roman;serif"/>
          <w:b w:val="false"/>
          <w:color w:val="000000"/>
          <w:sz w:val="22"/>
        </w:rPr>
        <w:t>(a) when used with respect to Lenders, refers to whether such Lenders have Loans or Commitments with respect to a particular Class of Loans or Commitments, (b) when used with respect to Commitments, refers to whether such Commitments are Incremental Term Commitments, Commitments in respect of a Class of Loans to be made pursuant to a given Extension Series, Revolving Credit Commitments, or Other Revolving Credit Commitments, in each case not designated part of another existing Class and (c) when used with respect to Loans or a Borrowing, refers to whether such Loans, or the Loans comprising such Borrowing, Incremental Term Loans, Revolving Credit Loans, Loans made pursuant to Extended Revolving Credit Commitments or Other Revolving Credit Loans in each case not designated part of another existing Class.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Closing Date</w:t>
      </w:r>
      <w:r>
        <w:rPr>
          <w:color w:val="000000"/>
        </w:rPr>
        <w:t xml:space="preserve">” </w:t>
      </w:r>
      <w:r>
        <w:rPr>
          <w:rFonts w:ascii="Times New Roman;serif" w:hAnsi="Times New Roman;serif"/>
          <w:b w:val="false"/>
          <w:color w:val="000000"/>
          <w:sz w:val="22"/>
        </w:rPr>
        <w:t xml:space="preserve">means September 25, 2026.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Code</w:t>
      </w:r>
      <w:r>
        <w:rPr>
          <w:color w:val="000000"/>
        </w:rPr>
        <w:t xml:space="preserve">” </w:t>
      </w:r>
      <w:r>
        <w:rPr>
          <w:rFonts w:ascii="Times New Roman;serif" w:hAnsi="Times New Roman;serif"/>
          <w:b w:val="false"/>
          <w:color w:val="000000"/>
          <w:sz w:val="22"/>
        </w:rPr>
        <w:t>means the U.S. Internal Revenue Code of 1986, as amended, and rules and regulations related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Co-Documentation Agents</w:t>
      </w:r>
      <w:r>
        <w:rPr>
          <w:color w:val="000000"/>
        </w:rPr>
        <w:t xml:space="preserve">” </w:t>
      </w:r>
      <w:r>
        <w:rPr>
          <w:rFonts w:ascii="Times New Roman;serif" w:hAnsi="Times New Roman;serif"/>
          <w:b w:val="false"/>
          <w:color w:val="000000"/>
          <w:sz w:val="22"/>
        </w:rPr>
        <w:t>means each of JPMorgan Chase Bank, N.A, TD Bank, N.A. and BMO Bank N.A.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Collateral</w:t>
      </w:r>
      <w:r>
        <w:rPr>
          <w:color w:val="000000"/>
        </w:rPr>
        <w:t xml:space="preserve">” </w:t>
      </w:r>
      <w:r>
        <w:rPr>
          <w:rFonts w:ascii="Times New Roman;serif" w:hAnsi="Times New Roman;serif"/>
          <w:b w:val="false"/>
          <w:color w:val="000000"/>
          <w:sz w:val="22"/>
        </w:rPr>
        <w:t>means all the “Collateral” as defined in any Collateral Document and shall include the Mortgaged Properties.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Collateral Agent</w:t>
      </w:r>
      <w:r>
        <w:rPr>
          <w:color w:val="000000"/>
        </w:rPr>
        <w:t xml:space="preserve">” </w:t>
      </w:r>
      <w:r>
        <w:rPr>
          <w:rFonts w:ascii="Times New Roman;serif" w:hAnsi="Times New Roman;serif"/>
          <w:b w:val="false"/>
          <w:color w:val="000000"/>
          <w:sz w:val="22"/>
        </w:rPr>
        <w:t>means the Administrative Agent, in its capacity as collateral agent under any of the Loan Documents, or any successor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Collateral and Guarantee Requirement</w:t>
      </w:r>
      <w:r>
        <w:rPr>
          <w:color w:val="000000"/>
        </w:rPr>
        <w:t xml:space="preserve">” </w:t>
      </w:r>
      <w:r>
        <w:rPr>
          <w:rFonts w:ascii="Times New Roman;serif" w:hAnsi="Times New Roman;serif"/>
          <w:b w:val="false"/>
          <w:color w:val="000000"/>
          <w:sz w:val="22"/>
        </w:rPr>
        <w:t>means, at any time, the requirement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(a)the Administrative Agent shall have received each Collateral Document required to be delivered on the Closing Date pursuant to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at such time, duly executed by each Loan Party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Obligations shall have been unconditionally guaranteed by each Borrower (in the case of Obligations under clauses (b) and (c) of the first sentence of the definition thereof) and each Subsidiary that is a Domestic Subsidiary and not an Excluded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(c)all guarantees issued or to be issued in respect of a Junior Financing (i) shall be subordinated to the Guarantees to the same extent that such Junior Financing is subordinated to the Obligations and (ii) shall provide for their automatic release upon a release of the corresponding Guarantee;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(d)the Obligations and the Guarantees shall have been secured by a first-priority perfected security interest in 100% of the Equity Interests of each Subsidiary that is a Domestic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84505"/>
                <wp:effectExtent l="0" t="0" r="0" b="0"/>
                <wp:wrapNone/>
                <wp:docPr id="21" name="Frame2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Subsidiary (other than any Foreign Subsidiary Holding Company and any Liquor License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(e)except to the extent otherwise permitted hereunder or under any Collateral Document, the Obligations and the Guarantees shall have been secured by a security interest in, and mortgages on, substantially all tangible and intangible assets (other than Equity Interests, subject to the requirements and limitations set forth in clause (d) above) of each Borrower and each other Guarantor (including accounts receivable, inventory, equipment, investment property, contract rights, domestic intellectual property, other general intangibles, owned Material Real Property and proceeds of the foregoing), in each case, with the priority required by the Collateral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(f)none of the Collateral shall be subject to any Liens other than Liens permitted by </w:t>
      </w:r>
      <w:r>
        <w:rPr>
          <w:rFonts w:ascii="Times New Roman;serif" w:hAnsi="Times New Roman;serif"/>
          <w:b w:val="false"/>
          <w:color w:val="000000"/>
          <w:sz w:val="22"/>
          <w:u w:val="single"/>
        </w:rPr>
        <w:t>Section 7.01</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(g)the Collateral Agent shall have received (i) counterparts of a Mortgage with respect to any Material Real Property required to be delivered pursuant to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Mortgaged Properties</w:t>
      </w:r>
      <w:r>
        <w:rPr>
          <w:color w:val="000000"/>
        </w:rPr>
        <w:t>”</w:t>
      </w:r>
      <w:r>
        <w:rPr>
          <w:rFonts w:ascii="Times New Roman;serif" w:hAnsi="Times New Roman;serif"/>
          <w:b w:val="false"/>
          <w:color w:val="000000"/>
          <w:sz w:val="22"/>
        </w:rPr>
        <w:t xml:space="preserve">) duly executed and delivered by the record owner of such property, (ii) a policy or policies of title insurance issued by a nationally recognized title insurance company insuring the Lien of each such Mortgage as a valid Lien on the property described therein, free of any other Liens except as expressly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together with such endorsements, coinsurance and reinsurance as the Administrative Agent may reasonably request, (iii) such existing surveys, existing abstracts, existing appraisals and other documents as the Administrative Agent may reasonably request with respect to any such Mortgaged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clause (iii) shall require any Borrower to update existing surveys or order new surveys with respect to any Mortgaged Property and (iv) standard flood hazard determination forms and if any Material Real Property is located in a special flood hazard area, (x) notices to (and confirmations of receipt by) the Company as to the existence of a special flood hazard and, if applicable, the unavailability of flood hazard insurance under the National Flood Insurance Program and (y) evidence of applicable flood insurance, if available, in each case in such form, on such terms and in such amounts as required by The National Flood Insurance Reform Act of 1994, the Federal Flood Disaster Protection Act and rules and regulations promulgated thereunder or as otherwise required by the Administrative Agent or any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definition shall not require, and the Loan Documents shall not contain any requirements as to, the creation or perfection of pledges of or security interests in, Mortgages on, or the obtaining of title insurance or surveys with respect to, any Excluded Assets. The Collateral Agent may grant extensions of time for the perfection of security interests in or the obtaining of title insurance with respect to particular assets (including extensions beyond the Closing Date for the perfection of security interests in the assets of the Loan Parties on such date) where it reasonably determines, in consultation with the Company, that perfection cannot be accomplished without undue effort or expense by the time or times at which it would otherwise be required by this Agreement or the Collateral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there shall be no requirement for (and no Default or Event of Default under the Loan Documents shall arise out of the lack of) (A) actions required by the Laws of any non-U.S. jurisdiction in order to create any security interests in any assets or to perfect such security interests (including any intellectual property registered in any non-U.S. jurisdiction) (it being understood that there shall be no security agreements or pledge agreements governed under the Laws of any non-U.S. jurisdiction) and (B) perfecting security interests by entering into agreements with third parties (including control or similar agreements) in respect of cash and Cash Equivalents, deposit or securities accounts (other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84505"/>
                <wp:effectExtent l="0" t="0" r="0" b="0"/>
                <wp:wrapNone/>
                <wp:docPr id="22" name="Frame2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than the Cash Collateral Account) or uncertificated securities of Persons other than Wholly Owned Subsidiaries directly owned by any Borrower or any Guarantor.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any Borrower may cause any Domestic Subsidiary that is not otherwise required to be a Guarantor to Guarantee the Obligations and otherwise satisfy the Collateral and Guarantee Requirement, in which case such Domestic Subsidiary shall be treated as a Guarantor under this Agreement and every other Loan Document for all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Collateral Documents</w:t>
      </w:r>
      <w:r>
        <w:rPr>
          <w:color w:val="000000"/>
        </w:rPr>
        <w:t xml:space="preserve">” </w:t>
      </w:r>
      <w:r>
        <w:rPr>
          <w:rFonts w:ascii="Times New Roman;serif" w:hAnsi="Times New Roman;serif"/>
          <w:b w:val="false"/>
          <w:color w:val="000000"/>
          <w:sz w:val="22"/>
        </w:rPr>
        <w:t xml:space="preserve">means, collectively, the Security Agreement, the Mortgages, each of the mortgages, Security Agreement Supplements, security agreements, pledge agreements or other similar agreements delivered to the Collateral Agent pursuant to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6.13</w:t>
      </w:r>
      <w:r>
        <w:rPr>
          <w:rFonts w:ascii="Times New Roman;serif" w:hAnsi="Times New Roman;serif"/>
          <w:b w:val="false"/>
          <w:color w:val="000000"/>
          <w:sz w:val="22"/>
        </w:rPr>
        <w:t>, the Guaranty and each of the other agreements, instruments or documents that creates or purports to create or affirm a Lien or Guarantee in favor of the Collateral Agent or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Commitment</w:t>
      </w:r>
      <w:r>
        <w:rPr>
          <w:color w:val="000000"/>
        </w:rPr>
        <w:t xml:space="preserve">” </w:t>
      </w:r>
      <w:r>
        <w:rPr>
          <w:rFonts w:ascii="Times New Roman;serif" w:hAnsi="Times New Roman;serif"/>
          <w:b w:val="false"/>
          <w:color w:val="000000"/>
          <w:sz w:val="22"/>
        </w:rPr>
        <w:t>means an Incremental Term Commitment, a Revolving Credit Commitment, an Extended Revolving Credit Commitment of a given Extension Series or Other Revolving Credit Commitment,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Committed Loan Notice</w:t>
      </w:r>
      <w:r>
        <w:rPr>
          <w:color w:val="000000"/>
        </w:rPr>
        <w:t xml:space="preserve">” </w:t>
      </w:r>
      <w:r>
        <w:rPr>
          <w:rFonts w:ascii="Times New Roman;serif" w:hAnsi="Times New Roman;serif"/>
          <w:b w:val="false"/>
          <w:color w:val="000000"/>
          <w:sz w:val="22"/>
        </w:rPr>
        <w:t xml:space="preserve">means a notice of (a) a Revolving Credit Borrowing, (b) a conversion of Loans from one Type to the other, or (c) a continuation of SOFR Loans,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if in writing, shall be substantially in the form of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Company</w:t>
      </w:r>
      <w:r>
        <w:rPr>
          <w:color w:val="000000"/>
        </w:rPr>
        <w:t xml:space="preserve">” </w:t>
      </w:r>
      <w:r>
        <w:rPr>
          <w:rFonts w:ascii="Times New Roman;serif" w:hAnsi="Times New Roman;serif"/>
          <w:b w:val="false"/>
          <w:color w:val="000000"/>
          <w:sz w:val="22"/>
        </w:rPr>
        <w:t>has the meaning specified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Compensation Period</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2.12(c)(ii)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Conforming Changes</w:t>
      </w:r>
      <w:r>
        <w:rPr>
          <w:color w:val="000000"/>
        </w:rPr>
        <w:t xml:space="preserve">” </w:t>
      </w:r>
      <w:r>
        <w:rPr>
          <w:rFonts w:ascii="Times New Roman;serif" w:hAnsi="Times New Roman;serif"/>
          <w:b w:val="false"/>
          <w:color w:val="000000"/>
          <w:sz w:val="22"/>
        </w:rPr>
        <w:t xml:space="preserve">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 xml:space="preserve">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84505"/>
                <wp:effectExtent l="0" t="0" r="0" b="0"/>
                <wp:wrapNone/>
                <wp:docPr id="23" name="Frame2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the Consolidated Net Income for such period, </w:t>
      </w:r>
      <w:r>
        <w:rPr>
          <w:rFonts w:ascii="Times New Roman;serif" w:hAnsi="Times New Roman;serif"/>
          <w:b w:val="false"/>
          <w:color w:val="000000"/>
          <w:sz w:val="22"/>
          <w:u w:val="single"/>
        </w:rPr>
        <w:t>plus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(a)without duplication and (in each case, other than with respect to clause (a)(xi) below) to the extent already deducted (and not added back) in arriving at such Consolidated Net Income, the sum of the following amounts for such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(i)total interest expense and, to the extent not reflected in such total interest expense, any losses on hedging obligations or other derivative instruments entered into for the purpose of hedging interest rate risk, net of interest income and gains on such hedging obligations, or other derivative instruments and costs of surety bonds in connection with financing activities, and any financing fees (including commitment, underwriting, funding, “rollover” and similar fees and commissions, discounts, yields and other fees, charges and amounts incurred in connection with the issuance or incurrence of Indebtedness and all commissions, discounts and other fees and charges owed with respect to letters of credit and bankers’ acceptance financing and net costs under Swap Contracts) and annual agency, unused line, facility or similar fees paid under definitive documentation related to Indebtedness,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(ii)provision for Income Taxes of the Company and its Subsidiaries paid or accrued during such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(iii)depreciation and amortization, including amortization of deferred financing fees and debt discounts,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(iv)Non-Cash Charges,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(v)unusual or non-recurring losses, charges or expenses (including without limitation, relating to the Transaction) and any charges, losses or expenses related to signing, retention or completion bonuses or recruiting costs, costs and expenses relating to any registration statement, or registered exchange offer in respect of any Indebtedness permitted hereunder, and, to the extent related to Permitted Acquisitions, integration and systems establishment costs;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integration and systems establishment costs are certified as such in a certificate of a Responsible Officer delivered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(vi)severance, relocation costs, curtailments or modifications to pension and post-retirement employee benefit plans, catch-up or transition expenses for “Partner Equity Plans” to the extent relating to employee services rendered in prior periods, and pre-opening, opening, closing and consolidation costs and expenses with respect to any facilities and restaurants,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(vii)cash restructuring charges or reserves (including restructuring costs related to acquisitions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adjustments are certified as restructuring charges or reserves in a certificate of a Responsible Officer delivered to the Administrative Agent,</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84505"/>
                <wp:effectExtent l="0" t="0" r="0" b="0"/>
                <wp:wrapNone/>
                <wp:docPr id="24" name="Frame2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(viii)any costs or expenses (excluding Non-Cash Charges) incurred by the Company or a Subsidiary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Company or net cash proceeds of an issuance of Equity Interests of the Company (other than Disqualified Equity Interests),</w:t>
      </w:r>
    </w:p>
    <w:p>
      <w:pPr>
        <w:pStyle w:val="TextBody"/>
        <w:bidi w:val="0"/>
        <w:spacing w:before="0" w:after="0"/>
        <w:ind w:left="0" w:right="0" w:firstLine="108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(ix)to the extent (1) covered by insurance under which the insurer has been properly notified and has affirmed or consented to coverage in writing, expenses with respect to liability or casualty events or business interruption, and (2) actually reimbursed in cash, expenses incurred to the extent covered by indemnification provisions in any agreement in connection with the Transaction or a Permitted Acquisition,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(x)cash receipts (or reduced cash expenditures) to the extent of non-cash gains relating to such income that were deducted in the calculation of Consolidated EBITDA pursuant to clause (b)(ii) below for any prior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(xi)the amount of “run rate” net cost savings, synergies and operating expense reductions (without duplication of any amounts added back pursuant to </w:t>
      </w:r>
      <w:r>
        <w:rPr>
          <w:rFonts w:ascii="Times New Roman;serif" w:hAnsi="Times New Roman;serif"/>
          <w:b w:val="false"/>
          <w:color w:val="000000"/>
          <w:sz w:val="22"/>
          <w:u w:val="single"/>
        </w:rPr>
        <w:t xml:space="preserve">Section 1.11(c) </w:t>
      </w:r>
      <w:r>
        <w:rPr>
          <w:rFonts w:ascii="Times New Roman;serif" w:hAnsi="Times New Roman;serif"/>
          <w:b w:val="false"/>
          <w:color w:val="000000"/>
          <w:sz w:val="22"/>
        </w:rPr>
        <w:t xml:space="preserve">in connection with a Specified Transaction) projected by the Company in good faith to result from actions taken or with respect to which substantial steps have been taken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cost savings, operating expense reductions and synergies are reasonably identifiable and factually supportable (it is understood and agreed that “run-rate” means the full recurring benefit for a period that is associated with any action taken or with respect to which substantial steps have been taken);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aggregate amount of cost savings, synergies and operating expense reductions added back pursuant to this clause (xi) and </w:t>
      </w:r>
      <w:r>
        <w:rPr>
          <w:rFonts w:ascii="Times New Roman;serif" w:hAnsi="Times New Roman;serif"/>
          <w:b w:val="false"/>
          <w:color w:val="000000"/>
          <w:sz w:val="22"/>
          <w:u w:val="single"/>
        </w:rPr>
        <w:t>Section 1.11(c)</w:t>
      </w:r>
      <w:r>
        <w:rPr>
          <w:color w:val="000000"/>
        </w:rPr>
        <w:t xml:space="preserve"> </w:t>
      </w:r>
      <w:r>
        <w:rPr>
          <w:rFonts w:ascii="Times New Roman;serif" w:hAnsi="Times New Roman;serif"/>
          <w:b w:val="false"/>
          <w:color w:val="000000"/>
          <w:sz w:val="22"/>
        </w:rPr>
        <w:t xml:space="preserve">in any period of four consecutive fiscal quarters shall not exceed an amount equal to 5% of Consolidated EBITDA for such period (calculated before giving effect to this clause (xi) and </w:t>
      </w:r>
      <w:r>
        <w:rPr>
          <w:rFonts w:ascii="Times New Roman;serif" w:hAnsi="Times New Roman;serif"/>
          <w:b w:val="false"/>
          <w:color w:val="000000"/>
          <w:sz w:val="22"/>
          <w:u w:val="single"/>
        </w:rPr>
        <w:t>Section 1.11(c)</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(xii)the amount of any minority interest consisting of Subsidiary income attributable to minority equity interests of third parties in any non-Wholly Owned Subsidiary deducted (and not added back) in such period in calculating Consolidated Net Income except to the extent of cash dividends declared or paid on Equity Interests of such non-Wholly Owned Subsidiaries held by third parties, </w:t>
      </w:r>
      <w:r>
        <w:rPr>
          <w:rFonts w:ascii="Times New Roman;serif" w:hAnsi="Times New Roman;serif"/>
          <w:b w:val="false"/>
          <w:color w:val="000000"/>
          <w:sz w:val="22"/>
          <w:u w:val="single"/>
        </w:rPr>
        <w:t>less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(b)without duplication and to the extent included in arriving at such Consolidated Net Income, the sum of the following amounts for such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(i)unusual or non-recurring gains,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(ii)non-cash gains increasing Consolidated Net Income for such period, excluding any non-cash gains that represent the reversal of an accrual or reserve for any anticipated cash charges in any prior period (other than any such accrual or reserve that has been added back to Consolidated Net Income in calculating Consolidated EBITDA in accordance with this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84505"/>
                <wp:effectExtent l="0" t="0" r="0" b="0"/>
                <wp:wrapNone/>
                <wp:docPr id="25" name="Frame2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(iii)rent expense paid in cash during such period over and above rent expense as determined in accordance with GAAP for such period,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(iv)any non-cash gains with respect to cash actually received in a prior period unless such cash did not increase Consolidated EBITDA in a prior period,</w:t>
      </w:r>
    </w:p>
    <w:p>
      <w:pPr>
        <w:pStyle w:val="TextBody"/>
        <w:bidi w:val="0"/>
        <w:spacing w:lineRule="auto" w:line="288" w:before="0" w:after="240"/>
        <w:jc w:val="both"/>
        <w:rPr/>
      </w:pPr>
      <w:r>
        <w:rPr>
          <w:rFonts w:ascii="Times New Roman;serif" w:hAnsi="Times New Roman;serif"/>
          <w:b w:val="false"/>
          <w:color w:val="000000"/>
          <w:sz w:val="22"/>
        </w:rPr>
        <w:t xml:space="preserve">in each case, as determined on a consolidated basis for the Company and its Subsidiaries in accordance with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included in Consolidated Net Income,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there shall be excluded in determining Consolidated EBITDA currency translation gains and losses related to currency remeasurements of Indebtedness (including the net loss or gain resulting from Swap Contracts for currency exchange risk),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there shall be excluded in determining Consolidated EBITDA rent expense as determined in accordance with GAAP not actually paid in cash during such period (net of rent expense paid in cash during such period over and above rent expense as determined in accordance with GAAP for such period),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there shall be excluded in determining Consolidated EBITDA any net after-tax income (loss) from the early extinguishment of Indebtedness or hedging obligations or other derivative instruments.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the purpose of the definition of Consolidated EBITDA, “</w:t>
      </w:r>
      <w:r>
        <w:rPr>
          <w:rFonts w:ascii="Times New Roman;serif" w:hAnsi="Times New Roman;serif"/>
          <w:b w:val="false"/>
          <w:color w:val="000000"/>
          <w:sz w:val="22"/>
          <w:u w:val="single"/>
        </w:rPr>
        <w:t>Non-Cash Charges</w:t>
      </w:r>
      <w:r>
        <w:rPr>
          <w:color w:val="000000"/>
        </w:rPr>
        <w:t xml:space="preserve">” </w:t>
      </w:r>
      <w:r>
        <w:rPr>
          <w:rFonts w:ascii="Times New Roman;serif" w:hAnsi="Times New Roman;serif"/>
          <w:b w:val="false"/>
          <w:color w:val="000000"/>
          <w:sz w:val="22"/>
        </w:rPr>
        <w:t>means (a) any impairment charge or asset write-off or write-down related to intangible assets, long-lived assets and other assets (including licenses or other approvals for the sale of alcoholic beverages), and investments in debt and equity securities pursuant to GAAP, (b) stock-based awards compensation expense including, but not limited to, non-cash charges, expenses or write-downs arising from stock options, restricted stock or other equity incentive programs, and (c) other non-cash charges, expenses or write-downs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non-cash charges, expenses and write-downs referred to in this paragraph represent an accrual or reserve for potential cash items in any future period, (1) the Company may determine not to add back such non-cash charge in the current period and (2) to the extent the Company does decide to add back such non-cash charge, the cash payment in respect thereof in such future period shall be subtracted from Consolidated EBITDA to such extent, and excluding amortization of a prepaid cash item that was paid in a prior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Consolidated Net Income</w:t>
      </w:r>
      <w:r>
        <w:rPr>
          <w:color w:val="000000"/>
        </w:rPr>
        <w:t xml:space="preserve">” </w:t>
      </w:r>
      <w:r>
        <w:rPr>
          <w:rFonts w:ascii="Times New Roman;serif" w:hAnsi="Times New Roman;serif"/>
          <w:b w:val="false"/>
          <w:color w:val="000000"/>
          <w:sz w:val="22"/>
        </w:rPr>
        <w:t xml:space="preserve">means, for any period, the net income (loss) of the Company and its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Transaction Expenses, (d) any fees and expenses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(e) any income (loss) for such period attributable to the early extinguishment of Indebtedness, (f) accruals and reserves that are established within twelve months after the Closing Date that are so required to be established as a result of the Transaction in accordance with GAAP, (g) any unrealized net gains and losses resulting from Obligations under Secured Hedge Agreements or embedded derivatives that require similar accounting treatment and the application of Accounting Standards Codification Topic 815 and related pronouncements, (h) any after-tax gains or losses on disposal of disposed, abandoned or discontinued operations and any after-tax effect of gains and losses (less all fees and expenses related thereto) attributable to asset dispositions other than in the ordinary course of business and (i) any net income (loss) for such period of any Person that is not a Subsidiary, or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84505"/>
                <wp:effectExtent l="0" t="0" r="0" b="0"/>
                <wp:wrapNone/>
                <wp:docPr id="26" name="Frame2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accounted for by the equity method of accounting,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Consolidated Net Income shall be increased by the amount of dividends or distributions that are actually paid in cash (or converted into cash) to the Company or a Subsidiary in respect of such net income in such period. There shall be excluded from Consolidated Net Income for any period the purchase accounting effects of adjustments, including to property, equipment, inventory and software and other intangible assets (including favorable and unfavorable leases and contracts) and deferred revenue in component amounts required or permitted by GAAP and related authoritative pronouncements (including the effects of such adjustments pushed down to the Company and its Subsidiaries), as a result of any acquisition consummated prior to or after the Closing Date (including any Permitted Acquisitions), or the amortization, write-off or write-down of any amounts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Consolidated Secured Net Debt”</w:t>
      </w:r>
      <w:r>
        <w:rPr>
          <w:color w:val="000000"/>
        </w:rPr>
        <w:t xml:space="preserve"> </w:t>
      </w:r>
      <w:r>
        <w:rPr>
          <w:rFonts w:ascii="Times New Roman;serif" w:hAnsi="Times New Roman;serif"/>
          <w:b w:val="false"/>
          <w:color w:val="000000"/>
          <w:sz w:val="22"/>
        </w:rPr>
        <w:t xml:space="preserve">means, as of any date of determination, (a) any Indebtedness described in clause (a) of Consolidated Total Debt outstanding on such date that is secured by a Lien on any asset or property of any Borrower or any Subsidiary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cash and Cash Equivalents (in each case, free and clear of all Liens, other than nonconsensual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Liens permitted by </w:t>
      </w:r>
      <w:r>
        <w:rPr>
          <w:rFonts w:ascii="Times New Roman;serif" w:hAnsi="Times New Roman;serif"/>
          <w:b w:val="false"/>
          <w:color w:val="000000"/>
          <w:sz w:val="22"/>
          <w:u w:val="single"/>
        </w:rPr>
        <w:t>Sections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7.01(aa)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7.01(bb)</w:t>
      </w:r>
      <w:r>
        <w:rPr>
          <w:color w:val="000000"/>
        </w:rPr>
        <w:t xml:space="preserve"> </w:t>
      </w:r>
      <w:r>
        <w:rPr>
          <w:rFonts w:ascii="Times New Roman;serif" w:hAnsi="Times New Roman;serif"/>
          <w:b w:val="false"/>
          <w:color w:val="000000"/>
          <w:sz w:val="22"/>
        </w:rPr>
        <w:t xml:space="preserve">and clauses (i) and (ii) of </w:t>
      </w:r>
      <w:r>
        <w:rPr>
          <w:rFonts w:ascii="Times New Roman;serif" w:hAnsi="Times New Roman;serif"/>
          <w:b w:val="false"/>
          <w:color w:val="000000"/>
          <w:sz w:val="22"/>
          <w:u w:val="single"/>
        </w:rPr>
        <w:t>Section 7.01(t)</w:t>
      </w:r>
      <w:r>
        <w:rPr>
          <w:rFonts w:ascii="Times New Roman;serif" w:hAnsi="Times New Roman;serif"/>
          <w:b w:val="false"/>
          <w:color w:val="000000"/>
          <w:sz w:val="22"/>
        </w:rPr>
        <w:t xml:space="preserve">) included in the consolidated balance sheet of the Company and its Subsidiaries as of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determining the Consolidated Secured Net Leverage Ratio for purposes of </w:t>
      </w:r>
      <w:r>
        <w:rPr>
          <w:rFonts w:ascii="Times New Roman;serif" w:hAnsi="Times New Roman;serif"/>
          <w:b w:val="false"/>
          <w:color w:val="000000"/>
          <w:sz w:val="22"/>
          <w:u w:val="single"/>
        </w:rPr>
        <w:t>Section 2.15(d)(iv)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7.03(s)</w:t>
      </w:r>
      <w:r>
        <w:rPr>
          <w:color w:val="000000"/>
        </w:rPr>
        <w:t xml:space="preserve"> </w:t>
      </w:r>
      <w:r>
        <w:rPr>
          <w:rFonts w:ascii="Times New Roman;serif" w:hAnsi="Times New Roman;serif"/>
          <w:b w:val="false"/>
          <w:color w:val="000000"/>
          <w:sz w:val="22"/>
        </w:rPr>
        <w:t>only, any cash proceeds of any Incremental Facility or Incremental Equivalent Debt will not be considered cash or Cash Equivalents under clause (b) hereof and the full amount of any Revolving Commitment Increases or Incremental Equivalent Debt shall be deemed to be Indebtedness outstanding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Consolidated Secured Net Leverage Ratio</w:t>
      </w:r>
      <w:r>
        <w:rPr>
          <w:color w:val="000000"/>
        </w:rPr>
        <w:t xml:space="preserve">” </w:t>
      </w:r>
      <w:r>
        <w:rPr>
          <w:rFonts w:ascii="Times New Roman;serif" w:hAnsi="Times New Roman;serif"/>
          <w:b w:val="false"/>
          <w:color w:val="000000"/>
          <w:sz w:val="22"/>
        </w:rPr>
        <w:t>means, with respect to any Test Period, the ratio of (a) Consolidated Secured Net Debt as of the last day of such Test Period to (b) Consolidated EBITDA of the Company for such Test Period.</w:t>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2"/>
          <w:u w:val="single"/>
        </w:rPr>
        <w:t>Consolidated Senior Secured Net Debt</w:t>
      </w:r>
      <w:r>
        <w:rPr>
          <w:color w:val="000000"/>
        </w:rPr>
        <w:t xml:space="preserve">” </w:t>
      </w:r>
      <w:r>
        <w:rPr>
          <w:rFonts w:ascii="Times New Roman;serif" w:hAnsi="Times New Roman;serif"/>
          <w:b w:val="false"/>
          <w:color w:val="000000"/>
          <w:sz w:val="22"/>
        </w:rPr>
        <w:t xml:space="preserve">means, as of any date of determination, (a) any Indebtedness described in clause (a) of Consolidated Total Debt outstanding on such date that is secured by a Lien on any asset or property of any Borrower or any Subsidiary that is not expressly subordinated or junior in priority to the Liens on such assets securing the Secured Obligations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cash and Cash Equivalents (in each case, free and clear of all Liens, other than nonconsensual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Liens permitted by </w:t>
      </w:r>
      <w:r>
        <w:rPr>
          <w:rFonts w:ascii="Times New Roman;serif" w:hAnsi="Times New Roman;serif"/>
          <w:b w:val="false"/>
          <w:color w:val="000000"/>
          <w:sz w:val="22"/>
          <w:u w:val="single"/>
        </w:rPr>
        <w:t>Sections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7.01(aa)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7.01(bb)</w:t>
      </w:r>
      <w:r>
        <w:rPr>
          <w:color w:val="000000"/>
        </w:rPr>
        <w:t xml:space="preserve"> </w:t>
      </w:r>
      <w:r>
        <w:rPr>
          <w:rFonts w:ascii="Times New Roman;serif" w:hAnsi="Times New Roman;serif"/>
          <w:b w:val="false"/>
          <w:color w:val="000000"/>
          <w:sz w:val="22"/>
        </w:rPr>
        <w:t xml:space="preserve">and clauses (i) and (ii) of </w:t>
      </w:r>
      <w:r>
        <w:rPr>
          <w:rFonts w:ascii="Times New Roman;serif" w:hAnsi="Times New Roman;serif"/>
          <w:b w:val="false"/>
          <w:color w:val="000000"/>
          <w:sz w:val="22"/>
          <w:u w:val="single"/>
        </w:rPr>
        <w:t>Section 7.01(t)</w:t>
      </w:r>
      <w:r>
        <w:rPr>
          <w:rFonts w:ascii="Times New Roman;serif" w:hAnsi="Times New Roman;serif"/>
          <w:b w:val="false"/>
          <w:color w:val="000000"/>
          <w:sz w:val="22"/>
        </w:rPr>
        <w:t>) included in the consolidated balance sheet of the Company and its Subsidiaries as of such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color w:val="000000"/>
          <w:sz w:val="22"/>
          <w:u w:val="single"/>
        </w:rPr>
        <w:t>Consolidated Senior Secured Net Leverage Ratio</w:t>
      </w:r>
      <w:r>
        <w:rPr>
          <w:color w:val="000000"/>
        </w:rPr>
        <w:t xml:space="preserve">” </w:t>
      </w:r>
      <w:r>
        <w:rPr>
          <w:rFonts w:ascii="Times New Roman;serif" w:hAnsi="Times New Roman;serif"/>
          <w:b w:val="false"/>
          <w:color w:val="000000"/>
          <w:sz w:val="22"/>
        </w:rPr>
        <w:t>means, with respect to any Test Period, the ratio of (a) Consolidated Senior Secured Net Debt as of the last day of such Test Period to (b) Consolidated EBITDA of the Company for such Test Period.</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color w:val="000000"/>
          <w:sz w:val="22"/>
          <w:u w:val="single"/>
        </w:rPr>
        <w:t>Consolidated Total Debt</w:t>
      </w:r>
      <w:r>
        <w:rPr>
          <w:color w:val="000000"/>
        </w:rPr>
        <w:t xml:space="preserve">” </w:t>
      </w:r>
      <w:r>
        <w:rPr>
          <w:rFonts w:ascii="Times New Roman;serif" w:hAnsi="Times New Roman;serif"/>
          <w:b w:val="false"/>
          <w:color w:val="000000"/>
          <w:sz w:val="22"/>
        </w:rPr>
        <w:t xml:space="preserve">means, as of any date of determination, (a) the aggregate principal amount of Indebtedness of the Company and its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any Permitted Acquisition), consisting of Indebtedness for borrowed money, obligations in respect of Finance Leases, debt obligations evidenced by promissory notes or similar instruments, unreimbursed drawings in respect of letters of credit (or similar facilities) and Guarantees of the foregoing,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aggregate amount of cash and Cash Equivalents (in each case, free and clear of all Liens, other than nonconsensual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Liens permitted by </w:t>
      </w:r>
      <w:r>
        <w:rPr>
          <w:rFonts w:ascii="Times New Roman;serif" w:hAnsi="Times New Roman;serif"/>
          <w:b w:val="false"/>
          <w:color w:val="000000"/>
          <w:sz w:val="22"/>
          <w:u w:val="single"/>
        </w:rPr>
        <w:t>Sections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7.01(aa)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7.01(bb)</w:t>
      </w:r>
      <w:r>
        <w:rPr>
          <w:color w:val="000000"/>
        </w:rPr>
        <w:t xml:space="preserve"> </w:t>
      </w:r>
      <w:r>
        <w:rPr>
          <w:rFonts w:ascii="Times New Roman;serif" w:hAnsi="Times New Roman;serif"/>
          <w:b w:val="false"/>
          <w:color w:val="000000"/>
          <w:sz w:val="22"/>
        </w:rPr>
        <w:t xml:space="preserve">and clauses (i) and (ii) of </w:t>
      </w:r>
      <w:r>
        <w:rPr>
          <w:rFonts w:ascii="Times New Roman;serif" w:hAnsi="Times New Roman;serif"/>
          <w:b w:val="false"/>
          <w:color w:val="000000"/>
          <w:sz w:val="22"/>
          <w:u w:val="single"/>
        </w:rPr>
        <w:t>Section 7.01(t)</w:t>
      </w:r>
      <w:r>
        <w:rPr>
          <w:rFonts w:ascii="Times New Roman;serif" w:hAnsi="Times New Roman;serif"/>
          <w:b w:val="false"/>
          <w:color w:val="000000"/>
          <w:sz w:val="22"/>
        </w:rPr>
        <w:t xml:space="preserve">) included in the consolidated balance sheet of the Company and its Subsidiaries as of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84505"/>
                <wp:effectExtent l="0" t="0" r="0" b="0"/>
                <wp:wrapNone/>
                <wp:docPr id="27" name="Frame2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determining the Total Net Leverage Ratio for purposes of </w:t>
      </w:r>
      <w:r>
        <w:rPr>
          <w:rFonts w:ascii="Times New Roman;serif" w:hAnsi="Times New Roman;serif"/>
          <w:b w:val="false"/>
          <w:color w:val="000000"/>
          <w:sz w:val="22"/>
          <w:u w:val="single"/>
        </w:rPr>
        <w:t>Section 7.03(s)</w:t>
      </w:r>
      <w:r>
        <w:rPr>
          <w:color w:val="000000"/>
        </w:rPr>
        <w:t xml:space="preserve"> </w:t>
      </w:r>
      <w:r>
        <w:rPr>
          <w:rFonts w:ascii="Times New Roman;serif" w:hAnsi="Times New Roman;serif"/>
          <w:b w:val="false"/>
          <w:color w:val="000000"/>
          <w:sz w:val="22"/>
        </w:rPr>
        <w:t>only, any cash proceeds of any Incremental Facility or Incremental Equivalent Debt will not be considered cash or Cash Equivalents under clause (b) hereof and the full amount of any Revolving Commitment Increases or Incremental Equivalent Debt shall be deemed to be Indebtedness outstanding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Control</w:t>
      </w:r>
      <w:r>
        <w:rPr>
          <w:color w:val="000000"/>
        </w:rPr>
        <w:t xml:space="preserve">” </w:t>
      </w:r>
      <w:r>
        <w:rPr>
          <w:rFonts w:ascii="Times New Roman;serif" w:hAnsi="Times New Roman;serif"/>
          <w:b w:val="false"/>
          <w:color w:val="000000"/>
          <w:sz w:val="22"/>
        </w:rPr>
        <w:t>has the meaning specified in the definition of “Affiliate”.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Co-Syndication Agents</w:t>
      </w:r>
      <w:r>
        <w:rPr>
          <w:color w:val="000000"/>
        </w:rPr>
        <w:t xml:space="preserve">” </w:t>
      </w:r>
      <w:r>
        <w:rPr>
          <w:rFonts w:ascii="Times New Roman;serif" w:hAnsi="Times New Roman;serif"/>
          <w:b w:val="false"/>
          <w:color w:val="000000"/>
          <w:sz w:val="22"/>
        </w:rPr>
        <w:t>means each of Bank of America, N.A., Capital One, National Association, Coöperatieve Rabobank U.A., New York Branch, Truist Bank and U.S. Bank National Association.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Covered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Credit Agreement Refinancing Indebtedness</w:t>
      </w:r>
      <w:r>
        <w:rPr>
          <w:color w:val="000000"/>
        </w:rPr>
        <w:t xml:space="preserve">” </w:t>
      </w:r>
      <w:r>
        <w:rPr>
          <w:rFonts w:ascii="Times New Roman;serif" w:hAnsi="Times New Roman;serif"/>
          <w:b w:val="false"/>
          <w:color w:val="000000"/>
          <w:sz w:val="22"/>
        </w:rPr>
        <w:t>means any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Loans or Commitments hereunder, or any then-existing Credit Agreement Refinancing Indebtedness (“</w:t>
      </w:r>
      <w:r>
        <w:rPr>
          <w:rFonts w:ascii="Times New Roman;serif" w:hAnsi="Times New Roman;serif"/>
          <w:b w:val="false"/>
          <w:color w:val="000000"/>
          <w:sz w:val="22"/>
          <w:u w:val="single"/>
        </w:rPr>
        <w:t>Refinanced Debt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exchanging, extending, renewing, replacing, repurchasing, retiring or refinancing Indebtedness is in an original aggregate principal amount not greater than the aggregate principal amount of the Refinanced Debt except by an amount equal to unpaid accrued interest and premium (including tender premium) and penalties thereon plus reasonable upfront fees and original issue discount on such exchanging, extending, renewing, replacing, repurchasing, retiring or refinancing Indebtedness, plus other reasonable and customary fees and expenses in connection with such exchange, modification, refinancing, refunding, renewal, replacement, repurchase, retirement or extension, (ii) (I) such Indebtedness (other than Revolving Credit Commitments) has a final maturity no earlier than the Maturity Date of, and a Weighted Average Life to Maturity no shorter than the remaining Weighted Average Life to Maturity of, the Refinanced Debt as originally in effect prior to any amortization or prepayments thereto and (II) such Indebtedness if consisting of Revolving Credit Commitments, have a maturity no earlier than, and do not have any commitment reductions that are not applicable to, the Refinanced Debt, (iii) the terms and conditions of such Indebtedness (except as otherwise provided in clause (ii) above and with respect to pricing, premiums and optional prepayment or redemption terms) reflect market terms and conditions at the time of issuance (but in no event shall any such Indebtedness have covenants and defaults materially more restrictive (taken as a whole) than those set forth in this Agreement (except for covenants or other provisions applicable only to periods after the Latest Maturity Date at the time of incurrence of such Indebtedness)), (iv) such Refinanced Debt shall be repaid, repurchased, retired, defeased or satisfied and discharged, and all accrued interest, fees, premiums (if any) and penalties in connection therewith shall be paid, on the date such Credit Agreement Refinancing Indebtedness is issued, incurred or obtained and (v) to the extent the Refinanced Debt is subordinated in right of payment to the Obligations, such Indebtedness shall be subordinated in right of payment to the Obligations on terms at least as favorable to the Lenders as those contained in the documentation governing the Refinanced Debt.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84505"/>
                <wp:effectExtent l="0" t="0" r="0" b="0"/>
                <wp:wrapNone/>
                <wp:docPr id="28" name="Frame2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Cumulative Growth Amount</w:t>
      </w:r>
      <w:r>
        <w:rPr>
          <w:color w:val="000000"/>
        </w:rPr>
        <w:t xml:space="preserve">” </w:t>
      </w:r>
      <w:r>
        <w:rPr>
          <w:rFonts w:ascii="Times New Roman;serif" w:hAnsi="Times New Roman;serif"/>
          <w:b w:val="false"/>
          <w:color w:val="000000"/>
          <w:sz w:val="22"/>
        </w:rPr>
        <w:t>shall mean, on any date of determination, the sum of,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(i) $50,000,000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50% of the aggregate amount of Consolidated Net Income (or, if the Consolidated Net Income is a loss, minus 100% of the amount of the loss) accrued on a cumulative basis during the period, taken as one accounting period, beginning on March 31, 2014 and ending on the last day of the Company’s most recently completed fiscal quarter for which financial statements have been provided pursuant to this Agreement, </w:t>
      </w:r>
      <w:r>
        <w:rPr>
          <w:rFonts w:ascii="Times New Roman;serif" w:hAnsi="Times New Roman;serif"/>
          <w:b w:val="false"/>
          <w:color w:val="000000"/>
          <w:sz w:val="22"/>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amount of Net Cash Proceeds from the sale of Equity Interests of the Company (other than Excluded Contributions and issuances of Disqualified Equity Interests) after the Closing Date to the extent that such Net Cash Proceeds shall have been actually received by the Borrowers on or prior to such date of determination and to the extent not used to make payments under </w:t>
      </w:r>
      <w:r>
        <w:rPr>
          <w:rFonts w:ascii="Times New Roman;serif" w:hAnsi="Times New Roman;serif"/>
          <w:b w:val="false"/>
          <w:color w:val="000000"/>
          <w:sz w:val="22"/>
          <w:u w:val="single"/>
        </w:rPr>
        <w:t>Section 7.03(i)</w:t>
      </w:r>
      <w:r>
        <w:rPr>
          <w:color w:val="000000"/>
        </w:rPr>
        <w:t xml:space="preserve"> </w:t>
      </w:r>
      <w:r>
        <w:rPr>
          <w:rFonts w:ascii="Times New Roman;serif" w:hAnsi="Times New Roman;serif"/>
          <w:b w:val="false"/>
          <w:color w:val="000000"/>
          <w:sz w:val="22"/>
        </w:rPr>
        <w:t xml:space="preserve">or make Restricted Payments pursuant to </w:t>
      </w:r>
      <w:r>
        <w:rPr>
          <w:rFonts w:ascii="Times New Roman;serif" w:hAnsi="Times New Roman;serif"/>
          <w:b w:val="false"/>
          <w:color w:val="000000"/>
          <w:sz w:val="22"/>
          <w:u w:val="single"/>
        </w:rPr>
        <w:t>Section 7.06(f)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(c)    an amount equal to the aggregate Returns (not to exceed the original amount of such Investment) in respect of any Investment made since the Closing Date pursuant to </w:t>
      </w:r>
      <w:r>
        <w:rPr>
          <w:rFonts w:ascii="Times New Roman;serif" w:hAnsi="Times New Roman;serif"/>
          <w:b w:val="false"/>
          <w:color w:val="000000"/>
          <w:sz w:val="22"/>
          <w:u w:val="single"/>
        </w:rPr>
        <w:t>Section 7.02(m)</w:t>
      </w:r>
      <w:r>
        <w:rPr>
          <w:color w:val="000000"/>
        </w:rPr>
        <w:t xml:space="preserve"> </w:t>
      </w:r>
      <w:r>
        <w:rPr>
          <w:rFonts w:ascii="Times New Roman;serif" w:hAnsi="Times New Roman;serif"/>
          <w:b w:val="false"/>
          <w:color w:val="000000"/>
          <w:sz w:val="22"/>
        </w:rPr>
        <w:t xml:space="preserve">to the extent that such Returns did not increase Consolidated Net Income, </w:t>
      </w:r>
      <w:r>
        <w:rPr>
          <w:rFonts w:ascii="Times New Roman;serif" w:hAnsi="Times New Roman;serif"/>
          <w:b w:val="false"/>
          <w:color w:val="000000"/>
          <w:sz w:val="22"/>
          <w:u w:val="single"/>
        </w:rPr>
        <w:t>plus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the aggregate amount of Specified Proceeds actually received by the Company on or prior to such date of determination, </w:t>
      </w:r>
      <w:r>
        <w:rPr>
          <w:rFonts w:ascii="Times New Roman;serif" w:hAnsi="Times New Roman;serif"/>
          <w:b w:val="false"/>
          <w:color w:val="000000"/>
          <w:sz w:val="22"/>
          <w:u w:val="single"/>
        </w:rPr>
        <w:t>minus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the sum at the time of determination of (i) the aggregate amount of Investments made since the Closing Date pursuant to </w:t>
      </w:r>
      <w:r>
        <w:rPr>
          <w:rFonts w:ascii="Times New Roman;serif" w:hAnsi="Times New Roman;serif"/>
          <w:b w:val="false"/>
          <w:color w:val="000000"/>
          <w:sz w:val="22"/>
          <w:u w:val="single"/>
        </w:rPr>
        <w:t>Section 7.02(m)</w:t>
      </w:r>
      <w:r>
        <w:rPr>
          <w:color w:val="000000"/>
        </w:rPr>
        <w:t xml:space="preserve"> </w:t>
      </w:r>
      <w:r>
        <w:rPr>
          <w:rFonts w:ascii="Times New Roman;serif" w:hAnsi="Times New Roman;serif"/>
          <w:b w:val="false"/>
          <w:color w:val="000000"/>
          <w:sz w:val="22"/>
        </w:rPr>
        <w:t xml:space="preserve">and (ii) the aggregate amount of prepayments, redemptions or repurchases made since the Closing Date pursuant to </w:t>
      </w:r>
      <w:r>
        <w:rPr>
          <w:rFonts w:ascii="Times New Roman;serif" w:hAnsi="Times New Roman;serif"/>
          <w:b w:val="false"/>
          <w:color w:val="000000"/>
          <w:sz w:val="22"/>
          <w:u w:val="single"/>
        </w:rPr>
        <w:t>Section 7.12(a)(v)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Default Rate</w:t>
      </w:r>
      <w:r>
        <w:rPr>
          <w:color w:val="000000"/>
        </w:rPr>
        <w:t xml:space="preserve">” </w:t>
      </w:r>
      <w:r>
        <w:rPr>
          <w:rFonts w:ascii="Times New Roman;serif" w:hAnsi="Times New Roman;serif"/>
          <w:b w:val="false"/>
          <w:color w:val="000000"/>
          <w:sz w:val="22"/>
        </w:rPr>
        <w:t xml:space="preserve">means an interest rate equal to (a)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Applicable Rate, if any, applicable to Base Rate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(c) 2.0% per annum;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a SOFR Loan, the Default Rate shall be an interest rate equal to the interest rate (including any Applicable Rate) otherwise applicable to such Loan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2.0% per annum, in each case, to the fullest extent permitted by applicable Laws.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2.17(b)</w:t>
      </w:r>
      <w:r>
        <w:rPr>
          <w:rFonts w:ascii="Times New Roman;serif" w:hAnsi="Times New Roman;serif"/>
          <w:b w:val="false"/>
          <w:color w:val="000000"/>
          <w:sz w:val="22"/>
        </w:rPr>
        <w:t xml:space="preserve">, any Lender that, as reasonably determined by the Administrative Agent, (a) has failed to perform any of its funding obligations hereunder, including in respect of its Loans, participations in L/C Obligations or participations in Swing Line Loans required to be funded by it hereunder within one (1) Business Day of the date required to be funded by it hereunder, unless the subject of a good faith dispute or subsequently cured, (b) has otherwise failed to pay over to the Administrative Agent, the L/C Issuer, the Swing Line Lender or any other Lender any other amount required to be paid by it hereunder within one (1) Business Day of the date when due, unless the subject of a good faith dispute or subsequently cured, (c) has notified the Administrative Agent or the L/C Issuer or the Swing Line Lender that it does not intend to comply with its funding obligations or has made a public statement to that effect with respect to its funding obligations hereunder or under other agreements in which it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84505"/>
                <wp:effectExtent l="0" t="0" r="0" b="0"/>
                <wp:wrapNone/>
                <wp:docPr id="29" name="Frame2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commits to extend credit, (d) has failed, within three (3) Business Days after request by the Administrative Agent, to confirm in a manner satisfactory to the Administrative Agent that it will comply with its funding obligations hereunder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approved of or acquiescence in any such proceeding or appointment or (iv) become the subject of a Bail-In 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Designated Non-Cash Consideration</w:t>
      </w:r>
      <w:r>
        <w:rPr>
          <w:color w:val="000000"/>
        </w:rPr>
        <w:t xml:space="preserve">” </w:t>
      </w:r>
      <w:r>
        <w:rPr>
          <w:rFonts w:ascii="Times New Roman;serif" w:hAnsi="Times New Roman;serif"/>
          <w:b w:val="false"/>
          <w:color w:val="000000"/>
          <w:sz w:val="22"/>
        </w:rPr>
        <w:t xml:space="preserve">means the Fair Market Value of non-cash consideration received by the Company or a Subsidiary in connection with a Disposition pursuant to </w:t>
      </w:r>
      <w:r>
        <w:rPr>
          <w:rFonts w:ascii="Times New Roman;serif" w:hAnsi="Times New Roman;serif"/>
          <w:b w:val="false"/>
          <w:color w:val="000000"/>
          <w:sz w:val="22"/>
          <w:u w:val="single"/>
        </w:rPr>
        <w:t>Section 7.05(k)</w:t>
      </w:r>
      <w:r>
        <w:rPr>
          <w:color w:val="000000"/>
        </w:rPr>
        <w:t xml:space="preserve"> </w:t>
      </w:r>
      <w:r>
        <w:rPr>
          <w:rFonts w:ascii="Times New Roman;serif" w:hAnsi="Times New Roman;serif"/>
          <w:b w:val="false"/>
          <w:color w:val="000000"/>
          <w:sz w:val="22"/>
        </w:rPr>
        <w:t>that is designated as Designated Non-Cash Consideration pursuant to a certificate of a Responsible Officer, setting forth the basis of such valuation (which amount will be reduced by the Fair Market Value of the portion of the non-cash consideration converted to cash or Cash Equivalents within 180 days following the consummation of the applicable Disposition).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u w:val="single"/>
        </w:rPr>
        <w:t>Dispose</w:t>
      </w:r>
      <w:r>
        <w:rPr>
          <w:color w:val="000000"/>
        </w:rPr>
        <w:t xml:space="preserve">” </w:t>
      </w:r>
      <w:r>
        <w:rPr>
          <w:rFonts w:ascii="Times New Roman;serif" w:hAnsi="Times New Roman;serif"/>
          <w:b w:val="false"/>
          <w:color w:val="000000"/>
          <w:sz w:val="22"/>
        </w:rPr>
        <w:t xml:space="preserve">means the sale, transfer, license, lease or other disposition (including any sale and leaseback transaction and any sale of Equity Interests) of any property by any Person, including any sale, assignment, transfer or other disposal, with or without recourse, of any notes or accounts receivable or any rights and claims associated therewith;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“Disposition” and “Dispose” shall not be deemed to include any issuance by the Company of any of its Equity Interests to another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Disqualified Equity Interests</w:t>
      </w:r>
      <w:r>
        <w:rPr>
          <w:color w:val="000000"/>
        </w:rPr>
        <w:t xml:space="preserve">” </w:t>
      </w:r>
      <w:r>
        <w:rPr>
          <w:rFonts w:ascii="Times New Roman;serif" w:hAnsi="Times New Roman;serif"/>
          <w:b w:val="false"/>
          <w:color w:val="000000"/>
          <w:sz w:val="22"/>
        </w:rPr>
        <w:t>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the issuance of such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Disqualified Institutions</w:t>
      </w:r>
      <w:r>
        <w:rPr>
          <w:color w:val="000000"/>
        </w:rPr>
        <w:t xml:space="preserve">” </w:t>
      </w:r>
      <w:r>
        <w:rPr>
          <w:rFonts w:ascii="Times New Roman;serif" w:hAnsi="Times New Roman;serif"/>
          <w:b w:val="false"/>
          <w:color w:val="000000"/>
          <w:sz w:val="22"/>
        </w:rPr>
        <w:t>means any banks, financial institutions or other Persons separately identified by the Borrowers to the Joint Lead Arrangers in writing prior to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84505"/>
                <wp:effectExtent l="0" t="0" r="0" b="0"/>
                <wp:wrapNone/>
                <wp:docPr id="30" name="Frame2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Electronic Record</w:t>
      </w:r>
      <w:r>
        <w:rPr>
          <w:color w:val="000000"/>
        </w:rPr>
        <w:t xml:space="preserve">” </w:t>
      </w:r>
      <w:r>
        <w:rPr>
          <w:rFonts w:ascii="Times New Roman;serif" w:hAnsi="Times New Roman;serif"/>
          <w:b w:val="false"/>
          <w:color w:val="000000"/>
          <w:sz w:val="22"/>
        </w:rPr>
        <w:t>has the meaning assigned to that term in, and shall be interpreted in accordance with, 15 U.S.C. 7006.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Electronic Signature</w:t>
      </w:r>
      <w:r>
        <w:rPr>
          <w:color w:val="000000"/>
        </w:rPr>
        <w:t xml:space="preserve">” </w:t>
      </w:r>
      <w:r>
        <w:rPr>
          <w:rFonts w:ascii="Times New Roman;serif" w:hAnsi="Times New Roman;serif"/>
          <w:b w:val="false"/>
          <w:color w:val="000000"/>
          <w:sz w:val="22"/>
        </w:rPr>
        <w:t>has the meaning assigned to that term in, and shall be interpreted in accordance with, 15 U.S.C. 7006.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Eligible Assignee</w:t>
      </w:r>
      <w:r>
        <w:rPr>
          <w:color w:val="000000"/>
        </w:rPr>
        <w:t xml:space="preserve">” </w:t>
      </w:r>
      <w:r>
        <w:rPr>
          <w:rFonts w:ascii="Times New Roman;serif" w:hAnsi="Times New Roman;serif"/>
          <w:b w:val="false"/>
          <w:color w:val="000000"/>
          <w:sz w:val="22"/>
        </w:rPr>
        <w:t xml:space="preserve">means any Assignee permitted by and consented to in accordance with </w:t>
      </w:r>
      <w:r>
        <w:rPr>
          <w:rFonts w:ascii="Times New Roman;serif" w:hAnsi="Times New Roman;serif"/>
          <w:b w:val="false"/>
          <w:color w:val="000000"/>
          <w:sz w:val="22"/>
          <w:u w:val="single"/>
        </w:rPr>
        <w:t>Section 10.07(b)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Employment Participation Subsidiary</w:t>
      </w:r>
      <w:r>
        <w:rPr>
          <w:color w:val="000000"/>
        </w:rPr>
        <w:t xml:space="preserve">” </w:t>
      </w:r>
      <w:r>
        <w:rPr>
          <w:rFonts w:ascii="Times New Roman;serif" w:hAnsi="Times New Roman;serif"/>
          <w:b w:val="false"/>
          <w:color w:val="000000"/>
          <w:sz w:val="22"/>
        </w:rPr>
        <w:t>means a limited partnership or other entity that is a Subsidiary (i) which contracts to provide services to one or more other Subsidiaries of the Company which operate one or more restaurants, (ii) which engages in no other material business activities and has no material assets other than those related to clause (i) above and (iii) in which restaurant employees of the Company and its Subsidiaries have an equity ownership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the protection of the environment, natural resources, or, to the extent relating to exposure to Hazardous Materials, human health or to the release of any materials into the environment, including those related to hazardous substances or wastes, air emissions and discharges to waste or public systems.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Environmental Permit</w:t>
      </w:r>
      <w:r>
        <w:rPr>
          <w:color w:val="000000"/>
        </w:rPr>
        <w:t xml:space="preserve">” </w:t>
      </w:r>
      <w:r>
        <w:rPr>
          <w:rFonts w:ascii="Times New Roman;serif" w:hAnsi="Times New Roman;serif"/>
          <w:b w:val="false"/>
          <w:color w:val="000000"/>
          <w:sz w:val="22"/>
        </w:rPr>
        <w:t>means any permit, approval, identification number, license or other authorization required under any Environmental Law.</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84505"/>
                <wp:effectExtent l="0" t="0" r="0" b="0"/>
                <wp:wrapNone/>
                <wp:docPr id="31" name="Frame3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 after the conversion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that is under common control with any Loan Party within the meaning of Section 414 of the Code or Section 4001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or in reorganization; (d) the filing of a notice of intent to terminate a Pension Plan, the treatment of a Pension Plan or Multiemployer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any Loan Party or any ERISA Affiliate; or (g) the failure of any Pension Plan to satisfy the minimum funding standard required for any plan year or part thereof under Section 412 of the Code or Section 302 of ERISA or a waiver of such standard or extension of any amortization period is sought or granted under Section 412 of the Code or Section 302 of ERISA.</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2"/>
          <w:u w:val="single"/>
        </w:rPr>
        <w:t>Erroneous Payment</w:t>
      </w:r>
      <w:r>
        <w:rPr>
          <w:color w:val="000000"/>
        </w:rPr>
        <w:t xml:space="preserve">” </w:t>
      </w:r>
      <w:r>
        <w:rPr>
          <w:rFonts w:ascii="Times New Roman;serif" w:hAnsi="Times New Roman;serif"/>
          <w:b w:val="false"/>
          <w:color w:val="000000"/>
          <w:sz w:val="22"/>
        </w:rPr>
        <w:t xml:space="preserve">has the meaning assigned thereto in </w:t>
      </w:r>
      <w:r>
        <w:rPr>
          <w:rFonts w:ascii="Times New Roman;serif" w:hAnsi="Times New Roman;serif"/>
          <w:b w:val="false"/>
          <w:color w:val="000000"/>
          <w:sz w:val="22"/>
          <w:u w:val="single"/>
        </w:rPr>
        <w:t>Section 9.15(a)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Erroneous Payment Deficiency Assignment</w:t>
      </w:r>
      <w:r>
        <w:rPr>
          <w:color w:val="000000"/>
        </w:rPr>
        <w:t xml:space="preserve">” </w:t>
      </w:r>
      <w:r>
        <w:rPr>
          <w:rFonts w:ascii="Times New Roman;serif" w:hAnsi="Times New Roman;serif"/>
          <w:b w:val="false"/>
          <w:color w:val="000000"/>
          <w:sz w:val="22"/>
        </w:rPr>
        <w:t xml:space="preserve">has the meaning assigned thereto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Erroneous Payment Impacted Class</w:t>
      </w:r>
      <w:r>
        <w:rPr>
          <w:color w:val="000000"/>
        </w:rPr>
        <w:t xml:space="preserve">” </w:t>
      </w:r>
      <w:r>
        <w:rPr>
          <w:rFonts w:ascii="Times New Roman;serif" w:hAnsi="Times New Roman;serif"/>
          <w:b w:val="false"/>
          <w:color w:val="000000"/>
          <w:sz w:val="22"/>
        </w:rPr>
        <w:t xml:space="preserve">has the meaning assigned thereto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2"/>
          <w:u w:val="single"/>
        </w:rPr>
        <w:t>Erroneous Payment Return Deficiency</w:t>
      </w:r>
      <w:r>
        <w:rPr>
          <w:color w:val="000000"/>
        </w:rPr>
        <w:t xml:space="preserve">” </w:t>
      </w:r>
      <w:r>
        <w:rPr>
          <w:rFonts w:ascii="Times New Roman;serif" w:hAnsi="Times New Roman;serif"/>
          <w:b w:val="false"/>
          <w:color w:val="000000"/>
          <w:sz w:val="22"/>
        </w:rPr>
        <w:t xml:space="preserve">has the meaning assigned thereto in </w:t>
      </w:r>
      <w:r>
        <w:rPr>
          <w:rFonts w:ascii="Times New Roman;serif" w:hAnsi="Times New Roman;serif"/>
          <w:b w:val="false"/>
          <w:color w:val="000000"/>
          <w:sz w:val="22"/>
          <w:u w:val="single"/>
        </w:rPr>
        <w:t>Section 9.15(d)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thereto),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Event of Default</w:t>
      </w:r>
      <w:r>
        <w:rPr>
          <w:color w:val="000000"/>
        </w:rPr>
        <w:t xml:space="preserve">” </w:t>
      </w:r>
      <w:r>
        <w:rPr>
          <w:rFonts w:ascii="Times New Roman;serif" w:hAnsi="Times New Roman;serif"/>
          <w:b w:val="false"/>
          <w:color w:val="000000"/>
          <w:sz w:val="22"/>
        </w:rPr>
        <w:t xml:space="preserve">means any of the events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requirement for passage of time, giving of notice, or any other condition, has been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Exchange Act</w:t>
      </w:r>
      <w:r>
        <w:rPr>
          <w:color w:val="000000"/>
        </w:rPr>
        <w:t xml:space="preserve">” </w:t>
      </w:r>
      <w:r>
        <w:rPr>
          <w:rFonts w:ascii="Times New Roman;serif" w:hAnsi="Times New Roman;serif"/>
          <w:b w:val="false"/>
          <w:color w:val="000000"/>
          <w:sz w:val="22"/>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Assets</w:t>
      </w:r>
      <w:r>
        <w:rPr>
          <w:color w:val="000000"/>
        </w:rPr>
        <w:t xml:space="preserve">” </w:t>
      </w:r>
      <w:r>
        <w:rPr>
          <w:rFonts w:ascii="Times New Roman;serif" w:hAnsi="Times New Roman;serif"/>
          <w:b w:val="false"/>
          <w:color w:val="000000"/>
          <w:sz w:val="22"/>
        </w:rPr>
        <w:t xml:space="preserve">means (i) any fee-owned real property (other than Material Real Property) and any leasehold rights and leasehold interests in real property (it being understood that the Loan Documents shall not contain any requirements as to landlord waivers, estoppels and collateral access letters), (ii) motor vehicles and other assets subject to certificates of title to the extent that a security interest therein cannot be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84505"/>
                <wp:effectExtent l="0" t="0" r="0" b="0"/>
                <wp:wrapNone/>
                <wp:docPr id="32" name="Frame3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perfected by the filing of a UCC-1 financing statement, (iii) commercial tort claims where the amount of damages claimed by the applicable Loan Party is less than $5,000,000, (iv) any governmental licenses or state or local franchises, charters and authorizations to the extent that the Collateral Agent may not validly possess a security interest therein under applicable Laws (including, without limitation, rules and regulations of any Governmental Authority or agency) or the pledge or creation of a security interest in which would require governmental consent, approval, license or authorization, other than to the extent such prohibition, limitation or restriction is ineffective under the UCC or other applicable Laws, (v) any particular asset or right under contract, if the pledge thereof or the security interest therein (A) is prohibited by applicable Law other than to the extent such prohibition is rendered ineffective under the UCC or other applicable Laws or (B) to the extent and for as long as it would violate the terms of any written agreement, license, lease or similar arrangement with respect to such asset or would require consent, approval, license or authorization (in each case, after giving effect to the relevant provisions of the UCC or other applicable Laws) or would give rise to a termination right (in favor of a Person other than any Borrower or any Subsidiary) pursuant to any “change of control” or other similar provision under such written agreement, license or lease (except to the extent such provision is overridden by the UCC or other applicable Laws), in each case, (a) excluding any such written agreement that relates to Credit Agreement Refinancing Indebtedness or Incremental Equivalent Debt and (b) only to the extent that such limitation on such pledge or security interest is otherwise permitted under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(vi) (A) Equity Interests in any Employment Participation Subsidiary (except to the extent a perfected security interest in such Subsidiary can be obtained by filing of a UCC-1 financing statement), (B) Margin Stock, (C) Equity Interests of any Person listed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(D) Equity Interests in any non-Wholly Owned Subsidiaries, but only to the extent that, and for so long as, (x) the Organization Documents or other agreements with respect to the Equity Interests of such non-Wholly Owned Subsidiaries with other equity holders (other than any such agreement where all of the equity holders party thereto are Loan Parties or Subsidiaries thereof) do not permit or restrict the pledge of such Equity Interests, or (y) the pledge of such Equity Interests (including any exercise of remedies) would result in a change of control, repurchase obligation or other adverse consequence to any of the Loan Parties or such Subsidiary (other than the loss of such Equity Interests as a result of any such exercise of remedies), (E) Equity Interests of Foreign Subsidiary Holding Companies, (F) Equity Interests of any Subsidiary of a Foreign Subsidiary, and (G) Equity Interests of Liquor License Subsidiaries, (vii) any lease, license or agreement or any property subject to a purchase money security interest, finance lease obligation or similar arrangement, in each case to the extent that a grant of a security interest therein would violate or invalidate such lease, license or agreement or purchase money or similar arrangement or create a right of termination in favor of any other party thereto (other than any Borrower or any Subsidiary) after giving effect to the applicable anti-assignment provisions of the UCC or other applicable Laws, other than proceeds and receivables thereof, the assignment of which is expressly deemed effective under the UCC or other applicable Laws notwithstanding such prohibition, (viii) any intellectual property registered under the laws of a jurisdiction other than the United States, (ix) any assets if the creation or perfection of pledges of, or security interests in, such assets would result in material adverse tax consequences to any Borrower or any of its Subsidiaries, as reasonably determined by the Borrowers in consultation with the Administrative Agent, (x) letter of credit rights where the maximum amount of any such letter of credit is less than $5,000,000, except to the extent constituting a support obligation for other Collateral as to which perfection of the security interest in such other Collateral is accomplished solely by the filing of a UCC financing statement, (xi)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(xii) particular assets if and for so long as, in the reasonable judgment of the Administrative Agent and the Borrowers (as set forth in a written agreement between the Administrative Agent and the Borrowers), the cost of obtaining a security interest in such assets exceeds the practical benefits to the Lenders afforded thereby and (xiii) Excluded Real Property;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Excluded Assets shall not include any proceeds, substitutions or replacements of any Excluded Assets referred to in preceding clauses (i) through (xiii) (unless such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84505"/>
                <wp:effectExtent l="0" t="0" r="0" b="0"/>
                <wp:wrapNone/>
                <wp:docPr id="33" name="Frame3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proceeds, substitutions or replacements would independently constitute Excluded Assets referred to in such clauses (i) through (xiii)).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Concept Subsidiaries</w:t>
      </w:r>
      <w:r>
        <w:rPr>
          <w:color w:val="000000"/>
        </w:rPr>
        <w:t xml:space="preserve">” </w:t>
      </w:r>
      <w:r>
        <w:rPr>
          <w:rFonts w:ascii="Times New Roman;serif" w:hAnsi="Times New Roman;serif"/>
          <w:b w:val="false"/>
          <w:color w:val="000000"/>
          <w:sz w:val="22"/>
        </w:rPr>
        <w:t xml:space="preserve">means any Wholly Owned Domestic Subsidiaries in the Borrowers’ Flemings concept (which, for the avoidance of doubt, also shall include each such Subsidiary that is the general partner of each Employment Participation Subsidiary associated with such concepts);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portion of revenues attributable to Excluded Concept Subsidiaries (taken as a group) exceeds 10% of the consolidated revenues of the Company and its Subsidiaries for any Test Period, then the Borrowers shall designate certain domestic Wholly Owned Excluded Concept Subsidiaries to become Guarantors (including, in any event, any Subsidiary that is the general partner of each Employment Participation Subsidiary associated with such Excluded Concept Subsidiaries designated to become Guarantors), which shall cease to be Excluded Concept Subsidiaries, such that the portion of revenues attributable to the remaining Wholly Owned domestic Excluded Concept Subsidiaries (after giving effect to such designated domestic Wholly Owned Subsidiaries ceasing to be Excluded Concept Subsidiaries) no longer exceeds 10% of the consolidated revenues of the Company and its Subsidiaries for such Test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Excluded Concept Subsidiary shall be an obligor or guarantor of (i) any Credit Agreement Refinancing Indebtedness, (ii) any Incremental Equivalent Debt or (iii) any Junior Financing, in the case of preceding clause (iii) with an aggregate principal amount in excess of the Threshold Amount.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Contribution</w:t>
      </w:r>
      <w:r>
        <w:rPr>
          <w:color w:val="000000"/>
        </w:rPr>
        <w:t xml:space="preserve">” </w:t>
      </w:r>
      <w:r>
        <w:rPr>
          <w:rFonts w:ascii="Times New Roman;serif" w:hAnsi="Times New Roman;serif"/>
          <w:b w:val="false"/>
          <w:color w:val="000000"/>
          <w:sz w:val="22"/>
        </w:rPr>
        <w:t>means the amount of capital contributions to the Company (and promptly contributed to OSI) or Net Cash Proceeds from the sale or issuance of Qualified Equity Interests of the Company (and promptly contributed to OSI), in each case after the Closing Date and designated by the Company to the Administrative Agent as an Excluded Contribution on or promptly after the date such capital contributions are made or such Equity Interests are sold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Real Property</w:t>
      </w:r>
      <w:r>
        <w:rPr>
          <w:color w:val="000000"/>
        </w:rPr>
        <w:t xml:space="preserve">” </w:t>
      </w:r>
      <w:r>
        <w:rPr>
          <w:rFonts w:ascii="Times New Roman;serif" w:hAnsi="Times New Roman;serif"/>
          <w:b w:val="false"/>
          <w:color w:val="000000"/>
          <w:sz w:val="22"/>
        </w:rPr>
        <w:t xml:space="preserve">means any fee-owned real property and any leasehold rights and leasehold interests in real property set forth on </w:t>
      </w:r>
      <w:r>
        <w:rPr>
          <w:rFonts w:ascii="Times New Roman;serif" w:hAnsi="Times New Roman;serif"/>
          <w:b w:val="false"/>
          <w:color w:val="000000"/>
          <w:sz w:val="22"/>
          <w:u w:val="single"/>
        </w:rPr>
        <w:t>Schedule 1.01B</w:t>
      </w:r>
      <w:r>
        <w:rPr>
          <w:rFonts w:ascii="Times New Roman;serif" w:hAnsi="Times New Roman;serif"/>
          <w:b w:val="false"/>
          <w:color w:val="000000"/>
          <w:sz w:val="22"/>
        </w:rPr>
        <w:t>, which property shall continue to constitute Excluded Real Property notwithstanding any subsequent transfer of any such property to any other Loan Party or to a newly formed entity that is required to become a Loan Party hereunder, in all cases, it being the understanding and intent of the parties hereto that any property constituting Excluded Real Property on the Closing Date shall continue to constitute Excluded Real Property for all purposes of this Agreement and the other Loan Documents notwithstanding any such transfer or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Subsidiary</w:t>
      </w:r>
      <w:r>
        <w:rPr>
          <w:color w:val="000000"/>
        </w:rPr>
        <w:t xml:space="preserve">” </w:t>
      </w:r>
      <w:r>
        <w:rPr>
          <w:rFonts w:ascii="Times New Roman;serif" w:hAnsi="Times New Roman;serif"/>
          <w:b w:val="false"/>
          <w:color w:val="000000"/>
          <w:sz w:val="22"/>
        </w:rPr>
        <w:t xml:space="preserve">means (a) any Subsidiary that is not a Wholly Owned Subsidiary, (b) any Subsidiary that is prohibited by applicable Law or Contractual Obligation existing on the Closing Date (or, in the case of any Subsidiary acquired after the Closing Date, any Contractual Obligation in existence at the time of the acquisition of such Subsidiary but not entered into in contemplation thereof) from guaranteeing the Obligations, (c) any Domestic Subsidiary that is a Subsidiary of (i) a Foreign Subsidiary that is a CFC or (ii) a Foreign Subsidiary Holding Company, (d) any Foreign Subsidiary Holding Company, (e) any Subsidiary prohibited from guaranteeing the Obligations under the terms of Indebtedness assumed pursuant to </w:t>
      </w:r>
      <w:r>
        <w:rPr>
          <w:rFonts w:ascii="Times New Roman;serif" w:hAnsi="Times New Roman;serif"/>
          <w:b w:val="false"/>
          <w:color w:val="000000"/>
          <w:sz w:val="22"/>
          <w:u w:val="single"/>
        </w:rPr>
        <w:t>Section 7.03(g)(A)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such Subsidiary shall cease to be an Excluded Subsidiary under this clause (e) if such Indebtedness is repaid, (f) any Immaterial Subsidiary, (g) any Employment Participation Subsidiary, (h) any Excluded Concept Subsidiary, (i) any special purposes securitization vehicle (or similar entity), (j) any not-for-profit Subsidiary, (k) any Liquor License Subsidiary and (l) any other Subsidiary with respect to which, in the reasonable judgment of the Administrative Agent (confirmed in writing by notice to the Borrowers), the cost or other consequences (including any adverse Tax consequences) of providing a Guarantee shall be excessive in view of the practical benefits to be obtained by the Lenders therefrom. For the avoidance of doubt, and notwithstanding anything herein to the contrary, any Borrower in its sole discretion may cause any Subsidiary that is not a Guarantor to Guarantee the Obligations by causing such Subsidiary to execute and deliver to the Administrative Agent a Guaranty Supplement and a Security Agreement Supplement, and any such Subsidiary shall be a Guarantor, Loan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84505"/>
                <wp:effectExtent l="0" t="0" r="0" b="0"/>
                <wp:wrapNone/>
                <wp:docPr id="34" name="Frame3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Party and Subsidiary Guarantor hereunder for all purposes until such time, if any, as such Subsidiary shall be released from the Guaranty. Notwithstanding the foregoing, any Subsidiary that is an obligor or guarantor of any Credit Agreement Refinancing Indebtedness or any Incremental Equivalent Debt shall not be an Excluded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Swap Obligation</w:t>
      </w:r>
      <w:r>
        <w:rPr>
          <w:color w:val="000000"/>
        </w:rPr>
        <w:t xml:space="preserve">” </w:t>
      </w:r>
      <w:r>
        <w:rPr>
          <w:rFonts w:ascii="Times New Roman;serif" w:hAnsi="Times New Roman;serif"/>
          <w:b w:val="false"/>
          <w:color w:val="000000"/>
          <w:sz w:val="22"/>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 Recipient or required to be withheld or deducted from a payment to a Recipient, (a) Taxes imposed on or measured by net income or net profits (however denominated), franchise (and similar) Taxes, any net-worth (and similar) Taxes (in lieu of net income Taxes) and branch profits Taxes, imposed by the jurisdiction (or any political subdivision thereof) under the Laws of which such Recipient is organized or maintains its principal office or applicable Lending Office, (b) Taxes imposed by reason of any past, current or future connection between the Recipient and a jurisdiction (or any political subdivision thereof) other than solely as a result of entering into any Loan Document and receiving payments thereunder or enforcing any Loan Document, (c) any withholding Taxes imposed by any jurisdiction in which any Borrower is formed or organized on amounts paid or payable to or for the account of such Recipient pursuant to any Law in effect on the date on which (i) such Recipient becomes a party to this Agreement or any other Loan Document (other than pursuant to an assignment request by the Company under </w:t>
      </w:r>
      <w:r>
        <w:rPr>
          <w:rFonts w:ascii="Times New Roman;serif" w:hAnsi="Times New Roman;serif"/>
          <w:b w:val="false"/>
          <w:color w:val="000000"/>
          <w:sz w:val="22"/>
          <w:u w:val="single"/>
        </w:rPr>
        <w:t>Section 3.07</w:t>
      </w:r>
      <w:r>
        <w:rPr>
          <w:rFonts w:ascii="Times New Roman;serif" w:hAnsi="Times New Roman;serif"/>
          <w:b w:val="false"/>
          <w:color w:val="000000"/>
          <w:sz w:val="22"/>
        </w:rPr>
        <w:t xml:space="preserve">) or (ii) such Lender changes its Lending Office, except in each such case to the extent that,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(d) Taxes attributable to such Recipient’s failure to comply with </w:t>
      </w:r>
      <w:r>
        <w:rPr>
          <w:rFonts w:ascii="Times New Roman;serif" w:hAnsi="Times New Roman;serif"/>
          <w:b w:val="false"/>
          <w:color w:val="000000"/>
          <w:sz w:val="22"/>
          <w:u w:val="single"/>
        </w:rPr>
        <w:t>Section 3.01(g)</w:t>
      </w:r>
      <w:r>
        <w:rPr>
          <w:rFonts w:ascii="Times New Roman;serif" w:hAnsi="Times New Roman;serif"/>
          <w:b w:val="false"/>
          <w:color w:val="000000"/>
          <w:sz w:val="22"/>
        </w:rPr>
        <w:t>, (e) any U.S. federal withholding Taxes imposed under FATCA and (f) any U.S. federal backup withholding Taxes imposed under Section 3406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Existing Credit Agreement</w:t>
      </w:r>
      <w:r>
        <w:rPr>
          <w:color w:val="000000"/>
        </w:rPr>
        <w:t xml:space="preserve">” </w:t>
      </w:r>
      <w:r>
        <w:rPr>
          <w:rFonts w:ascii="Times New Roman;serif" w:hAnsi="Times New Roman;serif"/>
          <w:b w:val="false"/>
          <w:color w:val="000000"/>
          <w:sz w:val="22"/>
        </w:rPr>
        <w:t>has the meaning specified in the Preliminary Statements.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Existing Letters of Credit</w:t>
      </w:r>
      <w:r>
        <w:rPr>
          <w:color w:val="000000"/>
        </w:rPr>
        <w:t xml:space="preserve">” </w:t>
      </w:r>
      <w:r>
        <w:rPr>
          <w:rFonts w:ascii="Times New Roman;serif" w:hAnsi="Times New Roman;serif"/>
          <w:b w:val="false"/>
          <w:color w:val="000000"/>
          <w:sz w:val="22"/>
        </w:rPr>
        <w:t xml:space="preserve">means the letters of credit outstanding on the Closing Date and set forth on </w:t>
      </w:r>
      <w:r>
        <w:rPr>
          <w:rFonts w:ascii="Times New Roman;serif" w:hAnsi="Times New Roman;serif"/>
          <w:b w:val="false"/>
          <w:color w:val="000000"/>
          <w:sz w:val="22"/>
          <w:u w:val="single"/>
        </w:rPr>
        <w:t>Schedule 1.01C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Existing Revolver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Expiring Credit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Extended Revolving Credit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Extended Revolving Credit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Extending Revolving Credit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Extension</w:t>
      </w:r>
      <w:r>
        <w:rPr>
          <w:color w:val="000000"/>
        </w:rPr>
        <w:t xml:space="preserve">” </w:t>
      </w:r>
      <w:r>
        <w:rPr>
          <w:rFonts w:ascii="Times New Roman;serif" w:hAnsi="Times New Roman;serif"/>
          <w:b w:val="false"/>
          <w:color w:val="000000"/>
          <w:sz w:val="22"/>
        </w:rPr>
        <w:t xml:space="preserve">means the establishment of an Extension Series by amending a Loan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and the applicable Extension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84505"/>
                <wp:effectExtent l="0" t="0" r="0" b="0"/>
                <wp:wrapNone/>
                <wp:docPr id="35" name="Frame3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Extension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Extension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Extension Request</w:t>
      </w:r>
      <w:r>
        <w:rPr>
          <w:color w:val="000000"/>
        </w:rPr>
        <w:t xml:space="preserve">” </w:t>
      </w:r>
      <w:r>
        <w:rPr>
          <w:rFonts w:ascii="Times New Roman;serif" w:hAnsi="Times New Roman;serif"/>
          <w:b w:val="false"/>
          <w:color w:val="000000"/>
          <w:sz w:val="22"/>
        </w:rPr>
        <w:t>means any Revolver Extension Request.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Extension Series</w:t>
      </w:r>
      <w:r>
        <w:rPr>
          <w:color w:val="000000"/>
        </w:rPr>
        <w:t xml:space="preserve">” </w:t>
      </w:r>
      <w:r>
        <w:rPr>
          <w:rFonts w:ascii="Times New Roman;serif" w:hAnsi="Times New Roman;serif"/>
          <w:b w:val="false"/>
          <w:color w:val="000000"/>
          <w:sz w:val="22"/>
        </w:rPr>
        <w:t>means any Revolver Extension Series.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Facility</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u w:val="single"/>
        </w:rPr>
        <w:t>Facilities</w:t>
      </w:r>
      <w:r>
        <w:rPr>
          <w:color w:val="000000"/>
        </w:rPr>
        <w:t xml:space="preserve">” </w:t>
      </w:r>
      <w:r>
        <w:rPr>
          <w:rFonts w:ascii="Times New Roman;serif" w:hAnsi="Times New Roman;serif"/>
          <w:b w:val="false"/>
          <w:color w:val="000000"/>
          <w:sz w:val="22"/>
        </w:rPr>
        <w:t>means a given Class of Incremental Term Loans, the Revolving Credit Facility, a given Extension Series of Extended Revolving Credit Commitments or any Other Revolving Credit Loan (or Commitment)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Fair Market Value</w:t>
      </w:r>
      <w:r>
        <w:rPr>
          <w:color w:val="000000"/>
        </w:rPr>
        <w:t xml:space="preserve">” </w:t>
      </w:r>
      <w:r>
        <w:rPr>
          <w:rFonts w:ascii="Times New Roman;serif" w:hAnsi="Times New Roman;serif"/>
          <w:b w:val="false"/>
          <w:color w:val="000000"/>
          <w:sz w:val="22"/>
        </w:rPr>
        <w:t>means, with respect to any asset or liability, the fair market value of such asset or liability as determined by the Borrowers in good faith.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and, for the avoidance of doubt, any agreements entered into pursuant to Section 1471(b)(1) of the Code or otherwise pursuant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Finance Lease Obligation</w:t>
      </w:r>
      <w:r>
        <w:rPr>
          <w:color w:val="000000"/>
        </w:rPr>
        <w:t xml:space="preserve">” </w:t>
      </w:r>
      <w:r>
        <w:rPr>
          <w:rFonts w:ascii="Times New Roman;serif" w:hAnsi="Times New Roman;serif"/>
          <w:b w:val="false"/>
          <w:color w:val="000000"/>
          <w:sz w:val="22"/>
        </w:rPr>
        <w:t>means, at the time any determination thereof is to be made, the amount of the liability in respect of a Finance Lease that would at such time be required to be capitalized and reflected as a liability on a balance sheet (excluding the footnotes thereto) prepared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Finance Leases</w:t>
      </w:r>
      <w:r>
        <w:rPr>
          <w:color w:val="000000"/>
        </w:rPr>
        <w:t xml:space="preserve">” </w:t>
      </w:r>
      <w:r>
        <w:rPr>
          <w:rFonts w:ascii="Times New Roman;serif" w:hAnsi="Times New Roman;serif"/>
          <w:b w:val="false"/>
          <w:color w:val="000000"/>
          <w:sz w:val="22"/>
        </w:rPr>
        <w:t xml:space="preserve">means all leases that have been or should be, in accordance with GAAP (except for temporary treatment of construction-related expenditures under Accounting Standards Codification Topic 842 which will ultimately be treated as operating leases upon a sale-leaseback transaction), recorded on the balance sheet as finance leases;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all purposes hereunder the amount of obligations under any Finance Lease shall be the amount thereof accounted for as a liability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Financial Covenants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First Lien Intercreditor Agreement</w:t>
      </w:r>
      <w:r>
        <w:rPr>
          <w:color w:val="000000"/>
        </w:rPr>
        <w:t xml:space="preserve">” </w:t>
      </w:r>
      <w:r>
        <w:rPr>
          <w:rFonts w:ascii="Times New Roman;serif" w:hAnsi="Times New Roman;serif"/>
          <w:b w:val="false"/>
          <w:color w:val="000000"/>
          <w:sz w:val="22"/>
        </w:rPr>
        <w:t xml:space="preserve">means an intercreditor agreement substantially in the form of </w:t>
      </w:r>
      <w:r>
        <w:rPr>
          <w:rFonts w:ascii="Times New Roman;serif" w:hAnsi="Times New Roman;serif"/>
          <w:b w:val="false"/>
          <w:color w:val="000000"/>
          <w:sz w:val="22"/>
          <w:u w:val="single"/>
        </w:rPr>
        <w:t>Exhibit I</w:t>
      </w:r>
      <w:r>
        <w:rPr>
          <w:color w:val="000000"/>
        </w:rPr>
        <w:t xml:space="preserve"> </w:t>
      </w:r>
      <w:r>
        <w:rPr>
          <w:rFonts w:ascii="Times New Roman;serif" w:hAnsi="Times New Roman;serif"/>
          <w:b w:val="false"/>
          <w:color w:val="000000"/>
          <w:sz w:val="22"/>
        </w:rPr>
        <w:t xml:space="preserve">hereto (which agreement in such form or with immaterial changes thereto the Administrative Agent is authorized to enter into) together with any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84505"/>
                <wp:effectExtent l="0" t="0" r="0" b="0"/>
                <wp:wrapNone/>
                <wp:docPr id="36" name="Frame3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have consented to such intercreditor agreement (with such changes) and to the Administrative Agent’s execution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Floor</w:t>
      </w:r>
      <w:r>
        <w:rPr>
          <w:color w:val="000000"/>
        </w:rPr>
        <w:t xml:space="preserve">” </w:t>
      </w:r>
      <w:r>
        <w:rPr>
          <w:rFonts w:ascii="Times New Roman;serif" w:hAnsi="Times New Roman;serif"/>
          <w:b w:val="false"/>
          <w:color w:val="000000"/>
          <w:sz w:val="22"/>
        </w:rPr>
        <w:t>means a rate of interest equal to 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Foreign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Foreign Subsidiary</w:t>
      </w:r>
      <w:r>
        <w:rPr>
          <w:color w:val="000000"/>
        </w:rPr>
        <w:t xml:space="preserve">” </w:t>
      </w:r>
      <w:r>
        <w:rPr>
          <w:rFonts w:ascii="Times New Roman;serif" w:hAnsi="Times New Roman;serif"/>
          <w:b w:val="false"/>
          <w:color w:val="000000"/>
          <w:sz w:val="22"/>
        </w:rPr>
        <w:t xml:space="preserve">means any direct or indirect Subsidiary which (a) is not a Domestic Subsidiary or (b) is set forth on </w:t>
      </w:r>
      <w:r>
        <w:rPr>
          <w:rFonts w:ascii="Times New Roman;serif" w:hAnsi="Times New Roman;serif"/>
          <w:b w:val="false"/>
          <w:color w:val="000000"/>
          <w:sz w:val="22"/>
          <w:u w:val="single"/>
        </w:rPr>
        <w:t>Schedule 1.01D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Foreign Subsidiary Holding Company</w:t>
      </w:r>
      <w:r>
        <w:rPr>
          <w:color w:val="000000"/>
        </w:rPr>
        <w:t xml:space="preserve">” </w:t>
      </w:r>
      <w:r>
        <w:rPr>
          <w:rFonts w:ascii="Times New Roman;serif" w:hAnsi="Times New Roman;serif"/>
          <w:b w:val="false"/>
          <w:color w:val="000000"/>
          <w:sz w:val="22"/>
        </w:rPr>
        <w:t>means any Domestic Subsidiary, substantially all of whose assets consist of (a) the Equity Interests and/or Indebtedness of one or more Foreign Subsidiaries, (b) other assets used exclusively in the business of one or more Foreign Subsidiaries and/or (c) the Equity Interests and/or Indebtedness of one or more Domestic Subsidiaries, substantially all of whose assets consist of the types described in clauses (a)-(c).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engaged in making, purchasing, holding or otherwise investing in commercial loans and similar extensions of credit in the ordinary course.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in the United States of America, as in effect from time to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the Company notifies the Administrative Agent that the Company requests an amendment to any provision hereof to eliminate the effect of any change occurring or effective after the Closing Date in GAAP or in the application thereof (including through conforming changes made consistent with IFRS)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(including through conforming changes made consistent with IFRS), then such provision shall be interpreted on the basis of GAAP as in effect and applied immediately before such change shall have become effective until such notice shall have been withdrawn or such provision amended in accordance herewith. Notwithstanding the foregoing, for purposes of determining compliance with any covenant contained herein (including, without limitation, the Financial Covenants), any lease that is treated as an operating lease for purposes of GAAP as of the Closing Date shall not be treated as Indebtedness and shall continue to be treated as an operating lease (and any future lease that would be treated as an operating lease for purposes of GAAP as of the Closing Date shall be similarly treated).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Granting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without duplication, (a) any obligation, contingent or otherwise, of such Person guaranteeing or having the economic effect of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84505"/>
                <wp:effectExtent l="0" t="0" r="0" b="0"/>
                <wp:wrapNone/>
                <wp:docPr id="37" name="Frame3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Guarantors</w:t>
      </w:r>
      <w:r>
        <w:rPr>
          <w:color w:val="000000"/>
        </w:rPr>
        <w:t xml:space="preserve">” </w:t>
      </w:r>
      <w:r>
        <w:rPr>
          <w:rFonts w:ascii="Times New Roman;serif" w:hAnsi="Times New Roman;serif"/>
          <w:b w:val="false"/>
          <w:color w:val="000000"/>
          <w:sz w:val="22"/>
        </w:rPr>
        <w:t>means each Borrower and each Subsidiary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Guaranty</w:t>
      </w:r>
      <w:r>
        <w:rPr>
          <w:color w:val="000000"/>
        </w:rPr>
        <w:t xml:space="preserve">” </w:t>
      </w:r>
      <w:r>
        <w:rPr>
          <w:rFonts w:ascii="Times New Roman;serif" w:hAnsi="Times New Roman;serif"/>
          <w:b w:val="false"/>
          <w:color w:val="000000"/>
          <w:sz w:val="22"/>
        </w:rPr>
        <w:t xml:space="preserve">means, collectively, (a) the Fourth Amended and Restated Guaranty Agreement made by the Guarantors in favor of the Administrative Agent on behalf of the Secured Parties, substantially in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 xml:space="preserve">(as the same may be amended, restated, supplemented or otherwise modified from time to time) and (b) each other guaranty and guaranty supplement delivered pursuant to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For avoidance of doubt, and notwithstanding anything herein to the contrary, any Borrower in its sole discretion may cause any Subsidiary that is not a Guarantor to Guarantee the Obligations by causing such Subsidiary to execute and deliver to the Administrative Agent a Guaranty Supplement and a Security Agreement Supplement and comply with the other provisions of </w:t>
      </w:r>
      <w:r>
        <w:rPr>
          <w:rFonts w:ascii="Times New Roman;serif" w:hAnsi="Times New Roman;serif"/>
          <w:b w:val="false"/>
          <w:color w:val="000000"/>
          <w:sz w:val="22"/>
          <w:u w:val="single"/>
        </w:rPr>
        <w:t>Section 6.11</w:t>
      </w:r>
      <w:r>
        <w:rPr>
          <w:rFonts w:ascii="Times New Roman;serif" w:hAnsi="Times New Roman;serif"/>
          <w:b w:val="false"/>
          <w:color w:val="000000"/>
          <w:sz w:val="22"/>
        </w:rPr>
        <w:t>, and any such Subsidiary shall be a Guarantor, Loan Party and Subsidiary Guarantor hereunder for all purposes until such time, if any, as such Subsidiary shall be released from the Guaranty.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Guaranty Supplement</w:t>
      </w:r>
      <w:r>
        <w:rPr>
          <w:color w:val="000000"/>
        </w:rPr>
        <w:t xml:space="preserve">” </w:t>
      </w:r>
      <w:r>
        <w:rPr>
          <w:rFonts w:ascii="Times New Roman;serif" w:hAnsi="Times New Roman;serif"/>
          <w:b w:val="false"/>
          <w:color w:val="000000"/>
          <w:sz w:val="22"/>
        </w:rPr>
        <w:t xml:space="preserve">has the meaning specified in the Guaranty.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Hedge Bank</w:t>
      </w:r>
      <w:r>
        <w:rPr>
          <w:color w:val="000000"/>
        </w:rPr>
        <w:t xml:space="preserve">” </w:t>
      </w:r>
      <w:r>
        <w:rPr>
          <w:rFonts w:ascii="Times New Roman;serif" w:hAnsi="Times New Roman;serif"/>
          <w:b w:val="false"/>
          <w:color w:val="000000"/>
          <w:sz w:val="22"/>
        </w:rPr>
        <w:t>means any Person that (a) is an Agent, a Joint Lead Arranger, a Lender or an Affiliate of an Agent, a Joint Lead Arranger or a Lender, in each case at the time such Person enters into a Swap Contract, in its capacity as a party thereto (and whether or not such Person subsequently ceases to be an Agent, Joint Lead Arranger, Lender or Affiliate of an Agent, Joint Lead Arranger or Lender), and such Person’s successors and assigns or (b) at the time it becomes a Lender (including on the Closing Date), is already a party to a Swap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Honor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Immaterial Subsidiary</w:t>
      </w:r>
      <w:r>
        <w:rPr>
          <w:color w:val="000000"/>
        </w:rPr>
        <w:t xml:space="preserve">” </w:t>
      </w:r>
      <w:r>
        <w:rPr>
          <w:rFonts w:ascii="Times New Roman;serif" w:hAnsi="Times New Roman;serif"/>
          <w:b w:val="false"/>
          <w:color w:val="000000"/>
          <w:sz w:val="22"/>
        </w:rPr>
        <w:t xml:space="preserve">means any Subsidiary designated in writing by the Company to the Administrative Agent as an Immaterial Subsidiary that is not already a Guarantor and that does not, as of the last day of the most recently completed fiscal quarter of the Company, have assets with a book value in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84505"/>
                <wp:effectExtent l="0" t="0" r="0" b="0"/>
                <wp:wrapNone/>
                <wp:docPr id="38" name="Frame3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excess of 2.0% of the consolidated total assets of the Company and its Subsidiaries and did not, as of the four-quarter period ending on the last day of such fiscal quarter, have revenues exceeding 2.0% of the consolidated revenues of the Company and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such Subsidiary shall have been designated in writing by the Company to the Administrative Agent as an Immaterial Subsidiary, and (b) if (i) the aggregate assets then owned by all Subsidiaries of the Company that would otherwise constitute Immaterial Subsidiaries shall have a value in excess of 5.0% of the consolidated total assets of the Company and its Subsidiaries as of the last day of such fiscal quarter or (ii) the combined revenues of all Subsidiaries of the Company that would otherwise constitute Immaterial Subsidiaries shall exceed 5.0% of the consolidated revenues of the Company and its Subsidiaries for such four-quarter period, the Company shall redesignate one or more of such Subsidiaries to not be Immaterial Subsidiaries within ten (10) Business Days after delivery of the Compliance Certificate for such fiscal quarter such that only those such Subsidiaries as shall then have aggregate assets of less than 5.0% of the consolidated total assets of the Company and its Subsidiaries and combined revenues of less than 5.0% of the consolidated revenues of the Company and its Subsidiaries shall constitute Immaterial Subsidiaries. Notwithstanding the foregoing, in no event shall (A) any Wholly Owned Domestic Subsidiary that owns, or otherwise licenses or has the right to use, trademarks and other intellectual property material to the operation of the Borrowers and their Subsidiaries (excluding any Excluded Concept Subsidiaries), (B) any general partner of an Employment Participation Subsidiary, (C) OS Restaurant Services (or any successor to the business conducted by it on the Closing Date) or (D) any Subsidiary that is an obligor or guarantor of (i) any Credit Agreement Refinancing Indebtedness, (ii) any Incremental Equivalent Debt or (iii) any Junior Financing, in the case of preceding clause (iii), with an aggregate principal amount in excess of the Threshold Amount, in any such case be designated as an Immaterial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Income Taxes</w:t>
      </w:r>
      <w:r>
        <w:rPr>
          <w:color w:val="000000"/>
        </w:rPr>
        <w:t xml:space="preserve">” </w:t>
      </w:r>
      <w:r>
        <w:rPr>
          <w:rFonts w:ascii="Times New Roman;serif" w:hAnsi="Times New Roman;serif"/>
          <w:b w:val="false"/>
          <w:color w:val="000000"/>
          <w:sz w:val="22"/>
        </w:rPr>
        <w:t>means, with respect to any Person, the foreign, federal, state and local taxes based on income or profits or capital, including, without limitation, state, franchise and similar taxes (such as the Pennsylvania capital tax and Texas margin tax) and withholding taxes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Equivalent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7.03(s)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Facility</w:t>
      </w:r>
      <w:r>
        <w:rPr>
          <w:color w:val="000000"/>
        </w:rPr>
        <w:t xml:space="preserve">” </w:t>
      </w:r>
      <w:r>
        <w:rPr>
          <w:rFonts w:ascii="Times New Roman;serif" w:hAnsi="Times New Roman;serif"/>
          <w:b w:val="false"/>
          <w:color w:val="000000"/>
          <w:sz w:val="22"/>
        </w:rPr>
        <w:t>means any Facility consisting of Incremental Term Loans, Incremental Term Commitments and/or Revolving Commitment Increases.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Facility Closing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Lenders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Loan Request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Revolving Credit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Term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Term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Term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Incremental Term Loan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84505"/>
                <wp:effectExtent l="0" t="0" r="0" b="0"/>
                <wp:wrapNone/>
                <wp:docPr id="39" name="Frame3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(a)all obligations of such Person for borrowed money and all obligations of such Person evidenced by bonds, debentures, notes, loan agreements or other similar instruments;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(c)net obligations of such Person under any Swap Contract;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(d)all obligations of such Person to pay the deferred purchase price of property or services (other than (i) trade accounts and accrued expenses payable and deferred gift card revenue in the ordinary course of business, (ii) any earn-out obligation or purchase price adjustment until such obligation is not paid after becoming due and payable and (iii) accruals for payroll and other liabilities accrued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(f)all Attributable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(g)all obligations of such Person in respect of Disqualified Equity Interests;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(h)to the extent not otherwise included above, all Guarantees of such Person in respect of any of the foregoing.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be included in the calculation of Consolidated Total Debt. The amount of any net obligation under any Swap Contract on any date shall be deemed to be the Swap Termination Value thereof as of such date. The amount of Indebtedness of any Person for purposes of clause (e) above shall be deemed to be equal to the lesser of (i) the aggregate unpaid amount of such Indebtedness and (ii) the Fair Market Value of the property encumbered thereby.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Indemnified Liabilities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Borrower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Indemnitees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10.05</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84505"/>
                <wp:effectExtent l="0" t="0" r="0" b="0"/>
                <wp:wrapNone/>
                <wp:docPr id="40" name="Frame3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Independent Financial Advisor</w:t>
      </w:r>
      <w:r>
        <w:rPr>
          <w:color w:val="000000"/>
        </w:rPr>
        <w:t xml:space="preserve">” </w:t>
      </w:r>
      <w:r>
        <w:rPr>
          <w:rFonts w:ascii="Times New Roman;serif" w:hAnsi="Times New Roman;serif"/>
          <w:b w:val="false"/>
          <w:color w:val="000000"/>
          <w:sz w:val="22"/>
        </w:rPr>
        <w:t>means an accounting firm, appraisal firm, investment banking firm or consultant of nationally recognized standing that is, in the good faith judgment of the Borrowers, qualified to perform the task for which it has been engaged and that is independent of the Borrowers and their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Intercompany Note</w:t>
      </w:r>
      <w:r>
        <w:rPr>
          <w:color w:val="000000"/>
        </w:rPr>
        <w:t xml:space="preserve">” </w:t>
      </w:r>
      <w:r>
        <w:rPr>
          <w:rFonts w:ascii="Times New Roman;serif" w:hAnsi="Times New Roman;serif"/>
          <w:b w:val="false"/>
          <w:color w:val="000000"/>
          <w:sz w:val="22"/>
        </w:rPr>
        <w:t xml:space="preserve">means the Intercompany Note, substantially in the form of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Interest Payment Date</w:t>
      </w:r>
      <w:r>
        <w:rPr>
          <w:color w:val="000000"/>
        </w:rPr>
        <w:t xml:space="preserve">” </w:t>
      </w:r>
      <w:r>
        <w:rPr>
          <w:rFonts w:ascii="Times New Roman;serif" w:hAnsi="Times New Roman;serif"/>
          <w:b w:val="false"/>
          <w:color w:val="000000"/>
          <w:sz w:val="22"/>
        </w:rPr>
        <w:t xml:space="preserve">means, (a) as to any Loan other than a Base Rate Loan, the last day of each Interest Period applicable to such Loan and the Maturity Date of the Facility under which such Loan was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Interest Period for a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Interest Period</w:t>
      </w:r>
      <w:r>
        <w:rPr>
          <w:color w:val="000000"/>
        </w:rPr>
        <w:t xml:space="preserve">” </w:t>
      </w:r>
      <w:r>
        <w:rPr>
          <w:rFonts w:ascii="Times New Roman;serif" w:hAnsi="Times New Roman;serif"/>
          <w:b w:val="false"/>
          <w:color w:val="000000"/>
          <w:sz w:val="22"/>
        </w:rPr>
        <w:t xml:space="preserve">means, as to each SOFR Loan, the period commencing on the date such SOFR Loan is disbursed or converted to or continued as a SOFR Loan and ending on the date one, three or six months thereafter, as selected by the applicable Borrower in its Committed Loan Notice or notice of conversion/continuation;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(c)no Interest Period shall extend beyond the Maturity Date of the Facility under which such Loan was made; and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(d)no tenor that has been removed from this definition pursuant to </w:t>
      </w:r>
      <w:r>
        <w:rPr>
          <w:rFonts w:ascii="Times New Roman;serif" w:hAnsi="Times New Roman;serif"/>
          <w:b w:val="false"/>
          <w:color w:val="000000"/>
          <w:sz w:val="22"/>
          <w:u w:val="single"/>
        </w:rPr>
        <w:t>Section 3.03(b)(iv)</w:t>
      </w:r>
      <w:r>
        <w:rPr>
          <w:color w:val="000000"/>
        </w:rPr>
        <w:t xml:space="preserve"> </w:t>
      </w:r>
      <w:r>
        <w:rPr>
          <w:rFonts w:ascii="Times New Roman;serif" w:hAnsi="Times New Roman;serif"/>
          <w:b w:val="false"/>
          <w:color w:val="000000"/>
          <w:sz w:val="22"/>
        </w:rPr>
        <w:t>shall be available for specification in any Committed Loan Notice or notice of conversion/continuation.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Investment</w:t>
      </w:r>
      <w:r>
        <w:rPr>
          <w:color w:val="000000"/>
        </w:rPr>
        <w:t xml:space="preserve">” </w:t>
      </w:r>
      <w:r>
        <w:rPr>
          <w:rFonts w:ascii="Times New Roman;serif" w:hAnsi="Times New Roman;serif"/>
          <w:b w:val="false"/>
          <w:color w:val="000000"/>
          <w:sz w:val="22"/>
        </w:rPr>
        <w:t>means, as to any Person, any direct or indirect acquisition or investment by such Person, whether by means of (a) the purchase or other acquisition of Equity Interests or debt or other securities of another Person (including by way of merger or consolidation),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(in the case of any non-cash asset invested, taking the Fair Market Value thereof at the time the investment is made), without adjustment for subsequent increases or decreases in the value of such Investment.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84505"/>
                <wp:effectExtent l="0" t="0" r="0" b="0"/>
                <wp:wrapNone/>
                <wp:docPr id="41" name="Frame4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IP Collateral</w:t>
      </w:r>
      <w:r>
        <w:rPr>
          <w:color w:val="000000"/>
        </w:rPr>
        <w:t xml:space="preserve">” </w:t>
      </w:r>
      <w:r>
        <w:rPr>
          <w:rFonts w:ascii="Times New Roman;serif" w:hAnsi="Times New Roman;serif"/>
          <w:b w:val="false"/>
          <w:color w:val="000000"/>
          <w:sz w:val="22"/>
        </w:rPr>
        <w:t>means all “Intellectual Property Collateral” referred to in the Collateral Documents and all of the other IP Rights that are or are required by the terms hereof or of the Collateral Documents to be subject to Liens in favor of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IP Rights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ISDA Definitions</w:t>
      </w:r>
      <w:r>
        <w:rPr>
          <w:color w:val="000000"/>
        </w:rPr>
        <w:t xml:space="preserve">” </w:t>
      </w:r>
      <w:r>
        <w:rPr>
          <w:rFonts w:ascii="Times New Roman;serif" w:hAnsi="Times New Roman;serif"/>
          <w:b w:val="false"/>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Joint Lead Arrangers</w:t>
      </w:r>
      <w:r>
        <w:rPr>
          <w:color w:val="000000"/>
        </w:rPr>
        <w:t xml:space="preserve">” </w:t>
      </w:r>
      <w:r>
        <w:rPr>
          <w:rFonts w:ascii="Times New Roman;serif" w:hAnsi="Times New Roman;serif"/>
          <w:b w:val="false"/>
          <w:color w:val="000000"/>
          <w:sz w:val="22"/>
        </w:rPr>
        <w:t>means Wells Fargo Securities, LLC, BofA Securities, Inc., Capital One, National Association, Coöperatieve Rabobank U.A., New York Branch, Truist Securities, Inc., U.S. Bank National Association, JPMorgan Chase Bank, N.A. and TD Bank, N.A., each in its capacity as a Joint Lead Arranger and Joint Bookrunner under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Junior Financing</w:t>
      </w:r>
      <w:r>
        <w:rPr>
          <w:color w:val="000000"/>
        </w:rPr>
        <w:t xml:space="preserve">” </w:t>
      </w:r>
      <w:r>
        <w:rPr>
          <w:rFonts w:ascii="Times New Roman;serif" w:hAnsi="Times New Roman;serif"/>
          <w:b w:val="false"/>
          <w:color w:val="000000"/>
          <w:sz w:val="22"/>
        </w:rPr>
        <w:t>means, with respect to the Company and its Subsidiaries, any (a) Indebtedness for borrowed money of a Loan Party that is expressly by its terms subordinated to the Obligations in right of payment, (b) unsecured Indebtedness (including the 2029 Senior Notes) and (c) Indebtedness that is secured on a junior basis to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Junior Financing Documentation</w:t>
      </w:r>
      <w:r>
        <w:rPr>
          <w:color w:val="000000"/>
        </w:rPr>
        <w:t xml:space="preserve">” </w:t>
      </w:r>
      <w:r>
        <w:rPr>
          <w:rFonts w:ascii="Times New Roman;serif" w:hAnsi="Times New Roman;serif"/>
          <w:b w:val="false"/>
          <w:color w:val="000000"/>
          <w:sz w:val="22"/>
        </w:rPr>
        <w:t>means any documentation governing any Junior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Latest Maturity Date</w:t>
      </w:r>
      <w:r>
        <w:rPr>
          <w:color w:val="000000"/>
        </w:rPr>
        <w:t xml:space="preserve">” </w:t>
      </w:r>
      <w:r>
        <w:rPr>
          <w:rFonts w:ascii="Times New Roman;serif" w:hAnsi="Times New Roman;serif"/>
          <w:b w:val="false"/>
          <w:color w:val="000000"/>
          <w:sz w:val="22"/>
        </w:rPr>
        <w:t>means, at any date of determination, the latest Maturity Date applicable to any Loan or Commitment hereunder at such time, including the latest Maturity Date of any Incremental Term Loan, Extended Revolving Credit Commitment or any Other Revolving Credit Commitments, in each case as extended in accordance with this Agreement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L/C Advance</w:t>
      </w:r>
      <w:r>
        <w:rPr>
          <w:color w:val="000000"/>
        </w:rPr>
        <w:t xml:space="preserve">” </w:t>
      </w:r>
      <w:r>
        <w:rPr>
          <w:rFonts w:ascii="Times New Roman;serif" w:hAnsi="Times New Roman;serif"/>
          <w:b w:val="false"/>
          <w:color w:val="000000"/>
          <w:sz w:val="22"/>
        </w:rPr>
        <w:t>means, with respect to each Revolving Credit Lender, such Lender’s funding of its participation in any L/C Borrowing in accordance with its Pro Rata Share.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Revolving Credit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L/C Commitment</w:t>
      </w:r>
      <w:r>
        <w:rPr>
          <w:color w:val="000000"/>
        </w:rPr>
        <w:t xml:space="preserve">” </w:t>
      </w:r>
      <w:r>
        <w:rPr>
          <w:rFonts w:ascii="Times New Roman;serif" w:hAnsi="Times New Roman;serif"/>
          <w:b w:val="false"/>
          <w:color w:val="000000"/>
          <w:sz w:val="22"/>
        </w:rPr>
        <w:t xml:space="preserve">means, as to any L/C Issuer, the obligation of such L/C Issuer to issue Letters of Credit for the account of any Borrower or one or more of its respective Subsidiaries from time to time in an aggregate amount equal to (a) for each of the initial L/C Issuers, the amount set forth opposite the name of each such initial L/C Issuer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and (b) for any other L/C Issuer becoming an L/C Issuer after the Closing Date, such amount as separately agreed to in a written agreement between the Borrowers and such L/C Issuer (which such agreement shall be promptly delivered to the Administrative Agent upon execution), in each case of clauses (a) and (b) above, any such amount may be changed after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84505"/>
                <wp:effectExtent l="0" t="0" r="0" b="0"/>
                <wp:wrapNone/>
                <wp:docPr id="42" name="Frame4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Date in a written agreement between the Borrowers and such L/C Issuer (which such agreement shall be promptly delivered to the Administrative Agent upon execution).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renewal or increase of the amount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L/C Issuer</w:t>
      </w:r>
      <w:r>
        <w:rPr>
          <w:color w:val="000000"/>
        </w:rPr>
        <w:t xml:space="preserve">” </w:t>
      </w:r>
      <w:r>
        <w:rPr>
          <w:rFonts w:ascii="Times New Roman;serif" w:hAnsi="Times New Roman;serif"/>
          <w:b w:val="false"/>
          <w:color w:val="000000"/>
          <w:sz w:val="22"/>
        </w:rPr>
        <w:t xml:space="preserve">means (a) Wells Fargo, (b) Bank of America, N.A., (c) Coöperatieve Rabobank U.A., New York Branch, (d) Truist Bank, (e) U.S. Bank National Association, (f) Capital One, National Association and (g) any other Lender or Affiliate of a Lender that becomes an L/C Issuer in accordance with </w:t>
      </w:r>
      <w:r>
        <w:rPr>
          <w:rFonts w:ascii="Times New Roman;serif" w:hAnsi="Times New Roman;serif"/>
          <w:b w:val="false"/>
          <w:color w:val="000000"/>
          <w:sz w:val="22"/>
          <w:u w:val="single"/>
        </w:rPr>
        <w:t>Section 2.03(k)</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10.07(j)</w:t>
      </w:r>
      <w:r>
        <w:rPr>
          <w:rFonts w:ascii="Times New Roman;serif" w:hAnsi="Times New Roman;serif"/>
          <w:b w:val="false"/>
          <w:color w:val="000000"/>
          <w:sz w:val="22"/>
        </w:rPr>
        <w:t>, in each case, in its capacity as an issuer of Letters of Credit hereunder, or any successor issuer of Letters of Credit hereunder. Any L/C Issuer may, in its discretion, arrange for one or more Letters of Credit to be issued by one or more Affiliates of such L/C Issuer (and such Affiliate shall be deemed to be an “L/C Issuer” for all purposes of the Loan Documents). Notwithstanding anything herein to the contrary, Capital One, National Association shall only be required to issue standby letters of credit 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L/C Obligations</w:t>
      </w:r>
      <w:r>
        <w:rPr>
          <w:color w:val="000000"/>
        </w:rPr>
        <w:t xml:space="preserve">” </w:t>
      </w:r>
      <w:r>
        <w:rPr>
          <w:rFonts w:ascii="Times New Roman;serif" w:hAnsi="Times New Roman;serif"/>
          <w:b w:val="false"/>
          <w:color w:val="000000"/>
          <w:sz w:val="22"/>
        </w:rPr>
        <w:t xml:space="preserve">means, as at any date of determination, the aggregate undrawn amount of all outstanding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aggregate of all Unreimbursed Amounts, including all L/C Borrowings.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Lender</w:t>
      </w:r>
      <w:r>
        <w:rPr>
          <w:color w:val="000000"/>
        </w:rPr>
        <w:t xml:space="preserve">” </w:t>
      </w:r>
      <w:r>
        <w:rPr>
          <w:rFonts w:ascii="Times New Roman;serif" w:hAnsi="Times New Roman;serif"/>
          <w:b w:val="false"/>
          <w:color w:val="000000"/>
          <w:sz w:val="22"/>
        </w:rPr>
        <w:t>has the meaning specified in the introductory paragraph to this Agreement and, as the context requires, includes an L/C Issuer and the Swing Line Lender, and their respective successors and assigns as permitted hereunder, each of which is referred to herein as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Lending Office</w:t>
      </w:r>
      <w:r>
        <w:rPr>
          <w:color w:val="000000"/>
        </w:rPr>
        <w:t xml:space="preserve">” </w:t>
      </w:r>
      <w:r>
        <w:rPr>
          <w:rFonts w:ascii="Times New Roman;serif" w:hAnsi="Times New Roman;serif"/>
          <w:b w:val="false"/>
          <w:color w:val="000000"/>
          <w:sz w:val="22"/>
        </w:rPr>
        <w:t>means, as to any Lender, the office or offices of such Lender described as such in such Lender’s Administrative Questionnaire, or such other office or offices as a Lender may from time to time notify the Borrowers and the Administrative Agent, including an office of any Affiliate of such Lender or any domestic or foreign branch of such Lender or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Letter of Credit</w:t>
      </w:r>
      <w:r>
        <w:rPr>
          <w:color w:val="000000"/>
        </w:rPr>
        <w:t xml:space="preserve">” </w:t>
      </w:r>
      <w:r>
        <w:rPr>
          <w:rFonts w:ascii="Times New Roman;serif" w:hAnsi="Times New Roman;serif"/>
          <w:b w:val="false"/>
          <w:color w:val="000000"/>
          <w:sz w:val="22"/>
        </w:rPr>
        <w:t>means any Existing Letter of Credit or any letter of credit issued hereunder. A Letter of Credit may be a commercial letter of credit or a standby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which shall be in a form supplied by the relevant L/C 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Letter of Credit Expiration Date</w:t>
      </w:r>
      <w:r>
        <w:rPr>
          <w:color w:val="000000"/>
        </w:rPr>
        <w:t xml:space="preserve">” </w:t>
      </w:r>
      <w:r>
        <w:rPr>
          <w:rFonts w:ascii="Times New Roman;serif" w:hAnsi="Times New Roman;serif"/>
          <w:b w:val="false"/>
          <w:color w:val="000000"/>
          <w:sz w:val="22"/>
        </w:rPr>
        <w:t>means the day that is five (5) Business Days prior to the scheduled Maturity Date then in effect for the Revolving Credit Facility (or, if such day is not a Business Day, the next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Letter of Credit Sublimit</w:t>
      </w:r>
      <w:r>
        <w:rPr>
          <w:color w:val="000000"/>
        </w:rPr>
        <w:t xml:space="preserve">” </w:t>
      </w:r>
      <w:r>
        <w:rPr>
          <w:rFonts w:ascii="Times New Roman;serif" w:hAnsi="Times New Roman;serif"/>
          <w:b w:val="false"/>
          <w:color w:val="000000"/>
          <w:sz w:val="22"/>
        </w:rPr>
        <w:t>means an amount equal to the lesser of (a) $75,000,000 and (b) the aggregate amount of the Revolving Credit Commitments. The Letter of Credit Sublimit is part of, and not in addition to, the Revolving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Leverage Ratio Increase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7.10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Lien</w:t>
      </w:r>
      <w:r>
        <w:rPr>
          <w:color w:val="000000"/>
        </w:rPr>
        <w:t xml:space="preserve">” </w:t>
      </w:r>
      <w:r>
        <w:rPr>
          <w:rFonts w:ascii="Times New Roman;serif" w:hAnsi="Times New Roman;serif"/>
          <w:b w:val="false"/>
          <w:color w:val="000000"/>
          <w:sz w:val="22"/>
        </w:rPr>
        <w:t xml:space="preserve">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 operating lease in and of itself be deemed a Lien.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84505"/>
                <wp:effectExtent l="0" t="0" r="0" b="0"/>
                <wp:wrapNone/>
                <wp:docPr id="43" name="Frame4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Limited Condition Acquisition</w:t>
      </w:r>
      <w:r>
        <w:rPr>
          <w:color w:val="000000"/>
        </w:rPr>
        <w:t xml:space="preserve">” </w:t>
      </w:r>
      <w:r>
        <w:rPr>
          <w:rFonts w:ascii="Times New Roman;serif" w:hAnsi="Times New Roman;serif"/>
          <w:b w:val="false"/>
          <w:color w:val="000000"/>
          <w:sz w:val="22"/>
        </w:rPr>
        <w:t>means any Permitted Acquisition that (a) is not prohibited hereunder, (b) is financed in whole or in part with a substantially concurrent incurrence of Incremental Term Loans or other Indebtedness permitted hereunder, and (c) is not conditioned on the availability of, or on obtaining, third-party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Liquor License Acquisition Agreement</w:t>
      </w:r>
      <w:r>
        <w:rPr>
          <w:color w:val="000000"/>
        </w:rPr>
        <w:t xml:space="preserve">” </w:t>
      </w:r>
      <w:r>
        <w:rPr>
          <w:rFonts w:ascii="Times New Roman;serif" w:hAnsi="Times New Roman;serif"/>
          <w:b w:val="false"/>
          <w:color w:val="000000"/>
          <w:sz w:val="22"/>
        </w:rPr>
        <w:t>means any agreement (including any financing agreement) relating to the acquisition of a Liquor License by a Liquor License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Liquor License Subsidiary</w:t>
      </w:r>
      <w:r>
        <w:rPr>
          <w:color w:val="000000"/>
        </w:rPr>
        <w:t xml:space="preserve">” </w:t>
      </w:r>
      <w:r>
        <w:rPr>
          <w:rFonts w:ascii="Times New Roman;serif" w:hAnsi="Times New Roman;serif"/>
          <w:b w:val="false"/>
          <w:color w:val="000000"/>
          <w:sz w:val="22"/>
        </w:rPr>
        <w:t>means any Domestic Subsidiary established solely for the purpose of acquiring and holding Liquor Licenses which, except to the extent required by applicable Law, holds no material assets other than Liquor Licenses and with respect to which applicable Law or the terms of a Liquor License Acquisition Agreement prohibit either (x) such Subsidiary from guaranteeing the Obligations or (y) the assets or Equity Interests of such Subsidiary from being pledged as collateral for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Liquor Licenses</w:t>
      </w:r>
      <w:r>
        <w:rPr>
          <w:color w:val="000000"/>
        </w:rPr>
        <w:t xml:space="preserve">” </w:t>
      </w:r>
      <w:r>
        <w:rPr>
          <w:rFonts w:ascii="Times New Roman;serif" w:hAnsi="Times New Roman;serif"/>
          <w:b w:val="false"/>
          <w:color w:val="000000"/>
          <w:sz w:val="22"/>
        </w:rPr>
        <w:t>means any license or permit from the applicable Governmental Authority authorizing the holder thereof to sell alcoholic beverages in accordance with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Loan</w:t>
      </w:r>
      <w:r>
        <w:rPr>
          <w:color w:val="000000"/>
        </w:rPr>
        <w:t xml:space="preserve">” </w:t>
      </w:r>
      <w:r>
        <w:rPr>
          <w:rFonts w:ascii="Times New Roman;serif" w:hAnsi="Times New Roman;serif"/>
          <w:b w:val="false"/>
          <w:color w:val="000000"/>
          <w:sz w:val="22"/>
        </w:rPr>
        <w:t>means an extension of credit by a Lender to the Borrowers in the form of a Revolving Credit Loan or a Swing Line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Loan Documents</w:t>
      </w:r>
      <w:r>
        <w:rPr>
          <w:color w:val="000000"/>
        </w:rPr>
        <w:t xml:space="preserve">” </w:t>
      </w:r>
      <w:r>
        <w:rPr>
          <w:rFonts w:ascii="Times New Roman;serif" w:hAnsi="Times New Roman;serif"/>
          <w:b w:val="false"/>
          <w:color w:val="000000"/>
          <w:sz w:val="22"/>
        </w:rPr>
        <w:t>means, collectively, (i) this Agreement, (ii) the Notes, (iii) each Guaranty Supplement, (iv) any Refinancing Amendment, Incremental Amendment or Extension Amendment, (v) the Guaranty, (vi) the Collateral Documents, (vii) the Intercompany Note, (viii) each Letter of Credit Application and (ix) after the execution and delivery thereof, each First Lien Intercreditor Agreement and each intercreditor agreement entered into in connection with any Junior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Loan Parties</w:t>
      </w:r>
      <w:r>
        <w:rPr>
          <w:color w:val="000000"/>
        </w:rPr>
        <w:t xml:space="preserve">” </w:t>
      </w:r>
      <w:r>
        <w:rPr>
          <w:rFonts w:ascii="Times New Roman;serif" w:hAnsi="Times New Roman;serif"/>
          <w:b w:val="false"/>
          <w:color w:val="000000"/>
          <w:sz w:val="22"/>
        </w:rPr>
        <w:t>means, collectively, each Borrower and each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Margin Stock</w:t>
      </w:r>
      <w:r>
        <w:rPr>
          <w:color w:val="000000"/>
        </w:rPr>
        <w:t xml:space="preserve">” </w:t>
      </w:r>
      <w:r>
        <w:rPr>
          <w:rFonts w:ascii="Times New Roman;serif" w:hAnsi="Times New Roman;serif"/>
          <w:b w:val="false"/>
          <w:color w:val="000000"/>
          <w:sz w:val="22"/>
        </w:rPr>
        <w:t>has the meaning specified in Regulation U of the Board of Governors of the United States Federal Reserve system,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Master Agreement</w:t>
      </w:r>
      <w:r>
        <w:rPr>
          <w:color w:val="000000"/>
        </w:rPr>
        <w:t xml:space="preserve">” </w:t>
      </w:r>
      <w:r>
        <w:rPr>
          <w:rFonts w:ascii="Times New Roman;serif" w:hAnsi="Times New Roman;serif"/>
          <w:b w:val="false"/>
          <w:color w:val="000000"/>
          <w:sz w:val="22"/>
        </w:rPr>
        <w:t>has the meaning specified in the definition of “Swap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Material Adverse Effect</w:t>
      </w:r>
      <w:r>
        <w:rPr>
          <w:color w:val="000000"/>
        </w:rPr>
        <w:t xml:space="preserve">” </w:t>
      </w:r>
      <w:r>
        <w:rPr>
          <w:rFonts w:ascii="Times New Roman;serif" w:hAnsi="Times New Roman;serif"/>
          <w:b w:val="false"/>
          <w:color w:val="000000"/>
          <w:sz w:val="22"/>
        </w:rPr>
        <w:t>means (a) a material adverse effect on the business, operations, assets, liabilities (actual or contingent) or financial condition of the Company and its Subsidiaries, taken as a whole, (b) a material adverse effect on the ability of the Borrowers and the other Loan Parties (taken as a whole) to perform their respective payment obligations under any Loan Document to which any of the Borrowers or any of the other Loan Parties is a party or (c) a material adverse effect on the rights and remedies of the Lenders under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Material Real Property</w:t>
      </w:r>
      <w:r>
        <w:rPr>
          <w:color w:val="000000"/>
        </w:rPr>
        <w:t xml:space="preserve">” </w:t>
      </w:r>
      <w:r>
        <w:rPr>
          <w:rFonts w:ascii="Times New Roman;serif" w:hAnsi="Times New Roman;serif"/>
          <w:b w:val="false"/>
          <w:color w:val="000000"/>
          <w:sz w:val="22"/>
        </w:rPr>
        <w:t>means any real property (other than any Excluded Real Property) owned by any Loan Party with a Fair Market Value of $5,000,000 or more.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Maturity Date</w:t>
      </w:r>
      <w:r>
        <w:rPr>
          <w:color w:val="000000"/>
        </w:rPr>
        <w:t xml:space="preserve">” </w:t>
      </w:r>
      <w:r>
        <w:rPr>
          <w:rFonts w:ascii="Times New Roman;serif" w:hAnsi="Times New Roman;serif"/>
          <w:b w:val="false"/>
          <w:color w:val="000000"/>
          <w:sz w:val="22"/>
        </w:rPr>
        <w:t xml:space="preserve">means, (a) with respect to the Revolving Credit Facility and Swing Line Loans, September 25, 2031, (b) with respect to any Extended Revolving Credit Commitments, the final maturity date as specified in the applicable Extension Request accepted by the respective Lender or Lenders, (c) with respect to any Other Revolving Credit Commitments, the final maturity date as specified in the applicable Refinancing Amendment and (d) with respect to any Incremental Term Loans, the final maturity date as specified in the applicable Incremental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if such day is not a Business Day, the applicable Maturity Date shall be the Business Day immediately succeeding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84505"/>
                <wp:effectExtent l="0" t="0" r="0" b="0"/>
                <wp:wrapNone/>
                <wp:docPr id="44" name="Frame4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Maximum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Mortgage</w:t>
      </w:r>
      <w:r>
        <w:rPr>
          <w:color w:val="000000"/>
        </w:rPr>
        <w:t xml:space="preserve">” </w:t>
      </w:r>
      <w:r>
        <w:rPr>
          <w:rFonts w:ascii="Times New Roman;serif" w:hAnsi="Times New Roman;serif"/>
          <w:b w:val="false"/>
          <w:color w:val="000000"/>
          <w:sz w:val="22"/>
        </w:rPr>
        <w:t xml:space="preserve">means, collectively, the deeds of trust, trust deeds, hypothecs and mortgages made by the Loan Parties in favor or for the benefit of the Collateral Agent on behalf of the Secured Parties substantially in form and substance reasonably satisfactory to the Collateral Agent (taking account of relevant local Law matters), and any other mortgages executed and delivered pursuant to </w:t>
      </w:r>
      <w:r>
        <w:rPr>
          <w:rFonts w:ascii="Times New Roman;serif" w:hAnsi="Times New Roman;serif"/>
          <w:b w:val="false"/>
          <w:color w:val="000000"/>
          <w:sz w:val="22"/>
          <w:u w:val="single"/>
        </w:rPr>
        <w:t>Section 6.11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Mortgage Policies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6.13(b)(B)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Mortgaged Properties</w:t>
      </w:r>
      <w:r>
        <w:rPr>
          <w:color w:val="000000"/>
        </w:rPr>
        <w:t xml:space="preserve">” </w:t>
      </w:r>
      <w:r>
        <w:rPr>
          <w:rFonts w:ascii="Times New Roman;serif" w:hAnsi="Times New Roman;serif"/>
          <w:b w:val="false"/>
          <w:color w:val="000000"/>
          <w:sz w:val="22"/>
        </w:rPr>
        <w:t>has the meaning specified in paragraph (g) of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any Loan Party or any ERISA Affiliate makes or is obligated to make contributions, or during the preceding five plan years, has made or been obligated to make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Net Cash Proceeds</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(a)with respect to the Disposition of any asset by the Company or any Subsidiary or any Casualty Event, the excess, if any, of (i) the sum of cash and Cash Equivalents received in connection with such Disposition or Casualty Event (including any cash or Cash Equivalents received by way of deferred payment of principal pursuant to, or by monetization of, a note or installment receivable or purchase price adjustment receivable or otherwise, but only as and when so received and, with respect to any Casualty Event, any insurance proceeds or condemnation awards in respect of such Casualty Event actually received by or paid to or for the account of the Company or any Subsidiary) over (ii) the sum of (A) the principal amount, premium or penalty, if any, interest, breakage costs and other amounts on any Indebtedness that is secured by the asset subject to such Disposition or Casualty Event (other than in the case of a Foreign Subsidiary) and that is required to be repaid (and is timely repaid) in connection with such Disposition or Casualty Event (other than Indebtedness under, or that is secured by, the Loan Documents, Credit Agreement Refinancing Indebtedness or Incremental Equivalent Debt), (B)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Company or such Subsidiary in connection with such Disposition or Casualty Event, (C) Taxes paid or reasonably estimated to be actually payable in connection therewith (including Taxes imposed on the actual or deemed distribution or repatriation of any such Net Cash Proceeds), (D) in the case of any Disposition or Casualty Event by a non-Wholly Owned Subsidiary, the pro rata portion of the Net Cash Proceeds thereof (calculated without regard to this clause (D)) attributable to minority interests and not available for distribution to or for the account of a Borrower or a Wholly Owned Subsidiary as a result thereof, and (E) any reserve for adjustment in respect of (x) the sale price of such asset or assets established in accordance with GAAP and (y) any liabilities associated with such asset or assets and retained by the Company or any Subsidiary after such sale or other disposition thereof, including pension and other post-employment benefit liabilities and liabilities related to environmental matters or against any indemnification obligations associated with such transaction and it being understood that “Net Cash Proceeds” shall include any cash or Cash Equivalents (i) received upon the Disposition of any non-cash consideration received by the Company or any Subsidiary in any such Disposition and (ii) upon the reversal (without the satisfaction of any applicable liabilities in cash in a corresponding amount)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84505"/>
                <wp:effectExtent l="0" t="0" r="0" b="0"/>
                <wp:wrapNone/>
                <wp:docPr id="45" name="Frame4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reserve described in preceding clause (E) or, if such liabilities have not been satisfied in cash and such reserve is not reversed within three hundred and sixty-five (365) days after such Disposition or Casualty Event, the amount of such 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no net cash proceeds calculated in accordance with the foregoing realized in a single transaction or series of related transactions shall constitute Net Cash Proceeds unless such net cash proceeds shall exceed $5,000,000 and (y) no such net cash proceeds shall constitute Net Cash Proceeds under this clause (a) in any fiscal year until the aggregate amount of all such net cash proceeds in such fiscal year shall exceed $20,000,000 (and thereafter only net cash proceeds in excess of such amount shall constitute Net Cash Proceeds under this clause (a));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 respect to the incurrence or issuance of any Indebtedness by the Company or any Subsidiary or issuance of Equity Interests, the excess, if any, of (i) the sum of the cash received in connection with such incurrence or issuance over (ii) all Taxes paid or reasonably estimated to be payable as a result thereof (including Taxes imposed on the actual or deemed distribution or repatriation of any such Net Cash Proceeds), fees (including, the investment banking fees, underwriting fees and discounts), commissions, costs and other out-of-pocket expenses and other customary expenses, in each case incurred by the Company or such Subsidiary in connection with such incurrence or issuance.</w:t>
      </w:r>
    </w:p>
    <w:p>
      <w:pPr>
        <w:pStyle w:val="TextBody"/>
        <w:bidi w:val="0"/>
        <w:spacing w:lineRule="auto" w:line="288" w:before="0" w:after="0"/>
        <w:ind w:left="0" w:right="0" w:firstLine="720"/>
        <w:jc w:val="left"/>
        <w:rPr/>
      </w:pPr>
      <w:r>
        <w:rPr>
          <w:color w:val="000000"/>
        </w:rPr>
        <w:t>“</w:t>
      </w:r>
      <w:r>
        <w:rPr>
          <w:rFonts w:ascii="Times New Roman;serif" w:hAnsi="Times New Roman;serif"/>
          <w:b/>
          <w:color w:val="000000"/>
          <w:sz w:val="22"/>
          <w:u w:val="single"/>
        </w:rPr>
        <w:t>Non-Cash Charges</w:t>
      </w:r>
      <w:r>
        <w:rPr>
          <w:color w:val="000000"/>
        </w:rPr>
        <w:t xml:space="preserve">” </w:t>
      </w:r>
      <w:r>
        <w:rPr>
          <w:rFonts w:ascii="Times New Roman;serif" w:hAnsi="Times New Roman;serif"/>
          <w:b w:val="false"/>
          <w:color w:val="000000"/>
          <w:sz w:val="22"/>
        </w:rPr>
        <w:t>has the meaning specified in the definition of the term “Consolidated EBITDA”.</w: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Non-Consenting Lenders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3.07(d)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Non-Defaulting Lender</w:t>
      </w:r>
      <w:r>
        <w:rPr>
          <w:color w:val="000000"/>
        </w:rPr>
        <w:t xml:space="preserve">” </w:t>
      </w:r>
      <w:r>
        <w:rPr>
          <w:rFonts w:ascii="Times New Roman;serif" w:hAnsi="Times New Roman;serif"/>
          <w:b w:val="false"/>
          <w:color w:val="000000"/>
          <w:sz w:val="22"/>
        </w:rPr>
        <w:t>means, at any time, a Lender that is not a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Non-Expiring Credit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Non-Loan Party</w:t>
      </w:r>
      <w:r>
        <w:rPr>
          <w:color w:val="000000"/>
        </w:rPr>
        <w:t xml:space="preserve">” </w:t>
      </w:r>
      <w:r>
        <w:rPr>
          <w:rFonts w:ascii="Times New Roman;serif" w:hAnsi="Times New Roman;serif"/>
          <w:b w:val="false"/>
          <w:color w:val="000000"/>
          <w:sz w:val="22"/>
        </w:rPr>
        <w:t>means any Subsidiary that is not a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Nonrenewal Notice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Note</w:t>
      </w:r>
      <w:r>
        <w:rPr>
          <w:color w:val="000000"/>
        </w:rPr>
        <w:t xml:space="preserve">” </w:t>
      </w:r>
      <w:r>
        <w:rPr>
          <w:rFonts w:ascii="Times New Roman;serif" w:hAnsi="Times New Roman;serif"/>
          <w:b w:val="false"/>
          <w:color w:val="000000"/>
          <w:sz w:val="22"/>
        </w:rPr>
        <w:t>means a Revolving Credit Note or a Swing Line Note,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NPL</w:t>
      </w:r>
      <w:r>
        <w:rPr>
          <w:color w:val="000000"/>
        </w:rPr>
        <w:t xml:space="preserve">” </w:t>
      </w:r>
      <w:r>
        <w:rPr>
          <w:rFonts w:ascii="Times New Roman;serif" w:hAnsi="Times New Roman;serif"/>
          <w:b w:val="false"/>
          <w:color w:val="000000"/>
          <w:sz w:val="22"/>
        </w:rPr>
        <w:t>means the National Priorities List under CERCLA.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Obligations</w:t>
      </w:r>
      <w:r>
        <w:rPr>
          <w:color w:val="000000"/>
        </w:rPr>
        <w:t xml:space="preserve">” </w:t>
      </w:r>
      <w:r>
        <w:rPr>
          <w:rFonts w:ascii="Times New Roman;serif" w:hAnsi="Times New Roman;serif"/>
          <w:b w:val="false"/>
          <w:color w:val="000000"/>
          <w:sz w:val="22"/>
        </w:rPr>
        <w:t xml:space="preserve">means all (a) advances to, and debts, liabilities, obligations, covenants and duties of, any Loan Party and its Subsidiaries arising under any Loan Document (including the Guaranty) or otherwise with respect to any Loan or Letter of Credit, whether direct or indirect (including those acquired by assumption), absolute or contingent, due or to become due, now existing or hereafter arising, (b) obligations (other than any Excluded Swap Obligations) of any Loan Party and its Subsidiaries arising under any Secured Hedge Agreement and (c) Cash Management Obligations, in each of clauses (a), (b) and (c) including interest, fees and expenses that accrue after the commencement by or against any Loan Party or Subsidiary of any proceeding under any Debtor Relief Laws naming such Person as the debtor in such proceeding, regardless of whether such interest, fees or expenses are allowed claims in such proceeding. Without limiting the generality of the foregoing, the Obligations of the Loan Parties under the Loan Documents (and of their Subsidiaries to the extent they have obligations under the Loan Documents) include (i) the obligation (including guarantee obligations) to pay principal, premium, interest, Letter of Credit commissions, reimbursement obligations, charges, expenses, fees, Attorney Costs, indemnities and other amounts payable by any Loan Party or its Subsidiaries under any Loan Document and (ii) the obligation of any Loan Party or any of its Subsidiaries to reimburse any amount in respect of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84505"/>
                <wp:effectExtent l="0" t="0" r="0" b="0"/>
                <wp:wrapNone/>
                <wp:docPr id="46" name="Frame4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foregoing that any Lender, in its sole discretion, may elect to pay or advance on behalf of such Loan Party or such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OS Restaurant Services</w:t>
      </w:r>
      <w:r>
        <w:rPr>
          <w:color w:val="000000"/>
        </w:rPr>
        <w:t xml:space="preserve">” </w:t>
      </w:r>
      <w:r>
        <w:rPr>
          <w:rFonts w:ascii="Times New Roman;serif" w:hAnsi="Times New Roman;serif"/>
          <w:b w:val="false"/>
          <w:color w:val="000000"/>
          <w:sz w:val="22"/>
        </w:rPr>
        <w:t>means OS Restaurant Services, LLC, a Wholly Owned Domestic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OSI</w:t>
      </w:r>
      <w:r>
        <w:rPr>
          <w:color w:val="000000"/>
        </w:rPr>
        <w:t xml:space="preserve">” </w:t>
      </w:r>
      <w:r>
        <w:rPr>
          <w:rFonts w:ascii="Times New Roman;serif" w:hAnsi="Times New Roman;serif"/>
          <w:b w:val="false"/>
          <w:color w:val="000000"/>
          <w:sz w:val="22"/>
        </w:rPr>
        <w:t>has the meaning specified in the introductory paragraph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Other Revolving Credit Commitments</w:t>
      </w:r>
      <w:r>
        <w:rPr>
          <w:color w:val="000000"/>
        </w:rPr>
        <w:t xml:space="preserve">” </w:t>
      </w:r>
      <w:r>
        <w:rPr>
          <w:rFonts w:ascii="Times New Roman;serif" w:hAnsi="Times New Roman;serif"/>
          <w:b w:val="false"/>
          <w:color w:val="000000"/>
          <w:sz w:val="22"/>
        </w:rPr>
        <w:t>means one or more Classes of Revolving Credit Commitments hereunder that result from a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Other Revolving Credit Loans</w:t>
      </w:r>
      <w:r>
        <w:rPr>
          <w:color w:val="000000"/>
        </w:rPr>
        <w:t xml:space="preserve">” </w:t>
      </w:r>
      <w:r>
        <w:rPr>
          <w:rFonts w:ascii="Times New Roman;serif" w:hAnsi="Times New Roman;serif"/>
          <w:b w:val="false"/>
          <w:color w:val="000000"/>
          <w:sz w:val="22"/>
        </w:rPr>
        <w:t>means one or more Classes of Revolving Credit Loans that result from a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Other Taxes</w:t>
      </w:r>
      <w:r>
        <w:rPr>
          <w:color w:val="000000"/>
        </w:rPr>
        <w:t xml:space="preserve">” </w:t>
      </w:r>
      <w:r>
        <w:rPr>
          <w:rFonts w:ascii="Times New Roman;serif" w:hAnsi="Times New Roman;serif"/>
          <w:b w:val="false"/>
          <w:color w:val="000000"/>
          <w:sz w:val="22"/>
        </w:rPr>
        <w:t>means all present or future stamp, court or documentary, intangible, excise, recording, filing or similar Taxes that arise from any payment made under any Loan Document, from the execution, delivery, performance, enforcement or registration of, or otherwise with respect to, any Loan Document, except, for the avoidance of doubt, any Excluded Taxes.</w:t>
      </w:r>
    </w:p>
    <w:p>
      <w:pPr>
        <w:pStyle w:val="TextBody"/>
        <w:bidi w:val="0"/>
        <w:spacing w:lineRule="auto" w:line="268" w:before="0" w:after="0"/>
        <w:ind w:left="0" w:right="0" w:firstLine="720"/>
        <w:jc w:val="left"/>
        <w:rPr/>
      </w:pPr>
      <w:r>
        <w:rPr>
          <w:color w:val="000000"/>
        </w:rPr>
        <w:t>“</w:t>
      </w:r>
      <w:r>
        <w:rPr>
          <w:rFonts w:ascii="Times New Roman;serif" w:hAnsi="Times New Roman;serif"/>
          <w:b/>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or any similar law or regulation, and as codified at 31 C.F.R. § 850.101 et seq.</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Outstanding Amount</w:t>
      </w:r>
      <w:r>
        <w:rPr>
          <w:color w:val="000000"/>
        </w:rPr>
        <w:t xml:space="preserve">” </w:t>
      </w:r>
      <w:r>
        <w:rPr>
          <w:rFonts w:ascii="Times New Roman;serif" w:hAnsi="Times New Roman;serif"/>
          <w:b w:val="false"/>
          <w:color w:val="000000"/>
          <w:sz w:val="22"/>
        </w:rPr>
        <w:t>means (a) with respect to the Revolving Credit Loans and Swing Line Loans on any date, the outstanding principal amount thereof after giving effect to any borrowings and prepayments or repayments of Revolving Credit Loans (including any refinancing of outstanding unpaid drawings under Letters of Credit or L/C Credit Extensions as a Revolving Credit Borrowing) and Swing Line Loans, as the case may be, occurring on such date; and (b) with respect to any L/C Obligations on any date, the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10.07(e)</w:t>
      </w:r>
      <w:r>
        <w:rPr>
          <w:rFonts w:ascii="Times New Roman;serif" w:hAnsi="Times New Roman;serif"/>
          <w:b w:val="false"/>
          <w:color w:val="000000"/>
          <w:sz w:val="22"/>
        </w:rPr>
        <w:t>.</w:t>
      </w:r>
    </w:p>
    <w:p>
      <w:pPr>
        <w:pStyle w:val="TextBody"/>
        <w:bidi w:val="0"/>
        <w:spacing w:lineRule="auto" w:line="288" w:before="0" w:after="220"/>
        <w:ind w:left="0" w:right="0" w:firstLine="720"/>
        <w:jc w:val="left"/>
        <w:rPr/>
      </w:pPr>
      <w:r>
        <w:rPr>
          <w:color w:val="000000"/>
        </w:rPr>
        <w:t>“</w:t>
      </w:r>
      <w:r>
        <w:rPr>
          <w:rFonts w:ascii="Times New Roman;serif" w:hAnsi="Times New Roman;serif"/>
          <w:b/>
          <w:color w:val="000000"/>
          <w:sz w:val="22"/>
          <w:u w:val="single"/>
        </w:rPr>
        <w:t>Payment Recipient</w:t>
      </w:r>
      <w:r>
        <w:rPr>
          <w:color w:val="000000"/>
        </w:rPr>
        <w:t xml:space="preserve">” </w:t>
      </w:r>
      <w:r>
        <w:rPr>
          <w:rFonts w:ascii="Times New Roman;serif" w:hAnsi="Times New Roman;serif"/>
          <w:b w:val="false"/>
          <w:color w:val="000000"/>
          <w:sz w:val="22"/>
        </w:rPr>
        <w:t xml:space="preserve">has the meaning assigned thereto in </w:t>
      </w:r>
      <w:r>
        <w:rPr>
          <w:rFonts w:ascii="Times New Roman;serif" w:hAnsi="Times New Roman;serif"/>
          <w:b w:val="false"/>
          <w:color w:val="000000"/>
          <w:sz w:val="22"/>
          <w:u w:val="single"/>
        </w:rPr>
        <w:t>Section 9.15(a)</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84505"/>
                <wp:effectExtent l="0" t="0" r="0" b="0"/>
                <wp:wrapNone/>
                <wp:docPr id="47" name="Frame4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PCAOB</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(as such term is defined in Section 3(2) of ERISA), other than a Multiemployer Plan, that is subject to Section 412 of the Code or Section 302 or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or has been obligated to make contributions at any time during the immediately preceding five (5) plan years.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Acquisition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Bond Hedge Transaction</w:t>
      </w:r>
      <w:r>
        <w:rPr>
          <w:color w:val="000000"/>
        </w:rPr>
        <w:t xml:space="preserve">” </w:t>
      </w:r>
      <w:r>
        <w:rPr>
          <w:rFonts w:ascii="Times New Roman;serif" w:hAnsi="Times New Roman;serif"/>
          <w:b w:val="false"/>
          <w:color w:val="000000"/>
          <w:sz w:val="22"/>
        </w:rPr>
        <w:t xml:space="preserve">means any call or capped call option (or substantively equivalent derivative transaction) on the Company’s common stock purchased by the Company in connection with the issuance of any Permitted Convertible Notes;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purchase price for such Permitted Bond Hedge Transaction, less the proceeds received by the Company from the sale of any related Permitted Warrant Transaction, does not exceed the net proceeds received by the Company from the sale of such Permitted Convertible Notes issued in connection with the Permitted Bond Hedge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Convertible Notes</w:t>
      </w:r>
      <w:r>
        <w:rPr>
          <w:color w:val="000000"/>
        </w:rPr>
        <w:t xml:space="preserve">” </w:t>
      </w:r>
      <w:r>
        <w:rPr>
          <w:rFonts w:ascii="Times New Roman;serif" w:hAnsi="Times New Roman;serif"/>
          <w:b w:val="false"/>
          <w:color w:val="000000"/>
          <w:sz w:val="22"/>
        </w:rPr>
        <w:t>means any unsecured Indebtedness of the Loan Parties that (a) is convertible into, or exchangeable for, shares of common stock of the Company (or other securities or property following a merger event, reclassification or other change of the common stock of the Company), cash or a combination thereof (such amount of cash determined by reference to the price of the Company’s common stock or such other securities or property), and cash in lieu of fractional shares of common stock of the Company and (b) is permitted to be incurred under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Convertible Notes Call Transaction</w:t>
      </w:r>
      <w:r>
        <w:rPr>
          <w:color w:val="000000"/>
        </w:rPr>
        <w:t xml:space="preserve">” </w:t>
      </w:r>
      <w:r>
        <w:rPr>
          <w:rFonts w:ascii="Times New Roman;serif" w:hAnsi="Times New Roman;serif"/>
          <w:b w:val="false"/>
          <w:color w:val="000000"/>
          <w:sz w:val="22"/>
        </w:rPr>
        <w:t>means any Permitted Bond Hedge Transaction and any Permitted Warrant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Liens</w:t>
      </w:r>
      <w:r>
        <w:rPr>
          <w:color w:val="000000"/>
        </w:rPr>
        <w:t xml:space="preserve">” </w:t>
      </w:r>
      <w:r>
        <w:rPr>
          <w:rFonts w:ascii="Times New Roman;serif" w:hAnsi="Times New Roman;serif"/>
          <w:b w:val="false"/>
          <w:color w:val="000000"/>
          <w:sz w:val="22"/>
        </w:rPr>
        <w:t xml:space="preserve">means any Lien permitted to be outstanding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Pari Passu Secured Refinancing Debt</w:t>
      </w:r>
      <w:r>
        <w:rPr>
          <w:color w:val="000000"/>
        </w:rPr>
        <w:t xml:space="preserve">” </w:t>
      </w:r>
      <w:r>
        <w:rPr>
          <w:rFonts w:ascii="Times New Roman;serif" w:hAnsi="Times New Roman;serif"/>
          <w:b w:val="false"/>
          <w:color w:val="000000"/>
          <w:sz w:val="22"/>
        </w:rPr>
        <w:t xml:space="preserve">means any secured Credit Agreement Refinancing Indebtedness incurred by any Borrower in the form of one or more series of senior secured loans or notes;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Indebtedness is secured by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(but without regard to the control of remedies) with the Obligations and is not secured by any property or assets of the Company or any Subsidiary other than the Collateral and the security agreements relating to such Indebtedness are substantially the same as or more favorable to the Loan Parties than the Collateral Documents (with such differences as are reasonably satisfactory to the Administrative Agent), (ii) such Indebtedness is not at any time guaranteed by any Person other than a Guarantor, (iii) a Senior Representative acting on behalf of the holders of such Indebtedness shall have become party to or otherwise subject to the provisions of a First Lien Intercreditor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such Indebtedness is the initial Permitted Pari Passu Secured Refinancing Debt incurred by such Borrower, then such Borrower, the Administrative Agent and the Senior Representative for such Indebtedness shall have executed and delivered a First Lien Intercreditor Agreement and (iv) in the case of any notes, such Indebtedness does not mature or have scheduled amortization or payments of principal (other than customary offers to repurchase upon a change of control, asset sale or event of loss and a customary acceleration right after an event of default) prior to the date that is the Latest Maturity Date at the time such Indebtedness is incurred or issued.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84505"/>
                <wp:effectExtent l="0" t="0" r="0" b="0"/>
                <wp:wrapNone/>
                <wp:docPr id="48" name="Frame4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Ratio Debt</w:t>
      </w:r>
      <w:r>
        <w:rPr>
          <w:color w:val="000000"/>
        </w:rPr>
        <w:t xml:space="preserve">” </w:t>
      </w:r>
      <w:r>
        <w:rPr>
          <w:rFonts w:ascii="Times New Roman;serif" w:hAnsi="Times New Roman;serif"/>
          <w:b w:val="false"/>
          <w:color w:val="000000"/>
          <w:sz w:val="22"/>
        </w:rPr>
        <w:t xml:space="preserve">means any unsecured or subordinated unsecured Indebtedness incurred by the Company and any Subsidiary, so long as the Company and its Subsidiaries shall be in Pro Forma Compliance with the Financial Covenants;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such Indebtedness (i) will not mature prior to the date that is ninety-one (91) days after the Latest Maturity Date at the time of the issuance of such Indebtedness, (ii) will not have mandatory prepayment or mandatory amortization, redemption, sinking fund or similar prepayments (other than asset sale and change of control mandatory offers to repurchase customary for high-yield debt securities) prior to the date that is ninety-one (91) days after the Latest Maturity Date at the time of the issuance of such Indebtedness and (iii) that is incurred by Subsidiaries that are Non-Loan Parties, after giving Pro Forma Effect to such incurrence, the aggregate amount of Indebtedness of Non-Loan Parties incurred pursuant to </w:t>
      </w:r>
      <w:r>
        <w:rPr>
          <w:rFonts w:ascii="Times New Roman;serif" w:hAnsi="Times New Roman;serif"/>
          <w:b w:val="false"/>
          <w:color w:val="000000"/>
          <w:sz w:val="22"/>
          <w:u w:val="single"/>
        </w:rPr>
        <w:t>Section 7.03(x)</w:t>
      </w:r>
      <w:r>
        <w:rPr>
          <w:color w:val="000000"/>
        </w:rPr>
        <w:t xml:space="preserve"> </w:t>
      </w:r>
      <w:r>
        <w:rPr>
          <w:rFonts w:ascii="Times New Roman;serif" w:hAnsi="Times New Roman;serif"/>
          <w:b w:val="false"/>
          <w:color w:val="000000"/>
          <w:sz w:val="22"/>
        </w:rPr>
        <w:t>and then outstanding shall not exceed the greater of (x) $65,000,000 and (y) 2.0% of Total Assets.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Refinancing</w:t>
      </w:r>
      <w:r>
        <w:rPr>
          <w:color w:val="000000"/>
        </w:rPr>
        <w:t xml:space="preserve">” </w:t>
      </w:r>
      <w:r>
        <w:rPr>
          <w:rFonts w:ascii="Times New Roman;serif" w:hAnsi="Times New Roman;serif"/>
          <w:b w:val="false"/>
          <w:color w:val="000000"/>
          <w:sz w:val="22"/>
        </w:rPr>
        <w:t xml:space="preserve">means, with respect to any Person, any modification, refinancing, refunding, renewal, extension or replacement of any Indebtedness of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principal amount (or accreted value, if applicable) thereof does not exceed the principal amount (or accreted value, if applicable) of the Indebtedness so modified, refinanced, refunded, renewed, extended or replaced except by an amount equal to unpaid accrued interest and premium thereon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other reasonable amount paid, and fees and expenses reasonably incurred, in connection with such modification, refinancing, refunding, renewal, extension or replacement and by an amount equal to any existing commitments unutilized thereunder, (b) other than with respect to a Permitted Refinancing in respect of Indebtedness permitted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such modification, refinancing, refunding, renewal, extension or replacement has a final maturity equal to or later than the final maturity of the Indebtedness being modified, refinanced, refunded, renewed, extended or replaced (or, if earlier, the date that is 91 days after the Latest Maturity Date), and has a Weighted Average Life to Maturity no shorter than the remaining Weighted Average Life to Maturity of, the Indebtedness being modified, refinanced, refunded, renewed, extended or replaced (as originally in effect prior to any amortization or prepayments thereof), (c) other than with respect to a Permitted Refinancing in respect of Indebtedness permitted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at the time thereof, no Event of Default shall have occurred and be continuing, and (d) (i) to the extent such Indebtedness being modified, refinanced, refunded, renewed, extended or replaced is subordinated in right of payment to the Obligations (or the Liens securing such Indebtedness were originally contractually subordinated to the Liens securing the Collateral pursuant to the Collateral Documents), such modification, refinancing, refunding, renewal, extension or replacement is subordinated in right of payment to the Obligations (or the Liens securing such Indebtedness shall be subordinated to the Liens securing the Collateral pursuant to the Collateral Documents) on terms at least as favorable to the Lenders as those contained in the documentation governing the Indebtedness being modified, refinanced, refunded, renewed, extended or replaced, (ii) other than with respect to a Permitted Refinancing in respect of Indebtedness permitted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the terms and conditions (including, if applicable, as to collateral but excluding as to subordination, interest rate and redemption premium) of any such modified, refinanced, refunded, renewed, extended or replaced Indebtedness, taken as a whole, are not materially less favorable to the Loan Parties or the Lenders than the terms and conditions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Borrowers have determined in good faith that such terms and conditions satisfy the foregoing requirement shall be conclusive evidence that such terms and conditions satisfy the foregoing requirement unless the Administrative Agent notifies the Borrowers within such five (5) Business Day period that it disagrees with such determination (including a reasonable description of the basis upon which it disagrees) and (iii) such modification, refinancing, refunding, renewal, extension or replacement is incurred by the Person who is the obligor of the Indebtedness being modified, refinanced, refunded, renewed, extended or replaced and is guaranteed only by those Persons that are guarantors of the Indebtedness being modified, refinanced, refunded, renewed, extended or replaced.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84505"/>
                <wp:effectExtent l="0" t="0" r="0" b="0"/>
                <wp:wrapNone/>
                <wp:docPr id="49" name="Frame4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Unsecured Refinancing Debt</w:t>
      </w:r>
      <w:r>
        <w:rPr>
          <w:color w:val="000000"/>
        </w:rPr>
        <w:t xml:space="preserve">” </w:t>
      </w:r>
      <w:r>
        <w:rPr>
          <w:rFonts w:ascii="Times New Roman;serif" w:hAnsi="Times New Roman;serif"/>
          <w:b w:val="false"/>
          <w:color w:val="000000"/>
          <w:sz w:val="22"/>
        </w:rPr>
        <w:t xml:space="preserve">means unsecured Credit Agreement Refinancing Indebtedness incurred by any Borrower in the form of one or more series of senior unsecured notes or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Indebtedness (i) in the case of any notes, does not mature or have scheduled amortization payments of principal or payments of principal and is not subject to mandatory redemption, repurchase, prepayment or sinking fund obligations (except customary asset sale, event of loss or change of control provisions that provide for the prior repayment in full of the Loans and the other Obligations), in each case prior to the Latest Maturity Date at the time such Indebtedness is incurred and (ii) is not at any time guaranteed by any Person other than a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Permitted Warrant Transaction</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on the Company’s common stock sold by the Company substantially concurrently with any purchase by the Company of a related Permitted Bond Hedge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Plan</w:t>
      </w:r>
      <w:r>
        <w:rPr>
          <w:color w:val="000000"/>
        </w:rPr>
        <w:t xml:space="preserve">” </w:t>
      </w:r>
      <w:r>
        <w:rPr>
          <w:rFonts w:ascii="Times New Roman;serif" w:hAnsi="Times New Roman;serif"/>
          <w:b w:val="false"/>
          <w:color w:val="000000"/>
          <w:sz w:val="22"/>
        </w:rPr>
        <w:t>means any “employee benefit plan” (as such term is defined in Section 3(3) of ERISA) established or contributed to by any Loan Party or, with respect to any such plan that is subject to Section 412 of the Code or Section 302 or Title IV of ERISA, any ERISA Affiliate.</w:t>
      </w:r>
    </w:p>
    <w:p>
      <w:pPr>
        <w:pStyle w:val="TextBody"/>
        <w:bidi w:val="0"/>
        <w:spacing w:lineRule="auto" w:line="288" w:before="0" w:after="0"/>
        <w:ind w:left="0" w:right="0" w:firstLine="720"/>
        <w:jc w:val="left"/>
        <w:rPr/>
      </w:pPr>
      <w:r>
        <w:rPr>
          <w:color w:val="000000"/>
        </w:rPr>
        <w:t>“</w:t>
      </w:r>
      <w:r>
        <w:rPr>
          <w:rFonts w:ascii="Times New Roman;serif" w:hAnsi="Times New Roman;serif"/>
          <w:b/>
          <w:color w:val="000000"/>
          <w:sz w:val="22"/>
          <w:u w:val="single"/>
        </w:rPr>
        <w:t>Principal L/C Issuer</w:t>
      </w:r>
      <w:r>
        <w:rPr>
          <w:color w:val="000000"/>
        </w:rPr>
        <w:t xml:space="preserve">” </w:t>
      </w:r>
      <w:r>
        <w:rPr>
          <w:rFonts w:ascii="Times New Roman;serif" w:hAnsi="Times New Roman;serif"/>
          <w:b w:val="false"/>
          <w:color w:val="000000"/>
          <w:sz w:val="22"/>
        </w:rPr>
        <w:t>means Wells Fargo and any L/C Issuer that has issued Letters of Credit having an aggregate Outstanding Amount in excess of $500,000.</w:t>
      </w:r>
    </w:p>
    <w:p>
      <w:pPr>
        <w:pStyle w:val="TextBody"/>
        <w:bidi w:val="0"/>
        <w:spacing w:before="0" w:after="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Pro Forma Basis</w:t>
      </w:r>
      <w:r>
        <w:rPr>
          <w:color w:val="000000"/>
        </w:rPr>
        <w:t>”</w:t>
      </w:r>
      <w:r>
        <w:rPr>
          <w:rFonts w:ascii="Times New Roman;serif" w:hAnsi="Times New Roman;serif"/>
          <w:b w:val="false"/>
          <w:color w:val="000000"/>
          <w:sz w:val="22"/>
        </w:rPr>
        <w:t>, “</w:t>
      </w:r>
      <w:r>
        <w:rPr>
          <w:rFonts w:ascii="Times New Roman;serif" w:hAnsi="Times New Roman;serif"/>
          <w:b/>
          <w:color w:val="000000"/>
          <w:sz w:val="22"/>
          <w:u w:val="single"/>
        </w:rPr>
        <w:t>Pro Forma Compliance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u w:val="single"/>
        </w:rPr>
        <w:t>Pro Forma Effect</w:t>
      </w:r>
      <w:r>
        <w:rPr>
          <w:color w:val="000000"/>
        </w:rPr>
        <w:t xml:space="preserve">” </w:t>
      </w:r>
      <w:r>
        <w:rPr>
          <w:rFonts w:ascii="Times New Roman;serif" w:hAnsi="Times New Roman;serif"/>
          <w:b w:val="false"/>
          <w:color w:val="000000"/>
          <w:sz w:val="22"/>
        </w:rPr>
        <w:t xml:space="preserve">mean, with respect to compliance with any test or covenant or calculation of any ratio hereunder, the determination or calculation of such test, covenant or ratio (including in connection with Specified Transactions) in accordance with </w:t>
      </w:r>
      <w:r>
        <w:rPr>
          <w:rFonts w:ascii="Times New Roman;serif" w:hAnsi="Times New Roman;serif"/>
          <w:b w:val="false"/>
          <w:color w:val="000000"/>
          <w:sz w:val="22"/>
          <w:u w:val="single"/>
        </w:rPr>
        <w:t>Section 1.11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Pro Rata Share</w:t>
      </w:r>
      <w:r>
        <w:rPr>
          <w:color w:val="000000"/>
        </w:rPr>
        <w:t xml:space="preserve">” </w:t>
      </w:r>
      <w:r>
        <w:rPr>
          <w:rFonts w:ascii="Times New Roman;serif" w:hAnsi="Times New Roman;serif"/>
          <w:b w:val="false"/>
          <w:color w:val="000000"/>
          <w:sz w:val="22"/>
        </w:rPr>
        <w:t xml:space="preserve">means, with respect to each Lender at any time, a fraction (expressed as a percentage, carried out to the ninth decimal place), the numerator of which is the amount of the Commitment under the applicable Facility or Facilities at such time and the denominator of which is the amount of the Aggregate Commitments of all Lenders under the applicable Facility or Facilities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 Revolving Credit Facility, if such Commitment has been terminated, then the Pro Rata Share of each Lender shall be determined based on the Pro Rata Share of such Lender immediately prior to such termination and after giving effect to any subsequent assignments made pursuant to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Projections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Qualified Equity Interests</w:t>
      </w:r>
      <w:r>
        <w:rPr>
          <w:color w:val="000000"/>
        </w:rPr>
        <w:t xml:space="preserve">” </w:t>
      </w:r>
      <w:r>
        <w:rPr>
          <w:rFonts w:ascii="Times New Roman;serif" w:hAnsi="Times New Roman;serif"/>
          <w:b w:val="false"/>
          <w:color w:val="000000"/>
          <w:sz w:val="22"/>
        </w:rPr>
        <w:t>means any Equity Interests that are not Disqualified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Recipient</w:t>
      </w:r>
      <w:r>
        <w:rPr>
          <w:color w:val="000000"/>
        </w:rPr>
        <w:t xml:space="preserve">” </w:t>
      </w:r>
      <w:r>
        <w:rPr>
          <w:rFonts w:ascii="Times New Roman;serif" w:hAnsi="Times New Roman;serif"/>
          <w:b w:val="false"/>
          <w:color w:val="000000"/>
          <w:sz w:val="22"/>
        </w:rPr>
        <w:t>means (a) the Administrative Agent, (b) any Lender, (c) any L/C Issuer and (d) the Swing Line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Refinanced Debt</w:t>
      </w:r>
      <w:r>
        <w:rPr>
          <w:color w:val="000000"/>
        </w:rPr>
        <w:t xml:space="preserve">” </w:t>
      </w:r>
      <w:r>
        <w:rPr>
          <w:rFonts w:ascii="Times New Roman;serif" w:hAnsi="Times New Roman;serif"/>
          <w:b w:val="false"/>
          <w:color w:val="000000"/>
          <w:sz w:val="22"/>
        </w:rPr>
        <w:t>has the meaning specified in the definition of Credit Agreement Refinancing Indebtedness.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84505"/>
                <wp:effectExtent l="0" t="0" r="0" b="0"/>
                <wp:wrapNone/>
                <wp:docPr id="50" name="Frame4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Refinancing Amendment</w:t>
      </w:r>
      <w:r>
        <w:rPr>
          <w:color w:val="000000"/>
        </w:rPr>
        <w:t xml:space="preserve">” </w:t>
      </w:r>
      <w:r>
        <w:rPr>
          <w:rFonts w:ascii="Times New Roman;serif" w:hAnsi="Times New Roman;serif"/>
          <w:b w:val="false"/>
          <w:color w:val="000000"/>
          <w:sz w:val="22"/>
        </w:rPr>
        <w:t xml:space="preserve">means an amendment to this Agreement executed by each of (a) the Borrowers, (b) the Administrative Agent, (c) each Additional Refinancing Lender and (d) each Lender that agrees to provide any portion of Other Revolving Credit Commitments or Other Revolving Credit Loans incurred pursuant thereto,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Regulation D</w:t>
      </w:r>
      <w:r>
        <w:rPr>
          <w:color w:val="000000"/>
        </w:rPr>
        <w:t xml:space="preserve">” </w:t>
      </w:r>
      <w:r>
        <w:rPr>
          <w:rFonts w:ascii="Times New Roman;serif" w:hAnsi="Times New Roman;serif"/>
          <w:b w:val="false"/>
          <w:color w:val="000000"/>
          <w:sz w:val="22"/>
        </w:rPr>
        <w:t>shall mean Regulation D of the FRB as from time to time in effect and any successor to all or a portion thereof establishing reserve requirements.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Relevant Governmental Body</w:t>
      </w:r>
      <w:r>
        <w:rPr>
          <w:color w:val="000000"/>
        </w:rPr>
        <w:t xml:space="preserve">” </w:t>
      </w:r>
      <w:r>
        <w:rPr>
          <w:rFonts w:ascii="Times New Roman;serif" w:hAnsi="Times New Roman;serif"/>
          <w:b w:val="false"/>
          <w:color w:val="000000"/>
          <w:sz w:val="22"/>
        </w:rPr>
        <w:t xml:space="preserve">means the FRB or the Federal Reserve Bank of New York, or a committee officially endorsed or convened by the FRB or the Federal Reserve Bank of New York,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or the regulations issued thereunder, other than events for which the thirty (30) day notice period has been waived.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Revolving Credit Loans, a Committed Loan Notice, (b) with respect to an L/C Credit Extension, a Letter of Credit Application, and (c) with respect to a Swing Line Loan, a Swing Line Loan Notice.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Required Facility Lenders</w:t>
      </w:r>
      <w:r>
        <w:rPr>
          <w:color w:val="000000"/>
        </w:rPr>
        <w:t xml:space="preserve">” </w:t>
      </w:r>
      <w:r>
        <w:rPr>
          <w:rFonts w:ascii="Times New Roman;serif" w:hAnsi="Times New Roman;serif"/>
          <w:b w:val="false"/>
          <w:color w:val="000000"/>
          <w:sz w:val="22"/>
        </w:rPr>
        <w:t xml:space="preserve">means, as of any date of determination, with respect to one or more Facilities, Lenders having more than 50% of the sum of (a) the Total Outstandings under such Facility or Facilities (with the aggregate amount of each Lender’s risk participation and funded participation in L/C Obligations and Swing Line Loans, as applicable, under such Facility or Facilities being deemed “held” by such Lender for purposes of this definition) and (b) the aggregate unused Commitments under such Facility or Facilities;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unused Commitments of, and the portion of the Total Outstandings under such Facility or Facilities held or deemed held by, any Defaulting Lender shall be excluded for purposes of making a determination of the Required Facility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Required Lenders</w:t>
      </w:r>
      <w:r>
        <w:rPr>
          <w:color w:val="000000"/>
        </w:rPr>
        <w:t xml:space="preserve">” </w:t>
      </w:r>
      <w:r>
        <w:rPr>
          <w:rFonts w:ascii="Times New Roman;serif" w:hAnsi="Times New Roman;serif"/>
          <w:b w:val="false"/>
          <w:color w:val="000000"/>
          <w:sz w:val="22"/>
        </w:rPr>
        <w:t xml:space="preserve">means, as of any date of determination, Lenders having more than 50% of the sum of the (a) Total Outstandings (with the aggregate amount of each Lender’s risk participation and funded participation in L/C Obligations and Swing Line Loans being deemed “held” by such Lender for purposes of this definition) and (b) aggregate unused Revolving Credit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unused Commitments of, and the portion of the Total Outstandings held or deemed held by, any Defaulting Lender shall be excluded for purposes of making a determination of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Responsible Officer</w:t>
      </w:r>
      <w:r>
        <w:rPr>
          <w:color w:val="000000"/>
        </w:rPr>
        <w:t xml:space="preserve">” </w:t>
      </w:r>
      <w:r>
        <w:rPr>
          <w:rFonts w:ascii="Times New Roman;serif" w:hAnsi="Times New Roman;serif"/>
          <w:b w:val="false"/>
          <w:color w:val="000000"/>
          <w:sz w:val="22"/>
        </w:rPr>
        <w:t>means the chief executive officer, president, vice president, chief financial officer, treasurer or assistant treasurer or other similar officer or authorized signatory of a Loan Party designated in writing and reasonably acceptable to the Administrative Agent and, as to any document delivered on the Closing Date or the delivery of incumbency certificates and related documents,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84505"/>
                <wp:effectExtent l="0" t="0" r="0" b="0"/>
                <wp:wrapNone/>
                <wp:docPr id="51" name="Frame5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Restaurant LP</w:t>
      </w:r>
      <w:r>
        <w:rPr>
          <w:color w:val="000000"/>
        </w:rPr>
        <w:t xml:space="preserve">” </w:t>
      </w:r>
      <w:r>
        <w:rPr>
          <w:rFonts w:ascii="Times New Roman;serif" w:hAnsi="Times New Roman;serif"/>
          <w:b w:val="false"/>
          <w:color w:val="000000"/>
          <w:sz w:val="22"/>
        </w:rPr>
        <w:t xml:space="preserve">means a Domestic Subsidiary which is organized as a limited partnership (or similar entity) (a) in which either a Borrower or a Wholly Owned Subsidiary is a general partner and (b) which operates a restaurant that it owns or leases. As of the Closing Date and except as set forth on </w:t>
      </w:r>
      <w:r>
        <w:rPr>
          <w:rFonts w:ascii="Times New Roman;serif" w:hAnsi="Times New Roman;serif"/>
          <w:b w:val="false"/>
          <w:color w:val="000000"/>
          <w:sz w:val="22"/>
          <w:u w:val="single"/>
        </w:rPr>
        <w:t>Schedule 1.01E</w:t>
      </w:r>
      <w:r>
        <w:rPr>
          <w:rFonts w:ascii="Times New Roman;serif" w:hAnsi="Times New Roman;serif"/>
          <w:b w:val="false"/>
          <w:color w:val="000000"/>
          <w:sz w:val="22"/>
        </w:rPr>
        <w:t>, all of the Restaurant LP’s are Wholly Owned Subsidiaries, and, in the case of the ones that are Domestic Subsidiaries and not Excluded Concept Subsidiaries, are Guarantors.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Restricted Payment</w:t>
      </w:r>
      <w:r>
        <w:rPr>
          <w:color w:val="000000"/>
        </w:rPr>
        <w:t xml:space="preserve">” </w:t>
      </w:r>
      <w:r>
        <w:rPr>
          <w:rFonts w:ascii="Times New Roman;serif" w:hAnsi="Times New Roman;serif"/>
          <w:b w:val="false"/>
          <w:color w:val="000000"/>
          <w:sz w:val="22"/>
        </w:rPr>
        <w:t>means any dividend or other distribution (whether in cash, securities or other property) with respect to any Equity Interest of the Company or any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any Borrower’s stockholders, partners or members (or the equivalent Persons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Returns</w:t>
      </w:r>
      <w:r>
        <w:rPr>
          <w:color w:val="000000"/>
        </w:rPr>
        <w:t xml:space="preserve">” </w:t>
      </w:r>
      <w:r>
        <w:rPr>
          <w:rFonts w:ascii="Times New Roman;serif" w:hAnsi="Times New Roman;serif"/>
          <w:b w:val="false"/>
          <w:color w:val="000000"/>
          <w:sz w:val="22"/>
        </w:rPr>
        <w:t xml:space="preserve">means, with respect to any Investment, any repayments, interest, returns, profits, distributions, proceeds, fees and similar amounts actually received in cash or Cash Equivalents (or actually converted into cash or Cash Equivalents) by the Company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each of </w:t>
      </w:r>
      <w:r>
        <w:rPr>
          <w:rFonts w:ascii="Times New Roman;serif" w:hAnsi="Times New Roman;serif"/>
          <w:b w:val="false"/>
          <w:color w:val="000000"/>
          <w:sz w:val="22"/>
          <w:u w:val="single"/>
        </w:rPr>
        <w:t>Sections 7.02(c)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7.02(i)(B)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7.02(l)</w:t>
      </w:r>
      <w:r>
        <w:rPr>
          <w:rFonts w:ascii="Times New Roman;serif" w:hAnsi="Times New Roman;serif"/>
          <w:b w:val="false"/>
          <w:color w:val="000000"/>
          <w:sz w:val="22"/>
        </w:rPr>
        <w:t>, the aggregate amount of repayments, interest, returns, profits, distributions, proceeds, fees and similar amounts constituting Returns shall not exceed the original amount of all Investments made pursuant to each such Section.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Revolver Extension Request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Revolver Extension Series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Commitment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Borrowing</w:t>
      </w:r>
      <w:r>
        <w:rPr>
          <w:color w:val="000000"/>
        </w:rPr>
        <w:t xml:space="preserve">” </w:t>
      </w:r>
      <w:r>
        <w:rPr>
          <w:rFonts w:ascii="Times New Roman;serif" w:hAnsi="Times New Roman;serif"/>
          <w:b w:val="false"/>
          <w:color w:val="000000"/>
          <w:sz w:val="22"/>
        </w:rPr>
        <w:t xml:space="preserve">means a borrowing consisting of simultaneous Revolving Credit Loans of the same Type and, in the case of SOFR Loans, having the same Interest Period made by each of the Revolving Credit Lenders pursuant to </w:t>
      </w:r>
      <w:r>
        <w:rPr>
          <w:rFonts w:ascii="Times New Roman;serif" w:hAnsi="Times New Roman;serif"/>
          <w:b w:val="false"/>
          <w:color w:val="000000"/>
          <w:sz w:val="22"/>
          <w:u w:val="single"/>
        </w:rPr>
        <w:t>Section 2.01</w:t>
      </w:r>
      <w:r>
        <w:rPr>
          <w:color w:val="000000"/>
        </w:rPr>
        <w:t xml:space="preserve"> </w:t>
      </w:r>
      <w:r>
        <w:rPr>
          <w:rFonts w:ascii="Times New Roman;serif" w:hAnsi="Times New Roman;serif"/>
          <w:b w:val="false"/>
          <w:color w:val="000000"/>
          <w:sz w:val="22"/>
        </w:rPr>
        <w:t>or under any Incremental Amendment, Extension Amendment or Refinancing Amendment.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Commitment</w:t>
      </w:r>
      <w:r>
        <w:rPr>
          <w:color w:val="000000"/>
        </w:rPr>
        <w:t xml:space="preserve">” </w:t>
      </w:r>
      <w:r>
        <w:rPr>
          <w:rFonts w:ascii="Times New Roman;serif" w:hAnsi="Times New Roman;serif"/>
          <w:b w:val="false"/>
          <w:color w:val="000000"/>
          <w:sz w:val="22"/>
        </w:rPr>
        <w:t xml:space="preserve">means, as to each Revolving Credit Lender, its obligation to (a) make Revolving Credit Loans to the Borrowers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under the caption “Revolving Credit Commitment” or in the Assignment and Assumption Agreement pursuant to which such Lender becomes a party hereto, as applicable, as such amount may be adjusted from time to time in accordance with this Agreement (including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10.07(b)</w:t>
      </w:r>
      <w:r>
        <w:rPr>
          <w:rFonts w:ascii="Times New Roman;serif" w:hAnsi="Times New Roman;serif"/>
          <w:b w:val="false"/>
          <w:color w:val="000000"/>
          <w:sz w:val="22"/>
        </w:rPr>
        <w:t>). The aggregate Revolving Credit Commitments of all Revolving Credit Lenders on the Closing Date shall be $1,200,000,000, as such amount may be adjusted from time to time in accordance with the terms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Exposure</w:t>
      </w:r>
      <w:r>
        <w:rPr>
          <w:color w:val="000000"/>
        </w:rPr>
        <w:t xml:space="preserve">” </w:t>
      </w:r>
      <w:r>
        <w:rPr>
          <w:rFonts w:ascii="Times New Roman;serif" w:hAnsi="Times New Roman;serif"/>
          <w:b w:val="false"/>
          <w:color w:val="000000"/>
          <w:sz w:val="22"/>
        </w:rPr>
        <w:t>means, at any time, as to each Revolving Credit Lender, the sum of the outstanding principal amount of such Revolving Credit Lender’s Revolving Credit Loans at such time and its Pro Rata Share of the L/C Obligations and the Swing Line Obligations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Facility</w:t>
      </w:r>
      <w:r>
        <w:rPr>
          <w:color w:val="000000"/>
        </w:rPr>
        <w:t xml:space="preserve">” </w:t>
      </w:r>
      <w:r>
        <w:rPr>
          <w:rFonts w:ascii="Times New Roman;serif" w:hAnsi="Times New Roman;serif"/>
          <w:b w:val="false"/>
          <w:color w:val="000000"/>
          <w:sz w:val="22"/>
        </w:rPr>
        <w:t>means, at any time, the aggregate amount of the Revolving Credit Lenders’ Revolving Credit Commitments at such time.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84505"/>
                <wp:effectExtent l="0" t="0" r="0" b="0"/>
                <wp:wrapNone/>
                <wp:docPr id="52" name="Frame5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Lender</w:t>
      </w:r>
      <w:r>
        <w:rPr>
          <w:color w:val="000000"/>
        </w:rPr>
        <w:t xml:space="preserve">” </w:t>
      </w:r>
      <w:r>
        <w:rPr>
          <w:rFonts w:ascii="Times New Roman;serif" w:hAnsi="Times New Roman;serif"/>
          <w:b w:val="false"/>
          <w:color w:val="000000"/>
          <w:sz w:val="22"/>
        </w:rPr>
        <w:t>means, at any time, any Lender that has a Revolving Credit Commitment at such time or, if the Revolving Credit Commitments have been terminated, which has outstanding Revolving Credit Loans or other Revolving Credit Exposure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Revolving Credit Note</w:t>
      </w:r>
      <w:r>
        <w:rPr>
          <w:color w:val="000000"/>
        </w:rPr>
        <w:t xml:space="preserve">” </w:t>
      </w:r>
      <w:r>
        <w:rPr>
          <w:rFonts w:ascii="Times New Roman;serif" w:hAnsi="Times New Roman;serif"/>
          <w:b w:val="false"/>
          <w:color w:val="000000"/>
          <w:sz w:val="22"/>
        </w:rPr>
        <w:t xml:space="preserve">means, as the context requires, a promissory note of each Borrower payable to any Revolving Credit Lender or its registered assigns, in substantially the form of </w:t>
      </w:r>
      <w:r>
        <w:rPr>
          <w:rFonts w:ascii="Times New Roman;serif" w:hAnsi="Times New Roman;serif"/>
          <w:b w:val="false"/>
          <w:color w:val="000000"/>
          <w:sz w:val="22"/>
          <w:u w:val="single"/>
        </w:rPr>
        <w:t>Exhibit C-1</w:t>
      </w:r>
      <w:r>
        <w:rPr>
          <w:color w:val="000000"/>
        </w:rPr>
        <w:t xml:space="preserve"> </w:t>
      </w:r>
      <w:r>
        <w:rPr>
          <w:rFonts w:ascii="Times New Roman;serif" w:hAnsi="Times New Roman;serif"/>
          <w:b w:val="false"/>
          <w:color w:val="000000"/>
          <w:sz w:val="22"/>
        </w:rPr>
        <w:t>evidencing the aggregate Indebtedness of the Borrowers to such Revolving Credit Lender resulting from the Revolving Credit Loans made by such Revolving Credit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S&amp;P</w:t>
      </w:r>
      <w:r>
        <w:rPr>
          <w:color w:val="000000"/>
        </w:rPr>
        <w:t xml:space="preserve">” </w:t>
      </w:r>
      <w:r>
        <w:rPr>
          <w:rFonts w:ascii="Times New Roman;serif" w:hAnsi="Times New Roman;serif"/>
          <w:b w:val="false"/>
          <w:color w:val="000000"/>
          <w:sz w:val="22"/>
        </w:rPr>
        <w:t>means Standard &amp; Poor’s Rating Service, a division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Same Day Funds</w:t>
      </w:r>
      <w:r>
        <w:rPr>
          <w:color w:val="000000"/>
        </w:rPr>
        <w:t xml:space="preserve">” </w:t>
      </w:r>
      <w:r>
        <w:rPr>
          <w:rFonts w:ascii="Times New Roman;serif" w:hAnsi="Times New Roman;serif"/>
          <w:b w:val="false"/>
          <w:color w:val="000000"/>
          <w:sz w:val="22"/>
        </w:rPr>
        <w:t>means, with respect to disbursements and payments, immediately available funds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Sanctioned Country</w:t>
      </w:r>
      <w:r>
        <w:rPr>
          <w:color w:val="000000"/>
        </w:rPr>
        <w:t xml:space="preserve">” </w:t>
      </w:r>
      <w:r>
        <w:rPr>
          <w:rFonts w:ascii="Times New Roman;serif" w:hAnsi="Times New Roman;serif"/>
          <w:b w:val="false"/>
          <w:color w:val="000000"/>
          <w:sz w:val="22"/>
        </w:rPr>
        <w:t>means, at any time, a country or territory which is the subject or target of any Sanctions.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Sanctioned Person</w:t>
      </w:r>
      <w:r>
        <w:rPr>
          <w:color w:val="000000"/>
        </w:rPr>
        <w:t xml:space="preserve">” </w:t>
      </w:r>
      <w:r>
        <w:rPr>
          <w:rFonts w:ascii="Times New Roman;serif" w:hAnsi="Times New Roman;serif"/>
          <w:b w:val="false"/>
          <w:color w:val="000000"/>
          <w:sz w:val="22"/>
        </w:rPr>
        <w:t>means, at any time, (a) any Person listed in any Sanctions-related list of designated Persons maintained by the Office of Foreign Assets Control of the U.S. Department of the Treasury, the U.S. Department of State, the European Union or His Majesty’s Treasury of the United Kingdom and (b) any other Person resident, located or organized in a Sanctioned Country or owned or controlled (as determined by applicable law) by any Person that is a Sanctioned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Sanctions</w:t>
      </w:r>
      <w:r>
        <w:rPr>
          <w:color w:val="000000"/>
        </w:rPr>
        <w:t xml:space="preserve">” </w:t>
      </w:r>
      <w:r>
        <w:rPr>
          <w:rFonts w:ascii="Times New Roman;serif" w:hAnsi="Times New Roman;serif"/>
          <w:b w:val="false"/>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Secured Hedge Agreement</w:t>
      </w:r>
      <w:r>
        <w:rPr>
          <w:color w:val="000000"/>
        </w:rPr>
        <w:t xml:space="preserve">” </w:t>
      </w:r>
      <w:r>
        <w:rPr>
          <w:rFonts w:ascii="Times New Roman;serif" w:hAnsi="Times New Roman;serif"/>
          <w:b w:val="false"/>
          <w:color w:val="000000"/>
          <w:sz w:val="22"/>
        </w:rPr>
        <w:t xml:space="preserve">means any Swap Contract permitted under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that is entered into by and between any Loan Party or any Subsidiary and any Hedge Bank.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Secured Net Leverage Ratio Covenant</w:t>
      </w:r>
      <w:r>
        <w:rPr>
          <w:color w:val="000000"/>
        </w:rPr>
        <w:t xml:space="preserve">” </w:t>
      </w:r>
      <w:r>
        <w:rPr>
          <w:rFonts w:ascii="Times New Roman;serif" w:hAnsi="Times New Roman;serif"/>
          <w:b w:val="false"/>
          <w:color w:val="000000"/>
          <w:sz w:val="22"/>
        </w:rPr>
        <w:t>has the meaning specified in Section 7.10.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Secured Obligations</w:t>
      </w:r>
      <w:r>
        <w:rPr>
          <w:color w:val="000000"/>
        </w:rPr>
        <w:t xml:space="preserve">” </w:t>
      </w:r>
      <w:r>
        <w:rPr>
          <w:rFonts w:ascii="Times New Roman;serif" w:hAnsi="Times New Roman;serif"/>
          <w:b w:val="false"/>
          <w:color w:val="000000"/>
          <w:sz w:val="22"/>
        </w:rPr>
        <w:t>has the meaning specified in the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Secured Parties</w:t>
      </w:r>
      <w:r>
        <w:rPr>
          <w:color w:val="000000"/>
        </w:rPr>
        <w:t xml:space="preserve">” </w:t>
      </w:r>
      <w:r>
        <w:rPr>
          <w:rFonts w:ascii="Times New Roman;serif" w:hAnsi="Times New Roman;serif"/>
          <w:b w:val="false"/>
          <w:color w:val="000000"/>
          <w:sz w:val="22"/>
        </w:rPr>
        <w:t xml:space="preserve">means, collectively, the Administrative Agent, the Collateral Agent, the Lenders, the Hedge Banks, the Cash Management Banks, the Supplemental Administrative Agent and each co-agent or sub-agent appointed by the Administrative Agent from time to time pursuant to </w:t>
      </w:r>
      <w:r>
        <w:rPr>
          <w:rFonts w:ascii="Times New Roman;serif" w:hAnsi="Times New Roman;serif"/>
          <w:b w:val="false"/>
          <w:color w:val="000000"/>
          <w:sz w:val="22"/>
          <w:u w:val="single"/>
        </w:rPr>
        <w:t>Section 9.01(c)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Security Agreement</w:t>
      </w:r>
      <w:r>
        <w:rPr>
          <w:color w:val="000000"/>
        </w:rPr>
        <w:t xml:space="preserve">” </w:t>
      </w:r>
      <w:r>
        <w:rPr>
          <w:rFonts w:ascii="Times New Roman;serif" w:hAnsi="Times New Roman;serif"/>
          <w:b w:val="false"/>
          <w:color w:val="000000"/>
          <w:sz w:val="22"/>
        </w:rPr>
        <w:t xml:space="preserve">means, collectively, the Fourth Amended and Restated Security Agreement executed by the Loan Parties, 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 xml:space="preserve">(as the same may be amended, restated, supplemented or otherwise modified from time to time), together with each other security agreement supplement executed and delivered pursuant to </w:t>
      </w:r>
      <w:r>
        <w:rPr>
          <w:rFonts w:ascii="Times New Roman;serif" w:hAnsi="Times New Roman;serif"/>
          <w:b w:val="false"/>
          <w:color w:val="000000"/>
          <w:sz w:val="22"/>
          <w:u w:val="single"/>
        </w:rPr>
        <w:t>Section 6.11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84505"/>
                <wp:effectExtent l="0" t="0" r="0" b="0"/>
                <wp:wrapNone/>
                <wp:docPr id="53" name="Frame5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Security Agreement Supplement</w:t>
      </w:r>
      <w:r>
        <w:rPr>
          <w:color w:val="000000"/>
        </w:rPr>
        <w:t xml:space="preserve">” </w:t>
      </w:r>
      <w:r>
        <w:rPr>
          <w:rFonts w:ascii="Times New Roman;serif" w:hAnsi="Times New Roman;serif"/>
          <w:b w:val="false"/>
          <w:color w:val="000000"/>
          <w:sz w:val="22"/>
        </w:rPr>
        <w:t>has the meaning specified in the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Senior Representative</w:t>
      </w:r>
      <w:r>
        <w:rPr>
          <w:color w:val="000000"/>
        </w:rPr>
        <w:t xml:space="preserve">” </w:t>
      </w:r>
      <w:r>
        <w:rPr>
          <w:rFonts w:ascii="Times New Roman;serif" w:hAnsi="Times New Roman;serif"/>
          <w:b w:val="false"/>
          <w:color w:val="000000"/>
          <w:sz w:val="22"/>
        </w:rPr>
        <w:t>means, with respect to any series of Permitted Pari Passu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SOFR Loan</w:t>
      </w:r>
      <w:r>
        <w:rPr>
          <w:color w:val="000000"/>
        </w:rPr>
        <w:t xml:space="preserve">” </w:t>
      </w:r>
      <w:r>
        <w:rPr>
          <w:rFonts w:ascii="Times New Roman;serif" w:hAnsi="Times New Roman;serif"/>
          <w:b w:val="false"/>
          <w:color w:val="000000"/>
          <w:sz w:val="22"/>
        </w:rPr>
        <w:t xml:space="preserve">means any Loan bearing interest at a rate based on Term SOFR as provided in </w:t>
      </w:r>
      <w:r>
        <w:rPr>
          <w:rFonts w:ascii="Times New Roman;serif" w:hAnsi="Times New Roman;serif"/>
          <w:b w:val="false"/>
          <w:color w:val="000000"/>
          <w:sz w:val="22"/>
          <w:u w:val="single"/>
        </w:rPr>
        <w:t>Section 2.08(a)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Solvent</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u w:val="single"/>
        </w:rPr>
        <w:t>Solvency</w:t>
      </w:r>
      <w:r>
        <w:rPr>
          <w:color w:val="000000"/>
        </w:rPr>
        <w:t xml:space="preserve">” </w:t>
      </w:r>
      <w:r>
        <w:rPr>
          <w:rFonts w:ascii="Times New Roman;serif" w:hAnsi="Times New Roman;serif"/>
          <w:b w:val="false"/>
          <w:color w:val="000000"/>
          <w:sz w:val="22"/>
        </w:rPr>
        <w:t>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SPC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10.07(h)</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Specified Default</w:t>
      </w:r>
      <w:r>
        <w:rPr>
          <w:color w:val="000000"/>
        </w:rPr>
        <w:t xml:space="preserve">” </w:t>
      </w:r>
      <w:r>
        <w:rPr>
          <w:rFonts w:ascii="Times New Roman;serif" w:hAnsi="Times New Roman;serif"/>
          <w:b w:val="false"/>
          <w:color w:val="000000"/>
          <w:sz w:val="22"/>
        </w:rPr>
        <w:t xml:space="preserve">means any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Specified Proceeds</w:t>
      </w:r>
      <w:r>
        <w:rPr>
          <w:color w:val="000000"/>
        </w:rPr>
        <w:t xml:space="preserve">” </w:t>
      </w:r>
      <w:r>
        <w:rPr>
          <w:rFonts w:ascii="Times New Roman;serif" w:hAnsi="Times New Roman;serif"/>
          <w:b w:val="false"/>
          <w:color w:val="000000"/>
          <w:sz w:val="22"/>
        </w:rPr>
        <w:t>means contributions made to the common equity of the Company in cash.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Specified Transaction</w:t>
      </w:r>
      <w:r>
        <w:rPr>
          <w:color w:val="000000"/>
        </w:rPr>
        <w:t xml:space="preserve">” </w:t>
      </w:r>
      <w:r>
        <w:rPr>
          <w:rFonts w:ascii="Times New Roman;serif" w:hAnsi="Times New Roman;serif"/>
          <w:b w:val="false"/>
          <w:color w:val="000000"/>
          <w:sz w:val="22"/>
        </w:rPr>
        <w:t>means (i) any Permitted Acquisition, (ii) any Disposition that results in a Subsidiary ceasing to be a Subsidiary of any Borrower, (iii) any Investment constituting an acquisition of assets constituting a business unit, line of business or division of, or all or substantially all of the Equity Interests of, another Person, (iv) any Disposition of a business unit, line of business or division of a Borrower or a Subsidiary, in each case whether by merger, consolidation, amalgamation or otherwise or (v) any incurrence or repayment of Indebtedness (other than Indebtedness incurred or repaid under any revolving credit facility or line of credit, unless such Indebtedness (x) has been permanently repaid and has not been replaced or (y) the proceeds therefrom are used for other than working capital purposes or general corporate purposes in the ordinary course of business), Restricted Payment, Revolving Commitment Increase or Incremental Term Loan that by the terms of this Agreement requires such test to be calculated on a “Pro Forma Basis” or after giving “Pro Forma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Subsidiary</w:t>
      </w:r>
      <w:r>
        <w:rPr>
          <w:color w:val="000000"/>
        </w:rPr>
        <w:t xml:space="preserve">” </w:t>
      </w:r>
      <w:r>
        <w:rPr>
          <w:rFonts w:ascii="Times New Roman;serif" w:hAnsi="Times New Roman;serif"/>
          <w:b w:val="false"/>
          <w:color w:val="000000"/>
          <w:sz w:val="22"/>
        </w:rPr>
        <w:t xml:space="preserve">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84505"/>
                <wp:effectExtent l="0" t="0" r="0" b="0"/>
                <wp:wrapNone/>
                <wp:docPr id="54" name="Frame5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both, by such Person. Unless otherwise specified, all references herein to a “Subsidiary” or to “Subsidiaries” shall refer to a Subsidiary or Subsidiaries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Subsidiary Guarantor</w:t>
      </w:r>
      <w:r>
        <w:rPr>
          <w:color w:val="000000"/>
        </w:rPr>
        <w:t xml:space="preserve">” </w:t>
      </w:r>
      <w:r>
        <w:rPr>
          <w:rFonts w:ascii="Times New Roman;serif" w:hAnsi="Times New Roman;serif"/>
          <w:b w:val="false"/>
          <w:color w:val="000000"/>
          <w:sz w:val="22"/>
        </w:rPr>
        <w:t>means, collectively, the Subsidiaries of each Borrower that are required to guarantee the Obligations pursuant to the Collateral and Guarantee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Successor Company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7.04(d)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Supplemental Administrative Agent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9.13</w:t>
      </w:r>
      <w:r>
        <w:rPr>
          <w:color w:val="000000"/>
        </w:rPr>
        <w:t xml:space="preserve"> </w:t>
      </w:r>
      <w:r>
        <w:rPr>
          <w:rFonts w:ascii="Times New Roman;serif" w:hAnsi="Times New Roman;serif"/>
          <w:b w:val="false"/>
          <w:color w:val="000000"/>
          <w:sz w:val="22"/>
        </w:rPr>
        <w:t>and “Supplemental Administrative Agents” shall have the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Swap Obligation</w:t>
      </w:r>
      <w:r>
        <w:rPr>
          <w:color w:val="000000"/>
        </w:rPr>
        <w:t xml:space="preserve">” </w:t>
      </w:r>
      <w:r>
        <w:rPr>
          <w:rFonts w:ascii="Times New Roman;serif" w:hAnsi="Times New Roman;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Swap Termination Value</w:t>
      </w:r>
      <w:r>
        <w:rPr>
          <w:color w:val="000000"/>
        </w:rPr>
        <w:t xml:space="preserve">” </w:t>
      </w:r>
      <w:r>
        <w:rPr>
          <w:rFonts w:ascii="Times New Roman;serif" w:hAnsi="Times New Roman;serif"/>
          <w:b w:val="false"/>
          <w:color w:val="000000"/>
          <w:sz w:val="22"/>
        </w:rPr>
        <w:t>means, in respect of any one or more Swap Contracts, after taking into account the effect of any legally enforceable netting agreement relating to such Swap Contracts, (a) for any date on or after the date such Swap Contract has been closed out and termination value(s) determined in accordance therewith, such termination value(s), and (b) for any date prior to the date referenced in clause (a), the amount(s) determined as the mark-to-market value(s) for such Swap Contract,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Borrowing</w:t>
      </w:r>
      <w:r>
        <w:rPr>
          <w:color w:val="000000"/>
        </w:rPr>
        <w:t xml:space="preserve">” </w:t>
      </w:r>
      <w:r>
        <w:rPr>
          <w:rFonts w:ascii="Times New Roman;serif" w:hAnsi="Times New Roman;serif"/>
          <w:b w:val="false"/>
          <w:color w:val="000000"/>
          <w:sz w:val="22"/>
        </w:rPr>
        <w:t xml:space="preserve">means a borrowing of a Swing Line Loan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Facility</w:t>
      </w:r>
      <w:r>
        <w:rPr>
          <w:color w:val="000000"/>
        </w:rPr>
        <w:t xml:space="preserve">” </w:t>
      </w:r>
      <w:r>
        <w:rPr>
          <w:rFonts w:ascii="Times New Roman;serif" w:hAnsi="Times New Roman;serif"/>
          <w:b w:val="false"/>
          <w:color w:val="000000"/>
          <w:sz w:val="22"/>
        </w:rPr>
        <w:t xml:space="preserve">means the revolving credit facility made available by the Swing Line Lender pursuant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Lender</w:t>
      </w:r>
      <w:r>
        <w:rPr>
          <w:color w:val="000000"/>
        </w:rPr>
        <w:t xml:space="preserve">” </w:t>
      </w:r>
      <w:r>
        <w:rPr>
          <w:rFonts w:ascii="Times New Roman;serif" w:hAnsi="Times New Roman;serif"/>
          <w:b w:val="false"/>
          <w:color w:val="000000"/>
          <w:sz w:val="22"/>
        </w:rPr>
        <w:t>means Wells Fargo, in its capacity as provider of Swing Line Loans, or any successor swing line lender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Loan Notice</w:t>
      </w:r>
      <w:r>
        <w:rPr>
          <w:color w:val="000000"/>
        </w:rPr>
        <w:t xml:space="preserve">” </w:t>
      </w:r>
      <w:r>
        <w:rPr>
          <w:rFonts w:ascii="Times New Roman;serif" w:hAnsi="Times New Roman;serif"/>
          <w:b w:val="false"/>
          <w:color w:val="000000"/>
          <w:sz w:val="22"/>
        </w:rPr>
        <w:t xml:space="preserve">means a notice of a Swing Line Borrowing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if in writing, shall be substantially in the form of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84505"/>
                <wp:effectExtent l="0" t="0" r="0" b="0"/>
                <wp:wrapNone/>
                <wp:docPr id="55" name="Frame5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Note</w:t>
      </w:r>
      <w:r>
        <w:rPr>
          <w:color w:val="000000"/>
        </w:rPr>
        <w:t xml:space="preserve">” </w:t>
      </w:r>
      <w:r>
        <w:rPr>
          <w:rFonts w:ascii="Times New Roman;serif" w:hAnsi="Times New Roman;serif"/>
          <w:b w:val="false"/>
          <w:color w:val="000000"/>
          <w:sz w:val="22"/>
        </w:rPr>
        <w:t xml:space="preserve">means a promissory note of each Borrower payable to any Swing Line Lender or its registered assigns, in substantially the form of </w:t>
      </w:r>
      <w:r>
        <w:rPr>
          <w:rFonts w:ascii="Times New Roman;serif" w:hAnsi="Times New Roman;serif"/>
          <w:b w:val="false"/>
          <w:color w:val="000000"/>
          <w:sz w:val="22"/>
          <w:u w:val="single"/>
        </w:rPr>
        <w:t>Exhibit C-2</w:t>
      </w:r>
      <w:r>
        <w:rPr>
          <w:rFonts w:ascii="Times New Roman;serif" w:hAnsi="Times New Roman;serif"/>
          <w:b w:val="false"/>
          <w:color w:val="000000"/>
          <w:sz w:val="22"/>
        </w:rPr>
        <w:t>, evidencing the aggregate Indebtedness of the Borrowers to such Swing Line Lender resulting from the Swing Line Loans made by such Swing Line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Obligations</w:t>
      </w:r>
      <w:r>
        <w:rPr>
          <w:color w:val="000000"/>
        </w:rPr>
        <w:t xml:space="preserve">” </w:t>
      </w:r>
      <w:r>
        <w:rPr>
          <w:rFonts w:ascii="Times New Roman;serif" w:hAnsi="Times New Roman;serif"/>
          <w:b w:val="false"/>
          <w:color w:val="000000"/>
          <w:sz w:val="22"/>
        </w:rPr>
        <w:t>means, as at any date of determination, the aggregate principal amount of all Swing Line Loans outstanding.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Swing Line Sublimit</w:t>
      </w:r>
      <w:r>
        <w:rPr>
          <w:color w:val="000000"/>
        </w:rPr>
        <w:t xml:space="preserve">” </w:t>
      </w:r>
      <w:r>
        <w:rPr>
          <w:rFonts w:ascii="Times New Roman;serif" w:hAnsi="Times New Roman;serif"/>
          <w:b w:val="false"/>
          <w:color w:val="000000"/>
          <w:sz w:val="22"/>
        </w:rPr>
        <w:t>means an amount equal to the lesser of (a) $50,000,000 and (b) the aggregate amount of the Revolving Credit Commitments. The Swing Line Sublimit is part of, and not in addition to, the Revolving Credit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Term SOFR</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for any calculation with respect to a SOFR Loan, the Term SOFR Reference Rate for a tenor comparable to the applicable Interest Period on the day (such day, the “</w:t>
      </w:r>
      <w:r>
        <w:rPr>
          <w:rFonts w:ascii="Times New Roman;serif" w:hAnsi="Times New Roman;serif"/>
          <w:b w:val="false"/>
          <w:color w:val="000000"/>
          <w:sz w:val="22"/>
          <w:u w:val="single"/>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for any calculation with respect to a Base Rate Loan on any day, the Term SOFR Reference Rate for a tenor of one month on the day (such day, the “</w:t>
      </w:r>
      <w:r>
        <w:rPr>
          <w:rFonts w:ascii="Times New Roman;serif" w:hAnsi="Times New Roman;serif"/>
          <w:b w:val="false"/>
          <w:color w:val="000000"/>
          <w:sz w:val="22"/>
          <w:u w:val="single"/>
        </w:rPr>
        <w:t>Base Rate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Term SOFR determined as provided above (including pursuant to the proviso under clause (a) or clause (b) above) shall ever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Administrative Agent in its reasonable discretion).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84505"/>
                <wp:effectExtent l="0" t="0" r="0" b="0"/>
                <wp:wrapNone/>
                <wp:docPr id="56" name="Frame5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Term SOFR Reference Rate</w:t>
      </w:r>
      <w:r>
        <w:rPr>
          <w:color w:val="000000"/>
        </w:rPr>
        <w:t xml:space="preserve">” </w:t>
      </w:r>
      <w:r>
        <w:rPr>
          <w:rFonts w:ascii="Times New Roman;serif" w:hAnsi="Times New Roman;serif"/>
          <w:b w:val="false"/>
          <w:color w:val="000000"/>
          <w:sz w:val="22"/>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Test Period</w:t>
      </w:r>
      <w:r>
        <w:rPr>
          <w:color w:val="000000"/>
        </w:rPr>
        <w:t xml:space="preserve">” </w:t>
      </w:r>
      <w:r>
        <w:rPr>
          <w:rFonts w:ascii="Times New Roman;serif" w:hAnsi="Times New Roman;serif"/>
          <w:b w:val="false"/>
          <w:color w:val="000000"/>
          <w:sz w:val="22"/>
        </w:rPr>
        <w:t>means, for any determination under this Agreement, the four consecutive fiscal quarters of the Company then last 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Threshold Amount</w:t>
      </w:r>
      <w:r>
        <w:rPr>
          <w:color w:val="000000"/>
        </w:rPr>
        <w:t xml:space="preserve">” </w:t>
      </w:r>
      <w:r>
        <w:rPr>
          <w:rFonts w:ascii="Times New Roman;serif" w:hAnsi="Times New Roman;serif"/>
          <w:b w:val="false"/>
          <w:color w:val="000000"/>
          <w:sz w:val="22"/>
        </w:rPr>
        <w:t>means $50,000,000.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Total Assets</w:t>
      </w:r>
      <w:r>
        <w:rPr>
          <w:color w:val="000000"/>
        </w:rPr>
        <w:t xml:space="preserve">” </w:t>
      </w:r>
      <w:r>
        <w:rPr>
          <w:rFonts w:ascii="Times New Roman;serif" w:hAnsi="Times New Roman;serif"/>
          <w:b w:val="false"/>
          <w:color w:val="000000"/>
          <w:sz w:val="22"/>
        </w:rPr>
        <w:t xml:space="preserve">means, as of any date of determination, the total assets of the Company and its Subsidiaries on a consolidated basis in accordance with GAAP, as shown on the most recent balance sheet of the Company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(b) (and, in the case of any determination relating to any incurrence of Indebtedness or any Investment or other acquisition, on a Pro Forma Basis including any property or assets being acquired in connection therewith); it being understood that, for purposes of determining compliance of a transaction with any restriction set forth in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that is based upon a specified percentage of Total Assets, compliance of such transaction with the applicable restriction shall be determined solely with reference to Total Assets as determined above in this definition as of the date of such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Total Net Leverage Ratio</w:t>
      </w:r>
      <w:r>
        <w:rPr>
          <w:color w:val="000000"/>
        </w:rPr>
        <w:t xml:space="preserve">” </w:t>
      </w:r>
      <w:r>
        <w:rPr>
          <w:rFonts w:ascii="Times New Roman;serif" w:hAnsi="Times New Roman;serif"/>
          <w:b w:val="false"/>
          <w:color w:val="000000"/>
          <w:sz w:val="22"/>
        </w:rPr>
        <w:t xml:space="preserve">means, with respect to any Test Period, the ratio of (a) Consolidated Total Debt as of the last day of such Test Period to (b) Consolidated EBITDA for such Test Period.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Total Net Leverage Ratio Covenant</w:t>
      </w:r>
      <w:r>
        <w:rPr>
          <w:color w:val="000000"/>
        </w:rPr>
        <w:t xml:space="preserve">” </w:t>
      </w:r>
      <w:r>
        <w:rPr>
          <w:rFonts w:ascii="Times New Roman;serif" w:hAnsi="Times New Roman;serif"/>
          <w:b w:val="false"/>
          <w:color w:val="000000"/>
          <w:sz w:val="22"/>
        </w:rPr>
        <w:t>has the meaning specified in</w:t>
      </w:r>
      <w:r>
        <w:rPr>
          <w:color w:val="000000"/>
          <w:u w:val="single"/>
        </w:rPr>
        <w:t xml:space="preserve"> </w:t>
      </w:r>
      <w:r>
        <w:rPr>
          <w:rFonts w:ascii="Times New Roman;serif" w:hAnsi="Times New Roman;serif"/>
          <w:b w:val="false"/>
          <w:color w:val="000000"/>
          <w:sz w:val="22"/>
          <w:u w:val="single"/>
        </w:rPr>
        <w:t>Section 7.10.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Total Outstandings</w:t>
      </w:r>
      <w:r>
        <w:rPr>
          <w:color w:val="000000"/>
        </w:rPr>
        <w:t xml:space="preserve">” </w:t>
      </w:r>
      <w:r>
        <w:rPr>
          <w:rFonts w:ascii="Times New Roman;serif" w:hAnsi="Times New Roman;serif"/>
          <w:b w:val="false"/>
          <w:color w:val="000000"/>
          <w:sz w:val="22"/>
        </w:rPr>
        <w:t>means, at any time, the aggregate Outstanding Amount of all Loans and all L/C Obligations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Transaction</w:t>
      </w:r>
      <w:r>
        <w:rPr>
          <w:color w:val="000000"/>
        </w:rPr>
        <w:t xml:space="preserve">” </w:t>
      </w:r>
      <w:r>
        <w:rPr>
          <w:rFonts w:ascii="Times New Roman;serif" w:hAnsi="Times New Roman;serif"/>
          <w:b w:val="false"/>
          <w:color w:val="000000"/>
          <w:sz w:val="22"/>
        </w:rPr>
        <w:t>means the borrowings hereunder on the Closing Date, the refinancing of the Existing Credit Agreement, the consummation of any other transactions in connection with the foregoing, and the payment of the fees and expenses incurred in connection with any of the foregoing, each as in effect on the Closing Date, and the application of proceeds therefrom.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Transaction Expenses</w:t>
      </w:r>
      <w:r>
        <w:rPr>
          <w:color w:val="000000"/>
        </w:rPr>
        <w:t xml:space="preserve">” </w:t>
      </w:r>
      <w:r>
        <w:rPr>
          <w:rFonts w:ascii="Times New Roman;serif" w:hAnsi="Times New Roman;serif"/>
          <w:b w:val="false"/>
          <w:color w:val="000000"/>
          <w:sz w:val="22"/>
        </w:rPr>
        <w:t>means any fees or expenses incurred or paid by any Borrower or any Subsidiary in connection with the Transaction, this Agreement and the other Loan Documents and the transactions contemplated hereby and thereby.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Type</w:t>
      </w:r>
      <w:r>
        <w:rPr>
          <w:color w:val="000000"/>
        </w:rPr>
        <w:t xml:space="preserve">” </w:t>
      </w:r>
      <w:r>
        <w:rPr>
          <w:rFonts w:ascii="Times New Roman;serif" w:hAnsi="Times New Roman;serif"/>
          <w:b w:val="false"/>
          <w:color w:val="000000"/>
          <w:sz w:val="22"/>
        </w:rPr>
        <w:t>means, with respect to a Loan, its character as a Base Rate Loan or a SOFR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Unaudited Financial Statements</w:t>
      </w:r>
      <w:r>
        <w:rPr>
          <w:color w:val="000000"/>
        </w:rPr>
        <w:t xml:space="preserve">” </w:t>
      </w:r>
      <w:r>
        <w:rPr>
          <w:rFonts w:ascii="Times New Roman;serif" w:hAnsi="Times New Roman;serif"/>
          <w:b w:val="false"/>
          <w:color w:val="000000"/>
          <w:sz w:val="22"/>
        </w:rPr>
        <w:t xml:space="preserve">means the unaudited consolidated balance sheets and related statements of income, stockholders’ equity and cash flows of the Company and its Subsidiaries, as may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84505"/>
                <wp:effectExtent l="0" t="0" r="0" b="0"/>
                <wp:wrapNone/>
                <wp:docPr id="57" name="Frame5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have been restated prior to the Closing Date, for each fiscal quarter ended after December 28, 2025 and at least forty five (45) days before the Closing Date, prepared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Uniform Commercial Code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u w:val="single"/>
        </w:rPr>
        <w:t>UCC</w:t>
      </w:r>
      <w:r>
        <w:rPr>
          <w:color w:val="000000"/>
        </w:rPr>
        <w:t xml:space="preserve">” </w:t>
      </w:r>
      <w:r>
        <w:rPr>
          <w:rFonts w:ascii="Times New Roman;serif" w:hAnsi="Times New Roman;serif"/>
          <w:b w:val="false"/>
          <w:color w:val="000000"/>
          <w:sz w:val="22"/>
        </w:rPr>
        <w:t>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u w:val="single"/>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United States Person</w:t>
      </w:r>
      <w:r>
        <w:rPr>
          <w:color w:val="000000"/>
        </w:rPr>
        <w:t xml:space="preserve">” </w:t>
      </w:r>
      <w:r>
        <w:rPr>
          <w:rFonts w:ascii="Times New Roman;serif" w:hAnsi="Times New Roman;serif"/>
          <w:b w:val="false"/>
          <w:color w:val="000000"/>
          <w:sz w:val="22"/>
        </w:rPr>
        <w:t>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notice requirements in </w:t>
      </w:r>
      <w:r>
        <w:rPr>
          <w:rFonts w:ascii="Times New Roman;serif" w:hAnsi="Times New Roman;serif"/>
          <w:b w:val="false"/>
          <w:color w:val="000000"/>
          <w:sz w:val="22"/>
          <w:u w:val="single"/>
        </w:rPr>
        <w:t>Sections 2.02(a)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2.05(a)</w:t>
      </w:r>
      <w:r>
        <w:rPr>
          <w:rFonts w:ascii="Times New Roman;serif" w:hAnsi="Times New Roman;serif"/>
          <w:b w:val="false"/>
          <w:color w:val="000000"/>
          <w:sz w:val="22"/>
        </w:rPr>
        <w:t>, in each case, such day is also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Wells Fargo</w:t>
      </w:r>
      <w:r>
        <w:rPr>
          <w:color w:val="000000"/>
        </w:rPr>
        <w:t xml:space="preserve">” </w:t>
      </w:r>
      <w:r>
        <w:rPr>
          <w:rFonts w:ascii="Times New Roman;serif" w:hAnsi="Times New Roman;serif"/>
          <w:b w:val="false"/>
          <w:color w:val="000000"/>
          <w:sz w:val="22"/>
        </w:rPr>
        <w:t>means Wells Fargo Bank, National Association and any successor thereto by merger, consolidation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Wholly Owned</w:t>
      </w:r>
      <w:r>
        <w:rPr>
          <w:color w:val="000000"/>
        </w:rPr>
        <w:t xml:space="preserve">” </w:t>
      </w:r>
      <w:r>
        <w:rPr>
          <w:rFonts w:ascii="Times New Roman;serif" w:hAnsi="Times New Roman;serif"/>
          <w:b w:val="false"/>
          <w:color w:val="000000"/>
          <w:sz w:val="22"/>
        </w:rPr>
        <w:t>means, with respect to a Subsidiary of a Person, a Subsidiary of such Person all of the outstanding Equity Interests of which (other than (a) director’s qualifying shares and (b) shares issued to foreign nationals to the extent required by applicable Law) are owned by such Person and/or by one or more wholly owned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Withholding Agent</w:t>
      </w:r>
      <w:r>
        <w:rPr>
          <w:color w:val="000000"/>
        </w:rPr>
        <w:t xml:space="preserve">” </w:t>
      </w:r>
      <w:r>
        <w:rPr>
          <w:rFonts w:ascii="Times New Roman;serif" w:hAnsi="Times New Roman;serif"/>
          <w:b w:val="false"/>
          <w:color w:val="000000"/>
          <w:sz w:val="22"/>
        </w:rPr>
        <w:t>means each Borrower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u w:val="single"/>
        </w:rPr>
        <w:t>Write-Down and Conversion Powers</w:t>
      </w:r>
      <w:r>
        <w:rPr>
          <w:color w:val="000000"/>
        </w:rPr>
        <w:t xml:space="preserve">” </w:t>
      </w:r>
      <w:r>
        <w:rPr>
          <w:rFonts w:ascii="Times New Roman;serif" w:hAnsi="Times New Roman;serif"/>
          <w:b w:val="false"/>
          <w:color w:val="000000"/>
          <w:sz w:val="22"/>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84505"/>
                <wp:effectExtent l="0" t="0" r="0" b="0"/>
                <wp:wrapNone/>
                <wp:docPr id="58" name="Frame5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it or to suspend any obligation in respect of that liability or any of the powers under that Bail-In Legislation that are related to or ancillary to any of those powers.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630"/>
        <w:jc w:val="both"/>
        <w:rPr/>
      </w:pPr>
      <w:r>
        <w:rPr>
          <w:rFonts w:ascii="Times New Roman;serif" w:hAnsi="Times New Roman;serif"/>
          <w:b/>
          <w:color w:val="000000"/>
          <w:sz w:val="22"/>
        </w:rPr>
        <w:t>Section 1.02</w:t>
      </w:r>
      <w:r>
        <w:rPr>
          <w:color w:val="000000"/>
        </w:rPr>
        <w:t>    </w:t>
      </w:r>
      <w:r>
        <w:rPr>
          <w:rFonts w:ascii="Times New Roman;serif" w:hAnsi="Times New Roman;serif"/>
          <w:b/>
          <w:color w:val="000000"/>
          <w:sz w:val="22"/>
          <w:u w:val="single"/>
        </w:rPr>
        <w:t>Other Interpretive Provisions</w:t>
      </w:r>
      <w:r>
        <w:rPr>
          <w:rFonts w:ascii="Times New Roman;serif" w:hAnsi="Times New Roman;serif"/>
          <w:b w:val="false"/>
          <w:color w:val="000000"/>
          <w:sz w:val="22"/>
        </w:rPr>
        <w:t>. With reference to this Agreement and each other Loan Document, unless otherwise specified herein or in such other Loan Document: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meanings of defined terms are equally applicable to the singular and plural forms of the defined terms.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4"/>
        </w:rPr>
        <w:t>(i)</w:t>
      </w:r>
      <w:r>
        <w:rPr>
          <w:color w:val="000000"/>
        </w:rPr>
        <w:t>    </w:t>
      </w:r>
      <w:r>
        <w:rPr>
          <w:rFonts w:ascii="Times New Roman;serif" w:hAnsi="Times New Roman;serif"/>
          <w:b w:val="false"/>
          <w:color w:val="000000"/>
          <w:sz w:val="22"/>
        </w:rPr>
        <w:t>The words “herein”, “hereto”, “hereof” and “hereunder” and words of similar import when used in any Loan Document shall refer to such Loan Document as a whole and not to any particular provision thereof.</w:t>
      </w:r>
    </w:p>
    <w:p>
      <w:pPr>
        <w:pStyle w:val="TextBody"/>
        <w:bidi w:val="0"/>
        <w:spacing w:lineRule="auto" w:line="288" w:before="0" w:after="24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(ii)Article, Section, Exhibit and Schedule references are to the Loan Document in which such reference appears.</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(iii)The term “including” is by way of example and not limitation.</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(iv)The term “documents” includes any and all instruments, documents, agreements, certificates, notices, reports, financial statements and other writings, however evidenced, whether in physical or electronic form.</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(d)Section headings herein and in the other Loan Documents are included for convenience of reference only and shall not affect the interpretation of this Agreement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(e)For purposes of determining compliance with any Section of </w:t>
      </w:r>
      <w:r>
        <w:rPr>
          <w:rFonts w:ascii="Times New Roman;serif" w:hAnsi="Times New Roman;serif"/>
          <w:b w:val="false"/>
          <w:color w:val="000000"/>
          <w:sz w:val="22"/>
          <w:u w:val="single"/>
        </w:rPr>
        <w:t>Article VII</w:t>
      </w:r>
      <w:r>
        <w:rPr>
          <w:rFonts w:ascii="Times New Roman;serif" w:hAnsi="Times New Roman;serif"/>
          <w:b w:val="false"/>
          <w:color w:val="000000"/>
          <w:sz w:val="22"/>
        </w:rPr>
        <w:t>, in the event that any Lien, Investment, Indebtedness, Disposition, Restricted Payment, Affiliate transaction, Contractual Obligation, or prepayment of Indebtedness meets the criteria of one or more of the categories of transactions permitted pursuant to any clause of such Sections, such transaction (or portion thereof) at any time, shall be permitted under one or more of such clauses as determined by the Company in its sole discretion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2"/>
        </w:rPr>
        <w:t>Section 1.03</w:t>
      </w:r>
      <w:r>
        <w:rPr>
          <w:color w:val="000000"/>
        </w:rPr>
        <w:t>    </w:t>
      </w:r>
      <w:r>
        <w:rPr>
          <w:rFonts w:ascii="Times New Roman;serif" w:hAnsi="Times New Roman;serif"/>
          <w:b/>
          <w:color w:val="000000"/>
          <w:sz w:val="22"/>
          <w:u w:val="single"/>
        </w:rPr>
        <w:t>Accounting Terms</w:t>
      </w:r>
      <w:r>
        <w:rPr>
          <w:rFonts w:ascii="Times New Roman;serif" w:hAnsi="Times New Roman;serif"/>
          <w:b w:val="false"/>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the foregoing, for purposes of determining compliance with any covenant contained herein (including, without limitation, any financial covenant), any lease that is treated as an operating lease for purposes of GAAP as of the Closing Date shall not be treated as Indebtedness and shall continue to be treated as an operating lease (and any future lease that would be treated as an operating lease for purposes of GAAP as of the Closing Date shall be similarly treated). For the avoidance of doubt, and without limitation of the foregoing, any Permitted Convertible Notes shall at all times prior to the repurchase, conversion or payment thereof be valued at the full stated principal amount thereof and shall not include any reduction or appreciation in value of the shares and/or cash deliverable upon conversion thereof.</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84505"/>
                <wp:effectExtent l="0" t="0" r="0" b="0"/>
                <wp:wrapNone/>
                <wp:docPr id="59" name="Frame5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1.04</w:t>
      </w:r>
      <w:r>
        <w:rPr>
          <w:color w:val="000000"/>
        </w:rPr>
        <w:t>    </w:t>
      </w:r>
      <w:r>
        <w:rPr>
          <w:rFonts w:ascii="Times New Roman;serif" w:hAnsi="Times New Roman;serif"/>
          <w:b/>
          <w:color w:val="000000"/>
          <w:sz w:val="22"/>
          <w:u w:val="single"/>
        </w:rPr>
        <w:t>Rounding</w:t>
      </w:r>
      <w:r>
        <w:rPr>
          <w:rFonts w:ascii="Times New Roman;serif" w:hAnsi="Times New Roman;serif"/>
          <w:b w:val="false"/>
          <w:color w:val="000000"/>
          <w:sz w:val="22"/>
        </w:rPr>
        <w:t>. 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1.05</w:t>
      </w:r>
      <w:r>
        <w:rPr>
          <w:color w:val="000000"/>
        </w:rPr>
        <w:t>    </w:t>
      </w:r>
      <w:r>
        <w:rPr>
          <w:rFonts w:ascii="Times New Roman;serif" w:hAnsi="Times New Roman;serif"/>
          <w:b/>
          <w:color w:val="000000"/>
          <w:sz w:val="22"/>
          <w:u w:val="single"/>
        </w:rPr>
        <w:t>References to Agreements, Laws, Etc</w:t>
      </w:r>
      <w:r>
        <w:rPr>
          <w:rFonts w:ascii="Times New Roman;serif" w:hAnsi="Times New Roman;serif"/>
          <w:b w:val="false"/>
          <w:color w:val="000000"/>
          <w:sz w:val="22"/>
        </w:rPr>
        <w:t>. Unless otherwise expressly provided herein, (a) references to Organization Documents, agreements (including the Loan Documents) and other contractual instruments shall be deemed to include all subsequent amendments, restatements, amendments and restatements, extensions, supplements and other modifications thereto, but only to the extent that such amendments, restatements, amendments and restatements, extensions, supplements and other modifications are permitted by any Loan Document; and (b) references to any Law shall include all statutory and regulatory provisions consolidating, amending, replacing, supplementing or interpreting such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1.06</w:t>
      </w:r>
      <w:r>
        <w:rPr>
          <w:color w:val="000000"/>
        </w:rPr>
        <w:t>    </w:t>
      </w:r>
      <w:r>
        <w:rPr>
          <w:rFonts w:ascii="Times New Roman;serif" w:hAnsi="Times New Roman;serif"/>
          <w:b/>
          <w:color w:val="000000"/>
          <w:sz w:val="22"/>
          <w:u w:val="single"/>
        </w:rPr>
        <w:t>Times of Day</w:t>
      </w:r>
      <w:r>
        <w:rPr>
          <w:rFonts w:ascii="Times New Roman;serif" w:hAnsi="Times New Roman;serif"/>
          <w:b w:val="false"/>
          <w:color w:val="000000"/>
          <w:sz w:val="22"/>
        </w:rPr>
        <w:t>. Unless otherwise specified, all references herein to times of day shall be references to Eastern time (daylight or standard,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1.07</w:t>
      </w:r>
      <w:r>
        <w:rPr>
          <w:color w:val="000000"/>
        </w:rPr>
        <w:t>    </w:t>
      </w:r>
      <w:r>
        <w:rPr>
          <w:rFonts w:ascii="Times New Roman;serif" w:hAnsi="Times New Roman;serif"/>
          <w:b/>
          <w:color w:val="000000"/>
          <w:sz w:val="22"/>
          <w:u w:val="single"/>
        </w:rPr>
        <w:t>Timing of Payment of Performance</w:t>
      </w:r>
      <w:r>
        <w:rPr>
          <w:rFonts w:ascii="Times New Roman;serif" w:hAnsi="Times New Roman;serif"/>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1.08</w:t>
      </w:r>
      <w:r>
        <w:rPr>
          <w:color w:val="000000"/>
        </w:rPr>
        <w:t>    </w:t>
      </w:r>
      <w:r>
        <w:rPr>
          <w:rFonts w:ascii="Times New Roman;serif" w:hAnsi="Times New Roman;serif"/>
          <w:b/>
          <w:color w:val="000000"/>
          <w:sz w:val="22"/>
          <w:u w:val="single"/>
        </w:rPr>
        <w:t>Currency Equivalents Generally</w:t>
      </w:r>
      <w:r>
        <w:rPr>
          <w:rFonts w:ascii="Times New Roman;serif" w:hAnsi="Times New Roman;serif"/>
          <w:b w:val="false"/>
          <w:color w:val="000000"/>
          <w:sz w:val="22"/>
        </w:rPr>
        <w:t xml:space="preserve">. Any amount specified in this Agreement (other than in </w:t>
      </w:r>
      <w:r>
        <w:rPr>
          <w:rFonts w:ascii="Times New Roman;serif" w:hAnsi="Times New Roman;serif"/>
          <w:b w:val="false"/>
          <w:color w:val="000000"/>
          <w:sz w:val="22"/>
          <w:u w:val="single"/>
        </w:rPr>
        <w:t>Articles 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or any of the other Loan Documents to be in Dollars shall also include the equivalent of such amount in any currency other than Dollars, such equivalent amount to be determined at the rate of exchange quoted by the Reuters World Currency Page for the applicable currency at 11:00 a.m. (London time) on such day (or, in the event such rate does not appear on any Reuters World Currency Page, by reference to such other publicly available service for displaying exchange rates as may be agreed upon by the Administrative Agent and each Borrower, or, in the absence of such agreement, such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(2) Business Days later). Notwithstanding the foregoing, for purposes of determining compliance with </w:t>
      </w:r>
      <w:r>
        <w:rPr>
          <w:rFonts w:ascii="Times New Roman;serif" w:hAnsi="Times New Roman;serif"/>
          <w:b w:val="false"/>
          <w:color w:val="000000"/>
          <w:sz w:val="22"/>
          <w:u w:val="single"/>
        </w:rPr>
        <w:t>Sections 7.01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7.03</w:t>
      </w:r>
      <w:r>
        <w:rPr>
          <w:color w:val="000000"/>
        </w:rPr>
        <w:t xml:space="preserve"> </w:t>
      </w:r>
      <w:r>
        <w:rPr>
          <w:rFonts w:ascii="Times New Roman;serif" w:hAnsi="Times New Roman;serif"/>
          <w:b w:val="false"/>
          <w:color w:val="000000"/>
          <w:sz w:val="22"/>
        </w:rPr>
        <w:t xml:space="preserve">with respect to any amount of Indebtedness or Investment in a currency other than Dollars, no Default shall be deemed to have occurred solely as a result of changes in rates of exchange occurring after the time such Indebtedness or Investment is incurred;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avoidance of doubt, the foregoing provisions of this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shall otherwise apply to such Sections, including with respect to determining whether any Indebtedness or Investment may be incurred at any time under such 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1.09</w:t>
      </w:r>
      <w:r>
        <w:rPr>
          <w:color w:val="000000"/>
        </w:rPr>
        <w:t>    </w:t>
      </w:r>
      <w:r>
        <w:rPr>
          <w:rFonts w:ascii="Times New Roman;serif" w:hAnsi="Times New Roman;serif"/>
          <w:b/>
          <w:color w:val="000000"/>
          <w:sz w:val="22"/>
          <w:u w:val="single"/>
        </w:rPr>
        <w:t>Change of Currency</w:t>
      </w:r>
      <w:r>
        <w:rPr>
          <w:rFonts w:ascii="Times New Roman;serif" w:hAnsi="Times New Roman;serif"/>
          <w:b w:val="false"/>
          <w:color w:val="000000"/>
          <w:sz w:val="22"/>
        </w:rPr>
        <w:t>. Each provision of this Agreement shall be subject to such reasonable changes of construction as the Administrative Agent may from time to time specify with each Borrower’s consent to appropriately reflect a change in currency of any country and any relevant market conventions or practices relating to such change in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1.10</w:t>
      </w:r>
      <w:r>
        <w:rPr>
          <w:color w:val="000000"/>
        </w:rPr>
        <w:t>    </w:t>
      </w:r>
      <w:r>
        <w:rPr>
          <w:rFonts w:ascii="Times New Roman;serif" w:hAnsi="Times New Roman;serif"/>
          <w:b/>
          <w:color w:val="000000"/>
          <w:sz w:val="22"/>
          <w:u w:val="single"/>
        </w:rPr>
        <w:t>Cumulative Growth Amount Transactions</w:t>
      </w:r>
      <w:r>
        <w:rPr>
          <w:rFonts w:ascii="Times New Roman;serif" w:hAnsi="Times New Roman;serif"/>
          <w:b w:val="false"/>
          <w:color w:val="000000"/>
          <w:sz w:val="22"/>
        </w:rPr>
        <w:t>. If more than one action occurs on any given date the permissibility of the taking of which is determined hereunder by reference to the amount of the Cumulative Growth Amount immediately prior to the taking of such action, the permissibility of the taking of such action shall be determined independently and in no event may any two or more such actions be treated as occurring simultaneously.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84505"/>
                <wp:effectExtent l="0" t="0" r="0" b="0"/>
                <wp:wrapNone/>
                <wp:docPr id="60" name="Frame5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1.11</w:t>
      </w:r>
      <w:r>
        <w:rPr>
          <w:color w:val="000000"/>
        </w:rPr>
        <w:t>    </w:t>
      </w:r>
      <w:r>
        <w:rPr>
          <w:rFonts w:ascii="Times New Roman;serif" w:hAnsi="Times New Roman;serif"/>
          <w:b/>
          <w:color w:val="000000"/>
          <w:sz w:val="22"/>
          <w:u w:val="single"/>
        </w:rPr>
        <w:t>Pro Forma and Other Calculations</w:t>
      </w:r>
      <w:r>
        <w:rPr>
          <w:rFonts w:ascii="Times New Roman;serif" w:hAnsi="Times New Roman;serif"/>
          <w:b w:val="false"/>
          <w:color w:val="000000"/>
          <w:sz w:val="22"/>
        </w:rPr>
        <w:t xml:space="preserve">. (a) Notwithstanding anything to the contrary herein, financial ratios and tests, including the Consolidated Secured Net Leverage Ratio, the Consolidated Senior Secured Net Leverage Ratio and the Total Net Leverage Ratio shall be calculated in the manner prescribed by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anything to the contrary in clauses (b), (c), (d) or (e) of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when calculating the Consolidated Senior Secured Net Leverage Ratio and the Total Net Leverage Ratio for purposes of the definition of “Applicable Rate” and </w:t>
      </w:r>
      <w:r>
        <w:rPr>
          <w:rFonts w:ascii="Times New Roman;serif" w:hAnsi="Times New Roman;serif"/>
          <w:b w:val="false"/>
          <w:color w:val="000000"/>
          <w:sz w:val="22"/>
          <w:u w:val="single"/>
        </w:rPr>
        <w:t xml:space="preserve">Section 7.10, as applicable </w:t>
      </w:r>
      <w:r>
        <w:rPr>
          <w:rFonts w:ascii="Times New Roman;serif" w:hAnsi="Times New Roman;serif"/>
          <w:b w:val="false"/>
          <w:color w:val="000000"/>
          <w:sz w:val="22"/>
        </w:rPr>
        <w:t xml:space="preserve">(other than for the purpose of determining pro forma compliance with </w:t>
      </w:r>
      <w:r>
        <w:rPr>
          <w:rFonts w:ascii="Times New Roman;serif" w:hAnsi="Times New Roman;serif"/>
          <w:b w:val="false"/>
          <w:color w:val="000000"/>
          <w:sz w:val="22"/>
          <w:u w:val="single"/>
        </w:rPr>
        <w:t>Section 7.10</w:t>
      </w:r>
      <w:r>
        <w:rPr>
          <w:rFonts w:ascii="Times New Roman;serif" w:hAnsi="Times New Roman;serif"/>
          <w:b w:val="false"/>
          <w:color w:val="000000"/>
          <w:sz w:val="22"/>
        </w:rPr>
        <w:t xml:space="preserve">), the events described in this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that occurred subsequent to the end of the applicable Test Period shall not be given pro forma effect. In addition, whenever a financial ratio or test is to be calculated on a pro forma basis, the reference to “Test Period” for purposes of calculating such financial ratio or test shall be deemed to be a reference to, and shall be based on, the most recently ended Test Period for which financial statements of the Company have been delivered to the Lenders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(it being understood that for purposes of determining pro forma compliance with </w:t>
      </w:r>
      <w:r>
        <w:rPr>
          <w:rFonts w:ascii="Times New Roman;serif" w:hAnsi="Times New Roman;serif"/>
          <w:b w:val="false"/>
          <w:color w:val="000000"/>
          <w:sz w:val="22"/>
          <w:u w:val="single"/>
        </w:rPr>
        <w:t>Section 7.10</w:t>
      </w:r>
      <w:r>
        <w:rPr>
          <w:rFonts w:ascii="Times New Roman;serif" w:hAnsi="Times New Roman;serif"/>
          <w:b w:val="false"/>
          <w:color w:val="000000"/>
          <w:sz w:val="22"/>
        </w:rPr>
        <w:t xml:space="preserve">, if no Test Period with an applicable level cited in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 xml:space="preserve">has passed, the applicable level shall be the level for the first Test Period cited in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with an indicated level).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(b)For purposes of calculating any financial ratio or test (or Total Assets), Specified Transactions (with any incurrence or repayment of any Indebtedness in connection therewith to be subject to clause (d) of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that have been made (i) during the applicable Test Period or (ii) if applicable as described in clause (a) above, subsequent to such Test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Total Assets, on the last day of the applicable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(c)Whenever pro forma effect is to be given to a Specified Transaction, the pro forma calculations shall be made in good faith by a responsible financial or accounting officer of the Company and may include, for the avoidance of doubt, the amount of “run-rate” cost savings, operating expense reductions and synergies projected by the Company in good faith to be realized as a result of specified actions taken, committed to be taken or expected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“run-rate” means the full recurring benefit for a period that is associated with any action taken, committed to be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amounts are reasonably identifiable and factually supportable in the good faith judgment of the Company, (B) such actions are taken, committed to be taken or with respect to which substantial steps have been taken or are expected in good faith to be taken no later than eighteen (18) months after the date of such Specified Transaction, (C) no amounts shall be added to the extent duplicative of any amounts that are otherwise added back in computing Consolidated EBITDA (or any other components thereof), whether through a pro forma adjustment or otherwise, with respect to such period and (D) any increase to Consolidated EBITDA as a result of cost savings, operating expense reductions and synergies pursuant to this </w:t>
      </w:r>
      <w:r>
        <w:rPr>
          <w:rFonts w:ascii="Times New Roman;serif" w:hAnsi="Times New Roman;serif"/>
          <w:b w:val="false"/>
          <w:color w:val="000000"/>
          <w:sz w:val="22"/>
          <w:u w:val="single"/>
        </w:rPr>
        <w:t>Section 1.11(c)</w:t>
      </w:r>
      <w:r>
        <w:rPr>
          <w:color w:val="000000"/>
        </w:rPr>
        <w:t xml:space="preserve"> </w:t>
      </w:r>
      <w:r>
        <w:rPr>
          <w:rFonts w:ascii="Times New Roman;serif" w:hAnsi="Times New Roman;serif"/>
          <w:b w:val="false"/>
          <w:color w:val="000000"/>
          <w:sz w:val="22"/>
        </w:rPr>
        <w:t>shall be subject to the limitation set forth in the further proviso of clause (xi) of the definition of “Consolidated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84505"/>
                <wp:effectExtent l="0" t="0" r="0" b="0"/>
                <wp:wrapNone/>
                <wp:docPr id="61" name="Frame6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 the event that (w) any Borrower or any Subsidiary incurs (including by assumption or guarantees) or repays (including by redemption, repayment, retirement or extinguishment) any Indebtedness (other than Indebtedness incurred or repaid under any revolving credit facility unless such Indebtedness (a) has been permanently repaid and not replaced or (b) the proceeds therefrom are used for other than working capital purposes or general corporate purposes in the ordinary course of business), (x) any Borrower or any Subsidiary issues, repurchases or redeems Disqualified Equity Interests or (y) any Subsidiary issues, repurchases or redeems preferred stock,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stock, in each case to the extent required, as if the same had occurred on the last day of the applicable Test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(e)Interest on a Finance Lease Obligation shall be deemed to accrue at an interest rate reasonably determined by a Responsible Officer of the Company to be the rate of interest implicit in such Finance Lease Obligation in accordance with GAAP. Interest on Indebtedness that may optionally be determined at an interest rate based upon a factor of a prime or similar rate, an interbank offered rate, or other rate, shall be determined to have been based upon the rate actually chosen, or if none, then based upon such optional rate chosen as any Borrower or Subsidiary may designate.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1.12</w:t>
      </w:r>
      <w:r>
        <w:rPr>
          <w:color w:val="000000"/>
        </w:rPr>
        <w:t>    </w:t>
      </w:r>
      <w:r>
        <w:rPr>
          <w:rFonts w:ascii="Times New Roman;serif" w:hAnsi="Times New Roman;serif"/>
          <w:b/>
          <w:color w:val="000000"/>
          <w:sz w:val="22"/>
          <w:u w:val="single"/>
        </w:rPr>
        <w:t>Limited Condition Acquisitions</w:t>
      </w:r>
      <w:r>
        <w:rPr>
          <w:rFonts w:ascii="Times New Roman;serif" w:hAnsi="Times New Roman;serif"/>
          <w:b w:val="false"/>
          <w:color w:val="000000"/>
          <w:sz w:val="22"/>
        </w:rPr>
        <w:t xml:space="preserve">. In the event that the Company notifies the Administrative Agent in writing that any proposed acquisition is a Limited Condition Acquisition and that the Company wishes to test the conditions to such acquisition and the availability of the Incremental Term Loans that is to be used to finance such acquisition in accordance with this </w:t>
      </w:r>
      <w:r>
        <w:rPr>
          <w:rFonts w:ascii="Times New Roman;serif" w:hAnsi="Times New Roman;serif"/>
          <w:b w:val="false"/>
          <w:color w:val="000000"/>
          <w:sz w:val="22"/>
          <w:u w:val="single"/>
        </w:rPr>
        <w:t>Section 1.12</w:t>
      </w:r>
      <w:r>
        <w:rPr>
          <w:rFonts w:ascii="Times New Roman;serif" w:hAnsi="Times New Roman;serif"/>
          <w:b w:val="false"/>
          <w:color w:val="000000"/>
          <w:sz w:val="22"/>
        </w:rPr>
        <w:t>, then, so long as agreed to by the lenders providing such Incremental Term Loan, the following provisions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(a)any condition to such acquisition or such Incremental Term Loan that requires that no Default or Event of Default shall have occurred and be continuing at the time of such acquisition or the incurrence of such Incremental Term Loan, shall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Times New Roman;serif" w:hAnsi="Times New Roman;serif"/>
          <w:b w:val="false"/>
          <w:color w:val="000000"/>
          <w:sz w:val="22"/>
          <w:u w:val="single"/>
        </w:rPr>
        <w:t>Sections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8.01(g)</w:t>
      </w:r>
      <w:r>
        <w:rPr>
          <w:color w:val="000000"/>
        </w:rPr>
        <w:t xml:space="preserve"> </w:t>
      </w:r>
      <w:r>
        <w:rPr>
          <w:rFonts w:ascii="Times New Roman;serif" w:hAnsi="Times New Roman;serif"/>
          <w:b w:val="false"/>
          <w:color w:val="000000"/>
          <w:sz w:val="22"/>
        </w:rPr>
        <w:t xml:space="preserve">shall have occurred and be continuing both immediately before and immediately after giving effect to such acquisition and any Indebtedness incurred in connection therewith (including such Incremental Term Loan);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condition to such acquisition or such Incremental Term Loan that the representations and warranties in this Agreement and the other Loan Documents shall be true and correct in all material respects (except to the extent any such representation and warranty is qualified by materiality or reference to Material Adverse Effect, in which case, such representation and warranty shall be true and correct in all respects) at the time of such acquisition or the incurrence of such Incremental Term Loan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Incremental Term Loan shall be true and correct, but only to the extent that the Company or its applicable Subsidiary has the right to terminate its obligations under such agreement as a result of a breach of such representations and warranties or the failure of those representations and warranties to be true and correct), so long as all representations and warranties in this Agreement and the other Loan Documents are true and correct in all material respects (except to the extent any such representation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84505"/>
                <wp:effectExtent l="0" t="0" r="0" b="0"/>
                <wp:wrapNone/>
                <wp:docPr id="62" name="Frame6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warranty is qualified by materiality or reference to Material Adverse Effect, in which case, such representation and warranty shall be true and correct in all respects) at the time of execution of the definitive purchase agreement, merger agreement or other acquisition agreement governing such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(c)any financial ratio test or condition, may upon the written election of the Company delivered to the Administrative Agent on or prior to the date of execution of the definitive agreement for such acquisition, be tested either (i) upon 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deliver a notice under this </w:t>
      </w:r>
      <w:r>
        <w:rPr>
          <w:rFonts w:ascii="Times New Roman;serif" w:hAnsi="Times New Roman;serif"/>
          <w:b w:val="false"/>
          <w:color w:val="000000"/>
          <w:sz w:val="22"/>
          <w:u w:val="single"/>
        </w:rPr>
        <w:t>Section 1.12(c)</w:t>
      </w:r>
      <w:r>
        <w:rPr>
          <w:color w:val="000000"/>
        </w:rPr>
        <w:t xml:space="preserve"> </w:t>
      </w:r>
      <w:r>
        <w:rPr>
          <w:rFonts w:ascii="Times New Roman;serif" w:hAnsi="Times New Roman;serif"/>
          <w:b w:val="false"/>
          <w:color w:val="000000"/>
          <w:sz w:val="22"/>
        </w:rPr>
        <w:t xml:space="preserve">on or prior to the date of execution of the definitive agreement for such Limited Condition Acquisition shall be deemed an election to test the applicable financial ratio under subclause (ii) of this </w:t>
      </w:r>
      <w:r>
        <w:rPr>
          <w:rFonts w:ascii="Times New Roman;serif" w:hAnsi="Times New Roman;serif"/>
          <w:b w:val="false"/>
          <w:color w:val="000000"/>
          <w:sz w:val="22"/>
          <w:u w:val="single"/>
        </w:rPr>
        <w:t>Section 1.12(c)</w:t>
      </w:r>
      <w:r>
        <w:rPr>
          <w:rFonts w:ascii="Times New Roman;serif" w:hAnsi="Times New Roman;serif"/>
          <w:b w:val="false"/>
          <w:color w:val="000000"/>
          <w:sz w:val="22"/>
        </w:rPr>
        <w:t>; and</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(d)if the Company has made an election with respect to any Limited Condition Acquisition to test a financial ratio test or condition at the time specified in clause (c)(i) of this Section, then, except as provided in the next sentence, in connection with any subsequent calculation of any ratio or basket on or following the relevant date of execution of the definitive agreement with respect to such Limited Condition Acquisition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(x) on a Pro Forma Basis assuming such Limited Condition Acquisition and other transactions in connection therewith (including the incurrence or assumption of Indebtedness) have been consummated and (y) assuming such Limited Condition Acquisition and other transactions in connection therewith (including the incurrence or assumption of Indebtedness) have not been consummated. Notwithstanding the foregoing, any calculation of a ratio in connection with determining the Applicable Rate and determining whether or not the Company is in compliance with the requirements of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shall, in each case be calculated assuming such Limited Condition Acquisition and other transactions in connection therewith (including the incurrence or assumption of Indebtedness) have not been consummated.</w:t>
      </w:r>
    </w:p>
    <w:p>
      <w:pPr>
        <w:pStyle w:val="TextBody"/>
        <w:bidi w:val="0"/>
        <w:spacing w:before="0" w:after="0"/>
        <w:ind w:left="0" w:right="0" w:firstLine="108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foregoing provisions shall apply with similar effect during the pendency of multiple Limited Condition Acquisitions such that each of the possible scenarios is separately tested. Notwithstanding anything to the contrary herein, in no event shall there be more than two Limited Condition Acquisitions at any time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1.13</w:t>
      </w:r>
      <w:r>
        <w:rPr>
          <w:color w:val="000000"/>
        </w:rPr>
        <w:t>    </w:t>
      </w:r>
      <w:r>
        <w:rPr>
          <w:rFonts w:ascii="Times New Roman;serif" w:hAnsi="Times New Roman;serif"/>
          <w:b/>
          <w:color w:val="000000"/>
          <w:sz w:val="22"/>
          <w:u w:val="single"/>
        </w:rPr>
        <w:t>Rates</w:t>
      </w:r>
      <w:r>
        <w:rPr>
          <w:rFonts w:ascii="Times New Roman;serif" w:hAnsi="Times New Roman;serif"/>
          <w:b w:val="false"/>
          <w:color w:val="000000"/>
          <w:sz w:val="22"/>
        </w:rPr>
        <w:t xml:space="preserve">. The Administrative Agent does not warrant or accept any responsibility for, and shall not have any liability with respect to, (a) the continuation of, administration of, submission of, calculation of or any other matter related to the Term SOFR Reference Rate,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will be similar to, or produce the same value or economic equivalence of, or have the same volume or liquidity as, the Term SOFR Reference Rate,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Term SOFR, any alternative, successor or replacement rate (including any Benchmark Replacement) or any relevant adjustments thereto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84505"/>
                <wp:effectExtent l="0" t="0" r="0" b="0"/>
                <wp:wrapNone/>
                <wp:docPr id="63" name="Frame6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transactions may be adverse to the Borrowers. The Administrative Agent may select information sources or services in its reasonable discretion to ascertain the Term SOFR Reference Rate, Term SOFR or Term SOFR, or any other Benchmark, any component definition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1.14</w:t>
      </w:r>
      <w:r>
        <w:rPr>
          <w:color w:val="000000"/>
        </w:rPr>
        <w:t>    </w:t>
      </w:r>
      <w:r>
        <w:rPr>
          <w:rFonts w:ascii="Times New Roman;serif" w:hAnsi="Times New Roman;serif"/>
          <w:b/>
          <w:color w:val="000000"/>
          <w:sz w:val="22"/>
          <w:u w:val="single"/>
        </w:rPr>
        <w:t>Divisions</w:t>
      </w:r>
      <w:r>
        <w:rPr>
          <w:rFonts w:ascii="Times New Roman;serif" w:hAnsi="Times New Roman;serif"/>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w:t>
        <w:br/>
        <w:br/>
        <w:t>THE COMMITMENTS AND CREDIT EXTENSIONS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2.01</w:t>
      </w:r>
      <w:r>
        <w:rPr>
          <w:color w:val="000000"/>
        </w:rPr>
        <w:t>    </w:t>
      </w:r>
      <w:r>
        <w:rPr>
          <w:rFonts w:ascii="Times New Roman;serif" w:hAnsi="Times New Roman;serif"/>
          <w:b/>
          <w:color w:val="000000"/>
          <w:sz w:val="22"/>
          <w:u w:val="single"/>
        </w:rPr>
        <w:t>The Loans</w:t>
      </w:r>
      <w:r>
        <w:rPr>
          <w:rFonts w:ascii="Times New Roman;serif" w:hAnsi="Times New Roman;serif"/>
          <w:b w:val="false"/>
          <w:color w:val="000000"/>
          <w:sz w:val="22"/>
        </w:rPr>
        <w:t>. Subject to the terms and conditions set forth herein, each Revolving Credit Lender severally agrees to make loans denominated in Dollars to the Borrowers (each such loan, a “</w:t>
      </w:r>
      <w:r>
        <w:rPr>
          <w:rFonts w:ascii="Times New Roman;serif" w:hAnsi="Times New Roman;serif"/>
          <w:b w:val="false"/>
          <w:color w:val="000000"/>
          <w:sz w:val="22"/>
          <w:u w:val="single"/>
        </w:rPr>
        <w:t>Revolving Credit Loan</w:t>
      </w:r>
      <w:r>
        <w:rPr>
          <w:color w:val="000000"/>
        </w:rPr>
        <w:t>”</w:t>
      </w:r>
      <w:r>
        <w:rPr>
          <w:rFonts w:ascii="Times New Roman;serif" w:hAnsi="Times New Roman;serif"/>
          <w:b w:val="false"/>
          <w:color w:val="000000"/>
          <w:sz w:val="22"/>
        </w:rPr>
        <w:t xml:space="preserve">) from time to time, on any Business Day from and including the Closing Date until the Maturity Date for the Revolving Credit Facility, in an aggregate principal amount not to exceed at any time outstanding the amount of such Revolving Credit Lender’s Revolving Credit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after giving effect to any Revolving Credit Borrowing, the aggregate Outstanding Amount of the Revolving Credit Loans of any Revolving Credit Lender,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such Revolving Credit Lender’s Pro Rata Share of the Outstanding Amount of all L/C Obligations,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such Revolving Credit Lender’s Pro Rata Share of the Outstanding Amount of all Swing Line Loans shall not exceed such Revolving Credit Lender’s Revolving Credit Commitment. Within the limits of each Revolving Credit Lender’s Revolving Credit Commitment, and subject to the other terms and conditions hereof, the Borrowers may borrow under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Revolving Credit Loans may be Base Rate Loans or SOFR Loans, as further provided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2.02</w:t>
      </w:r>
      <w:r>
        <w:rPr>
          <w:color w:val="000000"/>
        </w:rPr>
        <w:t>    </w:t>
      </w:r>
      <w:r>
        <w:rPr>
          <w:rFonts w:ascii="Times New Roman;serif" w:hAnsi="Times New Roman;serif"/>
          <w:b/>
          <w:color w:val="000000"/>
          <w:sz w:val="22"/>
          <w:u w:val="single"/>
        </w:rPr>
        <w:t>Borrowings, Conversions and Continuations of Loans</w:t>
      </w:r>
      <w:r>
        <w:rPr>
          <w:rFonts w:ascii="Times New Roman;serif" w:hAnsi="Times New Roman;serif"/>
          <w:b w:val="false"/>
          <w:color w:val="000000"/>
          <w:sz w:val="22"/>
        </w:rPr>
        <w:t xml:space="preserve">. (a) Each Revolving Credit Borrowing, each conversion of Revolving Credit Loans from one Type to the other, and each continuation of SOFR Loans shall be made upon the applicable Borrower’s irrevocable notice to the Administrative Agent, which may be given by telephone. Each such notice must be received by the Administrative Agent not later than 12:00 p.m. (i) three (3) U.S. Government Securities Business Days prior to the requested date of any Borrowing or continuation of SOFR Loans or any conversion of Base Rate Loans to SOFR Loans, and (ii) one (1) Business Day before the requested date of any Borrowing of Base Rate Loans (or such later time as the Administrative Agent may agree in the case of a Borrowing of Base Rate Loans on the Closing Date) or conversion of any SOFR Loans to Base Rate Loans. Each telephonic notice by the applicable Borrower pursuant to this </w:t>
      </w:r>
      <w:r>
        <w:rPr>
          <w:rFonts w:ascii="Times New Roman;serif" w:hAnsi="Times New Roman;serif"/>
          <w:b w:val="false"/>
          <w:color w:val="000000"/>
          <w:sz w:val="22"/>
          <w:u w:val="single"/>
        </w:rPr>
        <w:t>Section 2.02(a)</w:t>
      </w:r>
      <w:r>
        <w:rPr>
          <w:color w:val="000000"/>
        </w:rPr>
        <w:t xml:space="preserve"> </w:t>
      </w:r>
      <w:r>
        <w:rPr>
          <w:rFonts w:ascii="Times New Roman;serif" w:hAnsi="Times New Roman;serif"/>
          <w:b w:val="false"/>
          <w:color w:val="000000"/>
          <w:sz w:val="22"/>
        </w:rPr>
        <w:t xml:space="preserve">must be confirmed promptly by delivery to the Administrative Agent of a written Committed Loan Notice, appropriately completed and signed by a Responsible Officer of such Borrower. Each Borrowing of, conversion to or continuation of SOFR Loans shall be in a principal amount of $1,000,000 or a whole multiple of $500,000 in excess thereof. Except as provided in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2.04(c)</w:t>
      </w:r>
      <w:r>
        <w:rPr>
          <w:rFonts w:ascii="Times New Roman;serif" w:hAnsi="Times New Roman;serif"/>
          <w:b w:val="false"/>
          <w:color w:val="000000"/>
          <w:sz w:val="22"/>
        </w:rPr>
        <w:t xml:space="preserve">, each Borrowing of or conversion to Base Rate Loans shall be in a principal amount of $500,000 or a whole multiple of $100,000 in excess thereof. Each Committed Loan Notice (whether telephonic or written) shall specify (i) whether the applicable Borrower is requesting a Revolving Credit Borrowing, a conversion of Revolving Credit Loans from one Type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84505"/>
                <wp:effectExtent l="0" t="0" r="0" b="0"/>
                <wp:wrapNone/>
                <wp:docPr id="64" name="Frame6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other, or a continuation of SOFR Loans, (ii) the requested date of the Borrowing, conversion or continuation, as the case may be (which shall be a Business Day), (iii) the principal amount of Loans to be borrowed, converted or continued, (iv) the Type of Loans to be borrowed or to which existing Revolving Credit Loans are to be converted, and (v) if applicable, the duration of the Interest Period with respect thereto. If the applicable Borrower fails to specify a Type of Loan in a Committed Loan Notice or fails to give a timely notice requesting a conversion or continuation, then the applicable Revolving Credit Loans shall be made as, or converted to, Base Rate Loans. Any such automatic conversion to Base Rate Loans shall be effective as of the last day of the Interest Period then in effect with respect to the applicable SOFR Loans. If the applicable Borrower requests a Borrowing of, conversion to, or continuation of SOFR Loans in any such Committed Loan Notice, but fails to specify an Interest Period, it will be deemed to have specified an Interest Period of one (1) month.</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(b)Following receipt of a Committed Loan Notice, the Administrative Agent shall promptly notify each Lender of the amount of its Pro Rata Share of the applicable Class of Loans, and if no timely notice of a conversion or continuation is provided by the applicable Borrower, the Administrative Agent shall notify each Lender of the details of any automatic conversion to Base Rate Loans or continuation described in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In the case of each Borrowing, each Appropriate Lender shall make the amount of its Loan available to the Administrative Agent in Same Day Funds at the Administrative Agent’s Office not later than 1:00 p.m., in each case on the Business Day specified in the applicable Committed Loan Notice.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Borrowers in like funds as received by the Administrative Agent either by (i) crediting the account of the Borrowers on the books of the Administrative Agent with the amount of such funds or (ii) wire transfer of such funds, in each case in accordance with instructions provided to (and reasonably acceptable to) the Administrative Agent by the applicable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on the date the Committed Loan Notice with respect to such Borrowing is given by the such Borrower, there are Swing Line Loans or L/C Borrowings outstanding, then the proceeds of such Borrowing shall be applied,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in full of any such L/C Borrowings,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in full of any such Swing Line Loans, and </w:t>
      </w:r>
      <w:r>
        <w:rPr>
          <w:rFonts w:ascii="Times New Roman;serif" w:hAnsi="Times New Roman;serif"/>
          <w:b w:val="false"/>
          <w:color w:val="000000"/>
          <w:sz w:val="22"/>
          <w:u w:val="single"/>
        </w:rPr>
        <w:t>third</w:t>
      </w:r>
      <w:r>
        <w:rPr>
          <w:rFonts w:ascii="Times New Roman;serif" w:hAnsi="Times New Roman;serif"/>
          <w:b w:val="false"/>
          <w:color w:val="000000"/>
          <w:sz w:val="22"/>
        </w:rPr>
        <w:t>, to the Borrowers as provided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(c)Except as otherwise provided herein, a SOFR Loan may be continued or converted only on the last day of an Interest Period for such SOFR Loan unless the Borrowers pay the amount due, if any, under </w:t>
      </w:r>
      <w:r>
        <w:rPr>
          <w:rFonts w:ascii="Times New Roman;serif" w:hAnsi="Times New Roman;serif"/>
          <w:b w:val="false"/>
          <w:color w:val="000000"/>
          <w:sz w:val="22"/>
          <w:u w:val="single"/>
        </w:rPr>
        <w:t>Section 3.05</w:t>
      </w:r>
      <w:r>
        <w:rPr>
          <w:color w:val="000000"/>
        </w:rPr>
        <w:t xml:space="preserve"> </w:t>
      </w:r>
      <w:r>
        <w:rPr>
          <w:rFonts w:ascii="Times New Roman;serif" w:hAnsi="Times New Roman;serif"/>
          <w:b w:val="false"/>
          <w:color w:val="000000"/>
          <w:sz w:val="22"/>
        </w:rPr>
        <w:t>in connection therewith. During the existence of an Event of Default, the Administrative Agent or the Required Lenders may require that no Loans may be converted to or continued as SOFR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Administrative Agent shall promptly notify the Borrowers and the Lenders of the interest rate applicable to any Interest Period for SOFR Loans upon determination of such interest rate. The determination of Term SOFR or Term SOFR by the Administrative Agent shall be conclusive in the absence of manifest error. At any time that Base Rate Loans are outstanding, the Administrative Agent shall notify the Borrowers and the Lenders of any change in the Administrative Agent’s prime rate used in determining the Base Rate promptly following the public announcement of such change.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(e)After giving effect to all Revolving Credit Borrowings, all conversions of Revolving Credit Loans from one Type to the other, and all continuations of Revolving Credit Loans as the same Type, there shall not be more than ten (10) Interest Periods in effect (or such greater number as may be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84505"/>
                <wp:effectExtent l="0" t="0" r="0" b="0"/>
                <wp:wrapNone/>
                <wp:docPr id="65" name="Frame6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(g)Unless the Administrative Agent shall have received notice from a Lender prior to the date of any Borrowing, or in the case of any Borrowing of Base Rate Loans, prior to 1:00 p.m. on the date of such Borrowing, that such Lender will not make available to the Administrative Agent such Lender’s Pro Rata Share or other applicable share provided for under this Agreement of such Borrowing, the Administrative Agent may assume that such Lender has made such Pro Rata Share or other applicable share provided for under this Agreement available to the Administrative Agent on the date of such Borrowing in accordance with paragraph (b) above, and the Administrative Agent may, in reliance upon such assumption, make available to the Borrowers on such date a corresponding amount. If the Administrative Agent shall have so made funds available, then, to the extent that such Lender and the Borrowers severally agree to repay to the Administrative Agent forthwith on demand such corresponding amount together with interest thereon, for each day from the date such amount is made available to the Borrowers until the date such amount is repaid to the Administrative Agent at (i) in the case of the Borrowers, the interest rate applicable at the time to the Loans comprising such Borrowing and (ii) in the case of such Lender, the Federal Funds Rate, plus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serif" w:hAnsi="Times New Roman;serif"/>
          <w:b w:val="false"/>
          <w:color w:val="000000"/>
          <w:sz w:val="22"/>
          <w:u w:val="single"/>
        </w:rPr>
        <w:t>Section 2.02(g)</w:t>
      </w:r>
      <w:r>
        <w:rPr>
          <w:color w:val="000000"/>
        </w:rPr>
        <w:t xml:space="preserve"> </w:t>
      </w:r>
      <w:r>
        <w:rPr>
          <w:rFonts w:ascii="Times New Roman;serif" w:hAnsi="Times New Roman;serif"/>
          <w:b w:val="false"/>
          <w:color w:val="000000"/>
          <w:sz w:val="22"/>
        </w:rPr>
        <w:t>shall be conclusive in the absence of manifest error.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2.03</w:t>
      </w:r>
      <w:r>
        <w:rPr>
          <w:color w:val="000000"/>
        </w:rPr>
        <w:t>    </w:t>
      </w:r>
      <w:r>
        <w:rPr>
          <w:rFonts w:ascii="Times New Roman;serif" w:hAnsi="Times New Roman;serif"/>
          <w:b/>
          <w:color w:val="000000"/>
          <w:sz w:val="22"/>
          <w:u w:val="single"/>
        </w:rPr>
        <w:t>Letters of Credit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Letter of Credit Commitment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(i)On and after the Closing Date, the Existing Letters of Credit for purposes hereof will be deemed to have been issued on the Closing Date under the Revolving Credit Facility. Subject to the terms and conditions set forth herein, (A) each L/C Issuer agrees, in reliance upon the agreements of the other Revolving Credit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(1) from time to time on any Business Day during the period from and including the Closing Date until the Letter of Credit Expiration Date, to issue Letters of Credit denominated in Dollars on a sight basis for the account of the Borrowers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Letter of Credit may, in the discretion of the applicable L/C Issuer, be for the benefit of any Subsidiary of any Borrower) and to amend or renew Letters of Credit previously issued by it, in accordance with </w:t>
      </w:r>
      <w:r>
        <w:rPr>
          <w:rFonts w:ascii="Times New Roman;serif" w:hAnsi="Times New Roman;serif"/>
          <w:b w:val="false"/>
          <w:color w:val="000000"/>
          <w:sz w:val="22"/>
          <w:u w:val="single"/>
        </w:rPr>
        <w:t>Section 2.03(b)</w:t>
      </w:r>
      <w:r>
        <w:rPr>
          <w:rFonts w:ascii="Times New Roman;serif" w:hAnsi="Times New Roman;serif"/>
          <w:b w:val="false"/>
          <w:color w:val="000000"/>
          <w:sz w:val="22"/>
        </w:rPr>
        <w:t xml:space="preserve">, and (2) to honor drafts under the Letters of Credit and (B) the Revolving Credit Lenders severally agree to participate in Letters of Credit issued pursuant to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L/C Issuer shall be obligated to make any L/C Credit Extension with respect to any Letter of Credit, and no Lender shall be obligated to participate in any Letter of Credit if as of the date of such L/C Credit Extension, (x) the Revolving Credit Exposure of any Lender would exceed such Lender’s Revolving Credit Commitment, (y) the L/C Commitment of any L/C Issuer would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84505"/>
                <wp:effectExtent l="0" t="0" r="0" b="0"/>
                <wp:wrapNone/>
                <wp:docPr id="66" name="Frame6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exceed such L/C Issuer’s L/C Commitment or (z) the Outstanding Amount of the L/C Obligations would exceed the Letter of Credit Sublimit. Within the foregoing limits, and subject to the terms and conditions hereof, each Borrower’s ability to obtain Letters of Credit shall be fully revolving, and accordingly each Borrower may, during the foregoing period, obtain Letters of Credit to replace Letters of Credit that have expired or that have been drawn upon and reimbursed.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 L/C Issuer shall be under no obligation to issue any Letter of Credit if: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such requested Letter of Credit would occur more than twelve months after the date of issuance or last renewal, unless the Required Lenders have approved such expiry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expiry date of such requested Letter of Credit would occur after the Letter of Credit Expiration Date, unless all the Revolving Credit Lenders have approved such expiry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issuance of such Letter of Credit would violate any Laws binding upon such L/C Issuer;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(E)any Revolving Credit Lender is a Defaulting Lender at such time, unless such L/C Issuer has entered into arrangements reasonably satisfactory to it and the Borrowers to eliminate such L/C Issuer’s risk (after giving effect to </w:t>
      </w:r>
      <w:r>
        <w:rPr>
          <w:rFonts w:ascii="Times New Roman;serif" w:hAnsi="Times New Roman;serif"/>
          <w:b w:val="false"/>
          <w:color w:val="000000"/>
          <w:sz w:val="22"/>
          <w:u w:val="single"/>
        </w:rPr>
        <w:t>Section 2.17(a)</w:t>
      </w:r>
      <w:r>
        <w:rPr>
          <w:rFonts w:ascii="Times New Roman;serif" w:hAnsi="Times New Roman;serif"/>
          <w:b w:val="false"/>
          <w:color w:val="000000"/>
          <w:sz w:val="22"/>
        </w:rPr>
        <w:t>) with respect to the participation in Letters of Credit by such Defaulting Lender, including by cash collateralizing such Defaulting Lender’s Pro Rata Share of the L/C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Procedures for Issuance and Amendment of Letters of Credit; Auto-Renewal Letters of Credit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(i)Each Letter of Credit shall be issued or amended, as the case may be, upon the request of any Borrower delivered to an L/C Issuer (with a copy to the Administrative Agent) in the form of a Letter of Credit Application, appropriately completed and signed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84505"/>
                <wp:effectExtent l="0" t="0" r="0" b="0"/>
                <wp:wrapNone/>
                <wp:docPr id="67" name="Frame6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a Responsible Officer of the relevant Borrower. Such Letter of Credit Application must be received by the relevant L/C Issuer and the Administrative Agent not later than 12:00 p.m. at least two (2)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(ii)Promptly after receipt of any Letter of Credit Application, the relevant L/C Issuer will confirm with the Administrative Agent (by telephone or in writing) that the Administrative Agent has received a copy of such Letter of Credit Application from any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relevant Borrower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times the amount of such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(iii)If any Borrower so requests in any applicable Letter of Credit Application, the relevant L/C Issuer shall agree to issue a Letter of Credit that has automatic renewal provisions (each, an “</w:t>
      </w:r>
      <w:r>
        <w:rPr>
          <w:rFonts w:ascii="Times New Roman;serif" w:hAnsi="Times New Roman;serif"/>
          <w:b w:val="false"/>
          <w:color w:val="000000"/>
          <w:sz w:val="22"/>
          <w:u w:val="single"/>
        </w:rPr>
        <w:t>Auto-Renewal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Auto-Renewal Letter of Credit must permit the relevant L/C Issuer to prevent any such renewal at least once in each twelve 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Nonrenewal Notice Date</w:t>
      </w:r>
      <w:r>
        <w:rPr>
          <w:color w:val="000000"/>
        </w:rPr>
        <w:t>”</w:t>
      </w:r>
      <w:r>
        <w:rPr>
          <w:rFonts w:ascii="Times New Roman;serif" w:hAnsi="Times New Roman;serif"/>
          <w:b w:val="false"/>
          <w:color w:val="000000"/>
          <w:sz w:val="22"/>
        </w:rPr>
        <w:t xml:space="preserve">) in each such twelve month period to be agreed upon at the time such Letter of Credit is issued. Unless otherwise directed by the relevant L/C Issuer, the relevant Borrower shall not be required to make a specific request to the relevant L/C Issuer for any such renewal. Once an Auto-Renewal Letter of Credit has been issued, the Lenders shall be deemed to have authorized (but may not require) the relevant L/C Issuer to permit the renewal of such Letter of Credit at any time to an expiry date not later than the Letter of Credit Expiration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Times New Roman;serif" w:hAnsi="Times New Roman;serif"/>
          <w:b w:val="false"/>
          <w:color w:val="000000"/>
          <w:sz w:val="22"/>
          <w:u w:val="single"/>
        </w:rPr>
        <w:t>Section 2.03(a)(ii)</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five (5) Business Days before the Nonrenewal Notice Date from the Administrative Agent, any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84505"/>
                <wp:effectExtent l="0" t="0" r="0" b="0"/>
                <wp:wrapNone/>
                <wp:docPr id="68" name="Frame6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Revolving Credit Lender or the relevant Borrower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(iv)Promptly after its delivery of any Letter of Credit or any amendment to a Letter of Credit to an advising bank with respect thereto or to the beneficiary thereof, the relevant L/C Issuer will also deliver to the relevant Borrower and the Administrative Agent a true and complete copy of such Letter of Credit or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(i)Upon receipt from the beneficiary of any Letter of Credit of any notice of a drawing under such Letter of Credit, the relevant L/C Issuer shall notify promptly the relevant Borrower and the Administrative Agent thereof. Not later than 11:00 a.m. on the second Business Day following any payment by an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the Borrowers shall reimburse such L/C Issuer through the Administrative Agent in an amount equal to the amount of such drawing, together with interest on the amount so paid or disbursed by such L/C Issuer, to the extent not reimbursed on the date of such payment of disbursement. If the Borrowers do not reimburse such L/C Issuer by such time, the Administrative Agent shall promptly notify each Appropriate Lender of the Honor Date, the amount of the unreimbursed drawing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Appropriate Lender’s Pro Rata Share thereof. In such event, the Borrowers shall be deemed to have requested a Revolving Credit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amount of the unutilized portion of the Revolving Credit Commitments of the Appropriate Lenders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Committed Loan Notice). Any notice given by an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(ii)Each Appropriate Lender (including any Appropriate Lender acting as an L/C Issuer)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to the Administrative Agent for the account of the relevant L/C Issuer, in Dollars, at the Administrative Agent’s Office for payments in an amount equal to its Pro Rata Share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Appropriate Lender that so makes funds available shall be deemed to have made a Base Rate Loan to the Borrowers in such amount. The Administrative Agent shall remit the funds so received to the relevant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(iii)With respect to any Unreimbursed Amount that is not fully refinanced by a Revolving Credit Borrowing of Base Rate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or for any other reason, the Borrowers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Appropriate Lender’s payment to the Administrative Agent for the account of the relevant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84505"/>
                <wp:effectExtent l="0" t="0" r="0" b="0"/>
                <wp:wrapNone/>
                <wp:docPr id="69" name="Frame6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(iv)Until each Appropriate Lender funds its Revolving Credit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relevant L/C Issuer for any amount drawn under any Letter of Credit, interest in respect of such Lender’s Pro Rata Share of such amount shall be solely for the account of the relevant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(v)Each Revolving Credit Lender’s obligation to make Revolving Credit Loans or L/C Advances to reimburse an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the relevant L/C Issuer, any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Revolving Credit Lender’s obligation to make Revolving Credit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Company of a Committed Loan Notice). No such making of an L/C Advance shall relieve or otherwise impair the obligation of the Borrowers to reimburse the relevant L/C Issuer for the amount of any payment made by such L/C Issuer under any Letter of Credit, together with interest as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(vi)If any Revolving Credit Lender fails to make available to the Administrative Agent for the account of the relevant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Rate from time to time in effect. A certificate of the relevant L/C Issuer submitted to any Revolving Credit Lender (through the Administrative Agent) with respect to any amounts owing under this </w:t>
      </w:r>
      <w:r>
        <w:rPr>
          <w:rFonts w:ascii="Times New Roman;serif" w:hAnsi="Times New Roman;serif"/>
          <w:b w:val="false"/>
          <w:color w:val="000000"/>
          <w:sz w:val="22"/>
          <w:u w:val="single"/>
        </w:rPr>
        <w:t>Section 2.03(c)(vi)</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(i)If, at any time after an L/C Issuer has made a payment under any Letter of Credit and has received from any Revolving Credit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(ii)If any payment received by the Administrative Agent for the account of an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(including pursuant to any settlement entered into by such L/C Issuer in its discretion), each Appropriate Lender shall pay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84505"/>
                <wp:effectExtent l="0" t="0" r="0" b="0"/>
                <wp:wrapNone/>
                <wp:docPr id="70" name="Frame6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for the account of such L/C Issuer its Pro Rata Share thereof on demand of the Administrative Agent, plus interest thereon from the date of such demand to the date such amount is returned by such Lender, at a rate per annum equal to the Federal Funds Rate from time to time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Borrowers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such Letter of Credit, this Agreement, or any other agreement or instrument relating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exchange, release or nonperfection of any Collateral, or any release or amendment or waiver of or consent to departure from the Guaranty or any other guarantee, for all or any of the Obligations any Loan Party in respect of such Letter of Credit; or</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(vi)any other circumstance or happening whatsoever, whether or not similar to any of the foregoing, including any other circumstance that might otherwise constitute a defense available to, or a discharge of, any Loan Party; </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not excuse any L/C Issuer from liability to any Borrower to the extent of any direct damages (as opposed to special, punitive, indirect or consequential damages, claims in respect of which are waived by each Borrower to the extent permitted by applicable Law) suffered by such Borrower that are caused by such L/C Issuer’s gross negligence or willful misconduct (in each case, as determined by a court of competent jurisdiction in a final and non-appealable judgment) when determining whether drafts and other documents presented under a Letter of Credit comply with the terms thereof.</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84505"/>
                <wp:effectExtent l="0" t="0" r="0" b="0"/>
                <wp:wrapNone/>
                <wp:docPr id="71" name="Frame7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Role of L/C Issuers</w:t>
      </w:r>
      <w:r>
        <w:rPr>
          <w:rFonts w:ascii="Times New Roman;serif" w:hAnsi="Times New Roman;serif"/>
          <w:b w:val="false"/>
          <w:color w:val="000000"/>
          <w:sz w:val="22"/>
        </w:rPr>
        <w:t xml:space="preserve">. Each Lender and each Borrower agree that, in paying any drawing under a Letter of Credit, the relevant L/C Issuer shall not have any responsibility to obtain any document (other than any draft, demand, certificate or other document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Each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assumption is not intended to, and shall not, preclude such Borrower’s pursuing such rights and remedies as 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 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anything in such clauses to the contrary notwithstanding, any Borrower may have a claim against an L/C Issuer, and such L/C Issuer may be liable to such Borrower, to the extent, but only to the extent, of any direct, as opposed to special, punitive, indirect, consequential or exemplary damages suffered by such Borrower which such Borrower proves were caused by such L/C Issuer’s willful misconduct or gross negligence or such L/C Issuer’s willful or grossly negligent failure to pay under any Letter of Credit after the presentation to it by the beneficiary of a draft, demand, certificate or other document strictly complying with the terms and conditions of a Letter of Credit (in each case, as determined by a court of competent jurisdiction in a final and non-appealable judgment).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xml:space="preserve">. (i) If any Event of Default occurs and is continuing and the Administrative Agent or the Required Lenders, as applicable, require the Borrowers to Cash Collateralize the L/C Obligations pursuant to </w:t>
      </w:r>
      <w:r>
        <w:rPr>
          <w:rFonts w:ascii="Times New Roman;serif" w:hAnsi="Times New Roman;serif"/>
          <w:b w:val="false"/>
          <w:color w:val="000000"/>
          <w:sz w:val="22"/>
          <w:u w:val="single"/>
        </w:rPr>
        <w:t>Section 8.02(c)</w:t>
      </w:r>
      <w:r>
        <w:rPr>
          <w:color w:val="000000"/>
        </w:rPr>
        <w:t xml:space="preserve"> </w:t>
      </w:r>
      <w:r>
        <w:rPr>
          <w:rFonts w:ascii="Times New Roman;serif" w:hAnsi="Times New Roman;serif"/>
          <w:b w:val="false"/>
          <w:color w:val="000000"/>
          <w:sz w:val="22"/>
        </w:rPr>
        <w:t xml:space="preserve">or (ii) an Event of Default set forth under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occurs and is continuing, then the Borrowers shall Cash Collateralize the then Outstanding Amount of all L/C Obligations (in an amount equal to such Outstanding Amount determined as of the date of such Event of Default), and shall do so not later than 2:00 p.m. on (x) in the case of the immediately preceding clause (i), (1) the Business Day that the Borrowers receive notice thereof, if such notice is received on such day prior to 12:00 Noon, or (2) if clause (1) above does not apply, the Business Day immediately following the day that the Borrowers receive such notice and (y) in the case of the immediately preceding clause (ii), the Business Day on which an Event of Default set forth under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occurs or, if such day is not a Business Day, the Business Day immediately succeeding such day. For purposes hereof, “</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means to pledge and deposit with or deliver to the Administrative Agent, for the benefit of the relevant L/C Issuer and the Lenders, as collateral for the L/C Obligations, cash or deposit account balances (“</w:t>
      </w:r>
      <w:r>
        <w:rPr>
          <w:rFonts w:ascii="Times New Roman;serif" w:hAnsi="Times New Roman;serif"/>
          <w:b w:val="false"/>
          <w:color w:val="000000"/>
          <w:sz w:val="22"/>
          <w:u w:val="single"/>
        </w:rPr>
        <w:t>Cash Collateral</w:t>
      </w:r>
      <w:r>
        <w:rPr>
          <w:color w:val="000000"/>
        </w:rPr>
        <w:t>”</w:t>
      </w:r>
      <w:r>
        <w:rPr>
          <w:rFonts w:ascii="Times New Roman;serif" w:hAnsi="Times New Roman;serif"/>
          <w:b w:val="false"/>
          <w:color w:val="000000"/>
          <w:sz w:val="22"/>
        </w:rPr>
        <w:t xml:space="preserve">) pursuant to documentation in form and substance reasonably satisfactory to the Administrative Agent and the relevant L/C Issuer (which documents are hereby consented to by the Lenders). Derivatives of such term have corresponding meanings. Each Borrower hereby grants to the Administrative Agent, for the benefit of the L/C Issuers and the Lenders, a security interest in all such cash, deposit accounts and all balances therein and all proceeds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84505"/>
                <wp:effectExtent l="0" t="0" r="0" b="0"/>
                <wp:wrapNone/>
                <wp:docPr id="72" name="Frame7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Cash Collateral shall be maintained in blocked accounts at the Administrative Agent and may be invested in readily available Cash Equivalents.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Borrowers will, forthwith upon demand by the Administrative Agent, pay to the Administrative Agent, as additional funds to be deposited and held in the deposit accounts at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Times New Roman;serif" w:hAnsi="Times New Roman;serif"/>
          <w:b w:val="false"/>
          <w:color w:val="000000"/>
          <w:sz w:val="22"/>
          <w:u w:val="single"/>
        </w:rPr>
        <w:t>Section 2.03(g)</w:t>
      </w:r>
      <w:r>
        <w:rPr>
          <w:color w:val="000000"/>
        </w:rPr>
        <w:t xml:space="preserve"> </w:t>
      </w:r>
      <w:r>
        <w:rPr>
          <w:rFonts w:ascii="Times New Roman;serif" w:hAnsi="Times New Roman;serif"/>
          <w:b w:val="false"/>
          <w:color w:val="000000"/>
          <w:sz w:val="22"/>
        </w:rPr>
        <w:t>is cured or otherwise waived by the Required Lenders, then so long as no other Event of Default has occurred and is continuing, all Cash Collateral pledged to Cash Collateralize such Letter of Credit shall be refunded to the Borrowers.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The Borrowers shall pay to the Administrative Agent, for the account of each Revolving Credit Lender in accordance with its Pro Rata Share, a Letter of Credit fee for each Letter of Credit issued pursuant to this Agreement equal to the Applicable Rate times the daily maximum amount then available to be drawn under such Letter of Credit (determined without regard to whether any conditions to drawing could then be met). Such Letter of Credit fees shall be computed on a quarterly basis in arrears. Such Letter of Credit fees shall be due and payable in Dollars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Fronting Fee and Documentary and Processing Charges Payable to L/C Issuers</w:t>
      </w:r>
      <w:r>
        <w:rPr>
          <w:rFonts w:ascii="Times New Roman;serif" w:hAnsi="Times New Roman;serif"/>
          <w:b w:val="false"/>
          <w:color w:val="000000"/>
          <w:sz w:val="22"/>
        </w:rPr>
        <w:t>. The relevant Borrower shall pay directly to each L/C Issuer, for its own account, a fronting fee with respect to each Letter of Credit issued by it equal to 0.125% per annum of the daily maximum amount then available to be drawn under such Letter of Credit (determined without regard to whether any conditions to drawing could then be met). Such fronting fees shall be (x) computed on a quarterly basis in arrears and (y) due and payable on the first Business Day after the end of each March, June, September and December, commencing with the first such date to occur after the issuance of such Letter of Credit, on the Letter of Credit Expiration Date and thereafter on demand. In addition, the relevant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Conflict with Letter of Credit Application</w:t>
      </w:r>
      <w:r>
        <w:rPr>
          <w:rFonts w:ascii="Times New Roman;serif" w:hAnsi="Times New Roman;serif"/>
          <w:b w:val="false"/>
          <w:color w:val="000000"/>
          <w:sz w:val="22"/>
        </w:rPr>
        <w:t>. Notwithstanding anything else to the contrary in this Agreement, in the event of any conflict between the terms hereof and the terms of any Letter of Credit Application, the terms hereof shall control.</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84505"/>
                <wp:effectExtent l="0" t="0" r="0" b="0"/>
                <wp:wrapNone/>
                <wp:docPr id="73" name="Frame7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Addition of an L/C Issuer</w:t>
      </w:r>
      <w:r>
        <w:rPr>
          <w:rFonts w:ascii="Times New Roman;serif" w:hAnsi="Times New Roman;serif"/>
          <w:b w:val="false"/>
          <w:color w:val="000000"/>
          <w:sz w:val="22"/>
        </w:rPr>
        <w:t>. A Revolving Credit Lender may become an additional L/C Issuer hereunder pursuant to a written agreement among each Borrower, the Administrative Agent and such Revolving Credit Lender. The Administrative Agent shall notify the Revolving Credit Lenders of any such additional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Provisions Related to Extended Revolving Credit Commitments</w:t>
      </w:r>
      <w:r>
        <w:rPr>
          <w:rFonts w:ascii="Times New Roman;serif" w:hAnsi="Times New Roman;serif"/>
          <w:b w:val="false"/>
          <w:color w:val="000000"/>
          <w:sz w:val="22"/>
        </w:rPr>
        <w:t xml:space="preserve">. If the Letter of Credit Expiration Date in respect of any tranche of Revolving Credit Commitments occurs prior to the expiry date of any Letter of Credit, then (i) 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under (and ratably participated in by Revolving Credit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immediately preceding clause (i) and unless provisions reasonably satisfactory to the applicable L/C Issuer for the treatment of such Letter of Credit as a letter of credit under a successor credit facility have been agreed upon, the applicable Borrower shall, on or prior to the applicable Maturity Date, cause all such Letters of Credit to be replaced and returned to the applicable L/C Issuer undrawn and marked “cancelled” or to the extent that the applicable Borrower is unable to so replace and return any Letter(s) of Credit, such Letter(s) of Credit shall be secured by a “back to back” letter of credit reasonably satisfactory to the applicable L/C Issuer or the Borrowers shall Cash Collateralize any such Letter of Credit in accordance with </w:t>
      </w:r>
      <w:r>
        <w:rPr>
          <w:rFonts w:ascii="Times New Roman;serif" w:hAnsi="Times New Roman;serif"/>
          <w:b w:val="false"/>
          <w:color w:val="000000"/>
          <w:sz w:val="22"/>
          <w:u w:val="single"/>
        </w:rPr>
        <w:t>Section 2.03(g)</w:t>
      </w:r>
      <w:r>
        <w:rPr>
          <w:rFonts w:ascii="Times New Roman;serif" w:hAnsi="Times New Roman;serif"/>
          <w:b w:val="false"/>
          <w:color w:val="000000"/>
          <w:sz w:val="22"/>
        </w:rPr>
        <w:t>. Commencing with the Maturity Date of any tranche of Revolving Credit Commitments, the sublimit for Letters of Credit shall be agreed solely with the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Reporting of Letter of Credit Information and L/C Commitment</w:t>
      </w:r>
      <w:r>
        <w:rPr>
          <w:rFonts w:ascii="Times New Roman;serif" w:hAnsi="Times New Roman;serif"/>
          <w:b w:val="false"/>
          <w:color w:val="000000"/>
          <w:sz w:val="22"/>
        </w:rPr>
        <w:t xml:space="preserve">. At any time that there is an L/C Issuer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L/C Issuer (or, in the case of clauses (b), (c) or (d) of this Section,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 addition, each L/C Issuer shall provide notice to the Administrative Agent of its L/C Commitment, or any change thereto, promptly upon it becoming an L/C Issuer or making any change to its L/C Commitment. No failure on the part of any L/C Issuer to provide such information pursuant to this </w:t>
      </w:r>
      <w:r>
        <w:rPr>
          <w:rFonts w:ascii="Times New Roman;serif" w:hAnsi="Times New Roman;serif"/>
          <w:b w:val="false"/>
          <w:color w:val="000000"/>
          <w:sz w:val="22"/>
          <w:u w:val="single"/>
        </w:rPr>
        <w:t>Section 2.03(m)</w:t>
      </w:r>
      <w:r>
        <w:rPr>
          <w:color w:val="000000"/>
        </w:rPr>
        <w:t xml:space="preserve"> </w:t>
      </w:r>
      <w:r>
        <w:rPr>
          <w:rFonts w:ascii="Times New Roman;serif" w:hAnsi="Times New Roman;serif"/>
          <w:b w:val="false"/>
          <w:color w:val="000000"/>
          <w:sz w:val="22"/>
        </w:rPr>
        <w:t>shall limit the obligations of any Borrower or any Revolving Credit Lender hereunder with respect to its reimbursement and participation obligations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2.04</w:t>
      </w:r>
      <w:r>
        <w:rPr>
          <w:color w:val="000000"/>
        </w:rPr>
        <w:t>    </w:t>
      </w:r>
      <w:r>
        <w:rPr>
          <w:rFonts w:ascii="Times New Roman;serif" w:hAnsi="Times New Roman;serif"/>
          <w:b/>
          <w:color w:val="000000"/>
          <w:sz w:val="22"/>
          <w:u w:val="single"/>
        </w:rPr>
        <w:t>Swing Line 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Swing Line</w:t>
      </w:r>
      <w:r>
        <w:rPr>
          <w:rFonts w:ascii="Times New Roman;serif" w:hAnsi="Times New Roman;serif"/>
          <w:b w:val="false"/>
          <w:color w:val="000000"/>
          <w:sz w:val="22"/>
        </w:rPr>
        <w:t>. Subject to the terms and conditions set forth herein, the Swing Line Lender agrees to make loans (each such loan, a “</w:t>
      </w:r>
      <w:r>
        <w:rPr>
          <w:rFonts w:ascii="Times New Roman;serif" w:hAnsi="Times New Roman;serif"/>
          <w:b w:val="false"/>
          <w:color w:val="000000"/>
          <w:sz w:val="22"/>
          <w:u w:val="single"/>
        </w:rPr>
        <w:t>Swing Line Loan</w:t>
      </w:r>
      <w:r>
        <w:rPr>
          <w:color w:val="000000"/>
        </w:rPr>
        <w:t>”</w:t>
      </w:r>
      <w:r>
        <w:rPr>
          <w:rFonts w:ascii="Times New Roman;serif" w:hAnsi="Times New Roman;serif"/>
          <w:b w:val="false"/>
          <w:color w:val="000000"/>
          <w:sz w:val="22"/>
        </w:rPr>
        <w:t xml:space="preserve">) to the Borrowers from time to time on any Business Day from and including the Closing Date until the Maturity Date for the Revolving Credit Facility in an aggregate amount not to exceed at any time outstanding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84505"/>
                <wp:effectExtent l="0" t="0" r="0" b="0"/>
                <wp:wrapNone/>
                <wp:docPr id="74" name="Frame7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amount of the Swing Line Sublimit, notwithstanding the fact that such Swing Line Loans, when aggregated with the Pro Rata Share of the Outstanding Amount of Revolving Credit Loans and L/C Obligations of the Lender acting as Swing Line Lender, may exceed the amount of such Lender’s Revolving Credit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after giving effect to any Swing Line Loan, the aggregate Outstanding Amount of the Revolving Credit Loans of any Lender,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such Lender’s Pro Rata Share of the Outstanding Amount of all L/C Obligations,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such Lender’s Pro Rata Share of the Outstanding Amount of all Swing Line Loans shall not exceed such Lender’s Revolving Credit Commitment then in effect and (ii) notwithstanding the foregoing, the Swing Line Lender shall not be obligated to make any Swing Line Loans at a time when a Revolving Credit Lender is a Defaulting Lender, unless the Swing Line Lender has entered into arrangements reasonably satisfactory to it and the Borrowers to eliminate the Swing Line Lender’s risk with respect to the Defaulting Lender’s participation in such Swing Line Loans, including by cash collateralizing such Defaulting Lender’s Pro Rata Share of the outstanding amount of Swing Line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Borrowers shall not use the proceeds of any Swing Line Loan to refinance any outstanding Swing Line Loan. Within the foregoing limits, and subject to the other terms and conditions hereof, the Borrowers may 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Each Swing Line Loan shall be a Base Rate Loan. Swing Line Loans shall only be denominated in Dollars.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pStyle w:val="TextBody"/>
        <w:bidi w:val="0"/>
        <w:spacing w:lineRule="auto" w:line="288" w:before="0" w:after="240"/>
        <w:ind w:left="0" w:right="0" w:firstLine="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 xml:space="preserve">. Each Swing Line Borrowing shall be made upon the applicable Borrower’s irrevocable notice to the Swing Line Lender and the Administrative Agent, which may be given by telephone. Each such notice must be received by the Swing Line Lender and the Administrative Agent not later than 12:00 p.m. on the requested borrowing date, and shall specify (i) the amount to be borrowed, which shall be a minimum of $100,000 or a whole multiple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applicable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proviso to the first sentence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(B) that one or more of the applicable conditions specified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is not then satisfied, then, subject to the terms and conditions hereof, the Swing Line Lender will, not later than 3:00 p.m. on the borrowing date specified in such Swing Line Loan Notice, make the amount of its Swing Line Loan available to the applicable Borrower.</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Refinancing of Swing Line 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Swing Line Lender at any time in its sole and absolute discretion may request, on behalf of each Borrower (which hereby irrevocably authorizes the Swing Line Lender to so request on its behalf), that each Revolving Credit Lender make a Base Rate Loan in an amount equal to such Lender’s Pro Rata Share of the amount of Swing Line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84505"/>
                <wp:effectExtent l="0" t="0" r="0" b="0"/>
                <wp:wrapNone/>
                <wp:docPr id="75" name="Frame7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Loans then outstanding. Such request shall be made in writing (which written request shall be deemed to be a Committed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aggregate Revolving Credit Commitments and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Swing Line Lender shall furnish the Borrowers with a copy of the applicable Committed Loan Notice promptly after delivering such notice to the Administrative Agent. Each Revolving Credit Lender shall make an amount equal to its Pro Rata Share of the amount specified in such Committed Loan Notice available to the Administrative Agent in Same Day Funds for the account of the Swing Line Lender at the Administrative Agent’s Office not later than 1:00 p.m. on the day specified in such Committed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each Revolving Credit Lender that so makes funds available shall be deemed to have made a Base Rate Loan to the Borrowers in such amount. The Administrative Agent shall remit the funds so received to the Swing Line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(ii)If for any reason any Swing Line Loan cannot be refinanced by such a Revolving Credit Borrowing in accordance with </w:t>
      </w:r>
      <w:r>
        <w:rPr>
          <w:rFonts w:ascii="Times New Roman;serif" w:hAnsi="Times New Roman;serif"/>
          <w:b w:val="false"/>
          <w:color w:val="000000"/>
          <w:sz w:val="22"/>
          <w:u w:val="single"/>
        </w:rPr>
        <w:t>Section 2.04(c)(i)</w:t>
      </w:r>
      <w:r>
        <w:rPr>
          <w:rFonts w:ascii="Times New Roman;serif" w:hAnsi="Times New Roman;serif"/>
          <w:b w:val="false"/>
          <w:color w:val="000000"/>
          <w:sz w:val="22"/>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serif" w:hAnsi="Times New Roman;serif"/>
          <w:b w:val="false"/>
          <w:color w:val="000000"/>
          <w:sz w:val="22"/>
          <w:u w:val="single"/>
        </w:rPr>
        <w:t>Section 2.04(c)(i)</w:t>
      </w:r>
      <w:r>
        <w:rPr>
          <w:color w:val="000000"/>
        </w:rPr>
        <w:t xml:space="preserve"> </w:t>
      </w:r>
      <w:r>
        <w:rPr>
          <w:rFonts w:ascii="Times New Roman;serif" w:hAnsi="Times New Roman;serif"/>
          <w:b w:val="false"/>
          <w:color w:val="000000"/>
          <w:sz w:val="22"/>
        </w:rPr>
        <w:t>shall be deemed payment in respect of such participation.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(iii)If any Revolving Credit Lender fails to make available to the Administrative Agent for the account of the Swing Line Lender any amount required to be paid by such Lender pursuant to the foregoing provisions of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Rate from time to time in effect. A certificate of the Swing Line Lender submitted to any Lender (through the Administrative Agent) with respect to any amounts owing under this clause (iii) 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(iv)Each Revolving Credit Lender’s obligation to make Revolving Credit Loans or to purchase and fund risk participations in Swing Line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Revolving Credit Lender’s obligation to make Revolving Credit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No such funding of risk participations shall relieve or otherwise impair the obligation of the Borrowers to repay Swing Line Loans, together with interest as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(i)At any time after any Revolving Credit Lender has purchased and funded a risk participation in a Swing Line Loan, if the Swing Line Lender receives any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84505"/>
                <wp:effectExtent l="0" t="0" r="0" b="0"/>
                <wp:wrapNone/>
                <wp:docPr id="76" name="Frame7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(ii)If any payment received by the Swing Line Lender in respect of principal or interest on any Swing Line Loan is required to be returned by the Swing Line Lender under any of the circumstances described in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(including pursuant to any settlement entered into by the Swing Line Lender in its discretion), each Revolving Credit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for Account of Swing Line Lender</w:t>
      </w:r>
      <w:r>
        <w:rPr>
          <w:rFonts w:ascii="Times New Roman;serif" w:hAnsi="Times New Roman;serif"/>
          <w:b w:val="false"/>
          <w:color w:val="000000"/>
          <w:sz w:val="22"/>
        </w:rPr>
        <w:t xml:space="preserve">. The Swing Line Lender shall be responsible for invoicing the Borrowers for interest on the Swing Line Loans. Until each Revolving Credit Lender funds its Base Rate Loan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Lender’s Pro Rata Share of any Swing Line Loan, interest in respect of such Pro Rata Share shall be solely for the account of the Swing Line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Payments Directly to Swing Line Lender</w:t>
      </w:r>
      <w:r>
        <w:rPr>
          <w:rFonts w:ascii="Times New Roman;serif" w:hAnsi="Times New Roman;serif"/>
          <w:b w:val="false"/>
          <w:color w:val="000000"/>
          <w:sz w:val="22"/>
        </w:rPr>
        <w:t>. The Borrowers shall make all payments of principal and interest in respect of the Swing Line Loans directly to the Swing Line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Provisions Related to Extended Revolving Credit Commitments</w:t>
      </w:r>
      <w:r>
        <w:rPr>
          <w:rFonts w:ascii="Times New Roman;serif" w:hAnsi="Times New Roman;serif"/>
          <w:b w:val="false"/>
          <w:color w:val="000000"/>
          <w:sz w:val="22"/>
        </w:rPr>
        <w:t>. If the Maturity Date shall have occurred in respect of any tranche of Revolving Credit Commitments (the “</w:t>
      </w:r>
      <w:r>
        <w:rPr>
          <w:rFonts w:ascii="Times New Roman;serif" w:hAnsi="Times New Roman;serif"/>
          <w:b w:val="false"/>
          <w:color w:val="000000"/>
          <w:sz w:val="22"/>
          <w:u w:val="single"/>
        </w:rPr>
        <w:t>Expiring Credit Commitment</w:t>
      </w:r>
      <w:r>
        <w:rPr>
          <w:color w:val="000000"/>
        </w:rPr>
        <w:t>”</w:t>
      </w:r>
      <w:r>
        <w:rPr>
          <w:rFonts w:ascii="Times New Roman;serif" w:hAnsi="Times New Roman;serif"/>
          <w:b w:val="false"/>
          <w:color w:val="000000"/>
          <w:sz w:val="22"/>
        </w:rPr>
        <w:t>) at a time when another tranche or tranches of Revolving Credit Commitments is or are in effect with a longer Maturity Date (each a “</w:t>
      </w:r>
      <w:r>
        <w:rPr>
          <w:rFonts w:ascii="Times New Roman;serif" w:hAnsi="Times New Roman;serif"/>
          <w:b w:val="false"/>
          <w:color w:val="000000"/>
          <w:sz w:val="22"/>
          <w:u w:val="single"/>
        </w:rPr>
        <w:t>Non-Expiring Credit Commitment</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Non-Expiring Credit Commitments</w:t>
      </w:r>
      <w:r>
        <w:rPr>
          <w:color w:val="000000"/>
        </w:rPr>
        <w:t>”</w:t>
      </w:r>
      <w:r>
        <w:rPr>
          <w:rFonts w:ascii="Times New Roman;serif" w:hAnsi="Times New Roman;serif"/>
          <w:b w:val="false"/>
          <w:color w:val="000000"/>
          <w:sz w:val="22"/>
        </w:rPr>
        <w:t xml:space="preserve">), then with respect to each outstanding Swing Line Loan, if consented to by the Swing Line Lender, on the earliest occurring Maturity Date such Swing Line Loan shall be deemed reallocated to the tranche or tranches of the Non-Expiring Credit Commitments on a pro rata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to the extent that the amount of such reallocation would cause the aggregate credit exposure to exceed the aggregate amount of such Non-Expiring Credit Commitments, immediately prior to such reallocation (after giving effect to any repayments of Revolving Credit Loans and any reallocation of Letter of Credit participations as contemplated in </w:t>
      </w:r>
      <w:r>
        <w:rPr>
          <w:rFonts w:ascii="Times New Roman;serif" w:hAnsi="Times New Roman;serif"/>
          <w:b w:val="false"/>
          <w:color w:val="000000"/>
          <w:sz w:val="22"/>
          <w:u w:val="single"/>
        </w:rPr>
        <w:t>Section 2.03(l)</w:t>
      </w:r>
      <w:r>
        <w:rPr>
          <w:rFonts w:ascii="Times New Roman;serif" w:hAnsi="Times New Roman;serif"/>
          <w:b w:val="false"/>
          <w:color w:val="000000"/>
          <w:sz w:val="22"/>
        </w:rPr>
        <w:t>) the amount of Swing Line Loans to be reallocated equal to such excess shall be repaid and (y) notwithstanding the foregoing, if a Specified Default has occurred and is continuing, the Borrowers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Commencing with the Maturity Date of any tranche of Revolving Credit Commitments, the sublimit for Swing Line Loans shall be agreed solely with the Swing Line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2.05</w:t>
      </w:r>
      <w:r>
        <w:rPr>
          <w:color w:val="000000"/>
        </w:rPr>
        <w:t>    </w:t>
      </w:r>
      <w:r>
        <w:rPr>
          <w:rFonts w:ascii="Times New Roman;serif" w:hAnsi="Times New Roman;serif"/>
          <w:b/>
          <w:color w:val="000000"/>
          <w:sz w:val="22"/>
          <w:u w:val="single"/>
        </w:rPr>
        <w:t>Prepayments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(i)Except as otherwise provided below in this </w:t>
      </w:r>
      <w:r>
        <w:rPr>
          <w:rFonts w:ascii="Times New Roman;serif" w:hAnsi="Times New Roman;serif"/>
          <w:b w:val="false"/>
          <w:color w:val="000000"/>
          <w:sz w:val="22"/>
          <w:u w:val="single"/>
        </w:rPr>
        <w:t>Section 2.05(a)</w:t>
      </w:r>
      <w:r>
        <w:rPr>
          <w:rFonts w:ascii="Times New Roman;serif" w:hAnsi="Times New Roman;serif"/>
          <w:b w:val="false"/>
          <w:color w:val="000000"/>
          <w:sz w:val="22"/>
        </w:rPr>
        <w:t xml:space="preserve">, the Borrowers may, upon notice from a Borrower to the Administrative Agent, at any time or from time to time voluntarily prepay Revolving Credit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such notice must be received by the Administrative Agent not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84505"/>
                <wp:effectExtent l="0" t="0" r="0" b="0"/>
                <wp:wrapNone/>
                <wp:docPr id="77" name="Frame7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later than 12:00 p.m. (A) three (3) U.S. Government Securities Business Days prior to any date of prepayment of SOFR Loans and (B) on the date of prepayment of Base Rate Loans; (2) any prepayment of SOFR Loans shall be in a principal amount of $1,000,000 or a whole multiple of $500,000 in excess thereof; and (3) any prepayment of Base Rate Loans shall be in a principal amount of $500,000 or a whole multiple of $100,000 in excess thereof or, in each case, if less, the entire principal amount thereof then outstanding. Each such notice shall specify the date and amount of such prepayment, the Class(es) and Type(s) of Loans to be prepaid. The Administrative Agent will promptly notify each Appropriate Lender of its receipt of each such notice, and of the amount of such Lender’s Pro Rata Share of such prepayment. If such notice is given by a Borrower, the Borrowers shall make such prepayment and the payment amount specified in such notice shall be due and payable on the date specified therein. Any prepayment of a SOFR Loan shall be accompanied by all accrued interest thereon,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Each prepayment of the Loans pursuant to this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shall be paid to the Appropriate Lenders in accordance with their respective Pro Rata Shares.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(ii)The Borrowers may, upon notice to the Swing Line Lender (with a copy to the Administrative Agent), at any time or from time to time, voluntarily prepay Swing 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(1) such notice must be received by the Swing Line Lender and the Administrative Agent not later than 12:00 p.m. on the date of the prepayment, and (2) any such prepayment shall be in a minimum principal amount of $100,000 or a whole multiple of $100,000 in excess thereof or, if less, the entire principal amount thereof then outstanding. Each such notice shall specify the date and amount of such prepayment. If such notice is given by a Borrower, the Borrowers shall make such prepayment and the payment amount specified in such notice shall be due and payable on the date specified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(iii)Notwithstanding anything to the contrary contained in this Agreement, the applicable Borrower may rescind any notice of prepayment under </w:t>
      </w:r>
      <w:r>
        <w:rPr>
          <w:rFonts w:ascii="Times New Roman;serif" w:hAnsi="Times New Roman;serif"/>
          <w:b w:val="false"/>
          <w:color w:val="000000"/>
          <w:sz w:val="22"/>
          <w:u w:val="single"/>
        </w:rPr>
        <w:t>Section 2.05(a)(i)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2.05(a)(ii)</w:t>
      </w:r>
      <w:r>
        <w:rPr>
          <w:color w:val="000000"/>
        </w:rPr>
        <w:t xml:space="preserve"> </w:t>
      </w:r>
      <w:r>
        <w:rPr>
          <w:rFonts w:ascii="Times New Roman;serif" w:hAnsi="Times New Roman;serif"/>
          <w:b w:val="false"/>
          <w:color w:val="000000"/>
          <w:sz w:val="22"/>
        </w:rPr>
        <w:t>if such prepayment would have resulted from a refinancing in total of a Facility, which refinancing shall not be consummated or shall otherwise be delayed.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(i)If for any reason the aggregate Revolving Credit Exposures at any time exceeds the aggregate Revolving Credit Commitments then in effect, the Borrowers shall promptly prepay or cause to be promptly prepaid Revolving Credit Loans and Swing Line Loans and/or Cash Collateralize the L/C Obligations in an aggregate amount equal to such excess;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Borrowers shall not be required to Cash Collateralize the L/C Obligations pursuant to this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unless after the prepayment in full of the Revolving Credit Loans and Swing Line Loans, such aggregate Outstanding Amount exceeds the aggregate Revolving Credit Commitments then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(ii)Any prepayment of a SOFR Loan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shall be accompanied by all accrued interest thereon.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Funding Losses, Etc</w:t>
      </w:r>
      <w:r>
        <w:rPr>
          <w:rFonts w:ascii="Times New Roman;serif" w:hAnsi="Times New Roman;serif"/>
          <w:b w:val="false"/>
          <w:color w:val="000000"/>
          <w:sz w:val="22"/>
        </w:rPr>
        <w:t xml:space="preserve">. All prepayments under this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 xml:space="preserve">shall be made together with, in the case of any such prepayment of a SOFR Loan on a date prior to the last day of an Interest Period therefor, any amounts owing in respect of such SOFR Loan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84505"/>
                <wp:effectExtent l="0" t="0" r="0" b="0"/>
                <wp:wrapNone/>
                <wp:docPr id="78" name="Frame7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2.06    </w:t>
      </w:r>
      <w:r>
        <w:rPr>
          <w:rFonts w:ascii="Times New Roman;serif" w:hAnsi="Times New Roman;serif"/>
          <w:b/>
          <w:color w:val="000000"/>
          <w:sz w:val="22"/>
          <w:u w:val="single"/>
        </w:rPr>
        <w:t>Termination or Reduction of Commitments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w:t>
      </w:r>
      <w:r>
        <w:rPr>
          <w:rFonts w:ascii="Times New Roman;serif" w:hAnsi="Times New Roman;serif"/>
          <w:b w:val="false"/>
          <w:color w:val="000000"/>
          <w:sz w:val="22"/>
        </w:rPr>
        <w:t xml:space="preserve">. The Company may, upon written notice to the Administrative Agent, terminate the unused Commitments of any Class, or from time to time permanently reduce the unused Commitments of any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any such notice shall be received by the Administrative Agent at least three (3) Business Days prior to the date of termination or reduction, (ii) any such partial reduction shall be in an aggregate amount of $500,000 or any whole multiple of $100,000 in excess thereof and (iii) if, after giving effect to any reduction of the Revolving Credit Commitments, the Letter of Credit Sublimit or the Swing Line Sublimit exceeds the amount of the Revolving Credit Facility, such sublimit shall be automatically reduced by the amount of such excess. The amount of any such Revolving Credit Commitment reduction shall not be applied to the Letter of Credit Sublimit or the Swing Line Sublimit unless otherwise specified by the Company or as otherwise provided in the immediately preceding sentence. Notwithstanding the foregoing, the Company may rescind or postpone any notice of termination of the Commitments if such termination would have resulted from a refinancing in total of a Facility, which refinancing shall not be consummated or otherwise shall be delayed.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w:t>
      </w:r>
      <w:r>
        <w:rPr>
          <w:rFonts w:ascii="Times New Roman;serif" w:hAnsi="Times New Roman;serif"/>
          <w:b w:val="false"/>
          <w:color w:val="000000"/>
          <w:sz w:val="22"/>
        </w:rPr>
        <w:t xml:space="preserve">. The Revolving Credit Commitment of each Revolving Credit Lender shall automatically and permanently terminate on the Maturity Date for the Revolving Credit Facility;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the foregoing shall not release any Revolving Credit Lender from any liability it may have for its failure to fund Revolving Credit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 of Commitment Reductions; Payment of Fees</w:t>
      </w:r>
      <w:r>
        <w:rPr>
          <w:rFonts w:ascii="Times New Roman;serif" w:hAnsi="Times New Roman;serif"/>
          <w:b w:val="false"/>
          <w:color w:val="000000"/>
          <w:sz w:val="22"/>
        </w:rPr>
        <w:t xml:space="preserve">. The Administrative Agent will promptly notify the Lenders of any termination or reduction of unused portions of the Letter of Credit Sublimit, the Swing Line Sublimit or the unused Commitments of any Class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Times New Roman;serif" w:hAnsi="Times New Roman;serif"/>
          <w:b w:val="false"/>
          <w:color w:val="000000"/>
          <w:sz w:val="22"/>
          <w:u w:val="single"/>
        </w:rPr>
        <w:t>Section 3.07</w:t>
      </w:r>
      <w:r>
        <w:rPr>
          <w:rFonts w:ascii="Times New Roman;serif" w:hAnsi="Times New Roman;serif"/>
          <w:b w:val="false"/>
          <w:color w:val="000000"/>
          <w:sz w:val="22"/>
        </w:rPr>
        <w:t>). All commitment fees accrued until the effective date of any termination of the Aggregate Commitments shall be paid on the effective date of such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2.07    </w:t>
      </w:r>
      <w:r>
        <w:rPr>
          <w:rFonts w:ascii="Times New Roman;serif" w:hAnsi="Times New Roman;serif"/>
          <w:b/>
          <w:color w:val="000000"/>
          <w:sz w:val="22"/>
          <w:u w:val="single"/>
        </w:rPr>
        <w:t>Repayment of 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Credit Loans</w:t>
      </w:r>
      <w:r>
        <w:rPr>
          <w:rFonts w:ascii="Times New Roman;serif" w:hAnsi="Times New Roman;serif"/>
          <w:b w:val="false"/>
          <w:color w:val="000000"/>
          <w:sz w:val="22"/>
        </w:rPr>
        <w:t>. The Borrowers shall repay to the Administrative Agent for the ratable account of the Appropriate Lenders on the Maturity Date for the Revolving Credit Facility the aggregate principal amount of all of their Revolving Credit Loans outstanding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The Borrowers shall repay their Swing Line Loans on the earlier to occur of (i) the date five (5) Business Days after such Swing Line Loan is made and (ii) the Maturity Date for the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2.08    </w:t>
      </w:r>
      <w:r>
        <w:rPr>
          <w:rFonts w:ascii="Times New Roman;serif" w:hAnsi="Times New Roman;serif"/>
          <w:b/>
          <w:color w:val="000000"/>
          <w:sz w:val="22"/>
          <w:u w:val="single"/>
        </w:rPr>
        <w:t>Interest</w:t>
      </w:r>
      <w:r>
        <w:rPr>
          <w:rFonts w:ascii="Times New Roman;serif" w:hAnsi="Times New Roman;serif"/>
          <w:b w:val="false"/>
          <w:color w:val="000000"/>
          <w:sz w:val="22"/>
        </w:rPr>
        <w:t xml:space="preserve">. (a) Subject to the provisions of </w:t>
      </w:r>
      <w:r>
        <w:rPr>
          <w:rFonts w:ascii="Times New Roman;serif" w:hAnsi="Times New Roman;serif"/>
          <w:b w:val="false"/>
          <w:color w:val="000000"/>
          <w:sz w:val="22"/>
          <w:u w:val="single"/>
        </w:rPr>
        <w:t>Section 2.08(b)</w:t>
      </w:r>
      <w:r>
        <w:rPr>
          <w:rFonts w:ascii="Times New Roman;serif" w:hAnsi="Times New Roman;serif"/>
          <w:b w:val="false"/>
          <w:color w:val="000000"/>
          <w:sz w:val="22"/>
        </w:rPr>
        <w:t xml:space="preserve">, (i) each SOFR Loan shall bear interest on the outstanding principal amount thereof for each Interest Period at a rate per annum equal to Term SOFR for such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(ii) each Base Rate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and (iii) each Swing Line Loan shall bear interest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84505"/>
                <wp:effectExtent l="0" t="0" r="0" b="0"/>
                <wp:wrapNone/>
                <wp:docPr id="79" name="Frame7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for Revolving Credit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Borrowers shall pay interest on past due amounts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(d)All computations of interest hereunder shall be made in accordance with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2.09    </w:t>
      </w:r>
      <w:r>
        <w:rPr>
          <w:rFonts w:ascii="Times New Roman;serif" w:hAnsi="Times New Roman;serif"/>
          <w:b/>
          <w:color w:val="000000"/>
          <w:sz w:val="22"/>
          <w:u w:val="single"/>
        </w:rPr>
        <w:t>Fees</w:t>
      </w:r>
      <w:r>
        <w:rPr>
          <w:rFonts w:ascii="Times New Roman;serif" w:hAnsi="Times New Roman;serif"/>
          <w:b w:val="false"/>
          <w:color w:val="000000"/>
          <w:sz w:val="22"/>
        </w:rPr>
        <w:t xml:space="preserve">. In addition to certain fees described in </w:t>
      </w:r>
      <w:r>
        <w:rPr>
          <w:rFonts w:ascii="Times New Roman;serif" w:hAnsi="Times New Roman;serif"/>
          <w:b w:val="false"/>
          <w:color w:val="000000"/>
          <w:sz w:val="22"/>
          <w:u w:val="single"/>
        </w:rPr>
        <w:t>Sections 2.03(h)</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Commitment Fee</w:t>
      </w:r>
      <w:r>
        <w:rPr>
          <w:rFonts w:ascii="Times New Roman;serif" w:hAnsi="Times New Roman;serif"/>
          <w:b w:val="false"/>
          <w:color w:val="000000"/>
          <w:sz w:val="22"/>
        </w:rPr>
        <w:t xml:space="preserve">. The Borrowers shall pay to the Administrative Agent for the account of each Revolving Credit Lender in accordance with its Pro Rata Share, a commitment fee equal to the Applicable Rate with respect to commitment fees times the actual daily amount by which the aggregate Revolving Credit Commitment exceeds the sum of (A) Outstanding Amount of Revolving Credit Loans (for the avoidance of doubt, excluding any Swing Line Loans) and (B) the Outstanding Amount of L/C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commitment fee accrued with respect to any of the Revolving Credit Commitments of a Defaulting Lender during the period prior to the time such Lender became a Defaulting Lender and unpaid at such time shall not be payable by the Borrowers so long as such Lender shall be a Defaulting Lender except to the extent that such commitment fee shall otherwise have been due and payable by the Borrowers prior to such time;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commitment fee shall accrue on any of the Revolving Credit Commitments of a Defaulting Lender so long as such Lender shall be a Defaulting Lender. The commitment fee shall accrue at all times from the Closing Date until the Maturity Date for the Revolving Credit Facility, including at any time during which one or more of the conditions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not met, and shall be due and payable quarterly in arrears on the last Business Day of each March, June, September and December, commencing with the first such date to occur after the Closing Date, and on the Maturity Date for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Other Fees</w:t>
      </w:r>
      <w:r>
        <w:rPr>
          <w:rFonts w:ascii="Times New Roman;serif" w:hAnsi="Times New Roman;serif"/>
          <w:b w:val="false"/>
          <w:color w:val="000000"/>
          <w:sz w:val="22"/>
        </w:rPr>
        <w:t>. The Borrowers shall pay to the Agents such fees as shall have been separately agreed upon in writing in the amounts and at the times so specified. Such fees shall be fully earned when paid and shall not be refundable for any reason whatsoever (except as expressly agreed between the Borrowers and the applicable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84505"/>
                <wp:effectExtent l="0" t="0" r="0" b="0"/>
                <wp:wrapNone/>
                <wp:docPr id="80" name="Frame7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810"/>
        <w:jc w:val="both"/>
        <w:rPr/>
      </w:pPr>
      <w:r>
        <w:rPr>
          <w:rFonts w:ascii="Times New Roman;serif" w:hAnsi="Times New Roman;serif"/>
          <w:b/>
          <w:color w:val="000000"/>
          <w:sz w:val="22"/>
        </w:rPr>
        <w:t>Section 2.10    </w:t>
      </w:r>
      <w:r>
        <w:rPr>
          <w:rFonts w:ascii="Times New Roman;serif" w:hAnsi="Times New Roman;serif"/>
          <w:b/>
          <w:color w:val="000000"/>
          <w:sz w:val="22"/>
          <w:u w:val="single"/>
        </w:rPr>
        <w:t>Computation of Interest and Fees</w:t>
      </w:r>
      <w:r>
        <w:rPr>
          <w:rFonts w:ascii="Times New Roman;serif" w:hAnsi="Times New Roman;serif"/>
          <w:b w:val="false"/>
          <w:color w:val="000000"/>
          <w:sz w:val="22"/>
        </w:rPr>
        <w:t xml:space="preserve">. All computations of interest for Base Rate Loans when the Base Rate is determined by the Administrative Agent’s “prime rate” shall be made on the basis of a year of three hundred and sixty-five (365) days (or three hundred and sixty six (366) days, as the case may be) and actual days elapsed. All other computations of fees and interest shall be made on the basis of a three hundred and sixty (360) day year and actual days elapsed.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(1) day. In computing interest on any Loan, the first day of an Interest Period applicable to such Loan or, with respect to a Base Rate Loan being converted from a SOFR Loan, the date of conversion of such SOFR Loan to such Base Rate Loan, as the case may be, shall be included, and the expiration date of an Interest Period applicable to such Loan or, with respect to a Base Rate Loan being converted to a SOFR Loan, the date of conversion of such Base Rate Loan to such SOFR Loan, as the case may be, shall be excluded. Each determination by the Administrative Agent of an interest rate or fee hereunder shall be conclusive and binding for all purposes,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2.11    </w:t>
      </w:r>
      <w:r>
        <w:rPr>
          <w:rFonts w:ascii="Times New Roman;serif" w:hAnsi="Times New Roman;serif"/>
          <w:b/>
          <w:color w:val="000000"/>
          <w:sz w:val="22"/>
          <w:u w:val="single"/>
        </w:rPr>
        <w:t>Evidence of Indebtedness</w:t>
      </w:r>
      <w:r>
        <w:rPr>
          <w:rFonts w:ascii="Times New Roman;serif" w:hAnsi="Times New Roman;serif"/>
          <w:b w:val="false"/>
          <w:color w:val="000000"/>
          <w:sz w:val="22"/>
        </w:rPr>
        <w:t xml:space="preserve">. (a)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each Borrower, in each case in the ordinary course of business. The accounts or records maintained by the Administrative Agent and each Lender shall be </w:t>
      </w:r>
      <w:r>
        <w:rPr>
          <w:rFonts w:ascii="Times New Roman;serif" w:hAnsi="Times New Roman;serif"/>
          <w:b w:val="false"/>
          <w:i/>
          <w:color w:val="000000"/>
          <w:sz w:val="22"/>
        </w:rPr>
        <w:t>prima facie</w:t>
      </w:r>
      <w:r>
        <w:rPr>
          <w:color w:val="000000"/>
        </w:rPr>
        <w:t xml:space="preserve"> </w:t>
      </w:r>
      <w:r>
        <w:rPr>
          <w:rFonts w:ascii="Times New Roman;serif" w:hAnsi="Times New Roman;serif"/>
          <w:b w:val="false"/>
          <w:color w:val="000000"/>
          <w:sz w:val="22"/>
        </w:rPr>
        <w:t>evidence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Borrower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(b)In addition to the accounts and records referred to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xml:space="preserve">, each Lender and the Administrative Agent shall maintain in accordance with its usual practice accounts or records and, in the case of the Administrative Agent, entries in the Register in accordance with the provisions of </w:t>
      </w:r>
      <w:r>
        <w:rPr>
          <w:rFonts w:ascii="Times New Roman;serif" w:hAnsi="Times New Roman;serif"/>
          <w:b w:val="false"/>
          <w:color w:val="000000"/>
          <w:sz w:val="22"/>
          <w:u w:val="single"/>
        </w:rPr>
        <w:t>Section 10.07(d)</w:t>
      </w:r>
      <w:r>
        <w:rPr>
          <w:rFonts w:ascii="Times New Roman;serif" w:hAnsi="Times New Roman;serif"/>
          <w:b w:val="false"/>
          <w:color w:val="000000"/>
          <w:sz w:val="22"/>
        </w:rPr>
        <w:t>, evidencing the purchases and sales by such Lender of participations in Letters of Credit and Swing Line Loans. In the event of any conflict between the accounts and records maintained by the Administrative Agent in the Register and the accounts and records of any Lender in respect of such matters, the Register shall control in the absence of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(c)Entries made in good faith by the Administrative Agent in the Register, and by each Lender in its account or accounts pursuant to </w:t>
      </w:r>
      <w:r>
        <w:rPr>
          <w:rFonts w:ascii="Times New Roman;serif" w:hAnsi="Times New Roman;serif"/>
          <w:b w:val="false"/>
          <w:color w:val="000000"/>
          <w:sz w:val="22"/>
          <w:u w:val="single"/>
        </w:rPr>
        <w:t>Sections 2.11(a)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shall be </w:t>
      </w:r>
      <w:r>
        <w:rPr>
          <w:rFonts w:ascii="Times New Roman;serif" w:hAnsi="Times New Roman;serif"/>
          <w:b w:val="false"/>
          <w:i/>
          <w:color w:val="000000"/>
          <w:sz w:val="22"/>
        </w:rPr>
        <w:t>prima facie</w:t>
      </w:r>
      <w:r>
        <w:rPr>
          <w:color w:val="000000"/>
        </w:rPr>
        <w:t xml:space="preserve"> </w:t>
      </w:r>
      <w:r>
        <w:rPr>
          <w:rFonts w:ascii="Times New Roman;serif" w:hAnsi="Times New Roman;serif"/>
          <w:b w:val="false"/>
          <w:color w:val="000000"/>
          <w:sz w:val="22"/>
        </w:rPr>
        <w:t xml:space="preserve">evidence of the amount of principal and interest due and payable or to become due and payable from the Borrowers to, in the case of the Register, each Lender and, in the case of such account or accounts, such Lender, under this Agreement and the other Loan Documents, absent manifest error;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of the Administrative Agent or such Lender to make an entry, or any finding that an entry is incorrect, in the Register or such account or accounts shall not limit or otherwise affect the obligations of the Borrowers under this Agreement and the other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84505"/>
                <wp:effectExtent l="0" t="0" r="0" b="0"/>
                <wp:wrapNone/>
                <wp:docPr id="81" name="Frame8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2.12    </w:t>
      </w:r>
      <w:r>
        <w:rPr>
          <w:rFonts w:ascii="Times New Roman;serif" w:hAnsi="Times New Roman;serif"/>
          <w:b/>
          <w:color w:val="000000"/>
          <w:sz w:val="22"/>
          <w:u w:val="single"/>
        </w:rPr>
        <w:t>Payments Generally</w:t>
      </w:r>
      <w:r>
        <w:rPr>
          <w:rFonts w:ascii="Times New Roman;serif" w:hAnsi="Times New Roman;serif"/>
          <w:b w:val="false"/>
          <w:color w:val="000000"/>
          <w:sz w:val="22"/>
        </w:rPr>
        <w:t>. (a)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(b)If any payment to be made by the Borrowers shall come due on a day other than a Business Day, payment shall be made on the next following Business Day, and such extension of time shall be reflected in computing interest or fees, as the case may be;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extension would cause payment of interest on or principal of SOFR Loans to be made in the next succeeding calendar month, such payment shall be made on the immediately preceding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(c)Unless the Company or any Lender has notified the Administrative Agent, prior to the date any payment is required to be made by it to the Administrative Agent hereunder, that the Borrowers or such Lender, as the case may be, will not make such payment, the Administrative Agent may assume that the Borrowers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the Borrowers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Federal Funds Rate from time to time in effect;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Borrowers to the date such amount is recovered by the Administrative Agent (the “</w:t>
      </w:r>
      <w:r>
        <w:rPr>
          <w:rFonts w:ascii="Times New Roman;serif" w:hAnsi="Times New Roman;serif"/>
          <w:b w:val="false"/>
          <w:color w:val="000000"/>
          <w:sz w:val="22"/>
          <w:u w:val="single"/>
        </w:rPr>
        <w:t>Compensation Period</w:t>
      </w:r>
      <w:r>
        <w:rPr>
          <w:color w:val="000000"/>
        </w:rPr>
        <w:t>”</w:t>
      </w:r>
      <w:r>
        <w:rPr>
          <w:rFonts w:ascii="Times New Roman;serif" w:hAnsi="Times New Roman;serif"/>
          <w:b w:val="false"/>
          <w:color w:val="000000"/>
          <w:sz w:val="22"/>
        </w:rPr>
        <w:t>) at a rate per annum equal to the applicable Federal Funds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Borrowers, and the Borrowers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any Borrower may have against any Lender as a result of any default by such Lender hereunder.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84505"/>
                <wp:effectExtent l="0" t="0" r="0" b="0"/>
                <wp:wrapNone/>
                <wp:docPr id="82" name="Frame8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notice of the Administrative Agent to any Lender or any Borrower with respect to any amount owing under this </w:t>
      </w:r>
      <w:r>
        <w:rPr>
          <w:rFonts w:ascii="Times New Roman;serif" w:hAnsi="Times New Roman;serif"/>
          <w:b w:val="false"/>
          <w:color w:val="000000"/>
          <w:sz w:val="22"/>
          <w:u w:val="single"/>
        </w:rPr>
        <w:t>Section 2.12(c)</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Borrowers by the Administrative Agent because the conditions to the applicable Credit Extension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are not satisfied or waived in accordance with the terms hereof, the Administrative Agent shall promptly return such funds (in like funds as received from such Lender) to such Lender, without interest.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serif" w:hAnsi="Times New Roman;serif"/>
          <w:b w:val="false"/>
          <w:color w:val="000000"/>
          <w:sz w:val="22"/>
          <w:u w:val="single"/>
        </w:rPr>
        <w:t>Section 8.04</w:t>
      </w:r>
      <w:r>
        <w:rPr>
          <w:rFonts w:ascii="Times New Roman;serif" w:hAnsi="Times New Roman;serif"/>
          <w:b w:val="false"/>
          <w:color w:val="000000"/>
          <w:sz w:val="22"/>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(h)The Borrowers shall be jointly and severally liable for the Obligations. The obligations of each Borrower hereunder are independent of the obligations of any other Borrower and a separate action or actions may be brought and prosecuted against each Borrower whether or not action is brought against any other Borrower and whether or not any other Borrower be joined in any such action or actions. The Administrative Agent and the other Secured Parties may in accordance with the terms of the Loan Documents, at their election, exercise any right or remedy available to them against any Borrower, without affecting or impairing in any way the liability of any other Borrower hereunder except to the extent the Obligations have been indefeasibly paid in full in cash. To the fullest extent permitted by applicable Law, each Borrower waives any defense arising out of any such election even though such election operates, pursuant to applicable Law, to impair or to extinguish any right of reimbursement or subrogation or other right or remedy of such Borrower against the other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2.13    </w:t>
      </w:r>
      <w:r>
        <w:rPr>
          <w:rFonts w:ascii="Times New Roman;serif" w:hAnsi="Times New Roman;serif"/>
          <w:b/>
          <w:color w:val="000000"/>
          <w:sz w:val="22"/>
          <w:u w:val="single"/>
        </w:rPr>
        <w:t>Sharing of Payments</w:t>
      </w:r>
      <w:r>
        <w:rPr>
          <w:rFonts w:ascii="Times New Roman;serif" w:hAnsi="Times New Roman;serif"/>
          <w:b w:val="false"/>
          <w:color w:val="000000"/>
          <w:sz w:val="22"/>
        </w:rPr>
        <w:t xml:space="preserve">.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84505"/>
                <wp:effectExtent l="0" t="0" r="0" b="0"/>
                <wp:wrapNone/>
                <wp:docPr id="83" name="Frame8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all or any portion of such excess payment is thereafter recovered from the purchasing Lender under any of the circumstances described in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Borrowers agree that any Lender so purchasing a participation from another Lender may, to the fullest extent permitted by applicable Law, exercise all its rights of payment (including the right of setoff, but subject to </w:t>
      </w:r>
      <w:r>
        <w:rPr>
          <w:rFonts w:ascii="Times New Roman;serif" w:hAnsi="Times New Roman;serif"/>
          <w:b w:val="false"/>
          <w:color w:val="000000"/>
          <w:sz w:val="22"/>
          <w:u w:val="single"/>
        </w:rPr>
        <w:t>Section 10.09</w:t>
      </w:r>
      <w:r>
        <w:rPr>
          <w:rFonts w:ascii="Times New Roman;serif" w:hAnsi="Times New Roman;serif"/>
          <w:b w:val="false"/>
          <w:color w:val="000000"/>
          <w:sz w:val="22"/>
        </w:rPr>
        <w:t xml:space="preserve">) with respect to such participation as fully as if such Lender were the direct creditor of the Borrowers in the amount of such participation. The Administrative Agent will keep records (which shall be conclusive and binding in the absence of manifest error) of participations purchased under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and will in each case notify the Lenders following any such purchases or repayments. Each Lender that purchases a participation pursuant to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2.14    </w:t>
      </w:r>
      <w:r>
        <w:rPr>
          <w:rFonts w:ascii="Times New Roman;serif" w:hAnsi="Times New Roman;serif"/>
          <w:b/>
          <w:color w:val="000000"/>
          <w:sz w:val="22"/>
          <w:u w:val="single"/>
        </w:rPr>
        <w:t>Extension of Revolving Credit Loans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Extension of Revolving Credit Commitments</w:t>
      </w:r>
      <w:r>
        <w:rPr>
          <w:rFonts w:ascii="Times New Roman;serif" w:hAnsi="Times New Roman;serif"/>
          <w:b w:val="false"/>
          <w:color w:val="000000"/>
          <w:sz w:val="22"/>
        </w:rPr>
        <w:t>. The Borrowers may, at any time and from time to time request that all or a portion of the Revolving Credit Commitments (and related Revolving Credit Loans and other related extensions of credit) of a given Class (each, an “</w:t>
      </w:r>
      <w:r>
        <w:rPr>
          <w:rFonts w:ascii="Times New Roman;serif" w:hAnsi="Times New Roman;serif"/>
          <w:b w:val="false"/>
          <w:color w:val="000000"/>
          <w:sz w:val="22"/>
          <w:u w:val="single"/>
        </w:rPr>
        <w:t>Existing Revolver Tranche</w:t>
      </w:r>
      <w:r>
        <w:rPr>
          <w:color w:val="000000"/>
        </w:rPr>
        <w:t>”</w:t>
      </w:r>
      <w:r>
        <w:rPr>
          <w:rFonts w:ascii="Times New Roman;serif" w:hAnsi="Times New Roman;serif"/>
          <w:b w:val="false"/>
          <w:color w:val="000000"/>
          <w:sz w:val="22"/>
        </w:rPr>
        <w:t>) be amended to extend the scheduled Maturity Date(s) with respect to all or a portion of such Revolving Credit Commitments (any such Revolving Credit Commitments which have been so amended, “</w:t>
      </w:r>
      <w:r>
        <w:rPr>
          <w:rFonts w:ascii="Times New Roman;serif" w:hAnsi="Times New Roman;serif"/>
          <w:b w:val="false"/>
          <w:color w:val="000000"/>
          <w:sz w:val="22"/>
          <w:u w:val="single"/>
        </w:rPr>
        <w:t>Extended Revolving Credit Commitments</w:t>
      </w:r>
      <w:r>
        <w:rPr>
          <w:color w:val="000000"/>
        </w:rPr>
        <w:t xml:space="preserve">” </w:t>
      </w:r>
      <w:r>
        <w:rPr>
          <w:rFonts w:ascii="Times New Roman;serif" w:hAnsi="Times New Roman;serif"/>
          <w:b w:val="false"/>
          <w:color w:val="000000"/>
          <w:sz w:val="22"/>
        </w:rPr>
        <w:t>and the revolving loans thereunder, “</w:t>
      </w:r>
      <w:r>
        <w:rPr>
          <w:rFonts w:ascii="Times New Roman;serif" w:hAnsi="Times New Roman;serif"/>
          <w:b w:val="false"/>
          <w:color w:val="000000"/>
          <w:sz w:val="22"/>
          <w:u w:val="single"/>
        </w:rPr>
        <w:t>Extended Revolving Credit Loans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In order to establish any Extended Revolving Credit Commitments, the Company shall provide a notice to the Administrative Agent (who shall provide a copy of such notice to each of the Lenders under the applicable Existing Revolver Tranche) (each, a “</w:t>
      </w:r>
      <w:r>
        <w:rPr>
          <w:rFonts w:ascii="Times New Roman;serif" w:hAnsi="Times New Roman;serif"/>
          <w:b w:val="false"/>
          <w:color w:val="000000"/>
          <w:sz w:val="22"/>
          <w:u w:val="single"/>
        </w:rPr>
        <w:t>Revolver Extension Request</w:t>
      </w:r>
      <w:r>
        <w:rPr>
          <w:color w:val="000000"/>
        </w:rPr>
        <w:t>”</w:t>
      </w:r>
      <w:r>
        <w:rPr>
          <w:rFonts w:ascii="Times New Roman;serif" w:hAnsi="Times New Roman;serif"/>
          <w:b w:val="false"/>
          <w:color w:val="000000"/>
          <w:sz w:val="22"/>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at no time shall there be Classes of Revolving Credit Commitments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84505"/>
                <wp:effectExtent l="0" t="0" r="0" b="0"/>
                <wp:wrapNone/>
                <wp:docPr id="84" name="Frame8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(including Other Revolving Credit Commitments and Extended Revolving Credit Commitments) which have more than three (3) different Maturity Dates (unless otherwise consented to by the Administrative Agent); (ii) the All-In Yield with respect to extensions of credit under the Extended Revolving Credit Commitments (whether in the form of interest rate margin, upfront fees or otherwise) may be different than the All-In Yield for extensions of credit under the Revolving Credit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(i.e., the Existing Revolver Tranche and the Extended Revolving Credit Commitments of the applicable Revolver Extension Series) and repayments and commitment reductions thereunder shall be made on a pro rata basis (except for (I) payments of interest and fees at different rates on Extended Revolving Credit Commitments (and related outstandings) and (II) repayments and commitment reductions required upon the Maturity Date of the non-extending Revolving Credit Commitments) and all Swing Line Loans and Letters of Credit shall be participated on a pro rata basis by all Lenders with Revolving Credit Commitments (subject to the provisions of </w:t>
      </w:r>
      <w:r>
        <w:rPr>
          <w:rFonts w:ascii="Times New Roman;serif" w:hAnsi="Times New Roman;serif"/>
          <w:b w:val="false"/>
          <w:color w:val="000000"/>
          <w:sz w:val="22"/>
          <w:u w:val="single"/>
        </w:rPr>
        <w:t>Sections 2.03(l)</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 no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Credit Commitments hereunder, (C) any such Extended Revolving Credit Commitments (and the Liens securing the same) shall be permitted by the terms of the First Lien Intercreditor Agreement (to the extent any First Lien Intercreditor Agreement is then in effect) and (D) all documentation in respect of such Extension Amendment shall be consistent with the foregoing. Any Extended Revolving Credit Commitments amended pursuant to any Revolver Extension Request shall be designated a series (each, a “</w:t>
      </w:r>
      <w:r>
        <w:rPr>
          <w:rFonts w:ascii="Times New Roman;serif" w:hAnsi="Times New Roman;serif"/>
          <w:b w:val="false"/>
          <w:color w:val="000000"/>
          <w:sz w:val="22"/>
          <w:u w:val="single"/>
        </w:rPr>
        <w:t>Revolver Extension Series</w:t>
      </w:r>
      <w:r>
        <w:rPr>
          <w:color w:val="000000"/>
        </w:rPr>
        <w:t>”</w:t>
      </w:r>
      <w:r>
        <w:rPr>
          <w:rFonts w:ascii="Times New Roman;serif" w:hAnsi="Times New Roman;serif"/>
          <w:b w:val="false"/>
          <w:color w:val="000000"/>
          <w:sz w:val="22"/>
        </w:rPr>
        <w:t xml:space="preserve">) of Extended Revolving Credit Commitments for all purposes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Credit Commitments incurred under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shall be in an aggregate amount that is not less than $25,000,000.</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Extension Request</w:t>
      </w:r>
      <w:r>
        <w:rPr>
          <w:rFonts w:ascii="Times New Roman;serif" w:hAnsi="Times New Roman;serif"/>
          <w:b w:val="false"/>
          <w:color w:val="000000"/>
          <w:sz w:val="22"/>
        </w:rPr>
        <w:t xml:space="preserve">. The Company shall provide the applicable Extension Request at least five (5) Business Days prior to the date on which Lenders under the Existing Revolver Tranche are requested to respond, and shall agree to such procedures, if any, as may be established by, or acceptable to, the Administrative Agent, in each case acting reasonably to accomplish the purposes of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No Lender shall have any obligation to agree to have any of its Revolving Credit Commitments amended into Extended Revolving Credit Commitments pursuant to any Extension Request. Any Revolving Credit Lender wishing to have all or a portion of its Revolving Credit Commitments under the Existing Revolver Tranche subject to such Extension Request amended into Extended Revolving Credit Commitments (each, an “</w:t>
      </w:r>
      <w:r>
        <w:rPr>
          <w:rFonts w:ascii="Times New Roman;serif" w:hAnsi="Times New Roman;serif"/>
          <w:b w:val="false"/>
          <w:color w:val="000000"/>
          <w:sz w:val="22"/>
          <w:u w:val="single"/>
        </w:rPr>
        <w:t>Extending Revolving Credit Lender</w:t>
      </w:r>
      <w:r>
        <w:rPr>
          <w:color w:val="000000"/>
        </w:rPr>
        <w:t>”</w:t>
      </w:r>
      <w:r>
        <w:rPr>
          <w:rFonts w:ascii="Times New Roman;serif" w:hAnsi="Times New Roman;serif"/>
          <w:b w:val="false"/>
          <w:color w:val="000000"/>
          <w:sz w:val="22"/>
        </w:rPr>
        <w:t>), as applicable, shall notify the Administrative Agent (each, an “</w:t>
      </w:r>
      <w:r>
        <w:rPr>
          <w:rFonts w:ascii="Times New Roman;serif" w:hAnsi="Times New Roman;serif"/>
          <w:b w:val="false"/>
          <w:color w:val="000000"/>
          <w:sz w:val="22"/>
          <w:u w:val="single"/>
        </w:rPr>
        <w:t>Extension Election</w:t>
      </w:r>
      <w:r>
        <w:rPr>
          <w:color w:val="000000"/>
        </w:rPr>
        <w:t>”</w:t>
      </w:r>
      <w:r>
        <w:rPr>
          <w:rFonts w:ascii="Times New Roman;serif" w:hAnsi="Times New Roman;serif"/>
          <w:b w:val="false"/>
          <w:color w:val="000000"/>
          <w:sz w:val="22"/>
        </w:rPr>
        <w:t xml:space="preserve">) on or prior to the date specified in such Extension Request of the amount of its Revolving Credit Commitments under the Existing Revolver Tranche which it has elected to request be amended into Extended Revolving Credit Commitments (subject to any minimum denomination requirements imposed by the Administrative Agent). In the event that the aggregate principal amount of Revolving Credit Commitments under the Existing Revolver Tranche in respect of which applicable Revolving Credit Lenders shall have accepted the relevant Extension Request exceeds the amount of Extended Revolving Credit Commitments requested to be extended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84505"/>
                <wp:effectExtent l="0" t="0" r="0" b="0"/>
                <wp:wrapNone/>
                <wp:docPr id="85" name="Frame8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Extension Request, Revolving Credit Commitments subject to Extension Elections shall be amended to Revolving Credit Commitments on a pro rata basis (subject to rounding by the Administrative Agent, which shall be conclusive) based on the aggregate principal amount of Revolving Credit Commitments included in each such Extension Election.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Extension Amendment</w:t>
      </w:r>
      <w:r>
        <w:rPr>
          <w:rFonts w:ascii="Times New Roman;serif" w:hAnsi="Times New Roman;serif"/>
          <w:b w:val="false"/>
          <w:color w:val="000000"/>
          <w:sz w:val="22"/>
        </w:rPr>
        <w:t>. Extended Revolving Credit Commitments shall be established pursuant to one or more amendments (each, an “</w:t>
      </w:r>
      <w:r>
        <w:rPr>
          <w:rFonts w:ascii="Times New Roman;serif" w:hAnsi="Times New Roman;serif"/>
          <w:b w:val="false"/>
          <w:color w:val="000000"/>
          <w:sz w:val="22"/>
          <w:u w:val="single"/>
        </w:rPr>
        <w:t>Extension Amendment</w:t>
      </w:r>
      <w:r>
        <w:rPr>
          <w:color w:val="000000"/>
        </w:rPr>
        <w:t>”</w:t>
      </w:r>
      <w:r>
        <w:rPr>
          <w:rFonts w:ascii="Times New Roman;serif" w:hAnsi="Times New Roman;serif"/>
          <w:b w:val="false"/>
          <w:color w:val="000000"/>
          <w:sz w:val="22"/>
        </w:rPr>
        <w:t xml:space="preserve">) to this Agreement among each Borrower, the other Loan Parties, the Administrative Agent and each Extending Revolving Credit Lender providing an Extended Revolving Credit Commitment thereunder, which shall be consistent with the provisions set forth in </w:t>
      </w:r>
      <w:r>
        <w:rPr>
          <w:rFonts w:ascii="Times New Roman;serif" w:hAnsi="Times New Roman;serif"/>
          <w:b w:val="false"/>
          <w:color w:val="000000"/>
          <w:sz w:val="22"/>
          <w:u w:val="single"/>
        </w:rPr>
        <w:t>Sections 2.14(a)</w:t>
      </w:r>
      <w:r>
        <w:rPr>
          <w:color w:val="000000"/>
        </w:rPr>
        <w:t xml:space="preserve"> </w:t>
      </w:r>
      <w:r>
        <w:rPr>
          <w:rFonts w:ascii="Times New Roman;serif" w:hAnsi="Times New Roman;serif"/>
          <w:b w:val="false"/>
          <w:color w:val="000000"/>
          <w:sz w:val="22"/>
        </w:rPr>
        <w:t xml:space="preserve">above, respectively (but which shall not require the consent of any other Lender) and otherwise reasonably satisfactory to the Administrative Agent. The Commitments to provide Extended Revolving Credit Commitments shall become effective on the date specified in the applicable Extension Amendment, subject to the satisfaction of each of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such other conditions as may be specified in the applicable Extension Amendment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Revolving Credit Commitments are provided with the benefit of the applicable Loan Documents. The Administrative Agent shall promptly notify each Lender as to the effectiveness of each Extension Amendment. Each of the parties hereto hereby (A) agrees that this Agreement and the other Loan Documents may be amended pursuant to an Extension Amendment, without the consent of any other Lenders, to the extent (but only to the extent) necessary to (i) reflect the existence and terms of Extended Revolving Credit Commitments, as applicable, incurred pursuant thereto and (ii) effect such other amendments to this Agreement and the other Loan Documents as may be necessary or appropriate, in the reasonable opinion of the Administrative Agent and the Borrowers, to effect the provisions of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and the Required Lenders (by executing and delivering the Extension Amendment and thereby binding themselves and all successors and assigns) hereby expressly and irrevocably, for the benefit of all parties hereto, authorize the Administrative Agent to enter into any such Extension Amendment and (B) consent to the transactions contemplated by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(including, for the avoidance of doubt, payment of interest, fees or premiums in respect of any Extended Revolving Credit Commitments on such terms as may be set forth in the relevant Extension Amendment).</w:t>
      </w:r>
    </w:p>
    <w:p>
      <w:pPr>
        <w:pStyle w:val="TextBody"/>
        <w:bidi w:val="0"/>
        <w:spacing w:lineRule="auto" w:line="288" w:before="0" w:after="0"/>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No Prepayment</w:t>
      </w:r>
      <w:r>
        <w:rPr>
          <w:rFonts w:ascii="Times New Roman;serif" w:hAnsi="Times New Roman;serif"/>
          <w:b w:val="false"/>
          <w:color w:val="000000"/>
          <w:sz w:val="22"/>
        </w:rPr>
        <w:t xml:space="preserve">. No conversion or extension of Loans or Commitments pursuant to any Extension Amendment in accordance with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shall constitute a voluntary or mandatory payment or prepayment for purposes of this Agreement.</w:t>
      </w:r>
    </w:p>
    <w:p>
      <w:pPr>
        <w:pStyle w:val="TextBody"/>
        <w:bidi w:val="0"/>
        <w:spacing w:before="0" w:after="0"/>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2.15    </w:t>
      </w:r>
      <w:r>
        <w:rPr>
          <w:rFonts w:ascii="Times New Roman;serif" w:hAnsi="Times New Roman;serif"/>
          <w:b/>
          <w:color w:val="000000"/>
          <w:sz w:val="22"/>
          <w:u w:val="single"/>
        </w:rPr>
        <w:t>Incremental Borrowings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Incremental Commitments</w:t>
      </w:r>
      <w:r>
        <w:rPr>
          <w:rFonts w:ascii="Times New Roman;serif" w:hAnsi="Times New Roman;serif"/>
          <w:b w:val="false"/>
          <w:color w:val="000000"/>
          <w:sz w:val="22"/>
        </w:rPr>
        <w:t>. The Company may at any time or from time to time after the Closing Date, by notice to the Administrative Agent (an “</w:t>
      </w:r>
      <w:r>
        <w:rPr>
          <w:rFonts w:ascii="Times New Roman;serif" w:hAnsi="Times New Roman;serif"/>
          <w:b w:val="false"/>
          <w:color w:val="000000"/>
          <w:sz w:val="22"/>
          <w:u w:val="single"/>
        </w:rPr>
        <w:t>Incremental Loan Request</w:t>
      </w:r>
      <w:r>
        <w:rPr>
          <w:color w:val="000000"/>
        </w:rPr>
        <w:t>”</w:t>
      </w:r>
      <w:r>
        <w:rPr>
          <w:rFonts w:ascii="Times New Roman;serif" w:hAnsi="Times New Roman;serif"/>
          <w:b w:val="false"/>
          <w:color w:val="000000"/>
          <w:sz w:val="22"/>
        </w:rPr>
        <w:t>), request (A) one or more new commitments which may be of the same Class as any outstanding Incremental Term Loans (an “</w:t>
      </w:r>
      <w:r>
        <w:rPr>
          <w:rFonts w:ascii="Times New Roman;serif" w:hAnsi="Times New Roman;serif"/>
          <w:b w:val="false"/>
          <w:color w:val="000000"/>
          <w:sz w:val="22"/>
          <w:u w:val="single"/>
        </w:rPr>
        <w:t>Incremental Term Loan Increase</w:t>
      </w:r>
      <w:r>
        <w:rPr>
          <w:color w:val="000000"/>
        </w:rPr>
        <w:t>”</w:t>
      </w:r>
      <w:r>
        <w:rPr>
          <w:rFonts w:ascii="Times New Roman;serif" w:hAnsi="Times New Roman;serif"/>
          <w:b w:val="false"/>
          <w:color w:val="000000"/>
          <w:sz w:val="22"/>
        </w:rPr>
        <w:t>) or a new Class of Incremental Term Loans (collectively with any Incremental Term Loan Increase, the “</w:t>
      </w:r>
      <w:r>
        <w:rPr>
          <w:rFonts w:ascii="Times New Roman;serif" w:hAnsi="Times New Roman;serif"/>
          <w:b w:val="false"/>
          <w:color w:val="000000"/>
          <w:sz w:val="22"/>
          <w:u w:val="single"/>
        </w:rPr>
        <w:t>Incremental Term Commitments</w:t>
      </w:r>
      <w:r>
        <w:rPr>
          <w:color w:val="000000"/>
        </w:rPr>
        <w:t>”</w:t>
      </w:r>
      <w:r>
        <w:rPr>
          <w:rFonts w:ascii="Times New Roman;serif" w:hAnsi="Times New Roman;serif"/>
          <w:b w:val="false"/>
          <w:color w:val="000000"/>
          <w:sz w:val="22"/>
        </w:rPr>
        <w:t>) and/or (B) one or more increases in the amount of the Revolving Credit Commitments (a “</w:t>
      </w:r>
      <w:r>
        <w:rPr>
          <w:rFonts w:ascii="Times New Roman;serif" w:hAnsi="Times New Roman;serif"/>
          <w:b w:val="false"/>
          <w:color w:val="000000"/>
          <w:sz w:val="22"/>
          <w:u w:val="single"/>
        </w:rPr>
        <w:t>Revolving Commitment Increase</w:t>
      </w:r>
      <w:r>
        <w:rPr>
          <w:color w:val="000000"/>
        </w:rPr>
        <w:t>”</w:t>
      </w:r>
      <w:r>
        <w:rPr>
          <w:rFonts w:ascii="Times New Roman;serif" w:hAnsi="Times New Roman;serif"/>
          <w:b w:val="false"/>
          <w:color w:val="000000"/>
          <w:sz w:val="22"/>
        </w:rPr>
        <w:t xml:space="preserve">, and collectively with any Incremental Term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84505"/>
                <wp:effectExtent l="0" t="0" r="0" b="0"/>
                <wp:wrapNone/>
                <wp:docPr id="86" name="Frame8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Commitments, the “</w:t>
      </w:r>
      <w:r>
        <w:rPr>
          <w:rFonts w:ascii="Times New Roman;serif" w:hAnsi="Times New Roman;serif"/>
          <w:b w:val="false"/>
          <w:color w:val="000000"/>
          <w:sz w:val="22"/>
          <w:u w:val="single"/>
        </w:rPr>
        <w:t>Incremental Commitments</w:t>
      </w:r>
      <w:r>
        <w:rPr>
          <w:color w:val="000000"/>
        </w:rPr>
        <w:t>”</w:t>
      </w:r>
      <w:r>
        <w:rPr>
          <w:rFonts w:ascii="Times New Roman;serif" w:hAnsi="Times New Roman;serif"/>
          <w:b w:val="false"/>
          <w:color w:val="000000"/>
          <w:sz w:val="22"/>
        </w:rPr>
        <w:t>), whereupon the Administrative Agent shall promptly deliver a copy to each of the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Incremental Loans</w:t>
      </w:r>
      <w:r>
        <w:rPr>
          <w:rFonts w:ascii="Times New Roman;serif" w:hAnsi="Times New Roman;serif"/>
          <w:b w:val="false"/>
          <w:color w:val="000000"/>
          <w:sz w:val="22"/>
        </w:rPr>
        <w:t xml:space="preserve">. Any Incremental Term Loans effected through the establishment of one or more new Incremental Term Loans made on an Incremental Facility Closing Date shall be designated a separate Class of Incremental Term Loans for all purposes of this Agreement. On any Incremental Facility Closing Date on which any Incremental Term Commitments of any Class are effected (including through any Incremental Term Loan Increase), subject to the satisfaction of the terms and conditions in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(i) each Incremental Term Lender of such Class shall make a Loan to the Borrowers (an “</w:t>
      </w:r>
      <w:r>
        <w:rPr>
          <w:rFonts w:ascii="Times New Roman;serif" w:hAnsi="Times New Roman;serif"/>
          <w:b w:val="false"/>
          <w:color w:val="000000"/>
          <w:sz w:val="22"/>
          <w:u w:val="single"/>
        </w:rPr>
        <w:t>Incremental Term Loan</w:t>
      </w:r>
      <w:r>
        <w:rPr>
          <w:color w:val="000000"/>
        </w:rPr>
        <w:t>”</w:t>
      </w:r>
      <w:r>
        <w:rPr>
          <w:rFonts w:ascii="Times New Roman;serif" w:hAnsi="Times New Roman;serif"/>
          <w:b w:val="false"/>
          <w:color w:val="000000"/>
          <w:sz w:val="22"/>
        </w:rPr>
        <w:t xml:space="preserve">)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Revolving Commitment Increase is effected, subject to the satisfaction of the terms and conditions in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(i) each Incremental Revolving Credit Lender shall make its Revolving Credit Commitment available to the Borrowers and (ii) each Incremental Revolving Credit Lender shall become a Lender hereunder with respect to its portion of the Revolving Commitment Increase. Notwithstanding the foregoing, Incremental Term Loans may have identical terms to any other Incremental Term Loans and be treated as the same Class as any of such Incremental Term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Incremental Loan Request</w:t>
      </w:r>
      <w:r>
        <w:rPr>
          <w:rFonts w:ascii="Times New Roman;serif" w:hAnsi="Times New Roman;serif"/>
          <w:b w:val="false"/>
          <w:color w:val="000000"/>
          <w:sz w:val="22"/>
        </w:rPr>
        <w:t xml:space="preserve">. Each Incremental Loan Request from the Company pursuant to 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set forth the requested amount and proposed terms of the relevant Incremental Term Loans or Revolving Commitment Increase. Incremental Term Loans may be made, and Revolving Commitment Increases may be provided, by any existing Lender (but no existing Lender will have an obligation to make any Incremental Commitment, nor will the Borrowers have any obligation to approach any existing Lenders to provide any Incremental Commitment) or by any other bank or other financial institution or other institutional lenders (any such other bank, other financial institution or other institutional lenders being called an “</w:t>
      </w:r>
      <w:r>
        <w:rPr>
          <w:rFonts w:ascii="Times New Roman;serif" w:hAnsi="Times New Roman;serif"/>
          <w:b w:val="false"/>
          <w:color w:val="000000"/>
          <w:sz w:val="22"/>
          <w:u w:val="single"/>
        </w:rPr>
        <w:t>Additional Lender</w:t>
      </w:r>
      <w:r>
        <w:rPr>
          <w:color w:val="000000"/>
        </w:rPr>
        <w:t>”</w:t>
      </w:r>
      <w:r>
        <w:rPr>
          <w:rFonts w:ascii="Times New Roman;serif" w:hAnsi="Times New Roman;serif"/>
          <w:b w:val="false"/>
          <w:color w:val="000000"/>
          <w:sz w:val="22"/>
        </w:rPr>
        <w:t>) (each such existing Lender or Additional Lender providing such Commitment or Loan, an “</w:t>
      </w:r>
      <w:r>
        <w:rPr>
          <w:rFonts w:ascii="Times New Roman;serif" w:hAnsi="Times New Roman;serif"/>
          <w:b w:val="false"/>
          <w:color w:val="000000"/>
          <w:sz w:val="22"/>
          <w:u w:val="single"/>
        </w:rPr>
        <w:t>Incremental Revolving Credit Lender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Incremental Term Lender</w:t>
      </w:r>
      <w:r>
        <w:rPr>
          <w:rFonts w:ascii="Times New Roman;serif" w:hAnsi="Times New Roman;serif"/>
          <w:b w:val="false"/>
          <w:color w:val="000000"/>
          <w:sz w:val="22"/>
        </w:rPr>
        <w:t>,” as applicable, and, collectively, the “</w:t>
      </w:r>
      <w:r>
        <w:rPr>
          <w:rFonts w:ascii="Times New Roman;serif" w:hAnsi="Times New Roman;serif"/>
          <w:b w:val="false"/>
          <w:color w:val="000000"/>
          <w:sz w:val="22"/>
          <w:u w:val="single"/>
        </w:rPr>
        <w:t>Incremental Lenders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each Swing Line Lender and each L/C Issuer shall have consented (not to be unreasonably withheld or delayed) to such Additional Lender’s making such Incremental Term Loans or providing such Revolving Commitment Increase to the extent such consent, if any, would be required under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for an assignment of Loans or Revolving Credit Commitments, as applicable, to such Additional Lender.</w:t>
      </w:r>
    </w:p>
    <w:p>
      <w:pPr>
        <w:pStyle w:val="TextBody"/>
        <w:bidi w:val="0"/>
        <w:spacing w:lineRule="auto" w:line="288" w:before="0" w:after="0"/>
        <w:ind w:left="0" w:right="0" w:firstLine="72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Effectiveness of Incremental Amendment</w:t>
      </w:r>
      <w:r>
        <w:rPr>
          <w:rFonts w:ascii="Times New Roman;serif" w:hAnsi="Times New Roman;serif"/>
          <w:b w:val="false"/>
          <w:color w:val="000000"/>
          <w:sz w:val="22"/>
        </w:rPr>
        <w:t>. The effectiveness of any Incremental Amendment, and the Incremental Commitments thereunder, shall be subject to the satisfaction on the date thereof (the “</w:t>
      </w:r>
      <w:r>
        <w:rPr>
          <w:rFonts w:ascii="Times New Roman;serif" w:hAnsi="Times New Roman;serif"/>
          <w:b w:val="false"/>
          <w:color w:val="000000"/>
          <w:sz w:val="22"/>
          <w:u w:val="single"/>
        </w:rPr>
        <w:t>Incremental Facility Closing Date</w:t>
      </w:r>
      <w:r>
        <w:rPr>
          <w:color w:val="000000"/>
        </w:rPr>
        <w:t>”</w:t>
      </w:r>
      <w:r>
        <w:rPr>
          <w:rFonts w:ascii="Times New Roman;serif" w:hAnsi="Times New Roman;serif"/>
          <w:b w:val="false"/>
          <w:color w:val="000000"/>
          <w:sz w:val="22"/>
        </w:rPr>
        <w:t xml:space="preserve">) of each of the following conditions, which in the case of an Incremental Term Loan to be used to finance a Limited Condition Acquisition, shall be subject to </w:t>
      </w:r>
      <w:r>
        <w:rPr>
          <w:rFonts w:ascii="Times New Roman;serif" w:hAnsi="Times New Roman;serif"/>
          <w:b w:val="false"/>
          <w:color w:val="000000"/>
          <w:sz w:val="22"/>
          <w:u w:val="single"/>
        </w:rPr>
        <w:t>Section 1.12</w:t>
      </w:r>
      <w:r>
        <w:rPr>
          <w:rFonts w:ascii="Times New Roman;serif" w:hAnsi="Times New Roman;serif"/>
          <w:b w:val="false"/>
          <w:color w:val="000000"/>
          <w:sz w:val="22"/>
        </w:rPr>
        <w:t>:</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Default or Event of Default shall exist after giving effect to such Incremental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(ii)the representations and warranties of each Loan Party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and in each other Loan Document shall be true and correct in all material respects on and as of the Incremental Facility Closing Date with the same effect as though made on and as of such date, except to the extent such representations and warranties expressly relate to an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84505"/>
                <wp:effectExtent l="0" t="0" r="0" b="0"/>
                <wp:wrapNone/>
                <wp:docPr id="87" name="Frame8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earlier date, in which case they shall be true and correct in all material respects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(iii)each Incremental Term Commitment shall be in an aggregate principal amount that is not less than $25,000,000 and shall be in an increment of $1,000,000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amount may be less than $25,000,000 if such amount represents all remaining availability under the limit set forth in the next sentence) and each Revolving Commitment Increase shall be in an aggregate principal amount that is not less than $10,000,000 and shall be in an increment of $1,000,000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amount may be less than $10,000,000 if such amount represents all remaining availability under the limit set forth in the next sentence);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(iv)the aggregate principal amount of the Incremental Term Loans and the Revolving Commitment Increases (together with the aggregate amount of Incremental Equivalent Debt incurred pursuant to </w:t>
      </w:r>
      <w:r>
        <w:rPr>
          <w:rFonts w:ascii="Times New Roman;serif" w:hAnsi="Times New Roman;serif"/>
          <w:b w:val="false"/>
          <w:color w:val="000000"/>
          <w:sz w:val="22"/>
          <w:u w:val="single"/>
        </w:rPr>
        <w:t>Section 7.03(s)</w:t>
      </w:r>
      <w:r>
        <w:rPr>
          <w:rFonts w:ascii="Times New Roman;serif" w:hAnsi="Times New Roman;serif"/>
          <w:b w:val="false"/>
          <w:color w:val="000000"/>
          <w:sz w:val="22"/>
        </w:rPr>
        <w:t xml:space="preserve">) incurred after the Closing Date shall not exceed (A) $550,000,000 in the aggregate pursuant to this clause (A) or (B) at its option, up to an amount of Incremental Term Loans or Revolving Commitment Increases (and Incremental Equivalent Debt) so long as the Consolidated Secured Net Leverage Ratio is no more than 3.00:1.00 as of the last day of the Test Period most recently ended for which financial statements have been delivered to the Lenders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after giving effect to any such incurrence on a Pro Forma Basis (but without giving effect to any use of the proceeds thereof to repay or prepay any revolving Indebtedness, including under the Revolving Credit Facility), and, in each case, with respect to any Revolving Commitment Increase, assuming a borrowing of the maximum amount of Loans available thereunder (such amounts under this clause (A) and (B), the “</w:t>
      </w:r>
      <w:r>
        <w:rPr>
          <w:rFonts w:ascii="Times New Roman;serif" w:hAnsi="Times New Roman;serif"/>
          <w:b w:val="false"/>
          <w:color w:val="000000"/>
          <w:sz w:val="22"/>
          <w:u w:val="single"/>
        </w:rPr>
        <w:t>Available Incremental Amount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 to the extent reasonably requested by the Administrative Agent, the receipt by the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Incremental Term Loans or Incremental Commitments, as applicable, are provided with the benefit of the applicable Loan Documents, and (B) to the extent provided in the applicable Incremental Amendment, such other conditions as the Borrowers and the Lenders providing such Incremental Commitments may agree;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(vi)the Company and its Subsidiaries shall be in Pro Forma Compliance with the Financial Covenants after giving effect to such Incremental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Required Terms</w:t>
      </w:r>
      <w:r>
        <w:rPr>
          <w:rFonts w:ascii="Times New Roman;serif" w:hAnsi="Times New Roman;serif"/>
          <w:b w:val="false"/>
          <w:color w:val="000000"/>
          <w:sz w:val="22"/>
        </w:rPr>
        <w:t xml:space="preserve">. The terms, provisions and documentation of the Incremental Term Loans and Incremental Term Commitments of any Class shall be as agreed between the Borrowers and the applicable Incremental Lenders providing such Incremental Commitments, and except as otherwise set forth herein, to the extent not identical to the other Incremental Term Loans, each existing on the Incremental Facility Closing Date, shall be consistent with clauses (i) through (iii) below, as applicable, and otherwise as reasonably satisfactory to Administrative Agent (but in no event shall any such Incremental Facility have covenants and defaults materially more restrictive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84505"/>
                <wp:effectExtent l="0" t="0" r="0" b="0"/>
                <wp:wrapNone/>
                <wp:docPr id="88" name="Frame8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(taken as a whole) than those under this Agreement except for covenants and defaults applicable only to periods after the Latest Maturity Date at the time of such Incremental Facility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 Incremental Term Loan Increase, the terms, provisions and documentation shall be identical (other than with respect to upfront fees, original issue discount or similar fees) to any applicable Incremental Term Loans being increased, as existing on the Incremental Facility Closing Date. In any event: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Incremental Term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(A)shall rank (I)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in right of payment and (II)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in right of security with the Revolving Credit Loans and any other outstanding Incremental Term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 of the Incremental Facility Closing Date, shall not have a Maturity Date earlier than the Maturity Date with respect to the Loans and Commitments in effect as of the effective date of such Incremental Term Loans (prior to giving effect to any extensions thereof occurring after the Maturity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(C)shall have an amortization schedule as determined by the Borrowers and the applicable new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as of the Incremental Facility Closing Date, such Incremental Term Loans shall have a Weighted Average Life to Maturity not shorter than the remaining Weighted Average Life to Maturity of the any other outstanding Incremental Term Loans (as originally in effect prior to any amortization or prepayments thereto) on the date of incurrence of such Incremental Term Loans,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(D)shall have, subject to clause (e)(iii) below, an Applicable Rate and, subject to clauses (e)(i)(B) and (e)(i)(C) above, amortization determined by the Borrowers and the applicable Incremental Term Lenders,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(E)shall have fees determined by the Borrowers and the applicable Incremental Term Loan arranger(s),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(F)with respect to any Incremental Term Loans structured as term B loans, may include such “most favored nation” pricing protections and a lower minimum assignment amount than is required under </w:t>
      </w:r>
      <w:r>
        <w:rPr>
          <w:rFonts w:ascii="Times New Roman;serif" w:hAnsi="Times New Roman;serif"/>
          <w:b w:val="false"/>
          <w:color w:val="000000"/>
          <w:sz w:val="22"/>
          <w:u w:val="single"/>
        </w:rPr>
        <w:t>Section 10.07(b)(ii)(A)</w:t>
      </w:r>
      <w:r>
        <w:rPr>
          <w:rFonts w:ascii="Times New Roman;serif" w:hAnsi="Times New Roman;serif"/>
          <w:b w:val="false"/>
          <w:color w:val="000000"/>
          <w:sz w:val="22"/>
        </w:rPr>
        <w:t>, as determined by the Borrowers and the applicable Lenders,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(G)may include mandatory prepayments as determined by the Administrative Agent, the Borrowers and the applicable Incremental Term Lenders on the date of incurrence of such Incremental Term Loans,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(H)may not be (x) secured by any assets other than Collateral or (y) guaranteed by any Person other than a Guarantor;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(ii)the terms, provisions and documentation of any Revolving Commitment Increase shall be identical to the Revolving Credit Commitments being increased, as existing on the Incremental Facility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Borrowers and the applicable new Lenders may agree to higher interest rates, upfront fees and Term SOFR or Base Rate floors in each applicable Incremental Amendment if the interest rate margins, upfront fees and Term SOFR or Base Rate floors with respect to the existing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84505"/>
                <wp:effectExtent l="0" t="0" r="0" b="0"/>
                <wp:wrapNone/>
                <wp:docPr id="89" name="Frame8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Credit Commitments are increased so as to cause the then applicable interest rate, upfront fees, and Term SOFR or Base Rate floors under this Agreement on such Revolving Credit Commitments to equal the interest rate, upfront fees, and Term SOFR or Base Rate floors then applicable to the Revolving Commitment Increase;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All-In Yield applicable to the Incremental Term Loans of each Class shall be determined by the Borrowers and the applicable new Lenders and shall be set forth in each applicable Incremental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Incremental Amendment</w:t>
      </w:r>
      <w:r>
        <w:rPr>
          <w:rFonts w:ascii="Times New Roman;serif" w:hAnsi="Times New Roman;serif"/>
          <w:b w:val="false"/>
          <w:color w:val="000000"/>
          <w:sz w:val="22"/>
        </w:rPr>
        <w:t>. Commitments in respect of Incremental Term Loans shall become Commitments (or in the case of a Revolving Commitment Increase, an increase in such Lender’s applicable Revolving Credit Commitment), under this Agreement pursuant to an amendment (an “</w:t>
      </w:r>
      <w:r>
        <w:rPr>
          <w:rFonts w:ascii="Times New Roman;serif" w:hAnsi="Times New Roman;serif"/>
          <w:b w:val="false"/>
          <w:color w:val="000000"/>
          <w:sz w:val="22"/>
          <w:u w:val="single"/>
        </w:rPr>
        <w:t>Incremental Amendment</w:t>
      </w:r>
      <w:r>
        <w:rPr>
          <w:color w:val="000000"/>
        </w:rPr>
        <w:t>”</w:t>
      </w:r>
      <w:r>
        <w:rPr>
          <w:rFonts w:ascii="Times New Roman;serif" w:hAnsi="Times New Roman;serif"/>
          <w:b w:val="false"/>
          <w:color w:val="000000"/>
          <w:sz w:val="22"/>
        </w:rPr>
        <w:t xml:space="preserve">) to this Agreement and, as appropriate, the other Loan Documents, executed by each Borrower,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The Borrowers will use the proceeds of the Incremental Term Loans and Revolving Commitment Increases for any purpose not prohibited by this Agreement. No Lender shall be obligated to provide any Incremental Term Loans or Revolving Commitment Increase unless it so agrees.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Reallocation of Revolving Credit Exposure</w:t>
      </w:r>
      <w:r>
        <w:rPr>
          <w:rFonts w:ascii="Times New Roman;serif" w:hAnsi="Times New Roman;serif"/>
          <w:b w:val="false"/>
          <w:color w:val="000000"/>
          <w:sz w:val="22"/>
        </w:rPr>
        <w:t xml:space="preserve">. Upon any Incremental Facility Closing Date on which any Revolving Commitment Increase is effected pursuant to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(a) each of the Revolving Credit Lenders shall assign to each of the Incremental Revolving Credit Lenders, and each of the Incremental Revolving Credit Lenders shall purchase from each of the Revolving Credit Lenders, at the principal amount thereof, such interests in the Revolving Credit Loans outstanding on such Incremental Facility Closing Date as shall be necessary in order that, after giving effect to all such assignments and purchases, such Revolving Credit Loans will be held by existing Revolving Credit Lenders and Incremental Revolving Credit Lenders ratably in accordance with their Revolving Credit Commitments after giving effect to such Revolving Commitment Increase, (b) each Revolving Commitment Increase shall be deemed for all purposes a Revolving Credit Commitment and each Loan made thereunder shall be deemed, for all purposes, a Revolving Credit Loan and (c) each Incremental Revolving Credit Lender shall become a Lender with respect to such Revolving Commitment Increase and all matters relating thereto. The Administrative Agent and the Lenders hereby agree that the minimum borrowing and prepayment requirements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2.05(a)</w:t>
      </w:r>
      <w:r>
        <w:rPr>
          <w:color w:val="000000"/>
        </w:rPr>
        <w:t xml:space="preserve"> </w:t>
      </w:r>
      <w:r>
        <w:rPr>
          <w:rFonts w:ascii="Times New Roman;serif" w:hAnsi="Times New Roman;serif"/>
          <w:b w:val="false"/>
          <w:color w:val="000000"/>
          <w:sz w:val="22"/>
        </w:rPr>
        <w:t>of this Agreement shall not apply to the transactions effected pursuant to the immediately preceding sentence.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shall supersede any provisions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10.01</w:t>
      </w:r>
      <w:r>
        <w:rPr>
          <w:color w:val="000000"/>
        </w:rPr>
        <w:t xml:space="preserve"> </w:t>
      </w:r>
      <w:r>
        <w:rPr>
          <w:rFonts w:ascii="Times New Roman;serif" w:hAnsi="Times New Roman;serif"/>
          <w:b w:val="false"/>
          <w:color w:val="000000"/>
          <w:sz w:val="22"/>
        </w:rPr>
        <w:t>to the contrary.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2.16    </w:t>
      </w:r>
      <w:r>
        <w:rPr>
          <w:rFonts w:ascii="Times New Roman;serif" w:hAnsi="Times New Roman;serif"/>
          <w:b/>
          <w:color w:val="000000"/>
          <w:sz w:val="22"/>
          <w:u w:val="single"/>
        </w:rPr>
        <w:t>Refinancing Amendments</w:t>
      </w:r>
      <w:r>
        <w:rPr>
          <w:rFonts w:ascii="Times New Roman;serif" w:hAnsi="Times New Roman;serif"/>
          <w:b w:val="false"/>
          <w:color w:val="000000"/>
          <w:sz w:val="22"/>
        </w:rPr>
        <w:t xml:space="preserve">. (a) On one or more occasions after the Closing Date, the Borrowers may obtain, from any Lender or any Additional Refinancing Lender, Credit Agreement Refinancing Indebtedness in respect of all or any portion of the Revolving Credit Loans (or unused Revolving Credit Commitments) then outstanding under this Agreement, in the form of Other Revolving Credit Commitments or Other Revolving Credit Loans pursuant to a Refinancing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to the contrary in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or otherwise, (1) the borrowing and repayment (except for (A) payments of interest and fees at different rates on Other Revolving Credit Commitments (and related outstandings), (B) repayments required upon the Maturity Date of the Other Revolving Credit Commitments and (C) repayment of principal made in connection with a permanent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84505"/>
                <wp:effectExtent l="0" t="0" r="0" b="0"/>
                <wp:wrapNone/>
                <wp:docPr id="90" name="Frame8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repayment and termination of commitments (subject to clause (3) below)) of Loans with respect to Other Revolving Credit Commitments after the date of obtaining any Other Revolving Credit Commitments shall be made on a pro rata basis with all other Revolving Credit Commitments, (2) subject to the provisions of </w:t>
      </w:r>
      <w:r>
        <w:rPr>
          <w:rFonts w:ascii="Times New Roman;serif" w:hAnsi="Times New Roman;serif"/>
          <w:b w:val="false"/>
          <w:color w:val="000000"/>
          <w:sz w:val="22"/>
          <w:u w:val="single"/>
        </w:rPr>
        <w:t>Section 2.03(l)</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2.04(g)</w:t>
      </w:r>
      <w:r>
        <w:rPr>
          <w:color w:val="000000"/>
        </w:rPr>
        <w:t xml:space="preserve"> </w:t>
      </w:r>
      <w:r>
        <w:rPr>
          <w:rFonts w:ascii="Times New Roman;serif" w:hAnsi="Times New Roman;serif"/>
          <w:b w:val="false"/>
          <w:color w:val="000000"/>
          <w:sz w:val="22"/>
        </w:rPr>
        <w:t xml:space="preserve">to the extent dealing with Swing Line Loans and Letters of Credit which mature or expire after a Maturity Date when there exist Extended Revolving Credit Commitments with a longer Maturity Date, all Swing Line Loans and Letters of Credit shall be participated on a pro rata basis by all Lenders with Commitments in accordance with their percentage of the Revolving Credit Commitments (and except as provided in </w:t>
      </w:r>
      <w:r>
        <w:rPr>
          <w:rFonts w:ascii="Times New Roman;serif" w:hAnsi="Times New Roman;serif"/>
          <w:b w:val="false"/>
          <w:color w:val="000000"/>
          <w:sz w:val="22"/>
          <w:u w:val="single"/>
        </w:rPr>
        <w:t>Section 2.03(l)</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2.04(g)</w:t>
      </w:r>
      <w:r>
        <w:rPr>
          <w:rFonts w:ascii="Times New Roman;serif" w:hAnsi="Times New Roman;serif"/>
          <w:b w:val="false"/>
          <w:color w:val="000000"/>
          <w:sz w:val="22"/>
        </w:rPr>
        <w:t>, without giving effect to changes thereto on an earlier Maturity Date with respect to Swing Line Loans and Letters of Credit theretofore incurred or issued), (3) the permanent repayment of Revolving Credit Loans with respect to, and termination of, Other Revolving Credit Commitments after the date of obtaining any Other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Other Revolving Credit Commitments and Other Revolving Credit Loans shall be governed by the same assignment and participation provisions applicable to Revolving Credit Commitments and Revolving Credit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(b)The effectiveness of any Refinancing Amendment shall be subject to the satisfaction on the date thereof of each of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and, to the extent reasonably requested by the Administrative Agent, receipt by the Administrative Agent of (i) customary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(c)Each issuance of Credit Agreement Refinancing Indebtedness under </w:t>
      </w:r>
      <w:r>
        <w:rPr>
          <w:rFonts w:ascii="Times New Roman;serif" w:hAnsi="Times New Roman;serif"/>
          <w:b w:val="false"/>
          <w:color w:val="000000"/>
          <w:sz w:val="22"/>
          <w:u w:val="single"/>
        </w:rPr>
        <w:t>Section 2.16(a)</w:t>
      </w:r>
      <w:r>
        <w:rPr>
          <w:color w:val="000000"/>
        </w:rPr>
        <w:t xml:space="preserve"> </w:t>
      </w:r>
      <w:r>
        <w:rPr>
          <w:rFonts w:ascii="Times New Roman;serif" w:hAnsi="Times New Roman;serif"/>
          <w:b w:val="false"/>
          <w:color w:val="000000"/>
          <w:sz w:val="22"/>
        </w:rPr>
        <w:t>shall be in an aggregate principal amount that is (x) not less than $25,000,000 and (y) an integral multiple of $1,000,000 in excess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Borrowers, to effect the provisions of this </w:t>
      </w:r>
      <w:r>
        <w:rPr>
          <w:rFonts w:ascii="Times New Roman;serif" w:hAnsi="Times New Roman;serif"/>
          <w:b w:val="false"/>
          <w:color w:val="000000"/>
          <w:sz w:val="22"/>
          <w:u w:val="single"/>
        </w:rPr>
        <w:t>Section 2.16</w:t>
      </w:r>
      <w:r>
        <w:rPr>
          <w:rFonts w:ascii="Times New Roman;serif" w:hAnsi="Times New Roman;serif"/>
          <w:b w:val="false"/>
          <w:color w:val="000000"/>
          <w:sz w:val="22"/>
        </w:rPr>
        <w:t>, and the Required Lenders hereby expressly authorize the Administrative Agent to enter into any such Refinancing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2.17    </w:t>
      </w:r>
      <w:r>
        <w:rPr>
          <w:rFonts w:ascii="Times New Roman;serif" w:hAnsi="Times New Roman;serif"/>
          <w:b/>
          <w:color w:val="000000"/>
          <w:sz w:val="22"/>
          <w:u w:val="single"/>
        </w:rPr>
        <w:t>Defaulting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That Defaulting Lender’s right to approve or disapprove any amendment, waiver or consent with respect to this Agreement shall be restricted as set forth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84505"/>
                <wp:effectExtent l="0" t="0" r="0" b="0"/>
                <wp:wrapNone/>
                <wp:docPr id="91" name="Frame9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Reallocation of Payments</w:t>
      </w:r>
      <w:r>
        <w:rPr>
          <w:rFonts w:ascii="Times New Roman;serif" w:hAnsi="Times New Roman;serif"/>
          <w:b w:val="false"/>
          <w:color w:val="000000"/>
          <w:sz w:val="22"/>
        </w:rPr>
        <w:t xml:space="preserve">.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that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on a pro rata basis of any amounts owing by that Defaulting Lender to the L/C Issuer or Swing Line Lender hereunder;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if so determined by the Administrative Agent or requested by the L/C Issuer or Swing Line Lender, to be held as Cash Collateral for future funding obligations of that Defaulting Lender of any participation in any Swing Line Loan or Letter of Credit;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as the Company may request (so long as no Default has occurred and is continuing), to the funding of any Loan in respect of which that Defaulting Lender has failed to fund its portion thereof as required by this Agreement, as determined by the Administrative Agent;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if so determined by the Administrative Agent and the Borrowers, to be held in a non-interest bearing deposit account and released in order to (x) satisfy obligations of that Defaulting Lender to fund Loans under this Agreement or (y) Cash Collateralize the L/C Issuer’s future funding obligations with respect to such Defaulting Lender with respect to future Letters of Credit issued under this Agreement;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so long as no Default or Event of Default has occurred and is continuing, to the payment of any amounts owing to any Borrower as a result of any judgment of a court of competent jurisdiction obtained by such Borrower against that Defaulting Lender as a result of that Defaulting Lender’s breach of its obligations under this Agreement; and </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that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2.17(a)(ii)</w:t>
      </w:r>
      <w:r>
        <w:rPr>
          <w:color w:val="000000"/>
        </w:rPr>
        <w:t xml:space="preserve"> </w:t>
      </w:r>
      <w:r>
        <w:rPr>
          <w:rFonts w:ascii="Times New Roman;serif" w:hAnsi="Times New Roman;serif"/>
          <w:b w:val="false"/>
          <w:color w:val="000000"/>
          <w:sz w:val="22"/>
        </w:rPr>
        <w:t>shall be deemed paid to and redirected by that Defaulting Lender, and each Lender irrevocably consents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Certain Fees</w:t>
      </w:r>
      <w:r>
        <w:rPr>
          <w:rFonts w:ascii="Times New Roman;serif" w:hAnsi="Times New Roman;serif"/>
          <w:b w:val="false"/>
          <w:color w:val="000000"/>
          <w:sz w:val="22"/>
        </w:rPr>
        <w:t xml:space="preserve">. That Defaulting Lender (x) shall not be entitled to receive any commitment fee pursuant to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 xml:space="preserve">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serif" w:hAnsi="Times New Roman;serif"/>
          <w:b w:val="false"/>
          <w:color w:val="000000"/>
          <w:sz w:val="22"/>
          <w:u w:val="single"/>
        </w:rPr>
        <w:t>Section 2.03(h)</w:t>
      </w:r>
      <w:r>
        <w:rPr>
          <w:color w:val="000000"/>
        </w:rPr>
        <w:t xml:space="preserve"> </w:t>
      </w:r>
      <w:r>
        <w:rPr>
          <w:rFonts w:ascii="Times New Roman;serif" w:hAnsi="Times New Roman;serif"/>
          <w:b w:val="false"/>
          <w:color w:val="000000"/>
          <w:sz w:val="22"/>
        </w:rPr>
        <w:t xml:space="preserve">to the extent allocable to its Pro Rata Share of the stated amount of Letters of Credit for which it has provided Cash Collateral. With respect to any commitment fee or Letter of Credit fee not required to be paid to any Defaulting Lender pursuant to the foregoing clauses (x) or (y), the Borrowers shall (1)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(2) pay to the L/C Issuer and Swing Line Lender, as applicable, the amount of any such fee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84505"/>
                <wp:effectExtent l="0" t="0" r="0" b="0"/>
                <wp:wrapNone/>
                <wp:docPr id="92" name="Frame9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payable to such Defaulting Lender to the extent allocable to the L/C Issuer’s or Swing Line Lender’s future funding obligations with respect to any portion of such Defaulting Lender’s participation in L/C Obligations or Swing Line Loans that has not been reallocated to non-Defaulting Lenders or cash collateralized pursuant to this </w:t>
      </w:r>
      <w:r>
        <w:rPr>
          <w:rFonts w:ascii="Times New Roman;serif" w:hAnsi="Times New Roman;serif"/>
          <w:b w:val="false"/>
          <w:color w:val="000000"/>
          <w:sz w:val="22"/>
          <w:u w:val="single"/>
        </w:rPr>
        <w:t>Section 2.17(a)</w:t>
      </w:r>
      <w:r>
        <w:rPr>
          <w:rFonts w:ascii="Times New Roman;serif" w:hAnsi="Times New Roman;serif"/>
          <w:b w:val="false"/>
          <w:color w:val="000000"/>
          <w:sz w:val="22"/>
        </w:rPr>
        <w:t>, and (3) not be required to pay the remaining amount of any such fee.</w:t>
      </w:r>
    </w:p>
    <w:p>
      <w:pPr>
        <w:pStyle w:val="TextBody"/>
        <w:bidi w:val="0"/>
        <w:spacing w:lineRule="auto" w:line="288"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Reallocation of Pro Rata Share to Reduce Fronting Exposure</w:t>
      </w:r>
      <w:r>
        <w:rPr>
          <w:rFonts w:ascii="Times New Roman;serif" w:hAnsi="Times New Roman;serif"/>
          <w:b w:val="false"/>
          <w:color w:val="000000"/>
          <w:sz w:val="22"/>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w:t>
      </w:r>
      <w:r>
        <w:rPr>
          <w:rFonts w:ascii="Times New Roman;serif" w:hAnsi="Times New Roman;serif"/>
          <w:b w:val="false"/>
          <w:color w:val="000000"/>
          <w:sz w:val="22"/>
        </w:rPr>
        <w:t xml:space="preserve">, the “Pro Rata Share” of each Non-Defaulting Lender’s Revolving Credit Loans and L/C Obligations shall be computed without giving effect to the Commitment of that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each such reallocation shall be given effect only if, at the date the applicable Lender becomes a Defaulting Lender, no Default has occurred and is continuing; and (ii) the aggregate obligation of each Non-Defaulting Lender to acquire, refinance or fund participations in Letters of Credit and Swing Line Loans shall not exceed the positive difference, if any, of (1) the Commitment of that Non-Defaulting Lender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(2) the aggregate Outstanding Amount of the Loans of that Non-Defaulting Lender. Subject to </w:t>
      </w:r>
      <w:r>
        <w:rPr>
          <w:rFonts w:ascii="Times New Roman;serif" w:hAnsi="Times New Roman;serif"/>
          <w:b w:val="false"/>
          <w:color w:val="000000"/>
          <w:sz w:val="22"/>
          <w:u w:val="single"/>
        </w:rPr>
        <w:t>Section 10.23</w:t>
      </w:r>
      <w:r>
        <w:rPr>
          <w:rFonts w:ascii="Times New Roman;serif" w:hAnsi="Times New Roman;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Cash Collateral, Repayment of Swing Line Loans</w:t>
      </w:r>
      <w:r>
        <w:rPr>
          <w:rFonts w:ascii="Times New Roman;serif" w:hAnsi="Times New Roman;serif"/>
          <w:b w:val="false"/>
          <w:color w:val="000000"/>
          <w:sz w:val="22"/>
        </w:rPr>
        <w:t xml:space="preserve">. If the reallocation described in clause (iv) above cannot, or can only partially, be effected, the Borrowers shall, without prejudice to any right or remedy available to it hereunder or under law, (x)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repay Swing Line Loans in an amount equal to the Swing Line Lender’s future funding obligations and (y) </w:t>
      </w:r>
      <w:r>
        <w:rPr>
          <w:rFonts w:ascii="Times New Roman;serif" w:hAnsi="Times New Roman;serif"/>
          <w:b w:val="false"/>
          <w:color w:val="000000"/>
          <w:sz w:val="22"/>
          <w:u w:val="single"/>
        </w:rPr>
        <w:t>second</w:t>
      </w:r>
      <w:r>
        <w:rPr>
          <w:rFonts w:ascii="Times New Roman;serif" w:hAnsi="Times New Roman;serif"/>
          <w:b w:val="false"/>
          <w:color w:val="000000"/>
          <w:sz w:val="22"/>
        </w:rPr>
        <w:t>, Cash Collateralize the L/C Issuer’s future funding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each Borrower, the Administrative Agent, the Swing Line Lender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of the applicable Facility and funded and unfunded participations in Letters of Credit and Swing Line Loans to be held on a pro rata basis by the Lenders in accordance with their Pro Rata Share of the applicable Facility (without giving effect to </w:t>
      </w:r>
      <w:r>
        <w:rPr>
          <w:rFonts w:ascii="Times New Roman;serif" w:hAnsi="Times New Roman;serif"/>
          <w:b w:val="false"/>
          <w:color w:val="000000"/>
          <w:sz w:val="22"/>
          <w:u w:val="single"/>
        </w:rPr>
        <w:t>Section 2.17(a)(iv)</w:t>
      </w:r>
      <w:r>
        <w:rPr>
          <w:rFonts w:ascii="Times New Roman;serif" w:hAnsi="Times New Roman;serif"/>
          <w:b w:val="false"/>
          <w:color w:val="000000"/>
          <w:sz w:val="22"/>
        </w:rPr>
        <w:t xml:space="preserve">), whereupon that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Borrowers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84505"/>
                <wp:effectExtent l="0" t="0" r="0" b="0"/>
                <wp:wrapNone/>
                <wp:docPr id="93" name="Frame9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III</w:t>
        <w:br/>
        <w:br/>
        <w:t>TAXES, INCREASED COSTS PROTECTION AND ILLEGALITY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3.01    </w:t>
      </w:r>
      <w:r>
        <w:rPr>
          <w:rFonts w:ascii="Times New Roman;serif" w:hAnsi="Times New Roman;serif"/>
          <w:b/>
          <w:color w:val="000000"/>
          <w:sz w:val="22"/>
          <w:u w:val="single"/>
        </w:rPr>
        <w:t>Taxes</w:t>
      </w:r>
      <w:r>
        <w:rPr>
          <w:rFonts w:ascii="Times New Roman;serif" w:hAnsi="Times New Roman;serif"/>
          <w:b w:val="false"/>
          <w:color w:val="000000"/>
          <w:sz w:val="22"/>
        </w:rPr>
        <w:t xml:space="preserve">. (a) For purposes of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term “Lender” includes each L/C Issuer and the Swing Line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(b)Any and all payments by or on account of any obligation of any Borrower (the term Borrower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being deemed to include any Subsidiary for whose account a Letter of Credit is issued) under any Loan Document shall be made without deduction or withholding for any Taxes, except as required by applicable Law. If any applicable Law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Borrowers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deduction or withholding been made.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Borrowers shall timely pay to the relevant Governmental Authority in accordance with applicable Law any Other Taxes imposed on the Borrowers, and shall timely pay or reimburse any Recipient, as the case may be, for any Other Taxes paid or payable by such Recipient upon written demand (accompanied by a certificate complying with the requirements set forth in clause (d) below) therefor.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(d)Each Borrower shall severally indemnify each Recipient, within 10 Business Days after written demand (accompanied by a certificate complying with the requirements set forth below)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payable or paid by such Recipient or required to be withheld or deducted from a payment to such Recipient whether or not such Indemnified Taxes were correctly or legally imposed or asserted by the relevant Governmental Authority. A certificate setting forth in reasonable detail a description of such Indemnified Taxes and the amount of such payment or liability for Indemnified Taxes delivered to the Borrowers by a Lender (with a copy to the Administrative Agent), or by the Administrative Agent on its own behalf or on behalf of a Lender, shall be conclusive absent manifest error.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(e)Each Lender shall severally indemnify the Administrative Agent, within 10 Business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serif" w:hAnsi="Times New Roman;serif"/>
          <w:b w:val="false"/>
          <w:color w:val="000000"/>
          <w:sz w:val="22"/>
          <w:u w:val="single"/>
        </w:rPr>
        <w:t>Section 10.07(e)</w:t>
      </w:r>
      <w:r>
        <w:rPr>
          <w:color w:val="000000"/>
        </w:rPr>
        <w:t xml:space="preserve"> </w:t>
      </w:r>
      <w:r>
        <w:rPr>
          <w:rFonts w:ascii="Times New Roman;serif" w:hAnsi="Times New Roman;serif"/>
          <w:b w:val="false"/>
          <w:color w:val="000000"/>
          <w:sz w:val="22"/>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84505"/>
                <wp:effectExtent l="0" t="0" r="0" b="0"/>
                <wp:wrapNone/>
                <wp:docPr id="94" name="Frame9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the Lender from any other source against any amount due to the Administrative Agent under this paragraph (e).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(f)As soon as practicable after any payment of Taxes by the Borrowers to a Governmental Authority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    any Lender that is a U.S. Person and the Administrative Agent (if such Agent is a U.S. Person) shall deliver to the Borrowers and the Administrative Agent on or prior to the date on which such Recipient becomes a Recipient under this Agreement (and from time to time thereafter upon the reasonable request of any Borrower or the Administrative Agent), executed originals of IRS Form W-9 (or any successor form) certifying that such Recipient is exempt from U.S. federal backup withholding Tax;</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upon the reasonable request of any Borrower or the Administrative Agent), whichever of the following is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the case of a Foreign Lender claiming the benefits of an income tax treaty to which the United States is a party (x) with respect to payments of interest under any Loan Document, duly executed originals of IRS Form W-8BEN or W-8BEN-E (or any successor form) establishing an exemption from, or reduction of, U.S. federal withholding Tax pursuant to the “interest” article of such tax treaty and (y) with respect to any other applicable payments under any Loan Document, IRS Form W-8BEN or W-8BEN-E (or any successor form)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(B)duly executed originals of IRS Form W-8ECI (or any successor form);</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(C)in the case of a Foreign Lender claiming the benefits of the exemption for portfolio interest under Section 881(c) or 871(h) of the Code, (x) a duly executed certificate substantially in the form of </w:t>
      </w:r>
      <w:r>
        <w:rPr>
          <w:rFonts w:ascii="Times New Roman;serif" w:hAnsi="Times New Roman;serif"/>
          <w:b w:val="false"/>
          <w:color w:val="000000"/>
          <w:sz w:val="22"/>
          <w:u w:val="single"/>
        </w:rPr>
        <w:t>Exhibit J-1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duly executed originals of IRS Form W-8BEN or W-8BEN-E (or any successor form);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(D)to the extent a Foreign Lender is not the beneficial owner, executed originals of IRS Form W-8IMY (or any successor form), accompanied by IRS Form W-8ECI, IRS Form W-8BEN or W-8BEN-E, a duly executed U.S. Tax Compliance Certificate substantially in the form of </w:t>
      </w:r>
      <w:r>
        <w:rPr>
          <w:rFonts w:ascii="Times New Roman;serif" w:hAnsi="Times New Roman;serif"/>
          <w:b w:val="false"/>
          <w:color w:val="000000"/>
          <w:sz w:val="22"/>
          <w:u w:val="single"/>
        </w:rPr>
        <w:t>Exhibit J-2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J-3</w:t>
      </w:r>
      <w:r>
        <w:rPr>
          <w:rFonts w:ascii="Times New Roman;serif" w:hAnsi="Times New Roman;serif"/>
          <w:b w:val="false"/>
          <w:color w:val="000000"/>
          <w:sz w:val="22"/>
        </w:rPr>
        <w:t xml:space="preserve">, IRS Form W-9, and/or successor forms thereof 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84505"/>
                <wp:effectExtent l="0" t="0" r="0" b="0"/>
                <wp:wrapNone/>
                <wp:docPr id="95" name="Frame9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partnership and one or more direct or indirect partners of such Foreign Lender are claiming the portfolio interest exemption, such Foreign Lender may provide a duly executed U.S. Tax Compliance Certificate substantially in the form of </w:t>
      </w:r>
      <w:r>
        <w:rPr>
          <w:rFonts w:ascii="Times New Roman;serif" w:hAnsi="Times New Roman;serif"/>
          <w:b w:val="false"/>
          <w:color w:val="000000"/>
          <w:sz w:val="22"/>
          <w:u w:val="single"/>
        </w:rPr>
        <w:t>Exhibit J-4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upon the reasonable request of any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Borrowers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clause (iv), “FATCA” shall include any amendments made to FATCA after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Recipient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(h)If any Recipient determines, in its reasonable discretion exercised in good faith, that it has received a refund or overpayment credit in respect of any Taxes as to which it has been indemnified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the indemnifying party an amount equal to such refund or credit (but only to the extent of indemnity payments made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or credit), net of all out-of-pocket expenses (including Taxes) of such indemnified party and without interest (other than any interest paid by the relevant Governmental Authority with respect to such refund or credit).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or credit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or credit had not been deducted, withheld or otherwise imposed and the indemnification payments or additional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84505"/>
                <wp:effectExtent l="0" t="0" r="0" b="0"/>
                <wp:wrapNone/>
                <wp:docPr id="96" name="Frame9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(i)Each Lender agrees that, upon the occurrence of any event giving rise to the operation of </w:t>
      </w:r>
      <w:r>
        <w:rPr>
          <w:rFonts w:ascii="Times New Roman;serif" w:hAnsi="Times New Roman;serif"/>
          <w:b w:val="false"/>
          <w:color w:val="000000"/>
          <w:sz w:val="22"/>
          <w:u w:val="single"/>
        </w:rPr>
        <w:t>Section 3.01(b)</w:t>
      </w:r>
      <w:r>
        <w:rPr>
          <w:color w:val="000000"/>
        </w:rPr>
        <w:t xml:space="preserve"> </w:t>
      </w:r>
      <w:r>
        <w:rPr>
          <w:rFonts w:ascii="Times New Roman;serif" w:hAnsi="Times New Roman;serif"/>
          <w:b w:val="false"/>
          <w:color w:val="000000"/>
          <w:sz w:val="22"/>
        </w:rPr>
        <w:t xml:space="preserve">with respect to such Lender it will, if requested by any Borrower, use commercially reasonable efforts (subject to such Lender’s overall internal policies of general application and legal and regulatory restrictions) to designate another Lending Office for any Loan or Letter of Credit affected by such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efforts are made on terms that, in the sole judgment of such Lender, cause such Lender and its Lending Office(s) to suffer no economic, legal or regulatory disadvantage,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3.01(i)</w:t>
      </w:r>
      <w:r>
        <w:rPr>
          <w:color w:val="000000"/>
        </w:rPr>
        <w:t xml:space="preserve"> </w:t>
      </w:r>
      <w:r>
        <w:rPr>
          <w:rFonts w:ascii="Times New Roman;serif" w:hAnsi="Times New Roman;serif"/>
          <w:b w:val="false"/>
          <w:color w:val="000000"/>
          <w:sz w:val="22"/>
        </w:rPr>
        <w:t xml:space="preserve">shall affect or postpone any of the Obligations of the Borrowers or the rights of such Lender pursuant to </w:t>
      </w:r>
      <w:r>
        <w:rPr>
          <w:rFonts w:ascii="Times New Roman;serif" w:hAnsi="Times New Roman;serif"/>
          <w:b w:val="false"/>
          <w:color w:val="000000"/>
          <w:sz w:val="22"/>
          <w:u w:val="single"/>
        </w:rPr>
        <w:t>Section 3.01(b)</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3.02    </w:t>
      </w:r>
      <w:r>
        <w:rPr>
          <w:rFonts w:ascii="Times New Roman;serif" w:hAnsi="Times New Roman;serif"/>
          <w:b/>
          <w:color w:val="000000"/>
          <w:sz w:val="22"/>
          <w:u w:val="single"/>
        </w:rPr>
        <w:t>Illegality</w:t>
      </w:r>
      <w:r>
        <w:rPr>
          <w:rFonts w:ascii="Times New Roman;serif" w:hAnsi="Times New Roman;serif"/>
          <w:b w:val="false"/>
          <w:color w:val="000000"/>
          <w:sz w:val="22"/>
        </w:rPr>
        <w:t>. If any Lender determines that any Law has made it unlawful, or that any Governmental Authority has asserted that it is unlawful, for any Lender or its applicable Lending Office to make, maintain or fund SOFR Loans, or to determine or charge interest rates based upon SOFR, the Term SOFR Reference Rate, Term SOFR or Term SOFR, then, on notice thereof by such Lender to the Borrowers through the Administrative Agent (an “</w:t>
      </w:r>
      <w:r>
        <w:rPr>
          <w:rFonts w:ascii="Times New Roman;serif" w:hAnsi="Times New Roman;serif"/>
          <w:b w:val="false"/>
          <w:color w:val="000000"/>
          <w:sz w:val="22"/>
          <w:u w:val="single"/>
        </w:rPr>
        <w:t>Illegality Notice</w:t>
      </w:r>
      <w:r>
        <w:rPr>
          <w:color w:val="000000"/>
        </w:rPr>
        <w:t>”</w:t>
      </w:r>
      <w:r>
        <w:rPr>
          <w:rFonts w:ascii="Times New Roman;serif" w:hAnsi="Times New Roman;serif"/>
          <w:b w:val="false"/>
          <w:color w:val="000000"/>
          <w:sz w:val="22"/>
        </w:rPr>
        <w:t xml:space="preserve">), until such Lender notifies the Administrative Agent and the Borrowers that the circumstances giving rise to such determination no longer exist, (i) any obligation of such Lender to make or continue SOFR Loans or to convert Base Rate Loans to SOFR Loans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 accrued interest on the amount so prepaid or converted and all amounts due, if any, in connection with such prepayment or conversion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Each Lender agrees to designate a different Lending Office if such designation will avoid the need for such Illegality Notice and will not, in the good faith judgment of such Lender, otherwise be materially disadvantageous to such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3.03    </w:t>
      </w:r>
      <w:r>
        <w:rPr>
          <w:rFonts w:ascii="Times New Roman;serif" w:hAnsi="Times New Roman;serif"/>
          <w:b/>
          <w:color w:val="000000"/>
          <w:sz w:val="22"/>
          <w:u w:val="single"/>
        </w:rPr>
        <w:t>Inability to Determine Rates</w:t>
      </w:r>
      <w:r>
        <w:rPr>
          <w:rFonts w:ascii="Times New Roman;serif" w:hAnsi="Times New Roman;serif"/>
          <w:b w:val="false"/>
          <w:color w:val="000000"/>
          <w:sz w:val="22"/>
        </w:rPr>
        <w:t xml:space="preserve">. (a) </w:t>
      </w:r>
      <w:r>
        <w:rPr>
          <w:rFonts w:ascii="Times New Roman;serif" w:hAnsi="Times New Roman;serif"/>
          <w:b w:val="false"/>
          <w:color w:val="000000"/>
          <w:sz w:val="22"/>
          <w:u w:val="single"/>
        </w:rPr>
        <w:t>Circumstances Affecting Benchmark Availability</w:t>
      </w:r>
      <w:r>
        <w:rPr>
          <w:rFonts w:ascii="Times New Roman;serif" w:hAnsi="Times New Roman;serif"/>
          <w:b w:val="false"/>
          <w:color w:val="000000"/>
          <w:sz w:val="22"/>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Company. Upon notice thereof by the Administrative Agent to the Company, any obligation of the Lenders to make SOFR Loans, and any right of the Borrowers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Borrowers may revoke any pending request for a borrowing of, conversion to or continuation of SOFR Loans (to the extent of the affected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84505"/>
                <wp:effectExtent l="0" t="0" r="0" b="0"/>
                <wp:wrapNone/>
                <wp:docPr id="97" name="Frame9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SOFR Loans or the affected Interest Periods) or, failing that, the Borrowers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Borrowers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Benchmark Replacement Settings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 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on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serif" w:hAnsi="Times New Roman;serif"/>
          <w:b w:val="false"/>
          <w:color w:val="000000"/>
          <w:sz w:val="22"/>
          <w:u w:val="single"/>
        </w:rPr>
        <w:t>Section 3.03(b)(i)</w:t>
      </w:r>
      <w:r>
        <w:rPr>
          <w:color w:val="000000"/>
        </w:rPr>
        <w:t xml:space="preserve"> </w:t>
      </w:r>
      <w:r>
        <w:rPr>
          <w:rFonts w:ascii="Times New Roman;serif" w:hAnsi="Times New Roman;serif"/>
          <w:b w:val="false"/>
          <w:color w:val="000000"/>
          <w:sz w:val="22"/>
        </w:rPr>
        <w:t xml:space="preserve">will occur prior to the applicable Benchmark Transition Start Date. </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Benchmark Replacement Conforming Changes</w:t>
      </w:r>
      <w:r>
        <w:rPr>
          <w:rFonts w:ascii="Times New Roman;serif" w:hAnsi="Times New Roman;serif"/>
          <w:b w:val="false"/>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xml:space="preserve">.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promptly notify the Company of (x) the removal or reinstatement of any tenor of a Benchmark pursuant to </w:t>
      </w:r>
      <w:r>
        <w:rPr>
          <w:rFonts w:ascii="Times New Roman;serif" w:hAnsi="Times New Roman;serif"/>
          <w:b w:val="false"/>
          <w:color w:val="000000"/>
          <w:sz w:val="22"/>
          <w:u w:val="single"/>
        </w:rPr>
        <w:t>Section 3.03(b)(iv)</w:t>
      </w:r>
      <w:r>
        <w:rPr>
          <w:color w:val="000000"/>
        </w:rPr>
        <w:t xml:space="preserve"> </w:t>
      </w:r>
      <w:r>
        <w:rPr>
          <w:rFonts w:ascii="Times New Roman;serif" w:hAnsi="Times New Roman;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3.03(b)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84505"/>
                <wp:effectExtent l="0" t="0" r="0" b="0"/>
                <wp:wrapNone/>
                <wp:docPr id="98" name="Frame9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Upon the Company’s receipt of notice of the commencement of a Benchmark Unavailability Period, (A) the Borrowers may revoke any pending request for a borrowing of, conversion to or continuation of SOFR Loans to be made, converted or continued during any Benchmark Unavailability Period and, failing that, the Borrowers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3.04    </w:t>
      </w:r>
      <w:r>
        <w:rPr>
          <w:rFonts w:ascii="Times New Roman;serif" w:hAnsi="Times New Roman;serif"/>
          <w:b/>
          <w:color w:val="000000"/>
          <w:sz w:val="22"/>
          <w:u w:val="single"/>
        </w:rPr>
        <w:t>Increased Cost and Reduced Return; Capital Adequacy; Reserves on SOFR Loans</w:t>
      </w:r>
      <w:r>
        <w:rPr>
          <w:rFonts w:ascii="Times New Roman;serif" w:hAnsi="Times New Roman;serif"/>
          <w:b w:val="false"/>
          <w:color w:val="000000"/>
          <w:sz w:val="22"/>
        </w:rPr>
        <w:t xml:space="preserve">. (a) 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Loans or (as the case may be) issuing or participating in Letters of Credit, or a reduction in the amount received or receivable by such Lender in connection with any of the foregoing (including any Taxes (other than (i) Indemnified Taxes or (ii) Excluded Taxes) on its loans, loan principal, letters of credit, commitments, or other obligations, or its deposits, reserves, other liabilities or capital attributable thereto and excluding for purposes of this </w:t>
      </w:r>
      <w:r>
        <w:rPr>
          <w:rFonts w:ascii="Times New Roman;serif" w:hAnsi="Times New Roman;serif"/>
          <w:b w:val="false"/>
          <w:color w:val="000000"/>
          <w:sz w:val="22"/>
          <w:u w:val="single"/>
        </w:rPr>
        <w:t>Section 3.04(a)</w:t>
      </w:r>
      <w:r>
        <w:rPr>
          <w:color w:val="000000"/>
        </w:rPr>
        <w:t xml:space="preserve"> </w:t>
      </w:r>
      <w:r>
        <w:rPr>
          <w:rFonts w:ascii="Times New Roman;serif" w:hAnsi="Times New Roman;serif"/>
          <w:b w:val="false"/>
          <w:color w:val="000000"/>
          <w:sz w:val="22"/>
        </w:rPr>
        <w:t xml:space="preserve">any such increased costs or reduction in amount resulting from reserve requirements contemplated by </w:t>
      </w:r>
      <w:r>
        <w:rPr>
          <w:rFonts w:ascii="Times New Roman;serif" w:hAnsi="Times New Roman;serif"/>
          <w:b w:val="false"/>
          <w:color w:val="000000"/>
          <w:sz w:val="22"/>
          <w:u w:val="single"/>
        </w:rPr>
        <w:t>Section 3.04(c)</w:t>
      </w:r>
      <w:r>
        <w:rPr>
          <w:rFonts w:ascii="Times New Roman;serif" w:hAnsi="Times New Roman;serif"/>
          <w:b w:val="false"/>
          <w:color w:val="000000"/>
          <w:sz w:val="22"/>
        </w:rPr>
        <w:t xml:space="preserve">), then from time to time within fifteen (15) days after demand by such Lender setting forth in reasonable detail such increased costs (with a copy of such demand to the Administrative Agent given in accordance with </w:t>
      </w:r>
      <w:r>
        <w:rPr>
          <w:rFonts w:ascii="Times New Roman;serif" w:hAnsi="Times New Roman;serif"/>
          <w:b w:val="false"/>
          <w:color w:val="000000"/>
          <w:sz w:val="22"/>
          <w:u w:val="single"/>
        </w:rPr>
        <w:t>Section 3.06</w:t>
      </w:r>
      <w:r>
        <w:rPr>
          <w:rFonts w:ascii="Times New Roman;serif" w:hAnsi="Times New Roman;serif"/>
          <w:b w:val="false"/>
          <w:color w:val="000000"/>
          <w:sz w:val="22"/>
        </w:rPr>
        <w:t>), the Borrowers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after the Closing Date, regardless of the date enacted, adopted or issued.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(b)If any Lender determines that the introduction of any Law regarding capital adequacy or liquidity requirements or any change therein or in the interpretation thereof, in each case after the Closing Date,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84505"/>
                <wp:effectExtent l="0" t="0" r="0" b="0"/>
                <wp:wrapNone/>
                <wp:docPr id="99" name="Frame9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calculation of such reduced rate of return (with a copy of such demand to the Administrative Agent given in accordance with </w:t>
      </w:r>
      <w:r>
        <w:rPr>
          <w:rFonts w:ascii="Times New Roman;serif" w:hAnsi="Times New Roman;serif"/>
          <w:b w:val="false"/>
          <w:color w:val="000000"/>
          <w:sz w:val="22"/>
          <w:u w:val="single"/>
        </w:rPr>
        <w:t>Section 3.06</w:t>
      </w:r>
      <w:r>
        <w:rPr>
          <w:rFonts w:ascii="Times New Roman;serif" w:hAnsi="Times New Roman;serif"/>
          <w:b w:val="false"/>
          <w:color w:val="000000"/>
          <w:sz w:val="22"/>
        </w:rPr>
        <w:t>), the Borrowers shall pay to such Lender such additional amounts as will compensate such Lender for such reduction within fifteen (15) days after receipt of such demand.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(c)The Borrowers shall pay to each Lender, (i) as long as such Lender shall be required to maintain reserves with respect to liabilities or assets consisting of or including SOFR funds or deposits, additional interest on the unpaid principal amount of each SOFR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SOFR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the Borrowers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(d)Failure or delay on the part of any Lender to demand compensation pursuant to this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shall not constitute a waiver of such Lender’s right to demand such compensation except to the extent set forth in the first sentence of </w:t>
      </w:r>
      <w:r>
        <w:rPr>
          <w:rFonts w:ascii="Times New Roman;serif" w:hAnsi="Times New Roman;serif"/>
          <w:b w:val="false"/>
          <w:color w:val="000000"/>
          <w:sz w:val="22"/>
          <w:u w:val="single"/>
        </w:rPr>
        <w:t>Section 3.06(b)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(e)If any Lender requests compensation under this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then such Lender will, if requested by any Borrower, use commercially reasonable efforts to designate another Lending Office for any Loan or Letter of Credit affected by such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efforts are made on terms that, in the reasonable judgment of such Lender, cause such Lender and its Lending Office(s) to suffer no material economic, legal or regulatory disadvantage,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3.04(e)</w:t>
      </w:r>
      <w:r>
        <w:rPr>
          <w:color w:val="000000"/>
        </w:rPr>
        <w:t xml:space="preserve"> </w:t>
      </w:r>
      <w:r>
        <w:rPr>
          <w:rFonts w:ascii="Times New Roman;serif" w:hAnsi="Times New Roman;serif"/>
          <w:b w:val="false"/>
          <w:color w:val="000000"/>
          <w:sz w:val="22"/>
        </w:rPr>
        <w:t xml:space="preserve">shall affect or postpone any of the Obligations of the Borrowers or the rights of such Lender pursuant to </w:t>
      </w:r>
      <w:r>
        <w:rPr>
          <w:rFonts w:ascii="Times New Roman;serif" w:hAnsi="Times New Roman;serif"/>
          <w:b w:val="false"/>
          <w:color w:val="000000"/>
          <w:sz w:val="22"/>
          <w:u w:val="single"/>
        </w:rPr>
        <w:t>Section 3.04(a)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3.05    </w:t>
      </w:r>
      <w:r>
        <w:rPr>
          <w:rFonts w:ascii="Times New Roman;serif" w:hAnsi="Times New Roman;serif"/>
          <w:b/>
          <w:color w:val="000000"/>
          <w:sz w:val="22"/>
          <w:u w:val="single"/>
        </w:rPr>
        <w:t>Funding Losses</w:t>
      </w:r>
      <w:r>
        <w:rPr>
          <w:rFonts w:ascii="Times New Roman;serif" w:hAnsi="Times New Roman;serif"/>
          <w:b w:val="false"/>
          <w:color w:val="000000"/>
          <w:sz w:val="22"/>
        </w:rPr>
        <w:t>. Upon written demand of any Lender (with a copy to the Administrative Agent) from time to time, which demand shall set forth in reasonable detail the basis for requesting such amount, the Borrowers shall promptly compensate such Lender for and hold such Lender harmless from any loss, cost or expense actually incurred by it as a result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(i)any continuation, conversion, payment or prepayment of any Loan other than a Base Rate Loan on a day other than the last day of the Interest Period for such Loan;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failure by any Borrower (for a reason other than the failure of such Lender to make a Loan) to prepay, borrow, continue or convert any Loan other than a Base Rate Loan on the date or in the amount notified by such Borrower;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loss or expense (excluding loss of anticipated profits) arising from the liquidation or reemployment of funds obtained by it to maintain such Loan or from fees payable to terminate the deposits from which such funds were obtained.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84505"/>
                <wp:effectExtent l="0" t="0" r="0" b="0"/>
                <wp:wrapNone/>
                <wp:docPr id="100" name="Frame9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3.06    </w:t>
      </w:r>
      <w:r>
        <w:rPr>
          <w:rFonts w:ascii="Times New Roman;serif" w:hAnsi="Times New Roman;serif"/>
          <w:b/>
          <w:color w:val="000000"/>
          <w:sz w:val="22"/>
          <w:u w:val="single"/>
        </w:rPr>
        <w:t>Matters Applicable to All Requests for Compensation</w:t>
      </w:r>
      <w:r>
        <w:rPr>
          <w:rFonts w:ascii="Times New Roman;serif" w:hAnsi="Times New Roman;serif"/>
          <w:b w:val="false"/>
          <w:color w:val="000000"/>
          <w:sz w:val="22"/>
        </w:rPr>
        <w:t xml:space="preserve">. (a) Any Agent or Lender claiming compensation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shall deliver a certificate to the Borrowers setting forth the additional amount or amounts to be paid to it hereunder which shall be conclusive in the absence of manifest error. In determining such amount, such Agent or such Lender may use any reasonable averaging and attribution methods.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(b)With respect to any Lender’s claim for compensation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the Borrowers shall not be required to compensate such Lender for any amount incurred more than one hundred and eighty (180) days prior to the date that such Lender notifies the Borrowers of the event that gives rise to such claim;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circumstance giving rise to such claim is retroactive, then such 180-day period referred to above shall be extended to include the period of retroactive effect thereof. If any Lender requests compensation by the Borrowers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the Company may, by notice to such Lender (with a copy to the Administrative Agent), suspend the obligation of such Lender to make or continue from one Interest Period to another SOFR Loans, or to convert Base Rate Loans into SOFR Loans, until the event or condition giving rise to such request ceases to be in effect (in which case the provisions of </w:t>
      </w:r>
      <w:r>
        <w:rPr>
          <w:rFonts w:ascii="Times New Roman;serif" w:hAnsi="Times New Roman;serif"/>
          <w:b w:val="false"/>
          <w:color w:val="000000"/>
          <w:sz w:val="22"/>
          <w:u w:val="single"/>
        </w:rPr>
        <w:t>Section 3.06(c)</w:t>
      </w:r>
      <w:r>
        <w:rPr>
          <w:color w:val="000000"/>
        </w:rPr>
        <w:t xml:space="preserve"> </w:t>
      </w:r>
      <w:r>
        <w:rPr>
          <w:rFonts w:ascii="Times New Roman;serif" w:hAnsi="Times New Roman;serif"/>
          <w:b w:val="false"/>
          <w:color w:val="000000"/>
          <w:sz w:val="22"/>
        </w:rPr>
        <w:t xml:space="preserve">shall be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suspension shall not affect the right of such Lender to receive the compensation so requested.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(c)If the obligation of any Lender to make or continue from one Interest Period to another any SOFR Loan, or to convert Base Rate Loans into SOFR Loans shall be suspended pursuant to </w:t>
      </w:r>
      <w:r>
        <w:rPr>
          <w:rFonts w:ascii="Times New Roman;serif" w:hAnsi="Times New Roman;serif"/>
          <w:b w:val="false"/>
          <w:color w:val="000000"/>
          <w:sz w:val="22"/>
          <w:u w:val="single"/>
        </w:rPr>
        <w:t>Section 3.06(b)</w:t>
      </w:r>
      <w:r>
        <w:rPr>
          <w:color w:val="000000"/>
        </w:rPr>
        <w:t xml:space="preserve"> </w:t>
      </w:r>
      <w:r>
        <w:rPr>
          <w:rFonts w:ascii="Times New Roman;serif" w:hAnsi="Times New Roman;serif"/>
          <w:b w:val="false"/>
          <w:color w:val="000000"/>
          <w:sz w:val="22"/>
        </w:rPr>
        <w:t xml:space="preserve">hereof, such Lender’s SOFR Loans shall be automatically converted into Base Rate Loans on the last day(s) of the then current Interest Period(s) for such SOFR Loans (or, in the case of an immediate conversion required by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on such earlier date as required by Law) and, unless and until such Lender gives notice as provided below that the circumstances specified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hereof that gave rise to such conversion no longer exist: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(i)to the extent that such Lender’s SOFR Loans have been so converted, all payments and prepayments of principal that would otherwise be applied to such Lender’s SOFR Loans shall be applied instead to its Base Rate Loans;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(ii)all Loans that would otherwise be made or continued from one Interest Period to another by such Lender as SOFR Loans shall be made or continued instead as Base Rate Loans, and all Base Rate Loans of such Lender that would otherwise be converted into SOFR Loans shall remain as Base Rate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(d)If any Lender gives notice to the Borrowers (with a copy to the Administrative Agent) that the circumstances specified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hereof that gave rise to the conversion of such Lender’s SOFR Loans pursuant to this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no longer exist (which such Lender agrees to do promptly upon such circumstances ceasing to exist) at a time when SOFR Loans made by other Lenders are outstanding, such Lender’s Base Rate Loans shall be automatically converted, on the first day(s) of the next succeeding Interest Period(s) for such outstanding SOFR Loans, to the extent necessary so that, after giving effect thereto, all Loans held by the Lenders holding SOFR Loans and by such Lender are held pro rata (as to principal amounts, interest rate basis, and Interest Periods) in accordance with their respective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3.07    </w:t>
      </w:r>
      <w:r>
        <w:rPr>
          <w:rFonts w:ascii="Times New Roman;serif" w:hAnsi="Times New Roman;serif"/>
          <w:b/>
          <w:color w:val="000000"/>
          <w:sz w:val="22"/>
          <w:u w:val="single"/>
        </w:rPr>
        <w:t>Replacement of Lenders under Certain Circumstances</w:t>
      </w:r>
      <w:r>
        <w:rPr>
          <w:rFonts w:ascii="Times New Roman;serif" w:hAnsi="Times New Roman;serif"/>
          <w:b w:val="false"/>
          <w:color w:val="000000"/>
          <w:sz w:val="22"/>
        </w:rPr>
        <w:t xml:space="preserve">. (a) If at any time (i) the Borrowers become obligated to pay additional amounts or indemnity payments described in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as a result of any condition described in such Sections or any Lender ceases to make SOFR Loans as a result of any condition described in </w:t>
      </w:r>
      <w:r>
        <w:rPr>
          <w:rFonts w:ascii="Times New Roman;serif" w:hAnsi="Times New Roman;serif"/>
          <w:b w:val="false"/>
          <w:color w:val="000000"/>
          <w:sz w:val="22"/>
          <w:u w:val="single"/>
        </w:rPr>
        <w:t>Section 3.02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(ii) any Lender becomes a Defaulting Lender or (iii) any Lender becomes a Non-Consenting Lender, then the Company may, on five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84505"/>
                <wp:effectExtent l="0" t="0" r="0" b="0"/>
                <wp:wrapNone/>
                <wp:docPr id="101" name="Frame10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(5) Business Days’ prior written notice to the Administrative Agent and such Lender, (x) replace such Lender by causing such Lender to (and such Lender shall be obligated to) assign pursuant to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 xml:space="preserve">(with the assignment fee to be paid by the Borrowers in such instance) all of its rights and obligations under this Agreement to one or more Eligible Assignees;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neither the Administrative Agent nor any Lender shall have any obligation to the Borrowers to find a replacement Lender or other such Person;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 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as the case may be, and (1) in the case of a Lender (other than an L/C Issuer), repay all Obligations of the Borrowers owing to such Lender relating to the Loans and participations held by such Lender as of such termination date and (2) in the case of an L/C Issuer, repay all Obligations of the Borrowers owing to such L/C Issuer relating to the Loans and participations held by the L/C Issuer as of such termination date and cancel or backstop on terms satisfactory to such L/C Issuer any Letters of Credit issued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 (i) or, with respect to a Class vote, clause (iii).</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(b)Any Lender being replaced pursuant to </w:t>
      </w:r>
      <w:r>
        <w:rPr>
          <w:rFonts w:ascii="Times New Roman;serif" w:hAnsi="Times New Roman;serif"/>
          <w:b w:val="false"/>
          <w:color w:val="000000"/>
          <w:sz w:val="22"/>
          <w:u w:val="single"/>
        </w:rPr>
        <w:t>Section 3.07(a)</w:t>
      </w:r>
      <w:r>
        <w:rPr>
          <w:color w:val="000000"/>
        </w:rPr>
        <w:t xml:space="preserve"> </w:t>
      </w:r>
      <w:r>
        <w:rPr>
          <w:rFonts w:ascii="Times New Roman;serif" w:hAnsi="Times New Roman;serif"/>
          <w:b w:val="false"/>
          <w:color w:val="000000"/>
          <w:sz w:val="22"/>
        </w:rPr>
        <w:t>above shall (i) execute and deliver an Assignment and Assumption Agreement with respect to such Lender’s Commitment and outstanding Loans and participations in L/C Obligations and Swing Line Loans, and (ii) deliver any Notes evidencing such Loans to the Borrowers or Administrative Agent. Pursuant to such Assignment and Assumption Agreement, (A) the assignee Lender shall acquire all or a portion, as the case may be, of the assigning Lender’s Commitment and outstanding Loans and participations in L/C Obligations and Swing Line Loans, (B) all obligations of the Borrowers owing to the assigning Lender relating to the Loans and participations so assigned shall be paid in full by the assignee Lender to such assigning Lender concurrently with such Assignment and Assumption Agreement and (C) upon such payment and, if so requested by the assignee Lender, delivery to the assignee Lender of the appropriate Note or Notes executed by each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Non-Consenting Lender or Defaulting Lender does not execute and deliver to the Administrative Agent a duly executed Assignment and Assumption Agreement reflecting such replacement within five (5) Business Days of the date on which the assignee Lender executes and delivers such Assignment and Assumption Agreement to such Non-Consenting Lender or Defaulting Lender, then such Non-Consenting Lender or Defaulting Lender shall be deemed to have executed and delivered such Assignment and Assumption Agreement without any action on the part of the Non-Consenting Lender or Defaulting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84505"/>
                <wp:effectExtent l="0" t="0" r="0" b="0"/>
                <wp:wrapNone/>
                <wp:docPr id="102" name="Frame10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 respect to each such outstanding Letter of Credit and the Lender that acts as the Administrative Agent may not be replaced hereunder except in accordance with the terms of </w:t>
      </w:r>
      <w:r>
        <w:rPr>
          <w:rFonts w:ascii="Times New Roman;serif" w:hAnsi="Times New Roman;serif"/>
          <w:b w:val="false"/>
          <w:color w:val="000000"/>
          <w:sz w:val="22"/>
          <w:u w:val="single"/>
        </w:rPr>
        <w:t>Section 9.09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(d)In the event that (i) any Borrower or the Administrative Agent has requested that the Lenders consent to a departure or waiver of any provisions of the Loan Documents or agree to any amendment thereto, (ii) the consent, waiver or amendment in question requires the agreement of all affected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or all the Lenders with respect to a certain Class of the Loans and (iii) the Required Lenders (or, in the case of a consent, waiver or amendment involving all affected Lenders of a certain Facility, the Required Facility Lenders) have agreed to such consent, waiver or amendment, then any Lender who does not agree to such consent, waiver or amendment shall be deemed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3.08    </w:t>
      </w:r>
      <w:r>
        <w:rPr>
          <w:rFonts w:ascii="Times New Roman;serif" w:hAnsi="Times New Roman;serif"/>
          <w:b/>
          <w:color w:val="000000"/>
          <w:sz w:val="22"/>
          <w:u w:val="single"/>
        </w:rPr>
        <w:t>Survival</w:t>
      </w:r>
      <w:r>
        <w:rPr>
          <w:rFonts w:ascii="Times New Roman;serif" w:hAnsi="Times New Roman;serif"/>
          <w:b w:val="false"/>
          <w:color w:val="000000"/>
          <w:sz w:val="22"/>
        </w:rPr>
        <w:t xml:space="preserve">. All of the Borrowers’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Commitments and repayment of all other Obligations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IV</w:t>
        <w:br/>
        <w:br/>
        <w:t>CONDITIONS PRECEDENT TO CREDIT EXTENSIONS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4.01    </w:t>
      </w:r>
      <w:r>
        <w:rPr>
          <w:rFonts w:ascii="Times New Roman;serif" w:hAnsi="Times New Roman;serif"/>
          <w:b/>
          <w:color w:val="000000"/>
          <w:sz w:val="22"/>
          <w:u w:val="single"/>
        </w:rPr>
        <w:t>Conditions of Initial Credit Extension</w:t>
      </w:r>
      <w:r>
        <w:rPr>
          <w:rFonts w:ascii="Times New Roman;serif" w:hAnsi="Times New Roman;serif"/>
          <w:b w:val="false"/>
          <w:color w:val="000000"/>
          <w:sz w:val="22"/>
        </w:rPr>
        <w:t xml:space="preserve">. The obligation of each Lender to close this Agreement and make its initial Credit Extension hereunder or participate in the initial Letters of Credit, if any, is subject to the satisfaction of each of the following conditions precedent: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Executed Loan Documents</w:t>
      </w:r>
      <w:r>
        <w:rPr>
          <w:rFonts w:ascii="Times New Roman;serif" w:hAnsi="Times New Roman;serif"/>
          <w:b w:val="false"/>
          <w:color w:val="000000"/>
          <w:sz w:val="22"/>
        </w:rPr>
        <w:t>. This Agreement, a Revolving Credit Note in favor of each Revolving Credit Lender requesting a Revolving Credit Note, a Swing Line Note in favor of the Swing Line Lender (in each case, if requested thereby), the Collateral Documents and the Guaranty, together with any other applicable Loan Documents, shall have been duly authorized, executed and delivered to the Administrative Agent by the parties thereto, shall be in full force and effect and no Default or Event of Default shall exist hereunder or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Closing Certificates; Etc</w:t>
      </w:r>
      <w:r>
        <w:rPr>
          <w:rFonts w:ascii="Times New Roman;serif" w:hAnsi="Times New Roman;serif"/>
          <w:b w:val="false"/>
          <w:color w:val="000000"/>
          <w:sz w:val="22"/>
        </w:rPr>
        <w:t>. The Administrative Agent shall have received each of the following in form and substance reasonably satisfactory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Officer’s Certificate</w:t>
      </w:r>
      <w:r>
        <w:rPr>
          <w:rFonts w:ascii="Times New Roman;serif" w:hAnsi="Times New Roman;serif"/>
          <w:b w:val="false"/>
          <w:color w:val="000000"/>
          <w:sz w:val="22"/>
        </w:rPr>
        <w:t xml:space="preserve">. A certificate from a Responsible Officer of the Company to the effect that (A) all representations and warranties of the Loan Parties contained in this Agreement and the other Loan Documents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representation and warranty that is qualified as to “materiality,” “Material Adverse Effect” or similar language shall be true and correct in all respects; (B) none of the Loan Parties is in violation of any of the covenants contained in this Agreement and the other Loan Documents; (C) after giving effect to the Transactions, no Default or Event of Default has occurred and is continuing; (D) since December 28, 2025, no event has occurred or condition arisen, either individually or in the aggregate, that has had or could reasonably be expected to have a Material Adverse Effect; and (E) each of the Loan Parties, as applicable, has satisfied each of the conditions set forth in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Certificate of Secretary of each Loan Party</w:t>
      </w:r>
      <w:r>
        <w:rPr>
          <w:rFonts w:ascii="Times New Roman;serif" w:hAnsi="Times New Roman;serif"/>
          <w:b w:val="false"/>
          <w:color w:val="000000"/>
          <w:sz w:val="22"/>
        </w:rPr>
        <w:t xml:space="preserve">. A certificate of a Responsible Officer of each Loan Party certifying as to the incumbency and genuineness of the signature of each officer of such Loan Party executing Loan Documents to which it is a party and certifying that attached thereto is a true, correct and complete copy of (A) the articles or certificate of incorporation or formation (or equivalent), as applicable,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84505"/>
                <wp:effectExtent l="0" t="0" r="0" b="0"/>
                <wp:wrapNone/>
                <wp:docPr id="103" name="Frame10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Loan Party and all amendments thereto, certified as of a recent date by the appropriate Governmental Authority in its jurisdiction of incorporation, organization or formation (or equivalent), as applicable, (B) the bylaws or other governing document of such Loan Party as in effect on the Closing Date, (C) resolutions duly adopted by the board of directors (or other governing body) of such Loan Party authorizing and approving the transactions contemplated hereunder and the execution, delivery and performance of this Agreement and the other Loan Documents to which it is a party, and (D) each certificate required to be delivered pursuant to </w:t>
      </w:r>
      <w:r>
        <w:rPr>
          <w:rFonts w:ascii="Times New Roman;serif" w:hAnsi="Times New Roman;serif"/>
          <w:b w:val="false"/>
          <w:color w:val="000000"/>
          <w:sz w:val="22"/>
          <w:u w:val="single"/>
        </w:rPr>
        <w:t>Section 4.01(b)(iii)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Certificates of Good Standing</w:t>
      </w:r>
      <w:r>
        <w:rPr>
          <w:rFonts w:ascii="Times New Roman;serif" w:hAnsi="Times New Roman;serif"/>
          <w:b w:val="false"/>
          <w:color w:val="000000"/>
          <w:sz w:val="22"/>
        </w:rPr>
        <w:t>. Certificates as of a recent date of the good standing of each Loan Party under the laws of its jurisdiction of incorporation, organization or formation (or equivalent), as applicable, and, to the extent requested by the Administrative Agent, each other jurisdiction where such Loan Party is qualified to do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Opinions of counsel to the Loan Parties addressed to the Administrative Agent and the Lenders with respect to the Loan Parties, the Loan Documents and such other matters as the Administrative Agent shall request (which such opinions shall expressly permit reliance by permitted successors and assigns of the Administrative Agent and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Filings and Recordings</w:t>
      </w:r>
      <w:r>
        <w:rPr>
          <w:rFonts w:ascii="Times New Roman;serif" w:hAnsi="Times New Roman;serif"/>
          <w:b w:val="false"/>
          <w:color w:val="000000"/>
          <w:sz w:val="22"/>
        </w:rPr>
        <w:t>.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Pledged Collateral</w:t>
      </w:r>
      <w:r>
        <w:rPr>
          <w:rFonts w:ascii="Times New Roman;serif" w:hAnsi="Times New Roman;serif"/>
          <w:b w:val="false"/>
          <w:color w:val="000000"/>
          <w:sz w:val="22"/>
        </w:rPr>
        <w:t>. The Administrative Agent shall have received (A) original stock certificates or other certificates evidencing the certificated Equity Interests pledged pursuant to the Collateral Documents, 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Lien Search</w:t>
      </w:r>
      <w:r>
        <w:rPr>
          <w:rFonts w:ascii="Times New Roman;serif" w:hAnsi="Times New Roman;serif"/>
          <w:b w:val="false"/>
          <w:color w:val="000000"/>
          <w:sz w:val="22"/>
        </w:rPr>
        <w:t>. The Administrative Agent shall have received the results of a Lien search (including a search as to intellectual property matters), in form and substance reasonably satisfactory thereto, made against the Loan Parties under the Uniform Commercial Code as in effect in each jurisdiction in which filings or recordations under the Uniform Commercial Code should be made to evidence or perfect security interests in all assets of such Loan Party, indicating among other things that the assets of each such Loan Party are free and clear of any Lien (except for Permitted Liens).</w:t>
      </w:r>
    </w:p>
    <w:p>
      <w:pPr>
        <w:pStyle w:val="TextBody"/>
        <w:bidi w:val="0"/>
        <w:spacing w:lineRule="auto" w:line="288"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Property and Liability Insurance</w:t>
      </w:r>
      <w:r>
        <w:rPr>
          <w:rFonts w:ascii="Times New Roman;serif" w:hAnsi="Times New Roman;serif"/>
          <w:b w:val="false"/>
          <w:color w:val="000000"/>
          <w:sz w:val="22"/>
        </w:rPr>
        <w:t xml:space="preserve">. The Administrative Agent shall have received, in each case in form and substance reasonably satisfactory to the Administrative Agent, evidence of property, business interruption and liability insurance covering each Loan Party, evidence of payment of all insurance premiums for the current policy year of each policy (with appropriate endorsements naming the Administrative Agent as lender’s loss payee (and mortgagee, as applicable) on all policies for property hazard insurance and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84505"/>
                <wp:effectExtent l="0" t="0" r="0" b="0"/>
                <wp:wrapNone/>
                <wp:docPr id="104" name="Frame10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additional insured on all policies for liability insurance), and if requested by the Administrative Agent, copies of such insurance policies.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The Administrative Agent shall have received security agreements duly executed by the applicable Loan Parties for all federally registered copyrights, copyright applications, patents, patent applications, trademarks and trademark applications included in the Collateral, in each case in proper form for filing with the U.S. Patent and Trademark Office or U.S. Copyright Office,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Other Collateral Documentation</w:t>
      </w:r>
      <w:r>
        <w:rPr>
          <w:rFonts w:ascii="Times New Roman;serif" w:hAnsi="Times New Roman;serif"/>
          <w:b w:val="false"/>
          <w:color w:val="000000"/>
          <w:sz w:val="22"/>
        </w:rPr>
        <w:t xml:space="preserve">. The Administrative Agent shall have received any documents reasonably requested thereby or as required by the terms of the Collateral Documents to evidence its security interest in the Collateral (including, without limitation, account control agreements for each deposit account and securities account included within the Collateral). </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Consents; Defaults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Governmental and Third Party Approvals</w:t>
      </w:r>
      <w:r>
        <w:rPr>
          <w:rFonts w:ascii="Times New Roman;serif" w:hAnsi="Times New Roman;serif"/>
          <w:b w:val="false"/>
          <w:color w:val="000000"/>
          <w:sz w:val="22"/>
        </w:rPr>
        <w:t>. The Loan Parties shall have received all material governmental, shareholder and third party consents and approvals necessary (or any other material consents as determined in the reasonable discretion of the Administrative Agent) in connection with the transactions contemplated by this Agreement and the other Loan Documents and all applicable waiting periods shall have expired without any action being taken by any Person that could reasonably be expected to restrain, prevent or impose any material adverse conditions on any of the Loan Parties or such other transactions or that could seek or threaten any of the foregoing, and no law or regulation shall be applicable which in the reasonable judgment of the Administrative Agent could reasonably be expected to have such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No Injunction, Etc</w:t>
      </w:r>
      <w:r>
        <w:rPr>
          <w:rFonts w:ascii="Times New Roman;serif" w:hAnsi="Times New Roman;serif"/>
          <w:b w:val="false"/>
          <w:color w:val="000000"/>
          <w:sz w:val="22"/>
        </w:rPr>
        <w:t>. No action, proceeding or investigation shall have been instituted, or to the knowledge of Company, threatened or proposed before any Governmental Authority to enjoin, restrain, or prohibit, or to obtain substantial damages in respect of, or which is related to or arises out of this Agreement or the other Loan Documents or the consummation of the transactions contemplated hereby or thereby, that could reasonably be expected to have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Financial Matters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Financial Projections</w:t>
      </w:r>
      <w:r>
        <w:rPr>
          <w:rFonts w:ascii="Times New Roman;serif" w:hAnsi="Times New Roman;serif"/>
          <w:b w:val="false"/>
          <w:color w:val="000000"/>
          <w:sz w:val="22"/>
        </w:rPr>
        <w:t>. The Administrative Agent shall have received pro forma consolidated financial statements for the Company and its Subsidiaries, and projections prepared by management of the Company, of balance sheets, income statements and cash flow statements on a quarterly basis for the first year following the Closing Date and on an annual basis for each year thereafter during the term of the Facilities, which shall not be inconsistent with any financial information or projections previously delivered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Solvency Certificate</w:t>
      </w:r>
      <w:r>
        <w:rPr>
          <w:rFonts w:ascii="Times New Roman;serif" w:hAnsi="Times New Roman;serif"/>
          <w:b w:val="false"/>
          <w:color w:val="000000"/>
          <w:sz w:val="22"/>
        </w:rPr>
        <w:t xml:space="preserve">. The Company shall have delivered to the Administrative Agent a certificate, in form and substance satisfactory to the Administrative Agent, and certified as accurate by the chief financial officer of the Company, that after giving effect to the Transactions, the Borrowers and the Guarantors (taken as a whole) are Solvent.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84505"/>
                <wp:effectExtent l="0" t="0" r="0" b="0"/>
                <wp:wrapNone/>
                <wp:docPr id="105" name="Frame10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Payment at Closing</w:t>
      </w:r>
      <w:r>
        <w:rPr>
          <w:rFonts w:ascii="Times New Roman;serif" w:hAnsi="Times New Roman;serif"/>
          <w:b w:val="false"/>
          <w:color w:val="000000"/>
          <w:sz w:val="22"/>
        </w:rPr>
        <w:t xml:space="preserve">. The Borrowers shall have paid or made arrangements to pay contemporaneously with closing (A) to the Administrative Agent, the Joint Lead Arrangers and the Lenders the fees set forth or referenced in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Notice of Account Designation</w:t>
      </w:r>
      <w:r>
        <w:rPr>
          <w:rFonts w:ascii="Times New Roman;serif" w:hAnsi="Times New Roman;serif"/>
          <w:b w:val="false"/>
          <w:color w:val="000000"/>
          <w:sz w:val="22"/>
        </w:rPr>
        <w:t>. The Administrative Agent shall have received a notice of account designation specifying the account or accounts to which the proceeds of any Loans made on or after the Closing Date are to be disbursed.</w:t>
      </w:r>
    </w:p>
    <w:p>
      <w:pPr>
        <w:pStyle w:val="TextBody"/>
        <w:bidi w:val="0"/>
        <w:spacing w:lineRule="auto" w:line="288" w:before="0" w:after="240"/>
        <w:ind w:left="0" w:right="0" w:firstLine="720"/>
        <w:jc w:val="left"/>
        <w:rPr/>
      </w:pPr>
      <w:r>
        <w:rPr>
          <w:rFonts w:ascii="Times New Roman;serif" w:hAnsi="Times New Roman;serif"/>
          <w:b w:val="false"/>
          <w:color w:val="000000"/>
          <w:sz w:val="22"/>
        </w:rPr>
        <w:t>(ii)</w:t>
      </w:r>
      <w:r>
        <w:rPr>
          <w:rFonts w:ascii="Times New Roman;serif" w:hAnsi="Times New Roman;serif"/>
          <w:b w:val="false"/>
          <w:color w:val="000000"/>
          <w:sz w:val="22"/>
          <w:u w:val="single"/>
        </w:rPr>
        <w:t>Existing Indebtedness</w:t>
      </w:r>
      <w:r>
        <w:rPr>
          <w:rFonts w:ascii="Times New Roman;serif" w:hAnsi="Times New Roman;serif"/>
          <w:b w:val="false"/>
          <w:color w:val="000000"/>
          <w:sz w:val="22"/>
        </w:rPr>
        <w:t xml:space="preserve">. All existing Indebtedness of the Company and its Subsidiaries (including Indebtedness under the Existing Credit Agreement but excluding Indebtedness permitted pursuant to </w:t>
      </w:r>
      <w:r>
        <w:rPr>
          <w:rFonts w:ascii="Times New Roman;serif" w:hAnsi="Times New Roman;serif"/>
          <w:b w:val="false"/>
          <w:color w:val="000000"/>
          <w:sz w:val="22"/>
          <w:u w:val="single"/>
        </w:rPr>
        <w:t>Section 7.03</w:t>
      </w:r>
      <w:r>
        <w:rPr>
          <w:rFonts w:ascii="Times New Roman;serif" w:hAnsi="Times New Roman;serif"/>
          <w:b w:val="false"/>
          <w:color w:val="000000"/>
          <w:sz w:val="22"/>
        </w:rPr>
        <w:t>) shall be refinanced.</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PATRIOT Act, etc</w:t>
      </w:r>
      <w:r>
        <w:rPr>
          <w:rFonts w:ascii="Times New Roman;serif" w:hAnsi="Times New Roman;serif"/>
          <w:b w:val="false"/>
          <w:color w:val="000000"/>
          <w:sz w:val="22"/>
        </w:rPr>
        <w:t>. Each Borrower and each of the Guarantors shall have provided to the Administrative Agent and the Lenders, at least five (5) Business Days prior to the Closing Date, the documentation and other information (including, without limitation, a Beneficial Ownership Certification in relation to it (or a certification that such Borrower qualifies for an express exclusion from the “legal entity customer” definition under the Beneficial Ownership Regulations)) requested at least ten (10) Business Days prior to the Closing Date by the Administrative Agent in order to comply with requirements of the Beneficial Ownership Regulations and any Anti-Money Laundering Laws, including, without limitation, the Act and any applicable “know your customer” rules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Other Documents</w:t>
      </w:r>
      <w:r>
        <w:rPr>
          <w:rFonts w:ascii="Times New Roman;serif" w:hAnsi="Times New Roman;serif"/>
          <w:b w:val="false"/>
          <w:color w:val="000000"/>
          <w:sz w:val="22"/>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4.02    </w:t>
      </w:r>
      <w:r>
        <w:rPr>
          <w:rFonts w:ascii="Times New Roman;serif" w:hAnsi="Times New Roman;serif"/>
          <w:b/>
          <w:color w:val="000000"/>
          <w:sz w:val="22"/>
          <w:u w:val="single"/>
        </w:rPr>
        <w:t>Conditions to All Credit Extensions</w:t>
      </w:r>
      <w:r>
        <w:rPr>
          <w:rFonts w:ascii="Times New Roman;serif" w:hAnsi="Times New Roman;serif"/>
          <w:b w:val="false"/>
          <w:color w:val="000000"/>
          <w:sz w:val="22"/>
        </w:rPr>
        <w:t xml:space="preserve">. The obligation of each Lender to honor any Request for Credit Extension (other than a Committed Loan Notice requesting only a conversion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84505"/>
                <wp:effectExtent l="0" t="0" r="0" b="0"/>
                <wp:wrapNone/>
                <wp:docPr id="106" name="Frame10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Loans to the other Type, or a continuation of SOFR Loans) is subject to the following conditions precedent, which in the case of an Incremental Term Loan to be used to finance a Limited Condition Acquisition, shall be subject to </w:t>
      </w:r>
      <w:r>
        <w:rPr>
          <w:rFonts w:ascii="Times New Roman;serif" w:hAnsi="Times New Roman;serif"/>
          <w:b w:val="false"/>
          <w:color w:val="000000"/>
          <w:sz w:val="22"/>
          <w:u w:val="single"/>
        </w:rPr>
        <w:t>Section 1.12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(a)The representations and warranties of each Borrower and each other Loan Party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and in any other Loan Document shall be true and correct in all material respects on and as of the date of such Credit Extension;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representation and warranty that is qualified as to “materiality,” “Material Adverse Effect” or similar language shall be true and correct in all respects on such respective dates.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(b)No Default shall exist, or would result from such proposed Credit Extension or from the application of the proceeds therefrom.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Administrative Agent and, if applicable, the relevant L/C Issuer or the Swing Line Lender shall have received a Request for Credit Extension in accordance with the requirements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Request for Credit Extension (other than a Committed Loan Notice requesting only a conversion of Loans to the other Type or a continuation of SOFR Loans) submitted by the Company shall be deemed to be a representation and warranty that the conditions specified in </w:t>
      </w:r>
      <w:r>
        <w:rPr>
          <w:rFonts w:ascii="Times New Roman;serif" w:hAnsi="Times New Roman;serif"/>
          <w:b w:val="false"/>
          <w:color w:val="000000"/>
          <w:sz w:val="22"/>
          <w:u w:val="single"/>
        </w:rPr>
        <w:t>Sections 4.02(a)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have been satisfied on and as of the date of the applicable Credit Extension.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w:t>
        <w:b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Borrower represents and warrants to the Agents and the Lenders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5.01    </w:t>
      </w:r>
      <w:r>
        <w:rPr>
          <w:rFonts w:ascii="Times New Roman;serif" w:hAnsi="Times New Roman;serif"/>
          <w:b/>
          <w:color w:val="000000"/>
          <w:sz w:val="22"/>
          <w:u w:val="single"/>
        </w:rPr>
        <w:t>Existence, Qualification and Power; Compliance with Laws</w:t>
      </w:r>
      <w:r>
        <w:rPr>
          <w:rFonts w:ascii="Times New Roman;serif" w:hAnsi="Times New Roman;serif"/>
          <w:b w:val="false"/>
          <w:color w:val="000000"/>
          <w:sz w:val="22"/>
        </w:rPr>
        <w:t>. Each Loan Party and each of its Subsidiaries (a) is a Person duly organized or formed, validly existing and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in good standing under the Laws of each jurisdiction where its ownership, lease or operation of properties or the conduct of its business requires such qualification, (d) is in compliance with all Laws, orders, writs, injunctions and orders and (e) has all requisite governmental licenses, authorizations, consents and approvals to operate its business as currently conducted; except in each case referred to in clause (c), (d) or (e) above, to the extent that failure to do so, either individually or in the aggregate, could not reasonably be expected to have a Material Adverse Effect. No Loan Party nor any Subsidiary thereof is an Affected Financial Institution or a Covered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5.02    </w:t>
      </w:r>
      <w:r>
        <w:rPr>
          <w:rFonts w:ascii="Times New Roman;serif" w:hAnsi="Times New Roman;serif"/>
          <w:b/>
          <w:color w:val="000000"/>
          <w:sz w:val="22"/>
          <w:u w:val="single"/>
        </w:rPr>
        <w:t>Authorization; No Contravention</w:t>
      </w:r>
      <w:r>
        <w:rPr>
          <w:rFonts w:ascii="Times New Roman;serif" w:hAnsi="Times New Roman;serif"/>
          <w:b w:val="false"/>
          <w:color w:val="000000"/>
          <w:sz w:val="22"/>
        </w:rPr>
        <w:t xml:space="preserve">. The execution, delivery and performance by each Loan Party of each Loan Document to which such Person is a party, and the consummation of the Transaction, are within such Loan Party’s corporate or other powers, have been duly authorized by all necessary corporate or other organizational action, and do not and will not (a) contravene the terms of any of such Person’s Organization Documents, (b) conflict with or result in any breach or contravention of, or the creation of any Lien under (other than as permitted by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or require any payment to be made under (i) (x) any Junior Financing Documentation and any other indenture, mortgage, deed of trust or loan agreement evidencing Indebtedness in an aggregate principal amount in excess of the Threshold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84505"/>
                <wp:effectExtent l="0" t="0" r="0" b="0"/>
                <wp:wrapNone/>
                <wp:docPr id="107" name="Frame10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(y) any Contractual Obligation to which such Person is a party or affecting such Person or the properties of such Person or any of its Subsidiaries or (ii) any material order, injunction, writ or decree of any Governmental Authority or any arbitral award to which such Person or its property is subject; or (c) violate any material Law; except with respect to any conflict, breach or contravention or payment (but not creation of Liens) referred to in clause (b)(i)(y) above, to the extent that such conflict, breach, contravention or payment, either individually or in the aggregate, could not reasonably be expected to have a Material Adverse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5.03    </w:t>
      </w:r>
      <w:r>
        <w:rPr>
          <w:rFonts w:ascii="Times New Roman;serif" w:hAnsi="Times New Roman;serif"/>
          <w:b/>
          <w:color w:val="000000"/>
          <w:sz w:val="22"/>
          <w:u w:val="single"/>
        </w:rPr>
        <w:t>Governmental Authorization; Other Consents</w:t>
      </w:r>
      <w:r>
        <w:rPr>
          <w:rFonts w:ascii="Times New Roman;serif" w:hAnsi="Times New Roman;serif"/>
          <w:b w:val="false"/>
          <w:color w:val="000000"/>
          <w:sz w:val="22"/>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either individually or in the aggregate, could not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5.04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Debtor Relief Laws, general principles of equity (whether considered in a proceeding in equity or law) and an implied covenant of good faith and fair dealing.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5.05    </w:t>
      </w:r>
      <w:r>
        <w:rPr>
          <w:rFonts w:ascii="Times New Roman;serif" w:hAnsi="Times New Roman;serif"/>
          <w:b/>
          <w:color w:val="000000"/>
          <w:sz w:val="22"/>
          <w:u w:val="single"/>
        </w:rPr>
        <w:t>Financial Statements; No Material Adverse Effect</w:t>
      </w:r>
      <w:r>
        <w:rPr>
          <w:rFonts w:ascii="Times New Roman;serif" w:hAnsi="Times New Roman;serif"/>
          <w:b w:val="false"/>
          <w:color w:val="000000"/>
          <w:sz w:val="22"/>
        </w:rPr>
        <w:t>. (a) The Audited Financial Statements and the Unaudited Financial Statements fairly present in all material respects the financial condition of the Company and its Subsidiaries as of the dates thereof and their results of operations for the period covered thereby in accordance with GAAP consistently applied throughout the periods covered thereby, except as otherwise expressly noted therein (subject, in the case of the Unaudited Financial Statements, to normal year-end audit adjustments and the absence of footnotes).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(b)Since December 28, 2025, there has been no event or circumstance, either individually or in the aggregate, that has had or could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forecasts of consolidated balance sheets, income statements and cash flow statements of the Company and its Subsidiaries for fiscal years 2026 through 2031, copies of which have been furnished to the Administrative Agent prior to the Closing Date in a form reasonably satisfactory to it,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(d)As of the Closing Date, neither any Borrower nor any Subsidiary has any Indebtedness or other obligations or liabilities, direct or contingent (other than (i) such liabilities as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84505"/>
                <wp:effectExtent l="0" t="0" r="0" b="0"/>
                <wp:wrapNone/>
                <wp:docPr id="108" name="Frame10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are set forth in the financial statements described in clause (a) of this </w:t>
      </w:r>
      <w:r>
        <w:rPr>
          <w:rFonts w:ascii="Times New Roman;serif" w:hAnsi="Times New Roman;serif"/>
          <w:b w:val="false"/>
          <w:color w:val="000000"/>
          <w:sz w:val="22"/>
          <w:u w:val="single"/>
        </w:rPr>
        <w:t>Section 5.05</w:t>
      </w:r>
      <w:r>
        <w:rPr>
          <w:rFonts w:ascii="Times New Roman;serif" w:hAnsi="Times New Roman;serif"/>
          <w:b w:val="false"/>
          <w:color w:val="000000"/>
          <w:sz w:val="22"/>
        </w:rPr>
        <w:t xml:space="preserve">, (ii) obligations arising under the Loan Documents or otherwise permitted under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and (iii) liabilities incurred in the ordinary course of business) that, either individually or in the aggregate, have had or could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5.06    </w:t>
      </w:r>
      <w:r>
        <w:rPr>
          <w:rFonts w:ascii="Times New Roman;serif" w:hAnsi="Times New Roman;serif"/>
          <w:b/>
          <w:color w:val="000000"/>
          <w:sz w:val="22"/>
          <w:u w:val="single"/>
        </w:rPr>
        <w:t>Litigation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5.06</w:t>
      </w:r>
      <w:r>
        <w:rPr>
          <w:rFonts w:ascii="Times New Roman;serif" w:hAnsi="Times New Roman;serif"/>
          <w:b w:val="false"/>
          <w:color w:val="000000"/>
          <w:sz w:val="22"/>
        </w:rPr>
        <w:t>, there are no actions, suits, proceedings, claims or disputes pending or, to the knowledge of any Borrower, threatened in writing or contemplated,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5.07    </w:t>
      </w:r>
      <w:r>
        <w:rPr>
          <w:rFonts w:ascii="Times New Roman;serif" w:hAnsi="Times New Roman;serif"/>
          <w:b/>
          <w:color w:val="000000"/>
          <w:sz w:val="22"/>
          <w:u w:val="single"/>
        </w:rPr>
        <w:t>No Default</w:t>
      </w:r>
      <w:r>
        <w:rPr>
          <w:rFonts w:ascii="Times New Roman;serif" w:hAnsi="Times New Roman;serif"/>
          <w:b w:val="false"/>
          <w:color w:val="000000"/>
          <w:sz w:val="22"/>
        </w:rPr>
        <w:t>. Neither any Borrower nor any Subsidiary is in default under or with respect to, or a party to, any Contractual Obligation that could, either individually or in the aggregate,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5.08    </w:t>
      </w:r>
      <w:r>
        <w:rPr>
          <w:rFonts w:ascii="Times New Roman;serif" w:hAnsi="Times New Roman;serif"/>
          <w:b/>
          <w:color w:val="000000"/>
          <w:sz w:val="22"/>
          <w:u w:val="single"/>
        </w:rPr>
        <w:t>Ownership of Property; Liens</w:t>
      </w:r>
      <w:r>
        <w:rPr>
          <w:rFonts w:ascii="Times New Roman;serif" w:hAnsi="Times New Roman;serif"/>
          <w:b w:val="false"/>
          <w:color w:val="000000"/>
          <w:sz w:val="22"/>
        </w:rPr>
        <w:t xml:space="preserve">. Each Borrower and each of its Subsidiaries has good record and marketable title in fee simple to, or valid leasehold interests in, or easements or other limited property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and except where the failure to have such title could not reasonably be expected to have, either individually or in the aggregate,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5.09    </w:t>
      </w:r>
      <w:r>
        <w:rPr>
          <w:rFonts w:ascii="Times New Roman;serif" w:hAnsi="Times New Roman;serif"/>
          <w:b/>
          <w:color w:val="000000"/>
          <w:sz w:val="22"/>
          <w:u w:val="single"/>
        </w:rPr>
        <w:t>Environmental Compliance</w:t>
      </w:r>
      <w:r>
        <w:rPr>
          <w:rFonts w:ascii="Times New Roman;serif" w:hAnsi="Times New Roman;serif"/>
          <w:b w:val="false"/>
          <w:color w:val="000000"/>
          <w:sz w:val="22"/>
        </w:rPr>
        <w:t>. (a) There are no claims, actions, suits, or proceedings alleging potential liability or responsibility for violation of, or otherwise relating to, any Environmental Law that could, either individually or in the aggregate,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(b)Except as could not reasonably be expected to have, either individually or in the aggregate, a Material Adverse Effect: (i) none of the properties currently or formerly owned, leased or operated by the Company or any of the Company’s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leased or operated by the Company or any of the Company’s Subsidiaries or, to its knowledge, on any property formerly owned or operated by the Company or any of the Company’s Subsidiaries; (iii) there is no asbestos or asbestos-containing material on any property currently owned or operated by the Company or any of the Company’s Subsidiaries; and (iv) Hazardous Materials have not been released, discharged or disposed of by any Person on any property currently or formerly owned, leased or operated by the Company or any of the Company’s Subsidiaries and Hazardous Materials have not otherwise been released, discharged or disposed of by the Company or any of the Company’s Subsidiaries at any other location.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properties owned, leased or operated by the Company or any of the Company’s Subsidiaries do not contain any Hazardous Materials in amounts or concentrations which (i) constitute, or constituted a violation of, (ii) require remedial action under, or (iii) could reasonably be expected to give rise to liability under, Environmental Laws, which violations, remedial actions and liabilities, either individually or in the aggregate, could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84505"/>
                <wp:effectExtent l="0" t="0" r="0" b="0"/>
                <wp:wrapNone/>
                <wp:docPr id="109" name="Frame10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(d)None of the Company or any of the Company’s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or assessment or remedial or response action that, either individually or in the aggregate, could not reasonably be expected to result in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(e)All Hazardous Materials generated, used, treated, handled or stored at, or transported to or from, any property currently or formerly owned or operated by the Company or any of the Company’s Subsidiaries have been disposed of in a manner not reasonably expected to result, either individually or in the aggregate, in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(f)Except as could not reasonably be expected to result, either individually or in the aggregate, in a Material Adverse Effect, none of the Company or any of the Company’s Subsidiaries has contractually assumed any liability or obligation under or relating to any Environmental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5.10    </w:t>
      </w:r>
      <w:r>
        <w:rPr>
          <w:rFonts w:ascii="Times New Roman;serif" w:hAnsi="Times New Roman;serif"/>
          <w:b/>
          <w:color w:val="000000"/>
          <w:sz w:val="22"/>
          <w:u w:val="single"/>
        </w:rPr>
        <w:t>Taxes</w:t>
      </w:r>
      <w:r>
        <w:rPr>
          <w:rFonts w:ascii="Times New Roman;serif" w:hAnsi="Times New Roman;serif"/>
          <w:b w:val="false"/>
          <w:color w:val="000000"/>
          <w:sz w:val="22"/>
        </w:rPr>
        <w:t>. Except as could not, either individually or in the aggregate, reasonably be expected to result in a Material Adverse Effect, each Borrower and each Borrower’s Subsidiaries have filed all Federal and other tax returns and reports required to be filed by them, and have paid all Federal and state and other taxes, assessments, fees and other governmental charges levied or imposed upon them or their properties, income or assets otherwise due and payable, except those (a) which are not overdue by more than thirty (30) days or (b) which are being contested in good faith by appropriate proceedings diligently conducted and for which adequate reserves have been provided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5.11    </w:t>
      </w:r>
      <w:r>
        <w:rPr>
          <w:rFonts w:ascii="Times New Roman;serif" w:hAnsi="Times New Roman;serif"/>
          <w:b/>
          <w:color w:val="000000"/>
          <w:sz w:val="22"/>
          <w:u w:val="single"/>
        </w:rPr>
        <w:t>ERISA Compliance</w:t>
      </w:r>
      <w:r>
        <w:rPr>
          <w:rFonts w:ascii="Times New Roman;serif" w:hAnsi="Times New Roman;serif"/>
          <w:b w:val="false"/>
          <w:color w:val="000000"/>
          <w:sz w:val="22"/>
        </w:rPr>
        <w:t>. (a) Except as could not, either individually or in the aggregate, reasonably be expected to result in a Material Adverse Effect, each Plan is in compliance in with the applicable provisions of ERISA, the Code and other Federal or state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 No ERISA Event has occurred during the five year period prior to the date on which this representation is made or deemed made with respect to any Pension Plan; (ii) neither any Loan Party nor any ERISA Affiliate has incurred, or reasonably expects to incur, any liability under Title IV of ERISA with respect to any Pension Plan (other than premiums due and not delinquent under Section 4007 of ERISA); (iii) neither any Loan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Loan Party nor any ERISA Affiliate has engaged in a transaction that could be subject to Sections 4069 or 4212(c) of ERISA, except, with respect to each of the foregoing clauses of this </w:t>
      </w:r>
      <w:r>
        <w:rPr>
          <w:rFonts w:ascii="Times New Roman;serif" w:hAnsi="Times New Roman;serif"/>
          <w:b w:val="false"/>
          <w:color w:val="000000"/>
          <w:sz w:val="22"/>
          <w:u w:val="single"/>
        </w:rPr>
        <w:t>Section 5.11(b)</w:t>
      </w:r>
      <w:r>
        <w:rPr>
          <w:rFonts w:ascii="Times New Roman;serif" w:hAnsi="Times New Roman;serif"/>
          <w:b w:val="false"/>
          <w:color w:val="000000"/>
          <w:sz w:val="22"/>
        </w:rPr>
        <w:t>, as could not reasonably be expected, either individually or in the aggregate, to result in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(c)There are no pending or, to the knowledge of any Loan Party, threatened claims, actions or lawsuits, or action by any Governmental Authority, with respect to any Plan that could reasonably be expected to have a Material Adverse Effect. To the knowledge of each Borrower, there has been no prohibited transaction or violation of any fiduciary duty under ERISA with respect to any Plan that has resulted or could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84505"/>
                <wp:effectExtent l="0" t="0" r="0" b="0"/>
                <wp:wrapNone/>
                <wp:docPr id="110" name="Frame10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(d)As of the Closing Date, each Borrower is not and will not be using “plan assets” (within the meaning of 29 CFR § 2510.3-101, as modified by Section 3(42) of ERISA) of one or more Benefit Plans in connection with the Loans, the Letters of Credit or the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5.12    </w:t>
      </w:r>
      <w:r>
        <w:rPr>
          <w:rFonts w:ascii="Times New Roman;serif" w:hAnsi="Times New Roman;serif"/>
          <w:b/>
          <w:color w:val="000000"/>
          <w:sz w:val="22"/>
          <w:u w:val="single"/>
        </w:rPr>
        <w:t>Subsidiaries; Equity Interests</w:t>
      </w:r>
      <w:r>
        <w:rPr>
          <w:rFonts w:ascii="Times New Roman;serif" w:hAnsi="Times New Roman;serif"/>
          <w:b w:val="false"/>
          <w:color w:val="000000"/>
          <w:sz w:val="22"/>
        </w:rPr>
        <w:t xml:space="preserve">. As of the Closing Date, (a) neither Borrower has any Subsidiaries other than those specifically disclosed in </w:t>
      </w:r>
      <w:r>
        <w:rPr>
          <w:rFonts w:ascii="Times New Roman;serif" w:hAnsi="Times New Roman;serif"/>
          <w:b w:val="false"/>
          <w:color w:val="000000"/>
          <w:sz w:val="22"/>
          <w:u w:val="single"/>
        </w:rPr>
        <w:t>Schedule 5.12</w:t>
      </w:r>
      <w:r>
        <w:rPr>
          <w:rFonts w:ascii="Times New Roman;serif" w:hAnsi="Times New Roman;serif"/>
          <w:b w:val="false"/>
          <w:color w:val="000000"/>
          <w:sz w:val="22"/>
        </w:rPr>
        <w:t xml:space="preserve">, (b) all of the outstanding Equity Interests in each Borrower and in the material Subsidiaries of each Borrower have been validly issued, are fully paid and nonassessable and (c) all Equity Interests owned by each Borrower and the Subsidiary Guarantors are (in each case) owned free and clear of all Liens except (i) those created under the Collateral Documents and (ii) any nonconsensual Lien that is permitted under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As of the Closing Date, </w:t>
      </w:r>
      <w:r>
        <w:rPr>
          <w:rFonts w:ascii="Times New Roman;serif" w:hAnsi="Times New Roman;serif"/>
          <w:b w:val="false"/>
          <w:color w:val="000000"/>
          <w:sz w:val="22"/>
          <w:u w:val="single"/>
        </w:rPr>
        <w:t>Schedule 5.12</w:t>
      </w:r>
      <w:r>
        <w:rPr>
          <w:color w:val="000000"/>
        </w:rPr>
        <w:t xml:space="preserve"> </w:t>
      </w:r>
      <w:r>
        <w:rPr>
          <w:rFonts w:ascii="Times New Roman;serif" w:hAnsi="Times New Roman;serif"/>
          <w:b w:val="false"/>
          <w:color w:val="000000"/>
          <w:sz w:val="22"/>
        </w:rPr>
        <w:t xml:space="preserve">(a) sets forth the name and jurisdiction of each Borrower and each Subsidiary of each Borrower, (b) sets forth the ownership interest of each Borrower and any other Subsidiary of any Borrower in each Borrower and in each Subsidiary of each Borrower (excluding any Restaurant LP set forth on </w:t>
      </w:r>
      <w:r>
        <w:rPr>
          <w:rFonts w:ascii="Times New Roman;serif" w:hAnsi="Times New Roman;serif"/>
          <w:b w:val="false"/>
          <w:color w:val="000000"/>
          <w:sz w:val="22"/>
          <w:u w:val="single"/>
        </w:rPr>
        <w:t>Schedule 1.01E</w:t>
      </w:r>
      <w:r>
        <w:rPr>
          <w:color w:val="000000"/>
        </w:rPr>
        <w:t xml:space="preserve"> </w:t>
      </w:r>
      <w:r>
        <w:rPr>
          <w:rFonts w:ascii="Times New Roman;serif" w:hAnsi="Times New Roman;serif"/>
          <w:b w:val="false"/>
          <w:color w:val="000000"/>
          <w:sz w:val="22"/>
        </w:rPr>
        <w:t>and any Employment Participation Subsidiary), including the percentage of such ownership and (c) identifies each Subsidiary of each Borrower, the Equity Interests of which are required to be pledged on the Closing Date pursuant to the Collateral and Guarantee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5.13    </w:t>
      </w:r>
      <w:r>
        <w:rPr>
          <w:rFonts w:ascii="Times New Roman;serif" w:hAnsi="Times New Roman;serif"/>
          <w:b/>
          <w:color w:val="000000"/>
          <w:sz w:val="22"/>
          <w:u w:val="single"/>
        </w:rPr>
        <w:t>Margin Regulations; Investment Company Act</w:t>
      </w:r>
      <w:r>
        <w:rPr>
          <w:rFonts w:ascii="Times New Roman;serif" w:hAnsi="Times New Roman;serif"/>
          <w:b w:val="false"/>
          <w:color w:val="000000"/>
          <w:sz w:val="22"/>
        </w:rPr>
        <w:t>. (a) No Borrower is engaged nor will engage, principally or as one of its important activities, in the business of purchasing or carrying Margin Stock, or extending credit for the purpose of purchasing or carrying Margin Stock, and no proceeds of any Borrowings or drawings under any Letter of Credit will be used for the purpose of purchasing or carrying Margin Stock or any other any purpose that violates Regulation U.</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(b)None of any Borrower, any Person Controlling any Borrower, or any Subsidiary is or is required to be registered as an “investment company” under the Investment Company Act of 1940.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5.14    </w:t>
      </w:r>
      <w:r>
        <w:rPr>
          <w:rFonts w:ascii="Times New Roman;serif" w:hAnsi="Times New Roman;serif"/>
          <w:b/>
          <w:color w:val="000000"/>
          <w:sz w:val="22"/>
          <w:u w:val="single"/>
        </w:rPr>
        <w:t>Disclosure</w:t>
      </w:r>
      <w:r>
        <w:rPr>
          <w:rFonts w:ascii="Times New Roman;serif" w:hAnsi="Times New Roman;serif"/>
          <w:b w:val="false"/>
          <w:color w:val="000000"/>
          <w:sz w:val="22"/>
        </w:rPr>
        <w:t xml:space="preserve">. No report, financial statement, certificate or other written information furnished by or on behalf of any Loan Party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and pro forma financial information, each Borrower represents only that such information was prepared in good faith based upon assumptions believed to be reasonable at the time of preparation; it being understood that such projections may vary from actual results and that such variances may be material. As of the Closing Date, all of the information included in the Beneficial Ownership Certification is true and 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5.15    </w:t>
      </w:r>
      <w:r>
        <w:rPr>
          <w:rFonts w:ascii="Times New Roman;serif" w:hAnsi="Times New Roman;serif"/>
          <w:b/>
          <w:color w:val="000000"/>
          <w:sz w:val="22"/>
          <w:u w:val="single"/>
        </w:rPr>
        <w:t>Intellectual Property; Licenses, Etc</w:t>
      </w:r>
      <w:r>
        <w:rPr>
          <w:rFonts w:ascii="Times New Roman;serif" w:hAnsi="Times New Roman;serif"/>
          <w:b w:val="false"/>
          <w:color w:val="000000"/>
          <w:sz w:val="22"/>
        </w:rPr>
        <w:t>. Each Borrower and each of its Subsidiaries own, license or possess the right to use, all of the trademarks, service marks, trade names, domain names, copyrights, patents, patent rights, licenses, technology, software, know-how, database rights, right of privacy and publicity, and all other intellectual property rights (collectively, “</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xml:space="preserve">) that are necessary for the operation of their respective businesses as currently conducted, and, without conflict with the rights of any Person, except to the extent such conflicts, either individually or in the aggregate, could not reasonably be expected to have a Material Adverse Effect. The operation of the respective businesses of any Borrower or any Subsidiary as currently conducted does not infringe upon, misuse, misappropriate or violate any rights held by any Person, except for such infringements, misuses, misappropriations or violations which could not, either individually or in the aggregate, reasonably be expected to have a Material Adverse Effect. No claim or litigation regarding any IP Rights is pending or threatened in writing against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84505"/>
                <wp:effectExtent l="0" t="0" r="0" b="0"/>
                <wp:wrapNone/>
                <wp:docPr id="111" name="Frame11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Borrower or any of its Subsidiaries, which, either individually or in the aggregate, could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5.16    </w:t>
      </w:r>
      <w:r>
        <w:rPr>
          <w:rFonts w:ascii="Times New Roman;serif" w:hAnsi="Times New Roman;serif"/>
          <w:b/>
          <w:color w:val="000000"/>
          <w:sz w:val="22"/>
          <w:u w:val="single"/>
        </w:rPr>
        <w:t>Solvency</w:t>
      </w:r>
      <w:r>
        <w:rPr>
          <w:rFonts w:ascii="Times New Roman;serif" w:hAnsi="Times New Roman;serif"/>
          <w:b w:val="false"/>
          <w:color w:val="000000"/>
          <w:sz w:val="22"/>
        </w:rPr>
        <w:t>. On the Closing Date after giving effect to the Transaction, the Loan Parties, on a consolidated basis, are Solvent.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5.17    </w:t>
      </w:r>
      <w:r>
        <w:rPr>
          <w:rFonts w:ascii="Times New Roman;serif" w:hAnsi="Times New Roman;serif"/>
          <w:b/>
          <w:color w:val="000000"/>
          <w:sz w:val="22"/>
          <w:u w:val="single"/>
        </w:rPr>
        <w:t>Subordination of Junior Financing</w:t>
      </w:r>
      <w:r>
        <w:rPr>
          <w:rFonts w:ascii="Times New Roman;serif" w:hAnsi="Times New Roman;serif"/>
          <w:b w:val="false"/>
          <w:color w:val="000000"/>
          <w:sz w:val="22"/>
        </w:rPr>
        <w:t>. The Obligations are “Senior Debt,” “Senior Indebtedness,” “Guarantor Senior Debt” or “Senior Secured Financing” (or any comparable term) under, and as defined in, any Junior Financing Documentation that is (or is required to be) subordinated to the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5.18    </w:t>
      </w:r>
      <w:r>
        <w:rPr>
          <w:rFonts w:ascii="Times New Roman;serif" w:hAnsi="Times New Roman;serif"/>
          <w:b/>
          <w:color w:val="000000"/>
          <w:sz w:val="22"/>
          <w:u w:val="single"/>
        </w:rPr>
        <w:t>Labor Matters</w:t>
      </w:r>
      <w:r>
        <w:rPr>
          <w:rFonts w:ascii="Times New Roman;serif" w:hAnsi="Times New Roman;serif"/>
          <w:b w:val="false"/>
          <w:color w:val="000000"/>
          <w:sz w:val="22"/>
        </w:rPr>
        <w:t>. Except as could not, either individually or in the aggregate, reasonably be expected to have a Material Adverse Effect: (a) there are no strikes or other labor disputes against the Company or any of the Company’s Subsidiaries pending or, to the knowledge of any Borrower, threatened; (b) hours worked by and payment made to employees of each of the Company or any of the Company’s Subsidiaries have not been in violation of the Fair Labor Standards Act or any other applicable Laws dealing with such matters; and (c) all payments due from the Company or any of the Company’s Subsidiaries on account of employee health and welfare insurance have been paid or accrued as a liability on the books of the relevant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5.19    </w:t>
      </w:r>
      <w:r>
        <w:rPr>
          <w:rFonts w:ascii="Times New Roman;serif" w:hAnsi="Times New Roman;serif"/>
          <w:b/>
          <w:color w:val="000000"/>
          <w:sz w:val="22"/>
          <w:u w:val="single"/>
        </w:rPr>
        <w:t>Perfection, Etc</w:t>
      </w:r>
      <w:r>
        <w:rPr>
          <w:rFonts w:ascii="Times New Roman;serif" w:hAnsi="Times New Roman;serif"/>
          <w:b w:val="false"/>
          <w:color w:val="000000"/>
          <w:sz w:val="22"/>
        </w:rPr>
        <w:t>. All filings and other actions necessary or desirable to perfect and protect the Lien in the Collateral created under the Collateral Documents (except for such actions that the Security Agreement specifically excepts the Borrowers from performing) have been or will, within the required time periods under the Collateral Documents, be duly made or taken or otherwise provided for and are (or so will be) in full force and effect, and the Collateral Documents create in favor of the Administrative Agent for the benefit of the Secured Parties a valid and, together with such filings and other actions, perfected first priority Lien in the Collateral to the extent required by the Collateral Documents, securing the payment of the Secured Obligations, subject only to Permitted Liens.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5.20    </w:t>
      </w:r>
      <w:r>
        <w:rPr>
          <w:rFonts w:ascii="Times New Roman;serif" w:hAnsi="Times New Roman;serif"/>
          <w:b/>
          <w:color w:val="000000"/>
          <w:sz w:val="22"/>
          <w:u w:val="single"/>
        </w:rPr>
        <w:t>Anti-Money Laundering Laws, Anti-Corruption Laws, Sanctions and Outbound Investment Rules</w:t>
      </w:r>
      <w:r>
        <w:rPr>
          <w:rFonts w:ascii="Times New Roman;serif" w:hAnsi="Times New Roman;serif"/>
          <w:b w:val="false"/>
          <w:color w:val="000000"/>
          <w:sz w:val="22"/>
        </w:rPr>
        <w:t>. (a) To the extent applicable, each of the Company and the Company’s Subsidiaries is in compliance, in all material respects, with (i) Sanctions, including the Trading with the Enemy Act, as amended, and each of the foreign assets control regulations of the United States Treasury Department (31 CFR Subtitle B, Chapter V, as amended) and any other enabling legislation or executive order relating thereto and (ii) Anti-Money Laundering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(b)(i) No part of the proceeds of the Loans (or any Letters of Credit) will be used directly or, to the knowledge of the Company and the Company’s Subsidiaries, indirectly, (A)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or (B) except as would not reasonably be expected to have a Material Adverse Effect, in violation of any other Anti-Corruption Laws and (ii) the Company and each of the Company’s Subsidiaries and, to the knowledge of the Company or any of the Company’s Subsidiaries, their respective directors, officers and employees, are currently in compliance with (A) the FCPA in all material respects and (B) except as would not reasonably be expected to have a Material Adverse Effect, any other Anti-Corruption 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(c)(i) None of the Company or any of the Company’s Subsidiaries will directly or, to the knowledge of the Company or any of the Company’s Subsidiaries, indirectly, use the proceeds of the Loans in violation of applicable Sanctions or otherwise knowingly make available such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84505"/>
                <wp:effectExtent l="0" t="0" r="0" b="0"/>
                <wp:wrapNone/>
                <wp:docPr id="112" name="Frame11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proceeds to any Person for the purpose of financing the activities of any Sanctioned Person, except to the extent licensed, exempted or otherwise approved by a competent governmental body responsible for enforcing such Sanctions, (ii) none of the Company or any of the Company’s Subsidiaries or to the knowledge of the Company or any of the Company’s Subsidiaries, their respective directors, officers or employees or, to the knowledge of any Borrower, any controlled Affiliate any Borrower or any of the Company’s Subsidiaries that will act in any capacity in connection with or benefit from any Facility, is a Sanctioned Person and (iii) none of the Company or any of the Company’s Subsidiaries or, to the knowledge of the Company or any of the Company’s Subsidiaries, their respective directors, officers and employees, are in violation of applicable Sanctions in any material respect.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(d)Neither the Company nor any of the Company’s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Company were a United States Person or (C)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0"/>
        <w:ind w:left="0" w:right="0" w:firstLine="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w:t>
        <w:br/>
        <w:br/>
        <w:t>AFFIRMATIVE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So long as any Lender shall have any Commitment hereunder, or any Loan or other Obligation hereunder (other than (i) contingent indemnification obligations as to which no claim has been asserted and (ii) Cash Management Obligations and Obligations under Secured Hedge Agreements) shall remain unpaid or unsatisfied, or any Letter of Credit shall remain outstanding (unless the Outstanding Amount of the L/C Obligations related thereto has been Cash Collateralized, back-stopped by a letter of credit reasonably satisfactory to the applicable L/C Issuer or deemed reissued under another agreement reasonably acceptable to the applicable L/C Issuer), each Borrower shall, and shall (except in the case of the covenants set forth in </w:t>
      </w:r>
      <w:r>
        <w:rPr>
          <w:rFonts w:ascii="Times New Roman;serif" w:hAnsi="Times New Roman;serif"/>
          <w:b w:val="false"/>
          <w:color w:val="000000"/>
          <w:sz w:val="22"/>
          <w:u w:val="single"/>
        </w:rPr>
        <w:t>Sections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6.03</w:t>
      </w:r>
      <w:r>
        <w:rPr>
          <w:rFonts w:ascii="Times New Roman;serif" w:hAnsi="Times New Roman;serif"/>
          <w:b w:val="false"/>
          <w:color w:val="000000"/>
          <w:sz w:val="22"/>
        </w:rPr>
        <w:t>) cause each Subsidiary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6.01    </w:t>
      </w:r>
      <w:r>
        <w:rPr>
          <w:rFonts w:ascii="Times New Roman;serif" w:hAnsi="Times New Roman;serif"/>
          <w:b/>
          <w:color w:val="000000"/>
          <w:sz w:val="22"/>
          <w:u w:val="single"/>
        </w:rPr>
        <w:t>Financial Statements</w:t>
      </w:r>
      <w:r>
        <w:rPr>
          <w:rFonts w:ascii="Times New Roman;serif" w:hAnsi="Times New Roman;serif"/>
          <w:b w:val="false"/>
          <w:color w:val="000000"/>
          <w:sz w:val="22"/>
        </w:rPr>
        <w:t>. Deliver to the Administrative Agent for prompt further distribution to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(a)As soon as available, but in any event within ninety (90) days after the end of each fiscal year of the Company beginning with the 2026 fiscal year, a consolidated balance sheet of the Company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PricewaterhouseCoopers LLP or any other independent registered public accounting firm of nationally recognized standing, which report and opinion (i) shall be prepared in accordance with Public Company Oversight Board (“</w:t>
      </w:r>
      <w:r>
        <w:rPr>
          <w:rFonts w:ascii="Times New Roman;serif" w:hAnsi="Times New Roman;serif"/>
          <w:b w:val="false"/>
          <w:color w:val="000000"/>
          <w:sz w:val="22"/>
          <w:u w:val="single"/>
        </w:rPr>
        <w:t>PCAOB</w:t>
      </w:r>
      <w:r>
        <w:rPr>
          <w:color w:val="000000"/>
        </w:rPr>
        <w:t>”</w:t>
      </w:r>
      <w:r>
        <w:rPr>
          <w:rFonts w:ascii="Times New Roman;serif" w:hAnsi="Times New Roman;serif"/>
          <w:b w:val="false"/>
          <w:color w:val="000000"/>
          <w:sz w:val="22"/>
        </w:rPr>
        <w:t>) or American Institute of Certified Public Accountants (“</w:t>
      </w:r>
      <w:r>
        <w:rPr>
          <w:rFonts w:ascii="Times New Roman;serif" w:hAnsi="Times New Roman;serif"/>
          <w:b w:val="false"/>
          <w:color w:val="000000"/>
          <w:sz w:val="22"/>
          <w:u w:val="single"/>
        </w:rPr>
        <w:t>AICPA</w:t>
      </w:r>
      <w:r>
        <w:rPr>
          <w:color w:val="000000"/>
        </w:rPr>
        <w:t>”</w:t>
      </w:r>
      <w:r>
        <w:rPr>
          <w:rFonts w:ascii="Times New Roman;serif" w:hAnsi="Times New Roman;serif"/>
          <w:b w:val="false"/>
          <w:color w:val="000000"/>
          <w:sz w:val="22"/>
        </w:rPr>
        <w:t>) auditing standards, as applicable, and (ii) shall not be subject to any “going concern” or like qualification or exception or any qualification or exception as to the scope of such audit (except as may be required as a result of (x) a prospective Event of Default with respect to the Financial Covenants or (y) the impending maturity of the Loans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84505"/>
                <wp:effectExtent l="0" t="0" r="0" b="0"/>
                <wp:wrapNone/>
                <wp:docPr id="113" name="Frame11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 soon as available, but in any event within forty-five (45) days after the end of each of the first three (3) fiscal quarters of each fiscal year of the Company, a consolidated balance sheet of the Company and its Subsidiaries as at the end of such fiscal quarter, and the related (x) consolidated statements of income or operations for such fiscal quarter and for the portion of the fiscal year then ended and (y)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Company as fairly presenting in all material respects the financial condition, results of operations, stockholders’ equity and cash flows of the Company and its Subsidiaries in accordance with GAAP, subject only to normal year-end audit adjustments and the absence of footnotes.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(c)As soon as available, and in any event no later than ninety (90) days after the end of each fiscal year of the Company, a detailed consolidated budget for the following fiscal year (including a projected consolidated balance sheet of the Company and its Subsidiaries as of the end of the following fiscal year, the related consolidated statements of projected cash flow and projected income and a summary of the material underlying assumptions applicable thereto) (collectively, the “</w:t>
      </w:r>
      <w:r>
        <w:rPr>
          <w:rFonts w:ascii="Times New Roman;serif" w:hAnsi="Times New Roman;serif"/>
          <w:b w:val="false"/>
          <w:color w:val="000000"/>
          <w:sz w:val="22"/>
          <w:u w:val="single"/>
        </w:rPr>
        <w:t>Projections</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Notwithstanding the foregoing, the obligations in paragraphs (a) and (b) 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may be satisfied with respect to financial information of the Company and its Subsidiaries by furnishing the Company’s Form 10-K or 10-Q, as applicable, filed with the SEC;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information is in lieu of information required to be provided under </w:t>
      </w:r>
      <w:r>
        <w:rPr>
          <w:rFonts w:ascii="Times New Roman;serif" w:hAnsi="Times New Roman;serif"/>
          <w:b w:val="false"/>
          <w:color w:val="000000"/>
          <w:sz w:val="22"/>
          <w:u w:val="single"/>
        </w:rPr>
        <w:t>Section 6.01(a)</w:t>
      </w:r>
      <w:r>
        <w:rPr>
          <w:rFonts w:ascii="Times New Roman;serif" w:hAnsi="Times New Roman;serif"/>
          <w:b w:val="false"/>
          <w:color w:val="000000"/>
          <w:sz w:val="22"/>
        </w:rPr>
        <w:t>, such materials are, to the extent applicable, accompanied by a report and opinion of PricewaterhouseCoopers LLP or any other independent registered public accounting firm of nationally recognized standing, which report and opinion (x) shall be prepared in accordance with PCAOB or AICPA auditing standards, as applicable, and (y) shall not be subject to any “going concern” or like qualification or exception or any qualification or exception as to the scope of such audit (except as may be required as a result of (x) a prospective Event of Default with respect to the Financial Covenants or (y) the impending maturity of the Loans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6.02    </w:t>
      </w:r>
      <w:r>
        <w:rPr>
          <w:rFonts w:ascii="Times New Roman;serif" w:hAnsi="Times New Roman;serif"/>
          <w:b/>
          <w:color w:val="000000"/>
          <w:sz w:val="22"/>
          <w:u w:val="single"/>
        </w:rPr>
        <w:t>Certificates; Other Information</w:t>
      </w:r>
      <w:r>
        <w:rPr>
          <w:rFonts w:ascii="Times New Roman;serif" w:hAnsi="Times New Roman;serif"/>
          <w:b w:val="false"/>
          <w:color w:val="000000"/>
          <w:sz w:val="22"/>
        </w:rPr>
        <w:t>. Deliver to the Administrative Agent for prompt further distribution to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(a)no later than five (5) days after the delivery of the financial statements referred to in </w:t>
      </w:r>
      <w:r>
        <w:rPr>
          <w:rFonts w:ascii="Times New Roman;serif" w:hAnsi="Times New Roman;serif"/>
          <w:b w:val="false"/>
          <w:color w:val="000000"/>
          <w:sz w:val="22"/>
          <w:u w:val="single"/>
        </w:rPr>
        <w:t>Section 6.01(a)</w:t>
      </w:r>
      <w:r>
        <w:rPr>
          <w:rFonts w:ascii="Times New Roman;serif" w:hAnsi="Times New Roman;serif"/>
          <w:b w:val="false"/>
          <w:color w:val="000000"/>
          <w:sz w:val="22"/>
        </w:rPr>
        <w:t xml:space="preserve">, a certificate of its independent registered public accounting firm certifying such financial statements and stating that in making the examination necessary therefor no knowledge was obtained of any Event of Default under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or, if any such Event of Default shall exist, stating the nature and status of such event;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(b)no later than five (5) days after the delivery of the financial statements referred to in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6.01(b)</w:t>
      </w:r>
      <w:r>
        <w:rPr>
          <w:rFonts w:ascii="Times New Roman;serif" w:hAnsi="Times New Roman;serif"/>
          <w:b w:val="false"/>
          <w:color w:val="000000"/>
          <w:sz w:val="22"/>
        </w:rPr>
        <w:t>, a duly completed Compliance Certificate signed by a Responsible Officer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(c)promptly after the same are publicly available, copies of all annual, regular, periodic and special reports and registration statements which the Company or OSI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84505"/>
                <wp:effectExtent l="0" t="0" r="0" b="0"/>
                <wp:wrapNone/>
                <wp:docPr id="114" name="Frame11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(d)promptly after the furnishing thereof, copies of any material requests or material notices received by any Loan Party (other than in the ordinary course of business) from, or material statements or material reports furnished to, any holder of debt securities of any Loan Party or of any of its Subsidiaries pursuant to the terms of any (i) Credit Agreement Refinancing Indebtedness, (ii) any Incremental Equivalent Debt, (iii) any unsecured Indebtedness, (iv) any Indebtedness that is secured on a junior basis to the Obligations or (v) any Junior Financing Documentation, in the case of preceding clauses (iii), (iv) and (v), in a principal amount greater than the Threshold Amount and (in each case) not otherwise required to be furnished to the Lenders pursuant to any other clause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(e)together with the delivery of each Compliance Certificate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solely with respect to financial statements delivered pursuant to </w:t>
      </w:r>
      <w:r>
        <w:rPr>
          <w:rFonts w:ascii="Times New Roman;serif" w:hAnsi="Times New Roman;serif"/>
          <w:b w:val="false"/>
          <w:color w:val="000000"/>
          <w:sz w:val="22"/>
          <w:u w:val="single"/>
        </w:rPr>
        <w:t>Section 6.01(a)</w:t>
      </w:r>
      <w:r>
        <w:rPr>
          <w:rFonts w:ascii="Times New Roman;serif" w:hAnsi="Times New Roman;serif"/>
          <w:b w:val="false"/>
          <w:color w:val="000000"/>
          <w:sz w:val="22"/>
        </w:rPr>
        <w:t xml:space="preserve">, (i) a report setting forth the information required by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of the Security Agreement or confirming that there has been no change in such information since the Closing Date (or, if later, the date of the last such report) and (ii) an updated list of each Subsidiary as of the date of delivery of such Compliance Certificate (or confirming that there has been no change in such information since the Closing Date or the date of the last such update);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(f)promptly, such additional information regarding the business, legal, financial or corporate affairs of any Loan Party or any Subsidiary, or compliance with the terms of the Loan Documents, as the Administrative Agent or any Lender through the Administrative Agent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6.02(c)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serif" w:hAnsi="Times New Roman;serif"/>
          <w:b w:val="false"/>
          <w:color w:val="000000"/>
          <w:sz w:val="22"/>
          <w:u w:val="single"/>
        </w:rPr>
        <w:t>Schedule 10.02</w:t>
      </w:r>
      <w:r>
        <w:rPr>
          <w:rFonts w:ascii="Times New Roman;serif" w:hAnsi="Times New Roman;serif"/>
          <w:b w:val="false"/>
          <w:color w:val="000000"/>
          <w:sz w:val="22"/>
        </w:rPr>
        <w:t xml:space="preserve">; or (ii) on which such documents are posted on the Company’s behalf on IntraLinks/IntraAgency or another relevant website, if any, to which each Lender and the Administrative Agent have access (whether a commercial, third-party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upon written request by the Administrative Agent, the Company shall deliver paper copies of such documents to the Administrative Agent for further distribution to each Lender until a written request to cease delivering paper copies is given by the Administrative Agent and (ii) the Company shall notify (which may be by facsimile or electronic mail) the Administrative Agent of the posting of any such documents and provide to the Administrative Agent by electronic mail electronic versions (</w:t>
      </w:r>
      <w:r>
        <w:rPr>
          <w:rFonts w:ascii="Times New Roman;serif" w:hAnsi="Times New Roman;serif"/>
          <w:b w:val="false"/>
          <w:color w:val="000000"/>
          <w:sz w:val="22"/>
          <w:u w:val="single"/>
        </w:rPr>
        <w:t>i.e.</w:t>
      </w:r>
      <w:r>
        <w:rPr>
          <w:rFonts w:ascii="Times New Roman;serif" w:hAnsi="Times New Roman;serif"/>
          <w:b w:val="false"/>
          <w:color w:val="000000"/>
          <w:sz w:val="22"/>
        </w:rPr>
        <w:t xml:space="preserve">, soft copies) of such documents. Notwithstanding anything contained herein, in every instance the Company shall be required to provide paper copies of the Compliance Certificates required by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to the Administrative Agent. Each Lender shall be solely responsible for timely accessing posted documents or requesting delivery of paper copies of such documents from the Administrative Agent and maintaining its copies of such documents. For purposes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paper copies shall include copies delivered by facsimile transmission or electronically (such as “tif”, “pdf” or similar file formats delivered by email).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6.03    </w:t>
      </w:r>
      <w:r>
        <w:rPr>
          <w:rFonts w:ascii="Times New Roman;serif" w:hAnsi="Times New Roman;serif"/>
          <w:b/>
          <w:color w:val="000000"/>
          <w:sz w:val="22"/>
          <w:u w:val="single"/>
        </w:rPr>
        <w:t>Notices</w:t>
      </w:r>
      <w:r>
        <w:rPr>
          <w:rFonts w:ascii="Times New Roman;serif" w:hAnsi="Times New Roman;serif"/>
          <w:b w:val="false"/>
          <w:color w:val="000000"/>
          <w:sz w:val="22"/>
        </w:rPr>
        <w:t>. Promptly after obtaining knowledge thereof, notify the Administrative Agent of (which shall promptly make such information available to the Lenders):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(a)the occurrence of any Default;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(b)the filing or commencement of, or any threat or notice of intention of any person to file or commence, any action, suit, litigation or proceeding, whether at law or in equity by or before any Governmental Authority against any Borrower or any of their respective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84505"/>
                <wp:effectExtent l="0" t="0" r="0" b="0"/>
                <wp:wrapNone/>
                <wp:docPr id="115" name="Frame11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the occurrence of any ERISA Event that, in each case, could reasonably be expected to result in a Material Adverse Effect;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(c)any event, condition, change, circumstance or matter that, either individually or in the aggregate, has resulted or could reasonably be expected to result in a Material Adverse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notice pursuant to this Section shall be accompanied by a written statement of a Responsible Officer of the Company (x) that such notice is being delivered pursuant to </w:t>
      </w:r>
      <w:r>
        <w:rPr>
          <w:rFonts w:ascii="Times New Roman;serif" w:hAnsi="Times New Roman;serif"/>
          <w:b w:val="false"/>
          <w:color w:val="000000"/>
          <w:sz w:val="22"/>
          <w:u w:val="single"/>
        </w:rPr>
        <w:t>Section 6.03(a)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(as applicable) and (y) setting forth details of the occurrence referred to therein and stating what action the Company has taken and proposes to take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6.04    </w:t>
      </w:r>
      <w:r>
        <w:rPr>
          <w:rFonts w:ascii="Times New Roman;serif" w:hAnsi="Times New Roman;serif"/>
          <w:b/>
          <w:color w:val="000000"/>
          <w:sz w:val="22"/>
          <w:u w:val="single"/>
        </w:rPr>
        <w:t>Payment of Taxes</w:t>
      </w:r>
      <w:r>
        <w:rPr>
          <w:rFonts w:ascii="Times New Roman;serif" w:hAnsi="Times New Roman;serif"/>
          <w:b w:val="false"/>
          <w:color w:val="000000"/>
          <w:sz w:val="22"/>
        </w:rPr>
        <w:t>. Pay, discharge or otherwise satisfy as the same shall become due and payable, all of its obligations and liabilities in respect of taxes, assessments and governmental charges or levies imposed upon it or upon its income or profits or in respect of its property, except in each case, to the extent the failure to pay or discharge the same, either individually or in the aggregate, could not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6.05    </w:t>
      </w:r>
      <w:r>
        <w:rPr>
          <w:rFonts w:ascii="Times New Roman;serif" w:hAnsi="Times New Roman;serif"/>
          <w:b/>
          <w:color w:val="000000"/>
          <w:sz w:val="22"/>
          <w:u w:val="single"/>
        </w:rPr>
        <w:t>Preservation of Existence, Etc</w:t>
      </w:r>
      <w:r>
        <w:rPr>
          <w:rFonts w:ascii="Times New Roman;serif" w:hAnsi="Times New Roman;serif"/>
          <w:b w:val="false"/>
          <w:color w:val="000000"/>
          <w:sz w:val="22"/>
        </w:rPr>
        <w:t xml:space="preserve">. (a) Preserve, renew and maintain in full force and effect its legal existence under the Laws of the jurisdiction of its organization except in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color w:val="000000"/>
        </w:rPr>
        <w:t xml:space="preserve"> </w:t>
      </w:r>
      <w:r>
        <w:rPr>
          <w:rFonts w:ascii="Times New Roman;serif" w:hAnsi="Times New Roman;serif"/>
          <w:b w:val="false"/>
          <w:color w:val="000000"/>
          <w:sz w:val="22"/>
        </w:rPr>
        <w:t xml:space="preserve">and (b) take all reasonable action to maintain all rights, privileges (including its good standing), permits, licenses and franchises necessary or desirable in the normal conduct of its business except (i) to the extent that failure to do so could not, either individually or in the aggregate, reasonably be expected to have a Material Adverse Effect or (ii) pursuant to a transaction permitted by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6.06    </w:t>
      </w:r>
      <w:r>
        <w:rPr>
          <w:rFonts w:ascii="Times New Roman;serif" w:hAnsi="Times New Roman;serif"/>
          <w:b/>
          <w:color w:val="000000"/>
          <w:sz w:val="22"/>
          <w:u w:val="single"/>
        </w:rPr>
        <w:t>Maintenance of Properties</w:t>
      </w:r>
      <w:r>
        <w:rPr>
          <w:rFonts w:ascii="Times New Roman;serif" w:hAnsi="Times New Roman;serif"/>
          <w:b w:val="false"/>
          <w:color w:val="000000"/>
          <w:sz w:val="22"/>
        </w:rPr>
        <w:t>. Except if the failure to do so could not, either individually or in the aggregate, reasonably be expected to have a Material Adverse Effect, (a) maintain, preserve and protect all of its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6.07    </w:t>
      </w:r>
      <w:r>
        <w:rPr>
          <w:rFonts w:ascii="Times New Roman;serif" w:hAnsi="Times New Roman;serif"/>
          <w:b/>
          <w:color w:val="000000"/>
          <w:sz w:val="22"/>
          <w:u w:val="single"/>
        </w:rPr>
        <w:t>Maintenance of Insurance</w:t>
      </w:r>
      <w:r>
        <w:rPr>
          <w:rFonts w:ascii="Times New Roman;serif" w:hAnsi="Times New Roman;serif"/>
          <w:b w:val="false"/>
          <w:color w:val="000000"/>
          <w:sz w:val="22"/>
        </w:rPr>
        <w:t>. (a)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Borrowers and their respective Subsidiaries or otherwise consistent with past practices) as are customarily carried under similar circumstances by such other Persons.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such insurance shall (i) provide that the insurer affording coverage will endeavor to mail 30 days written notice of cancellation of such insurance coverage to the Collateral Agent (in the case of property and liability insurance), (ii) name the Collateral Agent as mortgagee (in the case of property insurance) or additional insured on behalf of the Secured Parties (in the case of liability insurance) or lender’s loss payee (in the case of property insurance), as applicable and (iii) be reasonably satisfactory in all other respects to the Administrative Agent.</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(c)With respect to each Mortgaged Property, (i) obtain flood insurance in such total amount as the Administrative Agent or the Required Lenders may from time to time reasonably require, if at any time the area in which any improvements located on any Mortgaged Property is designated a “flood hazard area” in any Flood Insurance Rate Map published by the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84505"/>
                <wp:effectExtent l="0" t="0" r="0" b="0"/>
                <wp:wrapNone/>
                <wp:docPr id="116" name="Frame11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Emergency Management Agency (or any successor agency), and otherwise comply with The National Flood Insurance Reform Act of 1994, the National Flood Insurance Program as set forth in the Flood Disaster Protection Act of 1973, as amended from time to time, and the rules and regulations promulgated thereunder or as otherwise required by the Administrative Agent or any Lender, (ii) furnish to the Administrative Agent evidence of the renewal (and payment of renewal premiums therefor) of all such policies prior to the expiration or lapse thereof, and (iii) furnish to the Administrative Agent prompt written notice of any re-designation of any such Mortgaged Property into or out of a flood hazard area.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6.08    </w:t>
      </w:r>
      <w:r>
        <w:rPr>
          <w:rFonts w:ascii="Times New Roman;serif" w:hAnsi="Times New Roman;serif"/>
          <w:b/>
          <w:color w:val="000000"/>
          <w:sz w:val="22"/>
          <w:u w:val="single"/>
        </w:rPr>
        <w:t>Compliance with Laws</w:t>
      </w:r>
      <w:r>
        <w:rPr>
          <w:rFonts w:ascii="Times New Roman;serif" w:hAnsi="Times New Roman;serif"/>
          <w:b w:val="false"/>
          <w:color w:val="000000"/>
          <w:sz w:val="22"/>
        </w:rPr>
        <w:t>. Comply with the requirements of all Laws and all orders, writs, injunctions and decrees applicable to it or to its business or property, except if the failure to comply therewith could not, either individually or in the aggregate, reasonably be expected to have a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6.09    </w:t>
      </w:r>
      <w:r>
        <w:rPr>
          <w:rFonts w:ascii="Times New Roman;serif" w:hAnsi="Times New Roman;serif"/>
          <w:b/>
          <w:color w:val="000000"/>
          <w:sz w:val="22"/>
          <w:u w:val="single"/>
        </w:rPr>
        <w:t>Books and Records</w:t>
      </w:r>
      <w:r>
        <w:rPr>
          <w:rFonts w:ascii="Times New Roman;serif" w:hAnsi="Times New Roman;serif"/>
          <w:b w:val="false"/>
          <w:color w:val="000000"/>
          <w:sz w:val="22"/>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each Borrower or each Subsidiary,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6.10    </w:t>
      </w:r>
      <w:r>
        <w:rPr>
          <w:rFonts w:ascii="Times New Roman;serif" w:hAnsi="Times New Roman;serif"/>
          <w:b/>
          <w:color w:val="000000"/>
          <w:sz w:val="22"/>
          <w:u w:val="single"/>
        </w:rPr>
        <w:t>Inspection Rights</w:t>
      </w:r>
      <w:r>
        <w:rPr>
          <w:rFonts w:ascii="Times New Roman;serif" w:hAnsi="Times New Roman;serif"/>
          <w:b w:val="false"/>
          <w:color w:val="000000"/>
          <w:sz w:val="22"/>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independent public accountants’ customary policies and procedures), all at the reasonable expense of the Borrowers and at such reasonable times during normal business hours and as often as may be reasonably desired, upon reasonable advance notice to the Borrowers;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only the Administrative Agent on behalf of the Lenders may exercise rights of the Administrative Agent and the Lenders under this </w:t>
      </w:r>
      <w:r>
        <w:rPr>
          <w:rFonts w:ascii="Times New Roman;serif" w:hAnsi="Times New Roman;serif"/>
          <w:b w:val="false"/>
          <w:color w:val="000000"/>
          <w:sz w:val="22"/>
          <w:u w:val="single"/>
        </w:rPr>
        <w:t>Section 6.10</w:t>
      </w:r>
      <w:r>
        <w:rPr>
          <w:color w:val="000000"/>
        </w:rPr>
        <w:t xml:space="preserve"> </w:t>
      </w:r>
      <w:r>
        <w:rPr>
          <w:rFonts w:ascii="Times New Roman;serif" w:hAnsi="Times New Roman;serif"/>
          <w:b w:val="false"/>
          <w:color w:val="000000"/>
          <w:sz w:val="22"/>
        </w:rPr>
        <w:t xml:space="preserve">and the Administrative Agent shall not exercise such rights more often than two (2) times during any calendar year absent the existence of an Event of Default and only one (1) such time shall be at the Borrowers’ expense;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during the continuance of an Event of Default, the Administrative Agent (or any of its respective representatives or independent contractors) may do any of the foregoing at the expense of the Borrowers at any time during normal business hours and upon reasonable advance notice. The Administrative Agent shall give the Borrowers the opportunity to participate in any discussions with the Borrowers’ independent public accountants. Notwithstanding anything to the contrary in this </w:t>
      </w:r>
      <w:r>
        <w:rPr>
          <w:rFonts w:ascii="Times New Roman;serif" w:hAnsi="Times New Roman;serif"/>
          <w:b w:val="false"/>
          <w:color w:val="000000"/>
          <w:sz w:val="22"/>
          <w:u w:val="single"/>
        </w:rPr>
        <w:t>Section 6.10</w:t>
      </w:r>
      <w:r>
        <w:rPr>
          <w:rFonts w:ascii="Times New Roman;serif" w:hAnsi="Times New Roman;serif"/>
          <w:b w:val="false"/>
          <w:color w:val="000000"/>
          <w:sz w:val="22"/>
        </w:rPr>
        <w:t>, none of the Borrowers or any of their respective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Law or any binding agreement or (c) is subject to attorney-client or similar privilege or constitutes attorney work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6.11    </w:t>
      </w:r>
      <w:r>
        <w:rPr>
          <w:rFonts w:ascii="Times New Roman;serif" w:hAnsi="Times New Roman;serif"/>
          <w:b/>
          <w:color w:val="000000"/>
          <w:sz w:val="22"/>
          <w:u w:val="single"/>
        </w:rPr>
        <w:t>Covenant to Guarantee Obligations and Give Security</w:t>
      </w:r>
      <w:r>
        <w:rPr>
          <w:rFonts w:ascii="Times New Roman;serif" w:hAnsi="Times New Roman;serif"/>
          <w:b w:val="false"/>
          <w:color w:val="000000"/>
          <w:sz w:val="22"/>
        </w:rPr>
        <w:t>. At the Borrowers’ expense, take all action necessary or reasonably requested by the Administrative Agent to ensure that the Collateral and Guarantee Requirement continues to be satisfied, including:</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(a)upon the formation or acquisition (including by division) of any new direct or indirect Wholly Owned Domestic Subsidiary (in each case, other than an Excluded Subsidiary) by any Loan Party: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(i)within thirty (30) days after such formation or acquisition (including by division) or such longer period as the Administrative Agent may agree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84505"/>
                <wp:effectExtent l="0" t="0" r="0" b="0"/>
                <wp:wrapNone/>
                <wp:docPr id="117" name="Frame11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(A)cause each such Subsidiary that is required to become a Guarantor under the Collateral and Guarantee Requirement to furnish to the Administrative Agent a description of the Material Real Properties owned by such Subsidiary, in detail reasonably satisfactory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(B)cause (x) each such Subsidiary that is required to become a Guarantor pursuant to the Collateral and Guarantee Requirement to duly execute and deliver to the Administrative Agent or the Collateral Agent (as appropriate) Guaranty Supplements and Mortgages with respect to the Material Real Properties which are identified to the Administrative Agent pursuant to </w:t>
      </w:r>
      <w:r>
        <w:rPr>
          <w:rFonts w:ascii="Times New Roman;serif" w:hAnsi="Times New Roman;serif"/>
          <w:b w:val="false"/>
          <w:color w:val="000000"/>
          <w:sz w:val="22"/>
          <w:u w:val="single"/>
        </w:rPr>
        <w:t>Section 6.11(a)(i)(A)</w:t>
      </w:r>
      <w:r>
        <w:rPr>
          <w:rFonts w:ascii="Times New Roman;serif" w:hAnsi="Times New Roman;serif"/>
          <w:b w:val="false"/>
          <w:color w:val="000000"/>
          <w:sz w:val="22"/>
        </w:rPr>
        <w:t xml:space="preserve">, Security Agreement Supplements, a counterpart of the Intercompany Note and other security agreements and documents (including, with respect to such Mortgages, the documents listed in </w:t>
      </w:r>
      <w:r>
        <w:rPr>
          <w:rFonts w:ascii="Times New Roman;serif" w:hAnsi="Times New Roman;serif"/>
          <w:b w:val="false"/>
          <w:color w:val="000000"/>
          <w:sz w:val="22"/>
          <w:u w:val="single"/>
        </w:rPr>
        <w:t>Section 6.13(b)</w:t>
      </w:r>
      <w:r>
        <w:rPr>
          <w:rFonts w:ascii="Times New Roman;serif" w:hAnsi="Times New Roman;serif"/>
          <w:b w:val="false"/>
          <w:color w:val="000000"/>
          <w:sz w:val="22"/>
        </w:rPr>
        <w:t>), as reasonably requested by and in form and substance reasonably satisfactory to the Administrative Agent (consistent with the Mortgages, Security Agreement and other security agreements in effect on the Closing Date), in each case granting Liens required by the Collateral and Guarantee Requirement and (y) each direct or indirect parent of each such Subsidiary that is required to be a Guarantor pursuant to the Collateral and Guarantee Requirement to duly execute and deliver to the Administrative Agent such Security Agreement Supplements and other security agreements as reasonably requested by and in form and substance reasonably satisfactory to the Administrative Agent (consistent with the Security Agreements in effect on the Closing Date), in each case granting Liens required by the Collateral and Guarantee Requirement;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(C)(x) cause each such Subsidiary that is required to become a Guarantor pursuant to the Collateral and Guarantee Requirement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instruments evidencing the intercompany Indebtedness held by such Subsidiary and required to be pledged pursuant to the Collateral Documents, indorsed in blank to the Collateral Agent and (y) cause each direct or indirect parent of such Subsidiary that is (or is required to be) a Guarantor pursuant to the Collateral and Guarantee Requirement to deliver any and all certificates representing the outstanding Equity Interests (to the extent certificated) of such Subsidiary that are required to be pledged pursuant to the Collateral and Guarantee Requirement, accompanied by undated stock powers or other appropriate instruments of transfer executed in blank and instruments evidencing the intercompany Indebtedness issued by such Subsidiary and required to be pledged in accordance with the Collateral Documents, indorsed in blank to the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(D)take and cause such Subsidiary and each direct or indirect parent of such Subsidiary that is required to become a Guarantor pursuant to the Collateral and Guarantee Requirement to take whatever action (including the recording of Mortgages, the filing of Uniform Commercial Code financing statements and delivery of stock and membership interest certificates) may be necessary in the reasonable opinion of the Administrative Agent to vest in the Administrative Agent (or in any representative of the Administrative Agent designated by it) valid Liens required by the Collateral and Guarantee Requirement, enforceable against all third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84505"/>
                <wp:effectExtent l="0" t="0" r="0" b="0"/>
                <wp:wrapNone/>
                <wp:docPr id="118" name="Frame11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parties in accordance with their terms, subject to Debtor Relief Laws, general principles of equity (whether considered in a proceeding in equity or at law) and an applied covenant of good faith and fair dealing,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(ii)within thirty (30) days after the request therefor by the Administrative Agent, deliver to the Administrative Agent a signed copy of an opinion, addressed to the Administrative Agent and the other Secured Parties, of counsel for the Loan Parties reasonably acceptable to the Administrative Agent as to such matters set forth in this </w:t>
      </w:r>
      <w:r>
        <w:rPr>
          <w:rFonts w:ascii="Times New Roman;serif" w:hAnsi="Times New Roman;serif"/>
          <w:b w:val="false"/>
          <w:color w:val="000000"/>
          <w:sz w:val="22"/>
          <w:u w:val="single"/>
        </w:rPr>
        <w:t>Section 6.11(a)</w:t>
      </w:r>
      <w:r>
        <w:rPr>
          <w:color w:val="000000"/>
        </w:rPr>
        <w:t xml:space="preserve"> </w:t>
      </w:r>
      <w:r>
        <w:rPr>
          <w:rFonts w:ascii="Times New Roman;serif" w:hAnsi="Times New Roman;serif"/>
          <w:b w:val="false"/>
          <w:color w:val="000000"/>
          <w:sz w:val="22"/>
        </w:rPr>
        <w:t>as the Administrative Agent may reasonably request,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(iii)as promptly as practicable after the request therefor by the Administrative Agent, deliver to the Administrative Agent with respect to each parcel of Material Real Property that is owned by such Subsidiary, any existing title reports, surveys or environmental assessment reports.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(b)each Borrower shall obtain the security interests, Guarantees and related items required by the Collateral Documents on or prior to the Closing Date; and after the Closing Date, promptly following (x) the acquisition of any material personal property by any Loan Party or (y) the acquisition of any owned Material Real Property by any Loan Party, such personal property or owned Material Real Property shall not already be subject to a perfected Lien pursuant to the Collateral and Guarantee Requirement, the Company shall give notice thereof to the Administrative Agent and promptly thereafter shall cause such assets to be subjected to a Lien to the extent required by the Collateral and Guarantee Requirement and will take, or cause the relevant Loan Party to take, such actions as shall be necessary or reasonably requested by the Administrative Agent to grant and perfect or record such Lien, including, as applicable, the actions referred to in </w:t>
      </w:r>
      <w:r>
        <w:rPr>
          <w:rFonts w:ascii="Times New Roman;serif" w:hAnsi="Times New Roman;serif"/>
          <w:b w:val="false"/>
          <w:color w:val="000000"/>
          <w:sz w:val="22"/>
          <w:u w:val="single"/>
        </w:rPr>
        <w:t>Section 6.13(b)</w:t>
      </w:r>
      <w:r>
        <w:rPr>
          <w:color w:val="000000"/>
        </w:rPr>
        <w:t xml:space="preserve"> </w:t>
      </w:r>
      <w:r>
        <w:rPr>
          <w:rFonts w:ascii="Times New Roman;serif" w:hAnsi="Times New Roman;serif"/>
          <w:b w:val="false"/>
          <w:color w:val="000000"/>
          <w:sz w:val="22"/>
        </w:rPr>
        <w:t>with respect to real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6.12    </w:t>
      </w:r>
      <w:r>
        <w:rPr>
          <w:rFonts w:ascii="Times New Roman;serif" w:hAnsi="Times New Roman;serif"/>
          <w:b/>
          <w:color w:val="000000"/>
          <w:sz w:val="22"/>
          <w:u w:val="single"/>
        </w:rPr>
        <w:t>Compliance with Environmental Laws</w:t>
      </w:r>
      <w:r>
        <w:rPr>
          <w:rFonts w:ascii="Times New Roman;serif" w:hAnsi="Times New Roman;serif"/>
          <w:b w:val="false"/>
          <w:color w:val="000000"/>
          <w:sz w:val="22"/>
        </w:rPr>
        <w:t>. Except, in each case, to the extent that the failure to do so could not, either individually or in the aggregate, reasonably be expected to have a Material Adverse Effect: comply, and take all reasonable actions to cause all lessees and other Persons operating or occupying its properties to comply with all applicable Environmental Laws and Environmental Permits; obtain and renew all Environmental Permits necessary for its operations and properties; and, in each case to the extent required by Environmental Laws, conduct any investigation, study, sampling and testing, and undertake any cleanup, removal, remedial or other action necessary to remove and clean up all Hazardous Materials from any of its properties, in accordance with the requirements of all Environmental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6.13    </w:t>
      </w:r>
      <w:r>
        <w:rPr>
          <w:rFonts w:ascii="Times New Roman;serif" w:hAnsi="Times New Roman;serif"/>
          <w:b/>
          <w:color w:val="000000"/>
          <w:sz w:val="22"/>
          <w:u w:val="single"/>
        </w:rPr>
        <w:t>Further Assurances</w:t>
      </w:r>
      <w:r>
        <w:rPr>
          <w:rFonts w:ascii="Times New Roman;serif" w:hAnsi="Times New Roman;serif"/>
          <w:b w:val="false"/>
          <w:color w:val="000000"/>
          <w:sz w:val="22"/>
        </w:rPr>
        <w:t xml:space="preserve">. (a)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the Collateral Documents (subject to the limitations set forth therein and in the definition of Collateral and Guarantee Requirement).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(b)In the case of any Material Real Property referred to in </w:t>
      </w:r>
      <w:r>
        <w:rPr>
          <w:rFonts w:ascii="Times New Roman;serif" w:hAnsi="Times New Roman;serif"/>
          <w:b w:val="false"/>
          <w:color w:val="000000"/>
          <w:sz w:val="22"/>
          <w:u w:val="single"/>
        </w:rPr>
        <w:t>Section 6.11(a)(i)(A)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6.11(b)(y)</w:t>
      </w:r>
      <w:r>
        <w:rPr>
          <w:rFonts w:ascii="Times New Roman;serif" w:hAnsi="Times New Roman;serif"/>
          <w:b w:val="false"/>
          <w:color w:val="000000"/>
          <w:sz w:val="22"/>
        </w:rPr>
        <w:t xml:space="preserve">, the Company shall provide the Administrative Agent with (i) written notice at least forty-five (45) days prior to the pledge of such Material Real Property as Collateral (and the Administrative Agent shall promptly provide notice to the Lenders after receipt of such notice from the Company) and (ii) Mortgages with respect to such owned Material Real Property within ninety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484505"/>
                <wp:effectExtent l="0" t="0" r="0" b="0"/>
                <wp:wrapNone/>
                <wp:docPr id="119" name="Frame11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(90) days of the acquisition thereof (as such date may be extended by the Administrative Agent) together with: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(A)evidence that counterparts of the Mortgages have been duly executed, acknowledged and delivered and are in form suitable for filing or recording in all filing or recording offices that the Administrative Agent may deem reasonably necessary or desirable in order to create a valid and subsisting perfected Lien on the property and/or rights described therein in favor of the Administrative Agent or the Collateral Agent (as appropriate) for the benefit of the Secured Parties and that all filing and recording taxes and fees have been paid or otherwise provided for in a manner reasonably satisfactory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(B)fully paid American Land Title Association Lender’s Extended Coverage title insurance policies or the equivalent or other form available in each applicable jurisdiction (the “</w:t>
      </w:r>
      <w:r>
        <w:rPr>
          <w:rFonts w:ascii="Times New Roman;serif" w:hAnsi="Times New Roman;serif"/>
          <w:b w:val="false"/>
          <w:color w:val="000000"/>
          <w:sz w:val="22"/>
          <w:u w:val="single"/>
        </w:rPr>
        <w:t>Mortgage Policies</w:t>
      </w:r>
      <w:r>
        <w:rPr>
          <w:color w:val="000000"/>
        </w:rPr>
        <w:t>”</w:t>
      </w:r>
      <w:r>
        <w:rPr>
          <w:rFonts w:ascii="Times New Roman;serif" w:hAnsi="Times New Roman;serif"/>
          <w:b w:val="false"/>
          <w:color w:val="000000"/>
          <w:sz w:val="22"/>
        </w:rPr>
        <w:t>) in form and substance, with endorsements and in amount, reasonably acceptable to the Administrative Agent (not to exceed the value of the real properties covered thereby), issued, coinsured and reinsured by title insurers reasonably acceptable to the Administrative Agent, insuring the Mortgages to be valid subsisting Liens on the property described therein, free and clear of all defects and encumbrances, subject to Permitted Liens, and providing for such other affirmative insurance (including endorsements for future advances under the Loan Documents) and such coinsurance and direct access reinsurance as the Administrative Agent may reasonably request;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(C)opinions of local counsel for the Loan Parties in states in which such real properties are located, with respect to the enforceability and perfection of the Mortgages and any related fixture filings in form and substance reasonably satisfactory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(D)(1) standard flood hazard determination forms and (2) if any Material Real Property is located in a special flood hazard area, (x) notices to (and confirmations of receipt by) the Company as to the existence of a special flood hazard and, if applicable, the unavailability of flood hazard insurance under the National Flood Insurance Program and (y) evidence of applicable flood insurance, if available, in each case in such form, on such terms and in such amounts as required by The National Flood Insurance Reform Act of 1994, the Federal Flood Disaster Protection Act and rules and regulations promulgated thereunder or as otherwise required by the Administrative Agent or any Lender;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(E)such other evidence that all other actions that the Administrative Agent may reasonably deem necessary or desirable in order to create valid and subsisting Liens on the property described in the Mortgages has been taken;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shall not enter into, accept or record any Mortgage in respect of such Material Real Property until the Administrative Agent shall have received written confirmation from each Lender that flood insurance compliance has been completed by such Lender with respect to such Material Real Property (such written confirmation not to be unreasonably withheld or delayed). If at any time any real property is pledged as Collateral hereunder, any increase, extension or renewal of Loans under this Agreement (as may be amended, restated, supplemented or otherwise modified from time to time) shall be subject to flood insurance due diligence and flood insurance compliance reasonably satisfactory to the Administrative Agent and each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84505"/>
                <wp:effectExtent l="0" t="0" r="0" b="0"/>
                <wp:wrapNone/>
                <wp:docPr id="120" name="Frame11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6.14    </w:t>
      </w:r>
      <w:r>
        <w:rPr>
          <w:rFonts w:ascii="Times New Roman;serif" w:hAnsi="Times New Roman;serif"/>
          <w:b/>
          <w:color w:val="000000"/>
          <w:sz w:val="22"/>
          <w:u w:val="single"/>
        </w:rPr>
        <w:t>Use of Proceeds</w:t>
      </w:r>
      <w:r>
        <w:rPr>
          <w:rFonts w:ascii="Times New Roman;serif" w:hAnsi="Times New Roman;serif"/>
          <w:b w:val="false"/>
          <w:color w:val="000000"/>
          <w:sz w:val="22"/>
        </w:rPr>
        <w:t xml:space="preserve">. Use the proceeds of any Borrowing (a) on the Closing Date, whether directly or indirectly, to refinance certain existing Indebtedness under the Existing Credit Agreement and to pay fees and expenses incurred in connection with such refinancing and the Transaction, and (b) after the Closing Date, use the proceeds of any Borrowing for any purpose not otherwise prohibited under this Agreement, including for prepayment or redemption of Indebtedness, general corporate purposes (including Permitted Acquisitions) and working capital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6.15    </w:t>
      </w:r>
      <w:r>
        <w:rPr>
          <w:rFonts w:ascii="Times New Roman;serif" w:hAnsi="Times New Roman;serif"/>
          <w:b/>
          <w:color w:val="000000"/>
          <w:sz w:val="22"/>
          <w:u w:val="single"/>
        </w:rPr>
        <w:t>Compliance with Anti-Corruption Laws, Beneficial Ownership Regulation, Anti-Money Laundering Laws and Sanctions</w:t>
      </w:r>
      <w:r>
        <w:rPr>
          <w:rFonts w:ascii="Times New Roman;serif" w:hAnsi="Times New Roman;serif"/>
          <w:b w:val="false"/>
          <w:color w:val="000000"/>
          <w:sz w:val="22"/>
        </w:rPr>
        <w:t xml:space="preserve">. (a) Maintain in effect and enforce policies and procedures designed to ensure compliance in all material respects by, to the extent applicable, each Borrower, each Borrower’s Subsidiaries and their respective directors, officers, employees and agents with Anti-Corruption Laws, Anti-Money Laundering Laws and applicable Sanctions, (b) notify the Administrative Agent and each Lender that previously received a Beneficial Ownership Certification (or a certification that the applicable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applicable Borrower ceasing to fall within an express exclusion to the definition of “legal entity customer” under the Beneficial Ownership Regulation) and (c) promptly upon the reasonable request of the Administrative Agent or any Lender, provide the Administrative Agent or directly to such Lender, as the case may be, any information or documentation requested by it for purposes of complying with the Beneficial Ownership Regulation.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w:t>
        <w:b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any Lender shall have any Commitment hereunder, or any Loan or other Obligation hereunder (other than (i) contingent indemnification obligations as to which no claim has been asserted and (ii) Cash Management Obligations and Obligations under Secured Hedge Agreements) shall remain unpaid or unsatisfied, or any Letter of Credit shall remain outstanding (unless the Outstanding Amount of the L/C Obligations related thereto has been Cash Collateralized, back stopped by a letter of credit reasonably satisfactory to the applicable L/C Issuer or deemed reissued under another agreement reasonably acceptable to the applicable L/C Issuer), the Borrowers shall not, nor shall they permit any of their Subsidiaries to, directly or indirectly: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7.01    </w:t>
      </w:r>
      <w:r>
        <w:rPr>
          <w:rFonts w:ascii="Times New Roman;serif" w:hAnsi="Times New Roman;serif"/>
          <w:b/>
          <w:color w:val="000000"/>
          <w:sz w:val="22"/>
          <w:u w:val="single"/>
        </w:rPr>
        <w:t>Liens</w:t>
      </w:r>
      <w:r>
        <w:rPr>
          <w:rFonts w:ascii="Times New Roman;serif" w:hAnsi="Times New Roman;serif"/>
          <w:b w:val="false"/>
          <w:color w:val="000000"/>
          <w:sz w:val="22"/>
        </w:rPr>
        <w:t>. Create, incur, assume or suffer to exist any Lien upon any of its property, assets or revenues, whether now owned or hereafter acquired, other than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(a)Liens pursuant to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(b)Liens existing on the Closing Date and listed on </w:t>
      </w:r>
      <w:r>
        <w:rPr>
          <w:rFonts w:ascii="Times New Roman;serif" w:hAnsi="Times New Roman;serif"/>
          <w:b w:val="false"/>
          <w:color w:val="000000"/>
          <w:sz w:val="22"/>
          <w:u w:val="single"/>
        </w:rPr>
        <w:t>Schedule 7.01(b)</w:t>
      </w:r>
      <w:r>
        <w:rPr>
          <w:color w:val="000000"/>
        </w:rPr>
        <w:t xml:space="preserve"> </w:t>
      </w:r>
      <w:r>
        <w:rPr>
          <w:rFonts w:ascii="Times New Roman;serif" w:hAnsi="Times New Roman;serif"/>
          <w:b w:val="false"/>
          <w:color w:val="000000"/>
          <w:sz w:val="22"/>
        </w:rPr>
        <w:t xml:space="preserve">and any modifications, replacements, renewals, refinancings or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Lien does not extend to any additional property other than (A) after-acquired property that is affixed or incorporated into the property covered by such Lien or financed or refinanced by Indebtedness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and (B) proceeds and products thereof, and (ii) the renewal, extension or refinancing of the obligations secured or benefited by such Liens, to the extent constituting Indebtedness, is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(c)Liens for taxes, assessments or governmental charges which are not overdue for a period of more than thirty (30) days or which are being contested in good faith and by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84505"/>
                <wp:effectExtent l="0" t="0" r="0" b="0"/>
                <wp:wrapNone/>
                <wp:docPr id="121" name="Frame12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actions diligently conducted, if adequate reserves with respect thereto are maintained on the books of the applicable Person in accordance with GAAP;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(d)statutory or common law Liens of landlords, carriers, warehousemen, mechanics, materialmen, repairmen, construction contractors or other like Liens arising in the ordinary course of business which secure amounts not overdue for a period of more than thirty (30) days or if more than thirty (30) days overdue, are unfiled and no other action has been taken to enforce such Lien or which are being contested in good faith and by appropriate actions diligently conducted, if adequate reserves with respect thereto are maintained on the books of the applicable Person in accordance with GAAP;</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any Borrower or any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(f)deposits to secure the performance of bids, trade contracts, governmental contracts and leases (other than Indebtedness), statutory obligations, surety, stay, customs and appeal bonds, performance bonds and other obligations of a like nature (including those to secure health, safety and environmental obligations) incurred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(g)easements, rights-of-way, restrictions, encroachments, protrusions and other similar encumbrances and minor title defects or minor irregularities affecting real property which, in the aggregate, do not in any case materially interfere with the ordinary conduct of the business of any Borrower or any Subsidiary or the use of the property for its intended purpose;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(h)Liens securing judgments for the payment of money not constituting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(i)Liens securing Indebtedness permitted under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Liens attach concurrently with or within two hundred and seventy (270) days after the acquisition, repair, replacement, construction or improvement (as applicable) of the property subject to such Liens (including reconstruction, refurbishment, renovation and development of real property), (ii) such Liens do not at any time encumber any property other than the property financed by such Indebtedness, replacements thereof and additions and accessions to such property and the proceeds and the products thereof and customary security deposits related thereto and (iii) with respect to Finance Leases, such Liens do not at any time extend to or cover any assets (except for additions and accessions to such assets, replacements and products thereof and customary security deposits) other than the assets subject to such Finance Leases;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individual financings of equipment provided by one lender may be cross collateralized to other financings of equipment provided by such lender;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(j)leases, licenses, subleases or sublicenses granted to others in the ordinary course of business which do not interfere in any material respect with the business of any Borrower or any Subsidiary or secure any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(k)Liens (i) in favor of customs and revenue authorities arising as a matter of law to secure payment of customs duties in connection with the importation of goods in the ordinary course of business and (ii) on specific items of inventory or other goods and proceeds thereof of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84505"/>
                <wp:effectExtent l="0" t="0" r="0" b="0"/>
                <wp:wrapNone/>
                <wp:docPr id="122" name="Frame12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Person securing such Person’s obligations in respect of bankers’ acceptances or letters of credit issued or created for the account of such person to facilitate the purchase, shipment or storage of such inventory or such goods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(l)(i) Liens (i) of a collection bank arising under Section 4-208 of the Uniform Commercial Code on items in the course of collection and (ii) in favor of a banking or other financial institution arising as a matter of law or under customary general terms and conditions encumbering deposits or other funds maintained with a financial institution (including the right of set-off) and which are within the general parameters customary in the banking industry or arising pursuant to such banking institution’s general terms and conditions;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(m)Liens (i) on cash advances in favor of the seller of any property to be acquired in an Investment or other acquisition permitted pursuant to this Agreement to be applied against the purchase price for such Investment or other acquisition, and (ii) consisting of an agreement to Dispose of any property in a Disposition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in each case, solely to the extent such Investment or other acquisition or Disposition, as the case may be, would have been permitted on the date of the creation of such Lien;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(n)Liens (i) on property of any Subsidiary that is not a Loan Party and (ii) on the Liquor Licenses and Equity Interests of Liquor License Subsidiaries, which Liens secure Indebtedness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(o)Liens in favor of a Borrower or a Subsidiary securing Indebtedness permitted under </w:t>
      </w:r>
      <w:r>
        <w:rPr>
          <w:rFonts w:ascii="Times New Roman;serif" w:hAnsi="Times New Roman;serif"/>
          <w:b w:val="false"/>
          <w:color w:val="000000"/>
          <w:sz w:val="22"/>
          <w:u w:val="single"/>
        </w:rPr>
        <w:t>Section 7.03(d)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such Indebtedness is required to be subordinated pursuant to </w:t>
      </w:r>
      <w:r>
        <w:rPr>
          <w:rFonts w:ascii="Times New Roman;serif" w:hAnsi="Times New Roman;serif"/>
          <w:b w:val="false"/>
          <w:color w:val="000000"/>
          <w:sz w:val="22"/>
          <w:u w:val="single"/>
        </w:rPr>
        <w:t>Section 7.03(d)</w:t>
      </w:r>
      <w:r>
        <w:rPr>
          <w:rFonts w:ascii="Times New Roman;serif" w:hAnsi="Times New Roman;serif"/>
          <w:b w:val="false"/>
          <w:color w:val="000000"/>
          <w:sz w:val="22"/>
        </w:rPr>
        <w:t xml:space="preserve">, any Lien on Collateral securing such Indebtedness shall be subordinated to the Liens securing the Obligations on terms and conditions reasonably satisfactory to the Administrative Agent;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(p)Liens (x) existing on property at the time of its acquisition or existing on the property of any Person at the time such Person becomes a Subsidiary, in each case after the Closing Date and the replacement, extension or renewal of any Lien permitted by this clause (p) upon or in the same property previously subject thereto in connection with the replacement, extension or renewal (without increase in the amount or any change in any direct or contingent obligor) of the Indebtedness secured thereby and (y) placed upon the Equity Interests, property or assets of any Subsidiary or its Subsidiaries acquired pursuant to a Permitted Acquisition to secure Indebtedness incurred pursuant to </w:t>
      </w:r>
      <w:r>
        <w:rPr>
          <w:rFonts w:ascii="Times New Roman;serif" w:hAnsi="Times New Roman;serif"/>
          <w:b w:val="false"/>
          <w:color w:val="000000"/>
          <w:sz w:val="22"/>
          <w:u w:val="single"/>
        </w:rPr>
        <w:t>Section 7.03(g)(B)</w:t>
      </w:r>
      <w:r>
        <w:rPr>
          <w:color w:val="000000"/>
        </w:rPr>
        <w:t xml:space="preserve"> </w:t>
      </w:r>
      <w:r>
        <w:rPr>
          <w:rFonts w:ascii="Times New Roman;serif" w:hAnsi="Times New Roman;serif"/>
          <w:b w:val="false"/>
          <w:color w:val="000000"/>
          <w:sz w:val="22"/>
        </w:rPr>
        <w:t xml:space="preserve">in connection with such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 the case of clause (x), such Lien was not created in contemplation of such acquisition or such Person becoming a Subsidiary, (ii) in the case of clause (x),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in the case of clauses (x) and (y), the Indebtedness secured thereby is permitted under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(j)</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(q)any interest or title of a lessor, sublessor, licensor or sublicensor or secured by a lessor’s, sublessor’s, licensor’s or sublicensor’s interest under leases (other than Finance Leases), subleases, licenses or sublicenses entered into by any Borrower or any of its Subsidiaries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84505"/>
                <wp:effectExtent l="0" t="0" r="0" b="0"/>
                <wp:wrapNone/>
                <wp:docPr id="123" name="Frame12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(r)Liens arising out of conditional sale, title retention, consignment or similar arrangements for sale of goods entered into by any Borrower or any of its Subsidiaries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(s)Liens deemed to exist in connection with Investments in repurchase agreements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do not extend to any assets other than those that are the subject of such repurchase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(t)Liens that are contractual rights of set-off (i) relating to the establishment of depository relations with banks not given in connection with the issuance of Indebtedness, (ii) relating to pooled deposit or sweep accounts of any Borrower or any Subsidiary to permit satisfaction of overdraft or similar obligations incurred in the ordinary course of business of the Borrowers and their respective Subsidiaries or (iii) relating to purchase orders and other agreements entered into with customers of any Borrower or any Subsidiary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(u)Liens solely on any cash earnest money deposits made by any Borrower or any of its Subsidiaries in connection with any letter of intent or purchase agreement permitted hereunder;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(v)Liens arising from precautionary UCC financing statement filings regarding operating leases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(w)Liens on insurance policies and the proceeds thereof securing the financing of the premiums with respect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(x)ground leases in respect of real property on which facilities or equipment owned or leased by any Borrower or any of its Subsidiaries are located;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(y)Liens encumbering reasonable and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(z)other Liens securing Indebtedness and other obligations of any Borrower and its Subsidiaries in an aggregate outstanding principal amount not to exceed the greater of (i) $100,000,000 and (ii) 3.0% of Total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(aa)Liens on the Collateral securing obligations in respect of Permitted Pari Passu Secured Refinancing Debt and any Permitted Refinancing of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Liens securing any Refinanced Debt in respect of Permitted Pari Passu Secured Refinancing Debt are subject to a First Lien Intercreditor Agreement;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(bb)Liens securing obligations in respect of Indebtedness permitted under </w:t>
      </w:r>
      <w:r>
        <w:rPr>
          <w:rFonts w:ascii="Times New Roman;serif" w:hAnsi="Times New Roman;serif"/>
          <w:b w:val="false"/>
          <w:color w:val="000000"/>
          <w:sz w:val="22"/>
          <w:u w:val="single"/>
        </w:rPr>
        <w:t>Section 7.03(s)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7.02    </w:t>
      </w:r>
      <w:r>
        <w:rPr>
          <w:rFonts w:ascii="Times New Roman;serif" w:hAnsi="Times New Roman;serif"/>
          <w:b/>
          <w:color w:val="000000"/>
          <w:sz w:val="22"/>
          <w:u w:val="single"/>
        </w:rPr>
        <w:t>Investments</w:t>
      </w:r>
      <w:r>
        <w:rPr>
          <w:rFonts w:ascii="Times New Roman;serif" w:hAnsi="Times New Roman;serif"/>
          <w:b w:val="false"/>
          <w:color w:val="000000"/>
          <w:sz w:val="22"/>
        </w:rPr>
        <w:t>. Make or hold any Investments, except: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(a)Investments by a Borrower or a Subsidiary in assets that were Cash Equivalents when such Investment was made;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(b)loans or advances to (A) officers, directors, consultants and employees of the Borrowers and their respective Subsidiaries (i) for reasonable and customary business-related travel, entertainment, relocation and analogous ordinary business purposes, (ii)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84505"/>
                <wp:effectExtent l="0" t="0" r="0" b="0"/>
                <wp:wrapNone/>
                <wp:docPr id="124" name="Frame12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such Person’s purchase of Equity Interests of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such loans and advances shall be contributed to the Borrowers in cash as common equity) and (iii) for purposes not described in the foregoing clauses (i) and (ii), in an aggregate principal amount outstanding not to exceed $5,000,000 (determined without regard to any write-downs or writeoffs), and (B) restaurant employees of Employment Participation Subsidiaries to fund such employees purchase of Equity Interests of an Employment Participation Subsidiary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(c)Investments (i) by any Borrower or any Subsidiary in any Loan Party, (ii) by any Subsidiary that is not a Loan Party in any other such Subsidiary that is also not a Loan Party, and (iii) by any Borrower or any Subsidiary Guarantor (A) in any Non-Loan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such Investments pursuant to this </w:t>
      </w:r>
      <w:r>
        <w:rPr>
          <w:rFonts w:ascii="Times New Roman;serif" w:hAnsi="Times New Roman;serif"/>
          <w:b w:val="false"/>
          <w:color w:val="000000"/>
          <w:sz w:val="22"/>
          <w:u w:val="single"/>
        </w:rPr>
        <w:t>Section 7.02(c)(iii)(A)</w:t>
      </w:r>
      <w:r>
        <w:rPr>
          <w:color w:val="000000"/>
        </w:rPr>
        <w:t xml:space="preserve"> </w:t>
      </w:r>
      <w:r>
        <w:rPr>
          <w:rFonts w:ascii="Times New Roman;serif" w:hAnsi="Times New Roman;serif"/>
          <w:b w:val="false"/>
          <w:color w:val="000000"/>
          <w:sz w:val="22"/>
        </w:rPr>
        <w:t xml:space="preserve">(together with, but without duplication, the aggregate consideration paid by any Borrower or any Subsidiary Guarantor in respect of Permitted Acquisitions of Persons that do not become Loan Parties (or acquisition of assets not owned by a Borrower, a Subsidiary Guarantor or a Person that will become a Subsidiary Guarantor) pursuant to </w:t>
      </w:r>
      <w:r>
        <w:rPr>
          <w:rFonts w:ascii="Times New Roman;serif" w:hAnsi="Times New Roman;serif"/>
          <w:b w:val="false"/>
          <w:color w:val="000000"/>
          <w:sz w:val="22"/>
          <w:u w:val="single"/>
        </w:rPr>
        <w:t>Section 7.02(i)(B)</w:t>
      </w:r>
      <w:r>
        <w:rPr>
          <w:rFonts w:ascii="Times New Roman;serif" w:hAnsi="Times New Roman;serif"/>
          <w:b w:val="false"/>
          <w:color w:val="000000"/>
          <w:sz w:val="22"/>
        </w:rPr>
        <w:t xml:space="preserve">) shall not exceed the greater of (1) $200,000,000 and (2) 6.0% of Total Assets plus an amount equal to the aggregate Returns in respect of such Investments, and (B) in any Foreign Subsidiary consisting of a contribution of Equity Interests of any other Foreign Subsidiary held directly by such Borrower or such Subsidiary Guarantor and if the Foreign Subsidiary to which such contribution is made is not a Wholly Owned Foreign Subsidiary, such contribution shall be in exchange for Indebtedness, Equity Interests (including increases in capital accounts) or a combination thereof of the Foreign Subsidiary to which such contribution is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Equity Interests of a Wholly Owned Foreign Subsidiary only may be contributed to another Wholly Owned Foreign Subsidiary under this sub-clause (B), and (C) constituting Guarantees of Indebtedness or other monetary obligations of Non-Loan Parties owing to any Loan Party;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(e)Investments consisting of Liens, Indebtedness, fundamental changes, Dispositions and Restricted Payments permitted under </w:t>
      </w:r>
      <w:r>
        <w:rPr>
          <w:rFonts w:ascii="Times New Roman;serif" w:hAnsi="Times New Roman;serif"/>
          <w:b w:val="false"/>
          <w:color w:val="000000"/>
          <w:sz w:val="22"/>
          <w:u w:val="single"/>
        </w:rPr>
        <w:t>Sections 7.01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7.12</w:t>
      </w:r>
      <w:r>
        <w:rPr>
          <w:rFonts w:ascii="Times New Roman;serif" w:hAnsi="Times New Roman;serif"/>
          <w:b w:val="false"/>
          <w:color w:val="000000"/>
          <w:sz w:val="22"/>
        </w:rPr>
        <w:t>, respectively;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(f)Investments (i) existing or contemplated on the Closing Date and set forth on </w:t>
      </w:r>
      <w:r>
        <w:rPr>
          <w:rFonts w:ascii="Times New Roman;serif" w:hAnsi="Times New Roman;serif"/>
          <w:b w:val="false"/>
          <w:color w:val="000000"/>
          <w:sz w:val="22"/>
          <w:u w:val="single"/>
        </w:rPr>
        <w:t>Schedule 7.02(f)</w:t>
      </w:r>
      <w:r>
        <w:rPr>
          <w:color w:val="000000"/>
        </w:rPr>
        <w:t xml:space="preserve"> </w:t>
      </w:r>
      <w:r>
        <w:rPr>
          <w:rFonts w:ascii="Times New Roman;serif" w:hAnsi="Times New Roman;serif"/>
          <w:b w:val="false"/>
          <w:color w:val="000000"/>
          <w:sz w:val="22"/>
        </w:rPr>
        <w:t xml:space="preserve">and any modification, replacement, renewal, reinvestment or extension thereof and (ii) existing on the Closing Date by any Borrower or any Subsidiary in any Borrower or any other Subsidiary and any modification, exchange in kind, renewal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the amount of the original Investment is not increased except by the terms of such Investment or as otherwise permitted by this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and (y) any Investment in the form of Indebtedness of any Loan Party owed to any Subsidiary that is not a Loan Party shall be subject to the subordination terms set forth in the Intercompany Note;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(g)Investments in Swap Contracts permitted under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(h)(i) promissory notes and other noncash consideration received in connection with Dispositions permitted by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and (ii) Investments received solely from (x) equity contributions to any Borrower and (y) distributions to the Borrowers and their respective Subsidiaries from Persons that are not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each Investment described in this clause (h)(ii):</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84505"/>
                <wp:effectExtent l="0" t="0" r="0" b="0"/>
                <wp:wrapNone/>
                <wp:docPr id="125" name="Frame12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(A)any Subsidiary acquired as a result of such Investment and the Subsidiaries of such acquired Subsidiary shall, to the extent required under the Collateral and Guarantee Requirement and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become a Guarantor and comply with the requirements of </w:t>
      </w:r>
      <w:r>
        <w:rPr>
          <w:rFonts w:ascii="Times New Roman;serif" w:hAnsi="Times New Roman;serif"/>
          <w:b w:val="false"/>
          <w:color w:val="000000"/>
          <w:sz w:val="22"/>
          <w:u w:val="single"/>
        </w:rPr>
        <w:t>Section 6.11</w:t>
      </w:r>
      <w:r>
        <w:rPr>
          <w:rFonts w:ascii="Times New Roman;serif" w:hAnsi="Times New Roman;serif"/>
          <w:b w:val="false"/>
          <w:color w:val="000000"/>
          <w:sz w:val="22"/>
        </w:rPr>
        <w:t>, within the times specified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(B)after giving effect to such Investment, the Borrowers and their respective Subsidiaries shall be in compliance with </w:t>
      </w:r>
      <w:r>
        <w:rPr>
          <w:rFonts w:ascii="Times New Roman;serif" w:hAnsi="Times New Roman;serif"/>
          <w:b w:val="false"/>
          <w:color w:val="000000"/>
          <w:sz w:val="22"/>
          <w:u w:val="single"/>
        </w:rPr>
        <w:t>Section 7.07</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(C)(1) immediately before and immediately after giving Pro Forma Effect to any such Investment, no Default shall have occurred and be continuing and (2) immediately after giving effect to such Investment, the Company and its Subsidiaries shall be in Pro Forma Compliance with the Financial Covenants, such compliance to be determined on the basis of the financial information most recently delivered to the Administrative Agent and the Lenders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as though such Investment had been consummated as of the first day of the fiscal period covered thereby;</w:t>
      </w:r>
    </w:p>
    <w:p>
      <w:pPr>
        <w:pStyle w:val="TextBody"/>
        <w:bidi w:val="0"/>
        <w:spacing w:lineRule="auto" w:line="288" w:before="0" w:after="120"/>
        <w:ind w:left="0" w:right="0" w:firstLine="720"/>
        <w:jc w:val="left"/>
        <w:rPr/>
      </w:pPr>
      <w:r>
        <w:rPr>
          <w:rFonts w:ascii="Times New Roman;serif" w:hAnsi="Times New Roman;serif"/>
          <w:b w:val="false"/>
          <w:color w:val="000000"/>
          <w:sz w:val="22"/>
        </w:rPr>
        <w:t>(i)the purchase or other acquisition of all or substantially all of the assets of a Person or any Equity Interests in a Person that is or becomes a Subsidiary (including as a result of a merger or consolidation) or division or line of business of a Person (or any subsequent Investment made in a Person, division or line of business of business previously acquired in a Permitted Acquisition), in a single transaction or a series of related transactions (each, a “</w:t>
      </w:r>
      <w:r>
        <w:rPr>
          <w:rFonts w:ascii="Times New Roman;serif" w:hAnsi="Times New Roman;serif"/>
          <w:b w:val="false"/>
          <w:color w:val="000000"/>
          <w:sz w:val="22"/>
          <w:u w:val="single"/>
        </w:rPr>
        <w:t>Permitted Acquisition</w:t>
      </w:r>
      <w:r>
        <w:rPr>
          <w:color w:val="000000"/>
        </w:rPr>
        <w:t>”</w:t>
      </w:r>
      <w:r>
        <w:rPr>
          <w:rFonts w:ascii="Times New Roman;serif" w:hAnsi="Times New Roman;serif"/>
          <w:b w:val="false"/>
          <w:color w:val="000000"/>
          <w:sz w:val="22"/>
        </w:rPr>
        <w:t>), if immediately after giving effect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(A)any such newly created or acquired Subsidiary and the Subsidiaries of such created or acquired Subsidiary shall, to the extent required under the Collateral and Guarantee Requirement and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become a Guarantor and comply with the requirements of </w:t>
      </w:r>
      <w:r>
        <w:rPr>
          <w:rFonts w:ascii="Times New Roman;serif" w:hAnsi="Times New Roman;serif"/>
          <w:b w:val="false"/>
          <w:color w:val="000000"/>
          <w:sz w:val="22"/>
          <w:u w:val="single"/>
        </w:rPr>
        <w:t>Section 6.11</w:t>
      </w:r>
      <w:r>
        <w:rPr>
          <w:rFonts w:ascii="Times New Roman;serif" w:hAnsi="Times New Roman;serif"/>
          <w:b w:val="false"/>
          <w:color w:val="000000"/>
          <w:sz w:val="22"/>
        </w:rPr>
        <w:t>, within the times specified therein;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(B)the aggregate amount of consideration paid by any Borrower or any Subsidiary Guarantor in respect of acquisitions of Persons that do not become Loan Parties (or acquisition of assets not owned by a Borrower, a Subsidiary Guarantor or a Person that will become a Subsidiary Guarantor) pursuant to this </w:t>
      </w:r>
      <w:r>
        <w:rPr>
          <w:rFonts w:ascii="Times New Roman;serif" w:hAnsi="Times New Roman;serif"/>
          <w:b w:val="false"/>
          <w:color w:val="000000"/>
          <w:sz w:val="22"/>
          <w:u w:val="single"/>
        </w:rPr>
        <w:t>Section 7.02(i)(B)</w:t>
      </w:r>
      <w:r>
        <w:rPr>
          <w:color w:val="000000"/>
        </w:rPr>
        <w:t xml:space="preserve"> </w:t>
      </w:r>
      <w:r>
        <w:rPr>
          <w:rFonts w:ascii="Times New Roman;serif" w:hAnsi="Times New Roman;serif"/>
          <w:b w:val="false"/>
          <w:color w:val="000000"/>
          <w:sz w:val="22"/>
        </w:rPr>
        <w:t xml:space="preserve">(together with, but without duplication, the aggregate amount of all Investments in Non-Loan Parties pursuant to </w:t>
      </w:r>
      <w:r>
        <w:rPr>
          <w:rFonts w:ascii="Times New Roman;serif" w:hAnsi="Times New Roman;serif"/>
          <w:b w:val="false"/>
          <w:color w:val="000000"/>
          <w:sz w:val="22"/>
          <w:u w:val="single"/>
        </w:rPr>
        <w:t>Section 7.02(c)(iii)(A)</w:t>
      </w:r>
      <w:r>
        <w:rPr>
          <w:rFonts w:ascii="Times New Roman;serif" w:hAnsi="Times New Roman;serif"/>
          <w:b w:val="false"/>
          <w:color w:val="000000"/>
          <w:sz w:val="22"/>
        </w:rPr>
        <w:t>) shall not exceed the greater of (1) $200,000,000 and (2) 6.0% of Total Assets plus an amount equal to the aggregate Returns in respect of such Investments;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(C)after giving effect to such purchase or acquisition, the Borrowers and their respective Subsidiaries shall be in compliance with </w:t>
      </w:r>
      <w:r>
        <w:rPr>
          <w:rFonts w:ascii="Times New Roman;serif" w:hAnsi="Times New Roman;serif"/>
          <w:b w:val="false"/>
          <w:color w:val="000000"/>
          <w:sz w:val="22"/>
          <w:u w:val="single"/>
        </w:rPr>
        <w:t>Section 7.07</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2"/>
        </w:rPr>
        <w:t xml:space="preserve">(1) immediately before and immediately after giving Pro Forma Effect to any such purchase or other acquisition (which, in the case of a Limited Condition Acquisition, shall be tested on the date of execution of the definitive agreement for such purchase or other acquisition and not on the closing date thereof), no Default shall have occurred and be continuing and (2) immediately after giving effect to such purchase or other acquisition (and any concurrent Disposition), the Borrowers and their respective Subsidiaries shall be in Pro Forma Compliance with the Financial Covenants giving effect to any Leverage Ratio Increase then in effect pursuant to </w:t>
      </w:r>
      <w:r>
        <w:rPr>
          <w:rFonts w:ascii="Times New Roman;serif" w:hAnsi="Times New Roman;serif"/>
          <w:b w:val="false"/>
          <w:color w:val="000000"/>
          <w:sz w:val="22"/>
          <w:u w:val="single"/>
        </w:rPr>
        <w:t>Section 7.10</w:t>
      </w:r>
      <w:r>
        <w:rPr>
          <w:rFonts w:ascii="Times New Roman;serif" w:hAnsi="Times New Roman;serif"/>
          <w:b w:val="false"/>
          <w:color w:val="000000"/>
          <w:sz w:val="22"/>
        </w:rPr>
        <w:t xml:space="preserve">, such compliance to be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84505"/>
                <wp:effectExtent l="0" t="0" r="0" b="0"/>
                <wp:wrapNone/>
                <wp:docPr id="126" name="Frame12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on the basis of the financial information most recently delivered to the Administrative Agent and the Lenders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as though such purchase or other acquisition (and any concurrent Disposition) had been consummated as of the first day of the fiscal period covered thereby (which, in the case of a Limited Condition Acquisition, shall be tested on the date of execution of the definitive agreement for such purchase or other acquisition and not on the closing date thereof);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(j)Investments in the ordinary course of business consisting of Article 3 of the Uniform Commercial Code endorsements for collection or deposit and Article 4 of the Uniform Commercial Code customary trade arrangements with customers consistent with past practices;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(l)so long as no Default has occurred and is continuing or would result therefrom, other Investments that do not exceed the greater of (i) $200,000,000 and (ii) 6.0% of Total Assets plus an amount equal to the aggregate Returns in respect of such Investments;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(m)so long as immediately after giving effect to any such Investment, no Default has occurred and is continuing, other Investments in an amount not to exceed the Cumulative Growth Amount immediately prior to the time of the making of such Investment;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(n)advances of payroll payments to employees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(o)Investments to the extent that payment for such Investments is made solely with capital stock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(p)Investments of a Subsidiary acquired after the Closing Date or of a corporation merged into any Borrower or merged or consolidated with a Subsidiary in accordance with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after the Closing Date, to the extent that such Investments were not made in contemplation of or in connection with such acquisition, merger or consolidation and were in existence on the date of such acquisition, merger or consolidation;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(q)Guarantees by any Borrower or any Subsidiary of leases (other than Finance Leases) or of other obligations of any Borrower or any Subsidiary otherwise permitted hereunder that do not constitute Indebtedness, in each case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(r)Investments consisting of licensing of intellectual property pursuant to joint marketing arrangements with other Persons so long as such licensing arrangements do not limit in any material respect the Collateral Agent’s security interest (if any) in the intellectual property so licensed;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(s)Investments made by any Subsidiary that is not a Loan Party to the extent such Investments are financed with the proceeds received by such Subsidiary from an Investment in such Subsidiary otherwise permitted under this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84505"/>
                <wp:effectExtent l="0" t="0" r="0" b="0"/>
                <wp:wrapNone/>
                <wp:docPr id="127" name="Frame12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(t)so long as no Default shall have occurred and be continuing or would result therefrom, the Borrowers may make additional Investments with the proceeds of Excluded Contributions;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(u)the purchase or other acquisition from former or current employees of limited partnership interests of one or more Employment Participation Subsidiaries, in an aggregate amount not to exceed $15,000,000;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(v)intercompany Investments (including the creation of intercompany Indebtedness and/or the prepayment of existing intercompany Indebtedness, together with the related Investments and Guarantees of such Indebtedness) relating to the transfer of cash from the Asian operations of the Borrowers and their Subsidiaries in an aggregate outstanding amount of such Investments pursuant to this </w:t>
      </w:r>
      <w:r>
        <w:rPr>
          <w:rFonts w:ascii="Times New Roman;serif" w:hAnsi="Times New Roman;serif"/>
          <w:b w:val="false"/>
          <w:color w:val="000000"/>
          <w:sz w:val="22"/>
          <w:u w:val="single"/>
        </w:rPr>
        <w:t>Section 7.02(v)</w:t>
      </w:r>
      <w:r>
        <w:rPr>
          <w:color w:val="000000"/>
        </w:rPr>
        <w:t xml:space="preserve"> </w:t>
      </w:r>
      <w:r>
        <w:rPr>
          <w:rFonts w:ascii="Times New Roman;serif" w:hAnsi="Times New Roman;serif"/>
          <w:b w:val="false"/>
          <w:color w:val="000000"/>
          <w:sz w:val="22"/>
        </w:rPr>
        <w:t>not to exceed $40,000,000;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(w)any Permitted Convertible Notes Call Transaction.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Investment that exceeds the limits of any particular clause set forth above may be allocated amongst more than one of such clauses to permit the incurrence or maintenance of such Investment to the extent such excess is permitted as an Investment under such other clauses (including, without limitation, permitting the aggregate consideration limitation in clause (i)(B) above to be exceeded to the extent such excess is treated as, and permitted by, an Investment under any other available clause).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7.03    </w:t>
      </w:r>
      <w:r>
        <w:rPr>
          <w:rFonts w:ascii="Times New Roman;serif" w:hAnsi="Times New Roman;serif"/>
          <w:b/>
          <w:color w:val="000000"/>
          <w:sz w:val="22"/>
          <w:u w:val="single"/>
        </w:rPr>
        <w:t>Indebtedness</w:t>
      </w:r>
      <w:r>
        <w:rPr>
          <w:rFonts w:ascii="Times New Roman;serif" w:hAnsi="Times New Roman;serif"/>
          <w:b w:val="false"/>
          <w:color w:val="000000"/>
          <w:sz w:val="22"/>
        </w:rPr>
        <w:t>. Create, incur, assume or suffer to exist any Indebtedness, except: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(a)Indebtedness of the Company and its Subsidiaries under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(b)Indebtedness (i) outstanding on the Closing Date and listed on </w:t>
      </w:r>
      <w:r>
        <w:rPr>
          <w:rFonts w:ascii="Times New Roman;serif" w:hAnsi="Times New Roman;serif"/>
          <w:b w:val="false"/>
          <w:color w:val="000000"/>
          <w:sz w:val="22"/>
          <w:u w:val="single"/>
        </w:rPr>
        <w:t>Schedule 7.03(b)</w:t>
      </w:r>
      <w:r>
        <w:rPr>
          <w:color w:val="000000"/>
        </w:rPr>
        <w:t xml:space="preserve"> </w:t>
      </w:r>
      <w:r>
        <w:rPr>
          <w:rFonts w:ascii="Times New Roman;serif" w:hAnsi="Times New Roman;serif"/>
          <w:b w:val="false"/>
          <w:color w:val="000000"/>
          <w:sz w:val="22"/>
        </w:rPr>
        <w:t>and any Permitted Refinancing thereof and (ii) intercompany Indebtedness outstanding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(c)Guarantees by the Company and its Subsidiaries in respect of Indebtedness of the Company or any Subsidiary otherwise permitted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 Guarantee by any Subsidiary of any Junior Financing shall be permitted unless such Subsidiary shall have also provided a Guarantee of the Obligations substantially on the terms set forth in the Guaranty, (B) if the Indebtedness being Guaranteed is subordinated to the Obligations, such Guarantee shall be subordinated to the Guarantee of the Obligations on terms at least as favorable to the Lenders as those contained in the subordination of such Indebtedness and (C) any Guarantee of any Incremental Equivalent Debt, any Credit Agreement Refinancing Indebtedness or any Permitted Ratio Debt (or any Permitted Refinancing in respect thereof) shall only be permitted if it meets the requirements of the respective definitions (and component definitions) thereof and clause (s), (t) or (x) of this </w:t>
      </w:r>
      <w:r>
        <w:rPr>
          <w:rFonts w:ascii="Times New Roman;serif" w:hAnsi="Times New Roman;serif"/>
          <w:b w:val="false"/>
          <w:color w:val="000000"/>
          <w:sz w:val="22"/>
          <w:u w:val="single"/>
        </w:rPr>
        <w:t>Section 7.03</w:t>
      </w:r>
      <w:r>
        <w:rPr>
          <w:rFonts w:ascii="Times New Roman;serif" w:hAnsi="Times New Roman;serif"/>
          <w:b w:val="false"/>
          <w:color w:val="000000"/>
          <w:sz w:val="22"/>
        </w:rPr>
        <w:t>,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(d)Indebtedness of the Company or any Subsidiary owing to the Company or any other Subsidiary, to the extent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all such Indebtedness of any Loan Party owed to any Person that is not a Loan Party shall be subject to the subordination terms set forth in the Intercompany Note;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(e)(i) Attributable Indebtedness and other Indebtedness (including Finance Leases) of the Company and its Subsidiaries financing the acquisition, construction, repair, replacement or improvement of fixed or capital assets (including reconstruction, refurbishment, renovation and development of real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incurred concurrently with or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84505"/>
                <wp:effectExtent l="0" t="0" r="0" b="0"/>
                <wp:wrapNone/>
                <wp:docPr id="128" name="Frame12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within two hundred and seventy (270) days after the applicable acquisition, construction, repair, replacement or improvement, (ii) Attributable Indebtedness of the Company and its Subsidiaries arising out of sale-leaseback transactions permitted by </w:t>
      </w:r>
      <w:r>
        <w:rPr>
          <w:rFonts w:ascii="Times New Roman;serif" w:hAnsi="Times New Roman;serif"/>
          <w:b w:val="false"/>
          <w:color w:val="000000"/>
          <w:sz w:val="22"/>
          <w:u w:val="single"/>
        </w:rPr>
        <w:t>Section 7.05(f)</w:t>
      </w:r>
      <w:r>
        <w:rPr>
          <w:color w:val="000000"/>
        </w:rPr>
        <w:t xml:space="preserve"> </w:t>
      </w:r>
      <w:r>
        <w:rPr>
          <w:rFonts w:ascii="Times New Roman;serif" w:hAnsi="Times New Roman;serif"/>
          <w:b w:val="false"/>
          <w:color w:val="000000"/>
          <w:sz w:val="22"/>
        </w:rPr>
        <w:t>and (iii) any Permitted Refinancing of any Indebtedness set forth in the immediately preceding clauses (i) and (ii);</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(f)Indebtedness in respect of Swap Contracts designed to hedge against interest rates, foreign exchange rates risks or commodities pricing incurred in the ordinary course of business and not for speculative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(g)Indebtedness of the Company or any Subsidiary (A) assumed in connection with any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not incurred in contemplation of such Permitted Acquisition) or (B) incurred to finance a Permitted Acquisition and, in the case of either (A) or (B), any Permitted Refinancing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(x) no Default shall exist or result therefrom and (y) if such Indebtedness is (1)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or senior to (in the case of clause (A)) the Obligations, the Company and its Subsidiaries will be in Pro Forma Compliance with a Consolidated Secured Net Leverage Ratio of no greater than 3.50:1.00 and (2) unsecured, the Company and its Subsidiaries will be in Pro Forma Compliance with the Financial Covenants;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in the case of clause (B) above, such Indebtedness (i) will not mature prior to the date that is ninety-one (91) days after the Latest Maturity Date at the time of the issuance of such Indebtedness, (ii) will not have mandatory prepayment or mandatory amortization prepayments (other than asset sale and change of control mandatory offers to repurchase customary for high-yield debt securities) prior to the date that is ninety-one (91) days after the Latest Maturity Date at the time of the issuance of such Indebtedness (other than, in the case of clause (1) of this proviso, for annual nominal amortization payments not to exceed 1% of the original aggregate principal amount of such Indebtedness), (iii) in the case of clause (1) of this proviso, shall be subject to a First Lien Intercreditor Agreement, (iv) if incurred by a Non-Loan Party, shall not exceed in aggregate principal amount for all Indebtedness of Non-Loan Parties incurred pursuant to this clause (g) the greater of (i) $65,000,000 and (ii) 2.0% of Total Assets at any time outstanding, (v) in the case of clause (A) above, such Indebtedness is secured only by Liens permitted pursuant to </w:t>
      </w:r>
      <w:r>
        <w:rPr>
          <w:rFonts w:ascii="Times New Roman;serif" w:hAnsi="Times New Roman;serif"/>
          <w:b w:val="false"/>
          <w:color w:val="000000"/>
          <w:sz w:val="22"/>
          <w:u w:val="single"/>
        </w:rPr>
        <w:t>Section 7.01(p)(x)</w:t>
      </w:r>
      <w:r>
        <w:rPr>
          <w:rFonts w:ascii="Times New Roman;serif" w:hAnsi="Times New Roman;serif"/>
          <w:b w:val="false"/>
          <w:color w:val="000000"/>
          <w:sz w:val="22"/>
        </w:rPr>
        <w:t>, and (vi) in the case of clause (B) above, the terms and conditions of such Indebtedness are not materially more restrictive (taken as a whole) in respect to the Company and its Subsidiaries than those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(h)Indebtedness representing deferred compensation to employees of the Company and its Subsidiaries incurred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(i)Indebtedness consisting of promissory notes (A) issued by any Loan Party to current or former officers, directors, consultants and employees, their respective estates, heirs, permitted transferees, spouses or former spouses to finance the purchase or redemption of Equity Interests of the Company permitted by </w:t>
      </w:r>
      <w:r>
        <w:rPr>
          <w:rFonts w:ascii="Times New Roman;serif" w:hAnsi="Times New Roman;serif"/>
          <w:b w:val="false"/>
          <w:color w:val="000000"/>
          <w:sz w:val="22"/>
          <w:u w:val="single"/>
        </w:rPr>
        <w:t>Section 7.06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Indebtedness shall be subordinated in right of payment to the Obligations on terms reasonably satisfactory to the Administrative Agent and (ii) the aggregate amount of all cash payments (whether principal or interest) made by the Loan Parties in respect of such notes in any calendar year, when combined with the aggregate amount of Restricted Payments made pursuant to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in such calendar year, shall not exceed $40,000,000,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unused amounts in any calendar year may be carried over to succeeding calendar years, so long as the aggregate amount of all cash payments made in respect of such notes in any calendar year (after giving effect to such carry forward), when aggregated with the aggregate amount of Restricted Payments made pursuant to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in such calendar year (after giving effect to such carry forward), shall not exceed $50,000,000;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amount in any calendar year may be increased by an amount not to exceed the remainder of (x) the sum of (1) the amount of Net Cash Proceeds of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84505"/>
                <wp:effectExtent l="0" t="0" r="0" b="0"/>
                <wp:wrapNone/>
                <wp:docPr id="129" name="Frame12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issuances of Equity Interests to the extent that such Net Cash Proceeds shall have been actually received by OSI through a capital contribution of such Net Cash Proceeds by the Company (and to the extent not used to make an Investment pursuant to </w:t>
      </w:r>
      <w:r>
        <w:rPr>
          <w:rFonts w:ascii="Times New Roman;serif" w:hAnsi="Times New Roman;serif"/>
          <w:b w:val="false"/>
          <w:color w:val="000000"/>
          <w:sz w:val="22"/>
          <w:u w:val="single"/>
        </w:rPr>
        <w:t>Section 7.02(m)</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prepay Junior Financings pursuant to </w:t>
      </w:r>
      <w:r>
        <w:rPr>
          <w:rFonts w:ascii="Times New Roman;serif" w:hAnsi="Times New Roman;serif"/>
          <w:b w:val="false"/>
          <w:color w:val="000000"/>
          <w:sz w:val="22"/>
          <w:u w:val="single"/>
        </w:rPr>
        <w:t>Section 7.12(a)(v)</w:t>
      </w:r>
      <w:r>
        <w:rPr>
          <w:rFonts w:ascii="Times New Roman;serif" w:hAnsi="Times New Roman;serif"/>
          <w:b w:val="false"/>
          <w:color w:val="000000"/>
          <w:sz w:val="22"/>
        </w:rPr>
        <w:t xml:space="preserve">, or make a Restricted Payment pursuant to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or counted towards the Cumulative Growth Amount), in each case to employees, directors, officers, members of management or consultants of any Borrower (or any direct or indirect parent of OSI) or of its Subsidiaries that occurs after the Closing Date plus (2) the net cash proceeds of key man life insurance policies received by the Company or any of its Subsidiaries after the Closing Date less (y) the aggregate amount of all cash payments made in respect of any promissory notes pursuant to this </w:t>
      </w:r>
      <w:r>
        <w:rPr>
          <w:rFonts w:ascii="Times New Roman;serif" w:hAnsi="Times New Roman;serif"/>
          <w:b w:val="false"/>
          <w:color w:val="000000"/>
          <w:sz w:val="22"/>
          <w:u w:val="single"/>
        </w:rPr>
        <w:t>Section 7.03(i)</w:t>
      </w:r>
      <w:r>
        <w:rPr>
          <w:color w:val="000000"/>
        </w:rPr>
        <w:t xml:space="preserve"> </w:t>
      </w:r>
      <w:r>
        <w:rPr>
          <w:rFonts w:ascii="Times New Roman;serif" w:hAnsi="Times New Roman;serif"/>
          <w:b w:val="false"/>
          <w:color w:val="000000"/>
          <w:sz w:val="22"/>
        </w:rPr>
        <w:t xml:space="preserve">after the Closing Date with the net cash proceeds described in preceding clause (x) (2) less (z) the aggregate amount of all Restricted Payments made after the Closing Date in reliance on the last proviso appearing in </w:t>
      </w:r>
      <w:r>
        <w:rPr>
          <w:rFonts w:ascii="Times New Roman;serif" w:hAnsi="Times New Roman;serif"/>
          <w:b w:val="false"/>
          <w:color w:val="000000"/>
          <w:sz w:val="22"/>
          <w:u w:val="single"/>
        </w:rPr>
        <w:t>Section 7.06(f)</w:t>
      </w:r>
      <w:r>
        <w:rPr>
          <w:rFonts w:ascii="Times New Roman;serif" w:hAnsi="Times New Roman;serif"/>
          <w:b w:val="false"/>
          <w:color w:val="000000"/>
          <w:sz w:val="22"/>
        </w:rPr>
        <w:t xml:space="preserve">, and (B) issued by Employment Participation Subsidiaries to current or former restaurant employees, and development partners of Employment Participation Subsidiaries as consideration in respect of repurchases, redemptions or acquisitions of Equity Interests in Employment Participation Subsidiaries permitted under </w:t>
      </w:r>
      <w:r>
        <w:rPr>
          <w:rFonts w:ascii="Times New Roman;serif" w:hAnsi="Times New Roman;serif"/>
          <w:b w:val="false"/>
          <w:color w:val="000000"/>
          <w:sz w:val="22"/>
          <w:u w:val="single"/>
        </w:rPr>
        <w:t>Section 7.06(i)</w:t>
      </w:r>
      <w:r>
        <w:rPr>
          <w:color w:val="000000"/>
        </w:rPr>
        <w:t xml:space="preserve"> </w:t>
      </w:r>
      <w:r>
        <w:rPr>
          <w:rFonts w:ascii="Times New Roman;serif" w:hAnsi="Times New Roman;serif"/>
          <w:b w:val="false"/>
          <w:color w:val="000000"/>
          <w:sz w:val="22"/>
        </w:rPr>
        <w:t>in the ordinary course of business and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(j)Indebtedness incurred by the Borrowers or their respective Subsidiaries in a Permitted Acquisition, any other Investment expressly permitted hereunder or any Disposition, in any such case solely constituting indemnification obligations or obligations in respect of purchase price or other similar adjustments;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(k)Indebtedness consisting of obligations of the Company or its Subsidiaries under deferred compensation or other similar arrangements incurred by such Person in connection with the Transaction and Permitted Acquisitions or any other Investment expressly permitted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(l)Cash Management Obligations and other Indebtedness in respect of netting services, overdraft protections and similar arrangements in each case in connection with deposit accounts;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(m)Indebtedness of the Company and its Subsidiaries in an aggregate principal amount not to exceed the greater of (i) $200,000,000 and (ii) 6.0% of Total Assets at any time outstanding;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(n)Indebtedness consisting of (a) the financing of insurance premiums or (b) take-or-pay obligations contained in supply arrangements, in each case,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(o)Indebtedness incurred by the Company or any of its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reimbursement obligations in respect thereof are reimbursed within 30 days following the incurrence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(p)obligations in respect of performance, bid, stay, custom, appeal and surety bonds and other obligations of a like nature and performance and completion guarantees and similar obligations provided by any Borrower or any of its Subsidiaries or obligations in respect of letters of credit, bank guarantees or similar instruments related thereto, in each case in the ordinary course of business or consistent with past practices;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84505"/>
                <wp:effectExtent l="0" t="0" r="0" b="0"/>
                <wp:wrapNone/>
                <wp:docPr id="130" name="Frame12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(q)Indebtedness of the Borrowers and their respective Subsidiaries supported by a Letter of Credit, in a principal amount not to exceed the face amount of such Letter of Credit;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(r)unsecured Indebtedness of the Borrowers and their respective Subsidiaries in the form of letters of credit, in an aggregate outstanding principal amount not to exceed $50,000,000;</w:t>
      </w:r>
    </w:p>
    <w:p>
      <w:pPr>
        <w:pStyle w:val="TextBody"/>
        <w:bidi w:val="0"/>
        <w:spacing w:lineRule="auto" w:line="288" w:before="0" w:after="240"/>
        <w:ind w:left="0" w:right="0" w:firstLine="720"/>
        <w:jc w:val="both"/>
        <w:rPr/>
      </w:pPr>
      <w:r>
        <w:rPr>
          <w:rFonts w:ascii="Times New Roman;serif" w:hAnsi="Times New Roman;serif"/>
          <w:b w:val="false"/>
          <w:color w:val="000000"/>
          <w:sz w:val="22"/>
        </w:rPr>
        <w:t>(s)Indebtedness of any Borrower in respect of one or more series of senior secured first lien notes or unsecured term loans or notes that are issued in a public offering, Rule 144A or other private placement, or a bridge financing in lieu of the foregoing that otherwise converts into permanent Incremental Equivalent Debt (as defined below), that are issued or made in lieu of Incremental Term Commitments pursuant to an indenture or a note purchase agreement or otherwise (the “</w:t>
      </w:r>
      <w:r>
        <w:rPr>
          <w:rFonts w:ascii="Times New Roman;serif" w:hAnsi="Times New Roman;serif"/>
          <w:b w:val="false"/>
          <w:color w:val="000000"/>
          <w:sz w:val="22"/>
          <w:u w:val="single"/>
        </w:rPr>
        <w:t>Incremental Equivalent Debt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aggregate principal amount of all Incremental Equivalent Debt issued pursuant to this </w:t>
      </w:r>
      <w:r>
        <w:rPr>
          <w:rFonts w:ascii="Times New Roman;serif" w:hAnsi="Times New Roman;serif"/>
          <w:b w:val="false"/>
          <w:color w:val="000000"/>
          <w:sz w:val="22"/>
          <w:u w:val="single"/>
        </w:rPr>
        <w:t>Section 7.03(s)</w:t>
      </w:r>
      <w:r>
        <w:rPr>
          <w:color w:val="000000"/>
        </w:rPr>
        <w:t xml:space="preserve"> </w:t>
      </w:r>
      <w:r>
        <w:rPr>
          <w:rFonts w:ascii="Times New Roman;serif" w:hAnsi="Times New Roman;serif"/>
          <w:b w:val="false"/>
          <w:color w:val="000000"/>
          <w:sz w:val="22"/>
        </w:rPr>
        <w:t>shall not, together with all Revolving Commitment Increases and/or Incremental Term Commitments incurred after the Closing Date, exceed the Available Incremental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Incremental Equivalent Debt is unsecured, the incurrence of any such Indebtedness pursuant to clause (B) of the definition of Available Incremental Amount shall be subject to the Company’s compliance with the Financial Covenants as of the last day of the Test Period most recently ended for which financial statements have been delivered to the Lenders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after giving effect to such incurrence on a Pro Forma Basis, in lieu of the Consolidated Secured Net Leverage Ratio test set forth in such clause (B)), (ii) no Default shall have occurred and be continuing or would exist immediately after giving effect to such incurrence, (iii) as of the date of determination, such Incremental Equivalent Debt shall not mature earlier than the Maturity Date with respect to the Loans and Commitments in effect as of the effective date of such Incremental Equivalent Debt (prior to giving effect to any extensions thereof occurring after the Maturity Date), (iv) the documentation with respect to such Incremental Equivalent Debt contains no mandatory prepayment, repurchase or redemption provisions prior to the Latest Maturity Date then in effect except with respect to change of control, asset sale and casualty event mandatory offers to purchase and customary acceleration rights after an event of default that are customary for financings of such type, (v) such Incremental Equivalent Debt may participate on a pro rata basis or less than pro rata basis (but not on a greater than pro rata basis (other than pursuant to asset sale and change of control provisions customary for high-yield debt securities)) in any voluntary or mandatory prepayments hereunder, as specified in the applicable Incremental Amendment, (vi) such Incremental Equivalent Debt shall not be subject to any Guarantee by any Person other than a Loan Party, (vii) if such Incremental Equivalent Debt is secured, the obligations in respect thereof shall not be secured by any Lien on any asset of the Company or any Subsidiary other than any asset constituting Collateral, (viii) if such Incremental Equivalent Debt is secured, the security agreements relating to such Incremental Equivalent Debt shall be substantially the same as the Collateral Documents (with such differences as are reasonably satisfactory to the Administrative Agent), (ix) if such Incremental Equivalent Debt is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basis with the Obligations, then such Incremental Equivalent Debt shall be subject to a First Lien Intercreditor Agreement, and (x) the documentation with respect to any Incremental Equivalent Debt shall contain terms and conditions not materially more restrictive (taken as a whole) in respect of the Company and its Subsidiaries than those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(t)Credit Agreement Refinancing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(u)unsecured Indebtedness of the Company or any Subsidiary in an aggregate principal amount not to exceed the amount of Net Cash Proceeds of issuances of, or contributions in respect of, Equity Interests of the Company (other than proceeds of issuances of Disqualified Equity Interests) after the Closing Date to the extent that such Net Cash Proceeds shall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84505"/>
                <wp:effectExtent l="0" t="0" r="0" b="0"/>
                <wp:wrapNone/>
                <wp:docPr id="131" name="Frame13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actually received by OSI (through a capital contribution of such Net Cash Proceeds by the Company to OSI) on or prior to such date of determination and to the extent not used to make payments under </w:t>
      </w:r>
      <w:r>
        <w:rPr>
          <w:rFonts w:ascii="Times New Roman;serif" w:hAnsi="Times New Roman;serif"/>
          <w:b w:val="false"/>
          <w:color w:val="000000"/>
          <w:sz w:val="22"/>
          <w:u w:val="single"/>
        </w:rPr>
        <w:t>Section 7.03(i)</w:t>
      </w:r>
      <w:r>
        <w:rPr>
          <w:rFonts w:ascii="Times New Roman;serif" w:hAnsi="Times New Roman;serif"/>
          <w:b w:val="false"/>
          <w:color w:val="000000"/>
          <w:sz w:val="22"/>
        </w:rPr>
        <w:t xml:space="preserve">, make Investments pursuant to </w:t>
      </w:r>
      <w:r>
        <w:rPr>
          <w:rFonts w:ascii="Times New Roman;serif" w:hAnsi="Times New Roman;serif"/>
          <w:b w:val="false"/>
          <w:color w:val="000000"/>
          <w:sz w:val="22"/>
          <w:u w:val="single"/>
        </w:rPr>
        <w:t>Section 7.02(t)</w:t>
      </w:r>
      <w:r>
        <w:rPr>
          <w:rFonts w:ascii="Times New Roman;serif" w:hAnsi="Times New Roman;serif"/>
          <w:b w:val="false"/>
          <w:color w:val="000000"/>
          <w:sz w:val="22"/>
        </w:rPr>
        <w:t xml:space="preserve">, make Restricted Payments pursuant to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or count towards the Cumulative Growth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(i) such Indebtedness will not mature prior to the date that is ninety-one (91) days after the then Latest Maturity Date at the time of the issuance of such Indebtedness, (ii) such Indebtedness will not have mandatory prepayment or mandatory amortization, redemption, sinking fund or similar prepayments prior to the date that is ninety-one (91) days after the then Latest Maturity Date at the time of the issuance of such Indebtedness, (iii) no Default shall have occurred and be continuing or would exist immediately after giving effect to such incurrence and (iv) the terms and conditions of such Indebtedness shall be not materially more restrictive (taken as a whole) in respect of the Company and its Subsidiaries than those set forth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(v)Indebtedness of Foreign Subsidiaries in an aggregate principal amount not to exceed $100,000,000 at any time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(w)all premiums (if any), interest (including post-petition interest), fees, expenses, charges and additional or contingent interest on obligations described in clauses (a) through (v)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(x)so long as no Default exists or would result therefrom, Permitted Ratio Debt and Permitted Refinancings thereof;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(y)any Indebtedness pursuant to any Permitted Convertible Notes Call Transaction;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(z)unsecured Indebtedness under the 2029 Senior Notes in an aggregate outstanding principal amount not to exceed $500,000,000 at any time, which Indebtedness may be guaranteed on an unsecured basis by the other Loan Parties to the extent required by the terms of the 2029 Senior Notes.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determining compliance with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w:t>
      </w:r>
      <w:r>
        <w:rPr>
          <w:rFonts w:ascii="Times New Roman;serif" w:hAnsi="Times New Roman;serif"/>
          <w:b w:val="false"/>
          <w:color w:val="000000"/>
          <w:sz w:val="22"/>
          <w:u w:val="single"/>
        </w:rPr>
        <w:t>Section 7.03(a)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above, the Company, in its sole discretion, will classify and may subsequently reclassify such item of Indebtedness (or any portion thereof) in any one or more of the types of Indebtedness described in </w:t>
      </w:r>
      <w:r>
        <w:rPr>
          <w:rFonts w:ascii="Times New Roman;serif" w:hAnsi="Times New Roman;serif"/>
          <w:b w:val="false"/>
          <w:color w:val="000000"/>
          <w:sz w:val="22"/>
          <w:u w:val="single"/>
        </w:rPr>
        <w:t>Section 7.03(a)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and will only be required to include the amount and type of such Indebtedness in such of the above clauses as determined by the Company at such time. The Company will be entitled to divide and classify an item of Indebtedness in more than one of the types of Indebtedness described in </w:t>
      </w:r>
      <w:r>
        <w:rPr>
          <w:rFonts w:ascii="Times New Roman;serif" w:hAnsi="Times New Roman;serif"/>
          <w:b w:val="false"/>
          <w:color w:val="000000"/>
          <w:sz w:val="22"/>
          <w:u w:val="single"/>
        </w:rPr>
        <w:t>Section 7.03(a)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Notwithstanding the foregoing, Indebtedness incurred (a) under the Loan Documents, any Incremental Commitments and any Incremental Term Loans shall only be classified as incurred under </w:t>
      </w:r>
      <w:r>
        <w:rPr>
          <w:rFonts w:ascii="Times New Roman;serif" w:hAnsi="Times New Roman;serif"/>
          <w:b w:val="false"/>
          <w:color w:val="000000"/>
          <w:sz w:val="22"/>
          <w:u w:val="single"/>
        </w:rPr>
        <w:t>Section 7.03(a)</w:t>
      </w:r>
      <w:r>
        <w:rPr>
          <w:rFonts w:ascii="Times New Roman;serif" w:hAnsi="Times New Roman;serif"/>
          <w:b w:val="false"/>
          <w:color w:val="000000"/>
          <w:sz w:val="22"/>
        </w:rPr>
        <w:t xml:space="preserve">, (b) as Credit Agreement Refinancing Indebtedness shall only be classified as incurred under </w:t>
      </w:r>
      <w:r>
        <w:rPr>
          <w:rFonts w:ascii="Times New Roman;serif" w:hAnsi="Times New Roman;serif"/>
          <w:b w:val="false"/>
          <w:color w:val="000000"/>
          <w:sz w:val="22"/>
          <w:u w:val="single"/>
        </w:rPr>
        <w:t>Section 7.03(t)</w:t>
      </w:r>
      <w:r>
        <w:rPr>
          <w:color w:val="000000"/>
        </w:rPr>
        <w:t xml:space="preserve"> </w:t>
      </w:r>
      <w:r>
        <w:rPr>
          <w:rFonts w:ascii="Times New Roman;serif" w:hAnsi="Times New Roman;serif"/>
          <w:b w:val="false"/>
          <w:color w:val="000000"/>
          <w:sz w:val="22"/>
        </w:rPr>
        <w:t xml:space="preserve">and (c) as Incremental Equivalent Debt shall only be classified as incurred under </w:t>
      </w:r>
      <w:r>
        <w:rPr>
          <w:rFonts w:ascii="Times New Roman;serif" w:hAnsi="Times New Roman;serif"/>
          <w:b w:val="false"/>
          <w:color w:val="000000"/>
          <w:sz w:val="22"/>
          <w:u w:val="single"/>
        </w:rPr>
        <w:t>Section 7.03(s)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Indebtedness is incurred to refinance other Indebtedness denominated in a foreign currency, and such refinancing would cause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484505"/>
                <wp:effectExtent l="0" t="0" r="0" b="0"/>
                <wp:wrapNone/>
                <wp:docPr id="132" name="Frame13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(including tender premiums) and other costs and expenses (including original issue discount, upfront fees or similar fees) incurred in connection with such refinancing.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accrual of interest or dividends, the accretion of accreted value, the accretion or amortization of original issue discount, and the payment of interest or dividends in the form of additional Indebtedness as the case may be, of the same class, accretion or amortization of original issue discount and increases in the amount of Indebtedness solely as a result of fluctuations in the exchange rate of currencies, will, in each case, not be deemed to be an incurrence of Indebtedness for purposes of this </w:t>
      </w:r>
      <w:r>
        <w:rPr>
          <w:rFonts w:ascii="Times New Roman;serif" w:hAnsi="Times New Roman;serif"/>
          <w:b w:val="false"/>
          <w:color w:val="000000"/>
          <w:sz w:val="22"/>
          <w:u w:val="single"/>
        </w:rPr>
        <w:t>Section 7.03</w:t>
      </w:r>
      <w:r>
        <w:rPr>
          <w:rFonts w:ascii="Times New Roman;serif" w:hAnsi="Times New Roman;serif"/>
          <w:b w:val="false"/>
          <w:color w:val="000000"/>
          <w:sz w:val="22"/>
        </w:rPr>
        <w:t>.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7.04    </w:t>
      </w:r>
      <w:r>
        <w:rPr>
          <w:rFonts w:ascii="Times New Roman;serif" w:hAnsi="Times New Roman;serif"/>
          <w:b/>
          <w:color w:val="000000"/>
          <w:sz w:val="22"/>
          <w:u w:val="single"/>
        </w:rPr>
        <w:t>Fundamental Changes</w:t>
      </w:r>
      <w:r>
        <w:rPr>
          <w:rFonts w:ascii="Times New Roman;serif" w:hAnsi="Times New Roman;serif"/>
          <w:b w:val="false"/>
          <w:color w:val="000000"/>
          <w:sz w:val="22"/>
        </w:rPr>
        <w:t xml:space="preserve">. Merge, dissolve, liquidate, consolidate with or into another Person (including by division), or Dispose of (whether in one transaction or in a series of transactions) all or substantially all of its assets (whether now owned or hereafter acquired) to or in favor of any Person, except that: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(a)any Subsidiary may merge with (i) any Borrower (including a merger, the sole purpose of which is to reorganize such Borrower into a new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(x) such Borrower shall be the continuing or surviving Person and (y) such merger does not result in such Borrower ceasing to be incorporated under the Laws of the United States, any state thereof or the District of Columbia, or (ii) any one or more other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when any Subsidiary that is a Loan Party is merging with another Subsidiary, a Loan Party shall be the continuing or surviving Person;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 any Subsidiary that is not a Loan Party may merge or consolidate with or into any other Subsidiary that is not a Loan Party and (ii) any Subsidiary may liquidate or dissolve or change its legal form (subject, (x) in the case of any change of legal form, to any such Subsidiary that is a Guarantor remaining a Guarantor and (y) in the case of a liquidation or dissolution of a Loan Party, the assets of such Loan Party are transferred to a Loan Party and the security interests of the Collateral Agent in the assets so transferred remain perfected at least to the same extent that such security interests were perfected immediately prior thereto) if the Company determines in good faith that such action is in the best interests of the Company and its Subsidiaries and such change is not materially disadvantageous to the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(c)any Subsidiary may Dispose of all or substantially all of its assets (upon voluntary liquidation or otherwise) to any Borrower or to another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transferor in such a transaction is a Guarantor or a Borrower, then (i) the transferee must either be a Borrower or a Guarantor or (ii) to the extent constituting an Investment, such Investment must be a permitted Investment in or Indebtedness of a Subsidiary which is not a Loan Party in accordance with </w:t>
      </w:r>
      <w:r>
        <w:rPr>
          <w:rFonts w:ascii="Times New Roman;serif" w:hAnsi="Times New Roman;serif"/>
          <w:b w:val="false"/>
          <w:color w:val="000000"/>
          <w:sz w:val="22"/>
          <w:u w:val="single"/>
        </w:rPr>
        <w:t>Sections 7.02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7.03</w:t>
      </w:r>
      <w:r>
        <w:rPr>
          <w:rFonts w:ascii="Times New Roman;serif" w:hAnsi="Times New Roman;serif"/>
          <w:b w:val="false"/>
          <w:color w:val="000000"/>
          <w:sz w:val="22"/>
        </w:rPr>
        <w:t>, respectively;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(d)so long as no Default exists or would result therefrom, the Company may merge or consolidate with any other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Company shall be the continuing or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84505"/>
                <wp:effectExtent l="0" t="0" r="0" b="0"/>
                <wp:wrapNone/>
                <wp:docPr id="133" name="Frame13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surviving corporation or (ii) if the Person formed by or surviving any such merger or consolidation is not the Company (any such Person, the “</w:t>
      </w:r>
      <w:r>
        <w:rPr>
          <w:rFonts w:ascii="Times New Roman;serif" w:hAnsi="Times New Roman;serif"/>
          <w:b w:val="false"/>
          <w:color w:val="000000"/>
          <w:sz w:val="22"/>
          <w:u w:val="single"/>
        </w:rPr>
        <w:t>Successor Company</w:t>
      </w:r>
      <w:r>
        <w:rPr>
          <w:color w:val="000000"/>
        </w:rPr>
        <w:t>”</w:t>
      </w:r>
      <w:r>
        <w:rPr>
          <w:rFonts w:ascii="Times New Roman;serif" w:hAnsi="Times New Roman;serif"/>
          <w:b w:val="false"/>
          <w:color w:val="000000"/>
          <w:sz w:val="22"/>
        </w:rPr>
        <w:t xml:space="preserve">), (A) the Successor Company shall be an entity organized or existing under the laws of the United States, any state thereof or the District of Columbia, (B) the Successor Company shall expressly assume all the obligations of the Company under this Agreement and the other Loan Documents to which the Company is a party pursuant to a supplement hereto or thereto in form reasonably satisfactory to the Administrative Agent, (C) OSI, unless it is the other party to such merger or consolidation, shall have confirmed that its obligations under this Agreement shall remain unchanged, (D) each Guarantor, unless it is the other party to such merger or consolidation, shall have by a supplement to the Guaranty confirmed that its Guarantee shall apply to the Successor Company’s obligations under this Agreement, (E) each Guarantor, unless it is the other party to such merger or consolidation, shall have by a supplement to the Security Agreement confirmed that its obligations thereunder shall apply to the Successor Company’s obligations under this Agreement, (F) each mortgagor of a Mortgaged Property, unless it is the other party to such merger or consolidation, shall have by an amendment to or restatement of the applicable Mortgage confirmed that its obligations thereunder shall apply to the Successor Company’s obligations under this Agreement, (G) immediately after giving effect to such merger or consolidation, the Successor Company and the Subsidiaries shall be in Pro Forma Compliance with the Financial Covenants, such compliance to be determined on the basis of the financial information most recently delivered to the Administrative Agent and the Lenders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as though such merger or consolidation had been consummated as of the first day of the fiscal period covered thereby and evidenced by a certificate from the chief financial officer of the Successor Company demonstrating such compliance calculation in reasonable detail, and (H) the Company shall have delivered to the Administrative Agent an officer’s certificate and an opinion of counsel, each stating that such merger or consolidation and such supplement to this Agreement or any Collateral Document comply with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the foregoing are satisfied, the Successor Company will succeed to, and be substituted for, the Company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(e)so long as no Default exists or would result therefrom, any Subsidiary may merge with any other Person in order to effect an Investment permitted pursuant to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continuing or surviving Person shall be a Subsidiary, which together with each of its Subsidiaries, shall have complied with the requirements of </w:t>
      </w:r>
      <w:r>
        <w:rPr>
          <w:rFonts w:ascii="Times New Roman;serif" w:hAnsi="Times New Roman;serif"/>
          <w:b w:val="false"/>
          <w:color w:val="000000"/>
          <w:sz w:val="22"/>
          <w:u w:val="single"/>
        </w:rPr>
        <w:t>Section 6.11</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(f)so long as no Default exists or would result therefrom, a merger, dissolution, liquidation, consolidation or Disposition, the purpose of which is to effect a Disposition permitted pursuant to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7.05    </w:t>
      </w:r>
      <w:r>
        <w:rPr>
          <w:rFonts w:ascii="Times New Roman;serif" w:hAnsi="Times New Roman;serif"/>
          <w:b/>
          <w:color w:val="000000"/>
          <w:sz w:val="22"/>
          <w:u w:val="single"/>
        </w:rPr>
        <w:t>Dispositions</w:t>
      </w:r>
      <w:r>
        <w:rPr>
          <w:rFonts w:ascii="Times New Roman;serif" w:hAnsi="Times New Roman;serif"/>
          <w:b w:val="false"/>
          <w:color w:val="000000"/>
          <w:sz w:val="22"/>
        </w:rPr>
        <w:t>. Make any Disposition, except: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(a)(x) Dispositions of obsolete or worn out property and assets, whether now owned or hereafter acquired, in the ordinary course of business, (y) Dispositions of property or assets no longer used or useful in the conduct of the business of the Borrowers and their respective Subsidiaries and (z) Dispositions to landlords of improvements made to leased real property pursuant to customary terms of leases entered into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(b)Dispositions of inventory and assets of de minimus value, in any case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(c)Dispositions of property in the ordinary course of business to the extent that (x) such property is exchanged for credit against the purchase price of similar replacement property 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484505"/>
                <wp:effectExtent l="0" t="0" r="0" b="0"/>
                <wp:wrapNone/>
                <wp:docPr id="134" name="Frame13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(y) the proceeds of such Disposition are promptly applied to the purchase price of such replacement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(d)Dispositions of property to a Borrower or to a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transferor of such property is a Borrower or a Guarantor, (i) the transferee thereof must either be a Guarantor or a Borrower or (ii) to the extent such transaction constitutes an Investment, such transaction is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(e)Dispositions permitted by </w:t>
      </w:r>
      <w:r>
        <w:rPr>
          <w:rFonts w:ascii="Times New Roman;serif" w:hAnsi="Times New Roman;serif"/>
          <w:b w:val="false"/>
          <w:color w:val="000000"/>
          <w:sz w:val="22"/>
          <w:u w:val="single"/>
        </w:rPr>
        <w:t>Sections 7.04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7.06</w:t>
      </w:r>
      <w:r>
        <w:rPr>
          <w:rFonts w:ascii="Times New Roman;serif" w:hAnsi="Times New Roman;serif"/>
          <w:b w:val="false"/>
          <w:color w:val="000000"/>
          <w:sz w:val="22"/>
        </w:rPr>
        <w:t xml:space="preserve">, Investments permitted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xml:space="preserve">,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and Dispositions of Equity Interests in Employment Participation Subsidiaries to restaurant employees of, and development partners with, the Borrowers and their respective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(f)Dispositions of property (other than IP Collateral) for cash pursuant to sale-leaseback transactions;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with respect to such property owned by the Borrowers and their respective Subsidiaries on the Closing Date, the Fair Market Value of all property so Disposed of after the Closing Date shall not exceed $50,000,000, and (ii) with respect to such property acquired by any Borrower or any Subsidiary after the Closing Date, the applicable sale-leaseback transaction occurs within two hundred and seventy (270) days after the acquisition or construction (as applicable) of such property or any material repair, replacement or improvement thereof (including reconstruction, refurbishment, renovation and development of real property);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(g)Dispositions of Cash Equivalents;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(h)Dispositions or discounts without recourse of accounts receivable in connection with the compromise or collection thereof and not as part of a financing transaction;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(i)(1) leases, subleases, licenses or sublicenses, in each case which do not materially interfere with the business of the Borrowers and their respective Subsidiaries, taken as a whole; and (2) Dispositions of intellectual property that do not materially interfere with the business of any Borrower or any of its Subsidiaries;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(j)transfers of property subject to Casualty Events upon receipt of the Net Cash Proceeds of such Casualty Event;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(k)Dispositions of property not otherwise permitted under this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Company and its Subsidiaries shall be in Pro Forma Compliance with the Financial Covenants, (ii) at the time of such Disposition (other than any such Disposition made pursuant to a legally binding commitment entered into at a time when no Default has occurred and is continuing), no Default shall have occurred and is continuing or would result from such Disposition, and (iii) with respect to any Disposition (or series of related Dispositions) pursuant to this clause (k) for a purchase price in excess of $5,000,000, the Company or a Subsidiary shall receive not less than 75% of such consideration in the form of cash or Cash Equivalents (in each case, free and clear of all Liens at the time received, other than nonconsensual Liens permitted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Liens permitted by </w:t>
      </w:r>
      <w:r>
        <w:rPr>
          <w:rFonts w:ascii="Times New Roman;serif" w:hAnsi="Times New Roman;serif"/>
          <w:b w:val="false"/>
          <w:color w:val="000000"/>
          <w:sz w:val="22"/>
          <w:u w:val="single"/>
        </w:rPr>
        <w:t>Section 7.01(l)</w:t>
      </w:r>
      <w:r>
        <w:rPr>
          <w:color w:val="000000"/>
        </w:rPr>
        <w:t xml:space="preserve"> </w:t>
      </w:r>
      <w:r>
        <w:rPr>
          <w:rFonts w:ascii="Times New Roman;serif" w:hAnsi="Times New Roman;serif"/>
          <w:b w:val="false"/>
          <w:color w:val="000000"/>
          <w:sz w:val="22"/>
        </w:rPr>
        <w:t xml:space="preserve">and clauses (i) and (ii) of </w:t>
      </w:r>
      <w:r>
        <w:rPr>
          <w:rFonts w:ascii="Times New Roman;serif" w:hAnsi="Times New Roman;serif"/>
          <w:b w:val="false"/>
          <w:color w:val="000000"/>
          <w:sz w:val="22"/>
          <w:u w:val="single"/>
        </w:rPr>
        <w:t>Section 7.01(t)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the purposes of this clause (iii), (A) any liabilities (as shown on the Company’s or such Subsidiary’s most recent balance sheet provided hereunder or in the footnotes thereto) of the Company or such Subsidiary (other than liabilities that are by their terms subordinated to the payment in cash of the Obligations) that are assumed by the transferee with respect to the applicable Disposition and for which the Company and all of its Subsidiaries shall have been validly released by all applicable creditors in writing, (B) any securities received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84505"/>
                <wp:effectExtent l="0" t="0" r="0" b="0"/>
                <wp:wrapNone/>
                <wp:docPr id="135" name="Frame13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or such Subsidiary from such transferee that are converted by the Company or such Subsidiary into cash (to the extent of the cash received) within 180 days following the closing of the applicable Disposition and (C) any Designated Non-Cash Consideration received by the Company or such Subsidiary in respect of such Disposition having an aggregate Fair Market Value, taken together with all other Designated Non-Cash Consideration received pursuant to this clause (C) that is at that time outstanding, not in excess of the greater of (1) $50,000,000 and (2) 1.5% of Total Assets, with the Fair Market Value of each item of Designated Non-Cash Consideration being measured at the time received and without giving effect to subsequent changes in value, shall be deemed to be cash;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(l)Dispositions of Excluded Real Property;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(n)to the extent allowable under Section 1031 of the Code (or comparable or successor provision), any exchange of like property (excluding any boot thereon permitted by such provision) for use in any business conducted by the Borrowers or any of their respective Subsidiaries that is not in contravention of </w:t>
      </w:r>
      <w:r>
        <w:rPr>
          <w:rFonts w:ascii="Times New Roman;serif" w:hAnsi="Times New Roman;serif"/>
          <w:b w:val="false"/>
          <w:color w:val="000000"/>
          <w:sz w:val="22"/>
          <w:u w:val="single"/>
        </w:rPr>
        <w:t>Section 7.07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(o)the unwinding of any Swap Contract;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(p)any swap of assets (other than Cash Equivalents) in exchange for assets of the same type in the ordinary course of business of comparable or greater value or usefulness to the business of the Borrowers and their respective Subsidiaries taken as a whole, as determined in good faith by the management of the Company;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(q)the settlement or early termination of any Permitted Bond Hedge Transaction and the settlement or early termination of any related Permitted Warrant Transactions.</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Disposition of any property pursuant to this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(except pursuant to </w:t>
      </w:r>
      <w:r>
        <w:rPr>
          <w:rFonts w:ascii="Times New Roman;serif" w:hAnsi="Times New Roman;serif"/>
          <w:b w:val="false"/>
          <w:color w:val="000000"/>
          <w:sz w:val="22"/>
          <w:u w:val="single"/>
        </w:rPr>
        <w:t>Sections 7.05(a)(y)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(a)(z)</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and except for Dispositions from a Loan Party to another Loan Party), shall be for no less than the Fair Market Value of such property at the time of such Disposition. To the extent any Collateral is Disposed of as expressly permitted by this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to any Person other than the Company or any Subsidiary, such Collateral shall be sold free and clear of the Liens created by the Loan Documents, and the Administrative Agent or the Collateral Agent, as applicable, shall be authorized to take any actions deemed appropriate in order to effect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7.06    </w:t>
      </w:r>
      <w:r>
        <w:rPr>
          <w:rFonts w:ascii="Times New Roman;serif" w:hAnsi="Times New Roman;serif"/>
          <w:b/>
          <w:color w:val="000000"/>
          <w:sz w:val="22"/>
          <w:u w:val="single"/>
        </w:rPr>
        <w:t>Restricted Payments</w:t>
      </w:r>
      <w:r>
        <w:rPr>
          <w:rFonts w:ascii="Times New Roman;serif" w:hAnsi="Times New Roman;serif"/>
          <w:b w:val="false"/>
          <w:color w:val="000000"/>
          <w:sz w:val="22"/>
        </w:rPr>
        <w:t>. Declare or make, directly or indirectly, any Restricted Payment, except: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Subsidiary may make Restricted Payments to the Borrowers and to other Subsidiaries (and, in the case of a Restricted Payment by a non-Wholly Owned Subsidiary, to any Borrower and any other Subsidiary and to each other owner of Equity Interests of such Subsidiary based on their relative ownership interests of the relevant class of Equity Interests);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(b)each Borrower and each Subsidiary may declare and make dividend payments or other distributions payable solely in the Equity Interests (other than Disqualified Equity Interests not otherwise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 of such Person;</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84505"/>
                <wp:effectExtent l="0" t="0" r="0" b="0"/>
                <wp:wrapNone/>
                <wp:docPr id="136" name="Frame13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(c)each Borrower and each Subsidiary may make distributions to Persons in Brazil to the extent that such amounts are structured to serve as a component of compensation providing more favorable tax treatment than salary and are deducted in determining Consolidated Net Income;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(d)to the extent constituting Restricted Payments, the Borrowers and their respective Subsidiaries may enter into and consummate transactions expressly permitted by any provision of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7.08</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7.08(d)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(e)repurchases of Equity Interests in any Borrower or any Subsidiary deemed to occur upon exercise of stock options or warrants if such Equity Interests represent a portion of the exercise price of such options or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(f)the Company may make Restricted Payments for the repurchase, retirement or other acquisition or retirement for value of Equity Interests of the Company by any future, present or former employee, consultant or director of the Company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Restricted Payments made pursuant to this clause (f) in any calendar year, when combined with the aggregate amount of all cash payments (whether principal or interest) made by the Loan Parties in respect of any promissory notes pursuant to </w:t>
      </w:r>
      <w:r>
        <w:rPr>
          <w:rFonts w:ascii="Times New Roman;serif" w:hAnsi="Times New Roman;serif"/>
          <w:b w:val="false"/>
          <w:color w:val="000000"/>
          <w:sz w:val="22"/>
          <w:u w:val="single"/>
        </w:rPr>
        <w:t>Section 7.03(i)</w:t>
      </w:r>
      <w:r>
        <w:rPr>
          <w:color w:val="000000"/>
        </w:rPr>
        <w:t xml:space="preserve"> </w:t>
      </w:r>
      <w:r>
        <w:rPr>
          <w:rFonts w:ascii="Times New Roman;serif" w:hAnsi="Times New Roman;serif"/>
          <w:b w:val="false"/>
          <w:color w:val="000000"/>
          <w:sz w:val="22"/>
        </w:rPr>
        <w:t xml:space="preserve">in such calendar year, shall not exceed $40,000,000,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unused amounts in any calendar year may be carried over to succeeding calendar years, so long as the aggregate amount of all Restricted Payments made pursuant to this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in any calendar year (after giving effect to such carry forward), when aggregated with the aggregate amount of all cash payments made in respect of promissory notes pursuant to </w:t>
      </w:r>
      <w:r>
        <w:rPr>
          <w:rFonts w:ascii="Times New Roman;serif" w:hAnsi="Times New Roman;serif"/>
          <w:b w:val="false"/>
          <w:color w:val="000000"/>
          <w:sz w:val="22"/>
          <w:u w:val="single"/>
        </w:rPr>
        <w:t>Section 7.03(i)</w:t>
      </w:r>
      <w:r>
        <w:rPr>
          <w:color w:val="000000"/>
        </w:rPr>
        <w:t xml:space="preserve"> </w:t>
      </w:r>
      <w:r>
        <w:rPr>
          <w:rFonts w:ascii="Times New Roman;serif" w:hAnsi="Times New Roman;serif"/>
          <w:b w:val="false"/>
          <w:color w:val="000000"/>
          <w:sz w:val="22"/>
        </w:rPr>
        <w:t xml:space="preserve">in such calendar year (after giving effect to such carry forward), shall not exceed $50,000,000;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cancellation of Indebtedness owing to the Company in connection with and as consideration for a repurchase of Equity Interests of the Company shall not be deemed to constitute a Restricted Payment for purposes of this clause (f);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amount in any calendar year may be increased by an amount not to exceed the remainder of (x) the sum of (1) the amount of Net Cash Proceeds of issuances of Equity Interests (other than proceeds from the issuance of Disqualified Equity Interests) to the extent that such Net Cash Proceeds shall have been actually received by the Company through a capital contribution of such Net Cash Proceeds by the Company (and to the extent not used to make an Investment pursuant to </w:t>
      </w:r>
      <w:r>
        <w:rPr>
          <w:rFonts w:ascii="Times New Roman;serif" w:hAnsi="Times New Roman;serif"/>
          <w:b w:val="false"/>
          <w:color w:val="000000"/>
          <w:sz w:val="22"/>
          <w:u w:val="single"/>
        </w:rPr>
        <w:t>Section 7.02(m)</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a payment pursuant to </w:t>
      </w:r>
      <w:r>
        <w:rPr>
          <w:rFonts w:ascii="Times New Roman;serif" w:hAnsi="Times New Roman;serif"/>
          <w:b w:val="false"/>
          <w:color w:val="000000"/>
          <w:sz w:val="22"/>
          <w:u w:val="single"/>
        </w:rPr>
        <w:t>Section 7.03(i)</w:t>
      </w:r>
      <w:r>
        <w:rPr>
          <w:rFonts w:ascii="Times New Roman;serif" w:hAnsi="Times New Roman;serif"/>
          <w:b w:val="false"/>
          <w:color w:val="000000"/>
          <w:sz w:val="22"/>
        </w:rPr>
        <w:t xml:space="preserve">, a prepayment of Junior Financings pursuant to </w:t>
      </w:r>
      <w:r>
        <w:rPr>
          <w:rFonts w:ascii="Times New Roman;serif" w:hAnsi="Times New Roman;serif"/>
          <w:b w:val="false"/>
          <w:color w:val="000000"/>
          <w:sz w:val="22"/>
          <w:u w:val="single"/>
        </w:rPr>
        <w:t>Section 7.12(a)(v)</w:t>
      </w:r>
      <w:r>
        <w:rPr>
          <w:color w:val="000000"/>
        </w:rPr>
        <w:t xml:space="preserve"> </w:t>
      </w:r>
      <w:r>
        <w:rPr>
          <w:rFonts w:ascii="Times New Roman;serif" w:hAnsi="Times New Roman;serif"/>
          <w:b w:val="false"/>
          <w:color w:val="000000"/>
          <w:sz w:val="22"/>
        </w:rPr>
        <w:t xml:space="preserve">or a Restricted Payment pursuant to </w:t>
      </w:r>
      <w:r>
        <w:rPr>
          <w:rFonts w:ascii="Times New Roman;serif" w:hAnsi="Times New Roman;serif"/>
          <w:b w:val="false"/>
          <w:color w:val="000000"/>
          <w:sz w:val="22"/>
          <w:u w:val="single"/>
        </w:rPr>
        <w:t>Section 7.06(f)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in each case to employees, directors, officers, members of management or consultants of the Company or of its Subsidiaries that occurs after the Closing Date plus (2) the net cash proceeds of key man life insurance policies received by the Company or any of its Subsidiaries after the Closing Date less (y) the aggregate amount of all Restricted Payments made after the Closing Date with the net cash proceeds described in preceding clause (x) (2) less (z) the aggregate amount of all cash payments made in respect of any promissory notes pursuant to </w:t>
      </w:r>
      <w:r>
        <w:rPr>
          <w:rFonts w:ascii="Times New Roman;serif" w:hAnsi="Times New Roman;serif"/>
          <w:b w:val="false"/>
          <w:color w:val="000000"/>
          <w:sz w:val="22"/>
          <w:u w:val="single"/>
        </w:rPr>
        <w:t>Section 7.03(i)</w:t>
      </w:r>
      <w:r>
        <w:rPr>
          <w:color w:val="000000"/>
        </w:rPr>
        <w:t xml:space="preserve"> </w:t>
      </w:r>
      <w:r>
        <w:rPr>
          <w:rFonts w:ascii="Times New Roman;serif" w:hAnsi="Times New Roman;serif"/>
          <w:b w:val="false"/>
          <w:color w:val="000000"/>
          <w:sz w:val="22"/>
        </w:rPr>
        <w:t xml:space="preserve">after the Closing Date in reliance on the last proviso appearing in </w:t>
      </w:r>
      <w:r>
        <w:rPr>
          <w:rFonts w:ascii="Times New Roman;serif" w:hAnsi="Times New Roman;serif"/>
          <w:b w:val="false"/>
          <w:color w:val="000000"/>
          <w:sz w:val="22"/>
          <w:u w:val="single"/>
        </w:rPr>
        <w:t>Section 7.03(i)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(g)cash payments in lieu of the issuance of fractional shares or interests in connection with the exercise of warrants, options or other rights or securities convertible into or exchangeable for Equity Interests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cash payment shall not be for the purpose of evading the limitation of this covenant (as determined in good faith by the board of directors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(h)so long as no Default shall have occurred and be continuing or would result therefrom, the Borrowers may make additional Restricted Payments with the proceeds of Excluded Contributions;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84505"/>
                <wp:effectExtent l="0" t="0" r="0" b="0"/>
                <wp:wrapNone/>
                <wp:docPr id="137" name="Frame13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(i)repurchases, redemptions and other acquisitions of Equity Interests in Employment Participation Subsidiaries held by current or former restaurant employees of, and development partners with, the Company or any of its Subsidiaries;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(j)so long as, (i) on a Pro Forma Basis, the Total Net Leverage Ratio is no greater than 3.50:1.00 and (ii) no Default shall have occurred and be continuing or would result therefrom, the Borrowers may make additional Restricted Payments;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(k)so long as, on the date of declaration thereof, (i) no Default shall have occurred and be continuing or would result therefrom and (ii) immediately after giving effect to such Restricted Payment, the Company and its Subsidiaries shall be in Pro Forma Compliance with the Financial Covenants, any Borrower may declare and pay regular quarterly dividends (excluding any special or one-time dividends) that have been approved by such Borrower’s board of directors;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(l)(i) any payments in connection with a Permitted Bond Hedge Transaction and (ii) the settlement of any related Permitted Warrant Transaction (1) by delivery of shares of the Company’s common stock upon settlement thereof or (2) by (A) set-off against the related Permitted Bond Hedge Transaction or (B) payment of an early termination amount thereof in common stock upon any early termination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7.07    </w:t>
      </w:r>
      <w:r>
        <w:rPr>
          <w:rFonts w:ascii="Times New Roman;serif" w:hAnsi="Times New Roman;serif"/>
          <w:b/>
          <w:color w:val="000000"/>
          <w:sz w:val="22"/>
          <w:u w:val="single"/>
        </w:rPr>
        <w:t>Change in Nature of Business</w:t>
      </w:r>
      <w:r>
        <w:rPr>
          <w:rFonts w:ascii="Times New Roman;serif" w:hAnsi="Times New Roman;serif"/>
          <w:b w:val="false"/>
          <w:color w:val="000000"/>
          <w:sz w:val="22"/>
        </w:rPr>
        <w:t>. Engage in any material line of business substantially different from those lines of business conducted by the Borrowers and their respective Subsidiaries on the Closing Date or any business reasonably related or ancillary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7.08    </w:t>
      </w:r>
      <w:r>
        <w:rPr>
          <w:rFonts w:ascii="Times New Roman;serif" w:hAnsi="Times New Roman;serif"/>
          <w:b/>
          <w:color w:val="000000"/>
          <w:sz w:val="22"/>
          <w:u w:val="single"/>
        </w:rPr>
        <w:t>Transactions with Affiliates</w:t>
      </w:r>
      <w:r>
        <w:rPr>
          <w:rFonts w:ascii="Times New Roman;serif" w:hAnsi="Times New Roman;serif"/>
          <w:b w:val="false"/>
          <w:color w:val="000000"/>
          <w:sz w:val="22"/>
        </w:rPr>
        <w:t xml:space="preserve">. Enter into any transaction of any kind with any Affiliate of any Borrower, whether or not in the ordinary course of business, other than (a) transactions between or among Loan Parties and/or Subsidiaries or any entity that becomes a Subsidiary as a result of such transaction in each case to the extent that such transactions are not otherwise prohibited by this Agreement, (b) on terms substantially as favorable to such Borrower or such Subsidiary as would be obtainable by such Borrower or such Subsidiary at the time in a comparable arm’s-length transaction with a Person other than an Affiliate, (c) consummation of the Transaction, including the payment of fees and expenses related to the Transaction, (d) Restricted Payments permitted under </w:t>
      </w:r>
      <w:r>
        <w:rPr>
          <w:rFonts w:ascii="Times New Roman;serif" w:hAnsi="Times New Roman;serif"/>
          <w:b w:val="false"/>
          <w:color w:val="000000"/>
          <w:sz w:val="22"/>
          <w:u w:val="single"/>
        </w:rPr>
        <w:t>Section 7.06</w:t>
      </w:r>
      <w:r>
        <w:rPr>
          <w:rFonts w:ascii="Times New Roman;serif" w:hAnsi="Times New Roman;serif"/>
          <w:b w:val="false"/>
          <w:color w:val="000000"/>
          <w:sz w:val="22"/>
        </w:rPr>
        <w:t xml:space="preserve">, (e) loans and other transactions by the Borrowers and their respective Subsidiaries to the extent permitted under this </w:t>
      </w:r>
      <w:r>
        <w:rPr>
          <w:rFonts w:ascii="Times New Roman;serif" w:hAnsi="Times New Roman;serif"/>
          <w:b w:val="false"/>
          <w:color w:val="000000"/>
          <w:sz w:val="22"/>
          <w:u w:val="single"/>
        </w:rPr>
        <w:t>Article VII</w:t>
      </w:r>
      <w:r>
        <w:rPr>
          <w:rFonts w:ascii="Times New Roman;serif" w:hAnsi="Times New Roman;serif"/>
          <w:b w:val="false"/>
          <w:color w:val="000000"/>
          <w:sz w:val="22"/>
        </w:rPr>
        <w:t xml:space="preserve">, (f) employment, consulting and severance arrangements between the Borrowers and their respective Subsidiaries and their respective officers and employees in the ordinary course of business and transactions pursuant to stock option plans and employee or director benefit plans and arrangements, (g) payments by the Borrowers and their respective Subsidiaries pursuant to the tax sharing agreements among the Borrowers and their respective Subsidiaries on customary terms to the extent attributable to the ownership or operations of the Borrowers and their respective Subsidiaries, (h) the payment of customary fees and reasonable out of pocket costs and expenses to, and indemnities provided on behalf of, directors, officers, consultants and employees of the Company and its Subsidiaries in the ordinary course of business to the extent attributable to the ownership or operation of the Company and its Subsidiaries, (i) transactions pursuant to permitted agreements in existence on the Closing Date and set forth on </w:t>
      </w:r>
      <w:r>
        <w:rPr>
          <w:rFonts w:ascii="Times New Roman;serif" w:hAnsi="Times New Roman;serif"/>
          <w:b w:val="false"/>
          <w:color w:val="000000"/>
          <w:sz w:val="22"/>
          <w:u w:val="single"/>
        </w:rPr>
        <w:t>Schedule 7.08</w:t>
      </w:r>
      <w:r>
        <w:rPr>
          <w:color w:val="000000"/>
        </w:rPr>
        <w:t xml:space="preserve"> </w:t>
      </w:r>
      <w:r>
        <w:rPr>
          <w:rFonts w:ascii="Times New Roman;serif" w:hAnsi="Times New Roman;serif"/>
          <w:b w:val="false"/>
          <w:color w:val="000000"/>
          <w:sz w:val="22"/>
        </w:rPr>
        <w:t xml:space="preserve">or any amendment thereto or replacement thereof to the extent such an amendment or replacement is not adverse to the Lenders in any material respect, (j) transactions with suppliers, joint venture partners or purchasers or sellers of goods or services, in each case in the ordinary course of business and otherwise in compliance with the terms of this Agreement which are fair to the Company and its Subsidiaries, in the reasonable determination of the board of directors of the Company or the senior management thereof, or are on terms at least as favorable as would reasonably have been obtained at such time from an unaffiliated party and (k) transactions in which the Company or any of its Subsidiaries, as the case may be, delivers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484505"/>
                <wp:effectExtent l="0" t="0" r="0" b="0"/>
                <wp:wrapNone/>
                <wp:docPr id="138" name="Frame13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Administrative Agent a letter from an Independent Financial Advisor stating that such transaction is fair to the Company or such Subsidiary from a financial point of view or meets the requirements of </w:t>
      </w:r>
      <w:r>
        <w:rPr>
          <w:rFonts w:ascii="Times New Roman;serif" w:hAnsi="Times New Roman;serif"/>
          <w:b w:val="false"/>
          <w:color w:val="000000"/>
          <w:sz w:val="22"/>
          <w:u w:val="single"/>
        </w:rPr>
        <w:t>Section 7.08(b)</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7.09    </w:t>
      </w:r>
      <w:r>
        <w:rPr>
          <w:rFonts w:ascii="Times New Roman;serif" w:hAnsi="Times New Roman;serif"/>
          <w:b/>
          <w:color w:val="000000"/>
          <w:sz w:val="22"/>
          <w:u w:val="single"/>
        </w:rPr>
        <w:t>Burdensome Agreements</w:t>
      </w:r>
      <w:r>
        <w:rPr>
          <w:rFonts w:ascii="Times New Roman;serif" w:hAnsi="Times New Roman;serif"/>
          <w:b w:val="false"/>
          <w:color w:val="000000"/>
          <w:sz w:val="22"/>
        </w:rPr>
        <w:t xml:space="preserve">. Enter into or permit to exist any Contractual Obligation (other than this Agreement or any other Loan Document) that limits the ability of (a) any Subsidiary that is not a Guarantor to make Restricted Payments, intercompany loans or other advances to any Borrower or any Guarantor or (b) any Borrower or any Loan Party to create, incur, assume or suffer to exist Liens on property of such Person for the benefit of the Secured Parties with respect to the Facilities and the Obligations or under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clauses (a) and (b) shall not apply to Contractual Obligations which (i) (x) exist on the Closing Date and (to the extent not otherwise permitted by this </w:t>
      </w:r>
      <w:r>
        <w:rPr>
          <w:rFonts w:ascii="Times New Roman;serif" w:hAnsi="Times New Roman;serif"/>
          <w:b w:val="false"/>
          <w:color w:val="000000"/>
          <w:sz w:val="22"/>
          <w:u w:val="single"/>
        </w:rPr>
        <w:t>Section 7.09</w:t>
      </w:r>
      <w:r>
        <w:rPr>
          <w:rFonts w:ascii="Times New Roman;serif" w:hAnsi="Times New Roman;serif"/>
          <w:b w:val="false"/>
          <w:color w:val="000000"/>
          <w:sz w:val="22"/>
        </w:rPr>
        <w:t xml:space="preserve">) are listed on </w:t>
      </w:r>
      <w:r>
        <w:rPr>
          <w:rFonts w:ascii="Times New Roman;serif" w:hAnsi="Times New Roman;serif"/>
          <w:b w:val="false"/>
          <w:color w:val="000000"/>
          <w:sz w:val="22"/>
          <w:u w:val="single"/>
        </w:rPr>
        <w:t>Schedule 7.09</w:t>
      </w:r>
      <w:r>
        <w:rPr>
          <w:color w:val="000000"/>
        </w:rPr>
        <w:t xml:space="preserve"> </w:t>
      </w:r>
      <w:r>
        <w:rPr>
          <w:rFonts w:ascii="Times New Roman;serif" w:hAnsi="Times New Roman;serif"/>
          <w:b w:val="false"/>
          <w:color w:val="000000"/>
          <w:sz w:val="22"/>
        </w:rPr>
        <w:t xml:space="preserve">and (y) to the extent Contractual Obligations permitted by preceding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(ii) are binding on a Subsidiary at the time such Subsidiary first becomes a Subsidiary, so long as such Contractual Obligations were not entered into solely in contemplation of such Person becoming a Subsidiary, (iii) represent Indebtedness of a Subsidiary which is not a Loan Party which is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(iv) are customary restrictions that arise in connection with (x) any Lien permitted by </w:t>
      </w:r>
      <w:r>
        <w:rPr>
          <w:rFonts w:ascii="Times New Roman;serif" w:hAnsi="Times New Roman;serif"/>
          <w:b w:val="false"/>
          <w:color w:val="000000"/>
          <w:sz w:val="22"/>
          <w:u w:val="single"/>
        </w:rPr>
        <w:t>Sections 7.01(j)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(l)</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(aa)</w:t>
      </w:r>
      <w:r>
        <w:rPr>
          <w:color w:val="000000"/>
        </w:rPr>
        <w:t xml:space="preserve"> </w:t>
      </w:r>
      <w:r>
        <w:rPr>
          <w:rFonts w:ascii="Times New Roman;serif" w:hAnsi="Times New Roman;serif"/>
          <w:b w:val="false"/>
          <w:color w:val="000000"/>
          <w:sz w:val="22"/>
        </w:rPr>
        <w:t xml:space="preserve">and relate to the property subject to such Lien or (y) any Disposition permitted by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applicable pending such Disposition solely to the assets subject to such Disposition, (v) are customary provisions in joint venture agreements and other similar agreements applicable to joint ventures permitted under </w:t>
      </w:r>
      <w:r>
        <w:rPr>
          <w:rFonts w:ascii="Times New Roman;serif" w:hAnsi="Times New Roman;serif"/>
          <w:b w:val="false"/>
          <w:color w:val="000000"/>
          <w:sz w:val="22"/>
          <w:u w:val="single"/>
        </w:rPr>
        <w:t>Section 7.02</w:t>
      </w:r>
      <w:r>
        <w:rPr>
          <w:color w:val="000000"/>
        </w:rPr>
        <w:t xml:space="preserve"> </w:t>
      </w:r>
      <w:r>
        <w:rPr>
          <w:rFonts w:ascii="Times New Roman;serif" w:hAnsi="Times New Roman;serif"/>
          <w:b w:val="false"/>
          <w:color w:val="000000"/>
          <w:sz w:val="22"/>
        </w:rPr>
        <w:t xml:space="preserve">and applicable solely to such joint venture, (vi) are negative pledges and restrictions on Liens in favor of any holder of Indebtedness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but solely to the extent any negative pledge relates to the property financed by or the subject of such Indebtedness (and excluding in any event any Indebtedness constituting any Junior Financing), (vii) are customary restrictions on leases, subleases, licenses or asset sale agreements otherwise permitted hereby so long as such restrictions relate to property interests, rights or the assets subject thereto, (viii) comprise restrictions imposed by any agreement relating to secured Indebtedness permitted pursuant to </w:t>
      </w:r>
      <w:r>
        <w:rPr>
          <w:rFonts w:ascii="Times New Roman;serif" w:hAnsi="Times New Roman;serif"/>
          <w:b w:val="false"/>
          <w:color w:val="000000"/>
          <w:sz w:val="22"/>
          <w:u w:val="single"/>
        </w:rPr>
        <w:t>Section 7.03(e)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(g)(A)</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to the extent that such restrictions apply only to the property or assets securing such Indebtedness or, in the case of Indebtedness incurred pursuant to </w:t>
      </w:r>
      <w:r>
        <w:rPr>
          <w:rFonts w:ascii="Times New Roman;serif" w:hAnsi="Times New Roman;serif"/>
          <w:b w:val="false"/>
          <w:color w:val="000000"/>
          <w:sz w:val="22"/>
          <w:u w:val="single"/>
        </w:rPr>
        <w:t>Section 7.03(g)(A)</w:t>
      </w:r>
      <w:r>
        <w:rPr>
          <w:color w:val="000000"/>
        </w:rPr>
        <w:t xml:space="preserve"> </w:t>
      </w:r>
      <w:r>
        <w:rPr>
          <w:rFonts w:ascii="Times New Roman;serif" w:hAnsi="Times New Roman;serif"/>
          <w:b w:val="false"/>
          <w:color w:val="000000"/>
          <w:sz w:val="22"/>
        </w:rPr>
        <w:t xml:space="preserve">only, to the Subsidiaries incurring or guaranteeing such Indebtedness, (ix) are customary provisions restricting subletting or assignment of any lease governing a leasehold interest of any Borrower or any Subsidiary, (x) are customary provisions restricting assignment of any agreement entered into in the ordinary course of business, (xi) are restrictions on cash or other deposits imposed by customers under contracts entered into in the ordinary course of business, (xii) arise in connection with cash or other deposits permitted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7.02</w:t>
      </w:r>
      <w:r>
        <w:rPr>
          <w:rFonts w:ascii="Times New Roman;serif" w:hAnsi="Times New Roman;serif"/>
          <w:b w:val="false"/>
          <w:color w:val="000000"/>
          <w:sz w:val="22"/>
        </w:rPr>
        <w:t xml:space="preserve">, and limited to such cash or deposits; and (xiii) comprise restrictions imposed by any agreement governing Indebtedness entered into after the Closing Date and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that are, taken as a whole, in the good faith judgment of the Company, no more restrictive with respect to the Company or any Subsidiary than customary market terms for Indebtedness of such type (and, in any event, are no more restrictive than the restrictions contained in this Agreement), so long as the Company shall have determined in good faith that such restrictions will not affect its obligations or ability to make any payments required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7.10    </w:t>
      </w:r>
      <w:r>
        <w:rPr>
          <w:rFonts w:ascii="Times New Roman;serif" w:hAnsi="Times New Roman;serif"/>
          <w:b/>
          <w:color w:val="000000"/>
          <w:sz w:val="22"/>
          <w:u w:val="single"/>
        </w:rPr>
        <w:t>Financial Covenants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(a)Permit the Total Net Leverage Ratio as of the last day of each Test Period to be greater than 4.50:1.00 (the “Total Net Leverage Ratio Covenant”).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84505"/>
                <wp:effectExtent l="0" t="0" r="0" b="0"/>
                <wp:wrapNone/>
                <wp:docPr id="139" name="Frame13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(b)Permit the Consolidated Senior Secured Net Leverage Ratio as of the last day of each Test Period to be greater than 3.50:1.00 (the “Senior Secured Net Leverage Ratio Covenant” and, together with the Total Net Leverage Ratio Covenant, the “Financial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in connection with any Permitted Acquisition having aggregate cash consideration (including cash, Cash Equivalents and other deferred payment obligations) in excess of $200,000,000, the Company may, at its election, in connection with such Permitted Acquisition and upon prior written notice to the Administrative Agent, increase the maximum Total Net Leverage Ratio pursuant to this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 xml:space="preserve">to 5.00:1.00 and the maximum Consolidated Senior Secured Net Leverage Ratio pursuant to this Section 7.10 to 4.00:1.00, which such increases shall be applicable (a) with respect to a Permitted Acquisition that is not a Limited Condition Acquisition, for the fiscal quarter in which such Permitted Acquisition is consummated and the three (3) consecutive fiscal quarters thereafter or (b) with respect to a Permitted Acquisition that is a Limited Condition Acquisition, for purposes of determining compliance on a Pro Forma Basis with this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on the test date for such Limited Condition Acquisition, for the fiscal quarter in which such Permitted Acquisition is consummated and for the three (3) consecutive fiscal quarters after which such Permitted Acquisition is consummated (each, a “</w:t>
      </w:r>
      <w:r>
        <w:rPr>
          <w:rFonts w:ascii="Times New Roman;serif" w:hAnsi="Times New Roman;serif"/>
          <w:b w:val="false"/>
          <w:color w:val="000000"/>
          <w:sz w:val="22"/>
          <w:u w:val="single"/>
        </w:rPr>
        <w:t>Leverage Ratio Increase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such increases shall apply solely with respect to compliance with this Section 7.10 and any determination of the Total Net Leverage Ratio or the Consolidated Senior Secured Net Leverage Ratio for purposes of the definition of Permitted Acquisition and any incurrence test with respect to any Indebtedness used to finance a Permitted Acquisition and shall not apply to any other purposes under this Agreement, (y) there shall be no more than two (2) Leverage Ratio Increases during the term of this Agreement and (z) there shall be at least two (2) full fiscal quarters following the cessation of each such Leverage Ratio Increase during which no Leverage Ratio Increase shall then be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pPr>
      <w:r>
        <w:rPr>
          <w:rFonts w:ascii="Times New Roman;serif" w:hAnsi="Times New Roman;serif"/>
          <w:b/>
          <w:color w:val="000000"/>
          <w:sz w:val="22"/>
        </w:rPr>
        <w:t>Section 7.11    </w:t>
      </w:r>
      <w:r>
        <w:rPr>
          <w:rFonts w:ascii="Times New Roman;serif" w:hAnsi="Times New Roman;serif"/>
          <w:b/>
          <w:color w:val="000000"/>
          <w:sz w:val="22"/>
          <w:u w:val="single"/>
        </w:rPr>
        <w:t>Accounting Changes</w:t>
      </w:r>
      <w:r>
        <w:rPr>
          <w:rFonts w:ascii="Times New Roman;serif" w:hAnsi="Times New Roman;serif"/>
          <w:b w:val="false"/>
          <w:color w:val="000000"/>
          <w:sz w:val="22"/>
        </w:rPr>
        <w:t xml:space="preserve">. Make any change in fiscal quarter or fiscal year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Company may, upon written notice to the Administrative Agent, change its fiscal quarter or fiscal year to any other fiscal quarter or fiscal year reasonably acceptable to the Administrative Agent, in which case, the Company and the Administrative Agent will, and are hereby authorized by the Lenders to, make any adjustments to this Agreement that are necessary to reflect such change in fiscal quarter or fiscal year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7.12    </w:t>
      </w:r>
      <w:r>
        <w:rPr>
          <w:rFonts w:ascii="Times New Roman;serif" w:hAnsi="Times New Roman;serif"/>
          <w:b/>
          <w:color w:val="000000"/>
          <w:sz w:val="22"/>
          <w:u w:val="single"/>
        </w:rPr>
        <w:t>Prepayments, Etc. of Indebtedness</w:t>
      </w:r>
      <w:r>
        <w:rPr>
          <w:rFonts w:ascii="Times New Roman;serif" w:hAnsi="Times New Roman;serif"/>
          <w:b w:val="false"/>
          <w:color w:val="000000"/>
          <w:sz w:val="22"/>
        </w:rPr>
        <w:t xml:space="preserve">. (a) Prepay, redeem, purchase, defease or otherwise satisfy prior to the scheduled maturity thereof in any manner (it being understood that payments of regularly scheduled principal (to the extent permitted hereunder) and interest shall be permitted) any Junior Financing except (i) the refinancing thereof with any Indebtedness (to the extent such Indebtedness constitutes a Permitted Refinancing), to the extent not required to prepay any Loans or Facility pursuant to </w:t>
      </w:r>
      <w:r>
        <w:rPr>
          <w:rFonts w:ascii="Times New Roman;serif" w:hAnsi="Times New Roman;serif"/>
          <w:b w:val="false"/>
          <w:color w:val="000000"/>
          <w:sz w:val="22"/>
          <w:u w:val="single"/>
        </w:rPr>
        <w:t>Section 2.05(b)</w:t>
      </w:r>
      <w:r>
        <w:rPr>
          <w:rFonts w:ascii="Times New Roman;serif" w:hAnsi="Times New Roman;serif"/>
          <w:b w:val="false"/>
          <w:color w:val="000000"/>
          <w:sz w:val="22"/>
        </w:rPr>
        <w:t>, (ii) the conversion or exchange of any Junior Financing to Equity Interests (other than Disqualified Equity Interests) of the Company, (iii) the prepayment of Indebtedness of any Borrower or any Subsidiary to any Borrower or any Subsidiary to the extent permitted by the subordination provisions contained in the Intercompany Note, (iv) prepayments, redemptions, purchases, defeasances and other payments in respect of Junior Financings prior to their scheduled maturity in an aggregate amount not to exceed the greater of (A) $100,000,000 and (B) 3.0% of Total Assets, (v) prepayments, redemptions, purchases, defeasances and other payments in respect of the Junior Financings prior to their scheduled maturity in an aggregate amount not to exceed the Cumulative Growth Amount immediately prior to the making of such payment and (vi) additional prepayments, redemptions, purchases, defeasances and other payments in respect of the Junior Financings so long as (A) on a Pro Forma Basis, the Total Net Leverage Ratio is no greater than 3.50:1.00 and (B) no Default shall have occurred and be continuing or would result therefrom.</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Amend, modify or change in any manner materially adverse to the interests of the Lenders any term or condition (including any subordination provisions) of any Junior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84505"/>
                <wp:effectExtent l="0" t="0" r="0" b="0"/>
                <wp:wrapNone/>
                <wp:docPr id="140" name="Frame13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Documentation in respect of any Junior Financing having an aggregate outstanding principal amount in excess of the Threshold Amount without the consent of the Administrative Agent (which consent shall not be unreasonably withheld or delayed).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7.13    </w:t>
      </w:r>
      <w:r>
        <w:rPr>
          <w:rFonts w:ascii="Times New Roman;serif" w:hAnsi="Times New Roman;serif"/>
          <w:b/>
          <w:color w:val="000000"/>
          <w:sz w:val="22"/>
          <w:u w:val="single"/>
        </w:rPr>
        <w:t>Sanctions; Anti-Corruption Laws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(a)None of the Company or any of the Company’s Subsidiaries will directly or, to the knowledge of the Company or any of the Company’s Subsidiaries, indirectly, use the proceeds of any Credit Extension in violation of applicable Sanctions or otherwise knowingly make available such proceeds to any Person for the purpose of financing the activities of any Sanctioned Person, except to the extent licensed, exempted or otherwise approved by a competent governmental body responsible for enforcing such Sanctions.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(b)None of the Company or any of the Company’s Subsidiaries will directly or, to the knowledge of the Company or any of the Company’s Subsidiaries, indirectly, use the proceeds of any Credit Extension for any purpose which would breach any Anti-Corruption Laws in any material respect.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7.14    </w:t>
      </w:r>
      <w:r>
        <w:rPr>
          <w:rFonts w:ascii="Times New Roman;serif" w:hAnsi="Times New Roman;serif"/>
          <w:b/>
          <w:color w:val="000000"/>
          <w:sz w:val="22"/>
          <w:u w:val="single"/>
        </w:rPr>
        <w:t>Limitations Regarding Outbound Investment Rules</w:t>
      </w:r>
      <w:r>
        <w:rPr>
          <w:rFonts w:ascii="Times New Roman;serif" w:hAnsi="Times New Roman;serif"/>
          <w:b w:val="false"/>
          <w:color w:val="000000"/>
          <w:sz w:val="22"/>
        </w:rPr>
        <w:t>. Neither the Company nor any of the Company’s Subsidiaries shall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United States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VIII</w:t>
        <w:br/>
        <w:br/>
        <w:t>EVENTS OF DEFAULT AND REMEDIES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8.01    </w:t>
      </w:r>
      <w:r>
        <w:rPr>
          <w:rFonts w:ascii="Times New Roman;serif" w:hAnsi="Times New Roman;serif"/>
          <w:b/>
          <w:color w:val="000000"/>
          <w:sz w:val="22"/>
          <w:u w:val="single"/>
        </w:rPr>
        <w:t>Events of Default</w:t>
      </w:r>
      <w:r>
        <w:rPr>
          <w:rFonts w:ascii="Times New Roman;serif" w:hAnsi="Times New Roman;serif"/>
          <w:b w:val="false"/>
          <w:color w:val="000000"/>
          <w:sz w:val="22"/>
        </w:rPr>
        <w:t>. Any of the following shall constitute an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Non-Payment</w:t>
      </w:r>
      <w:r>
        <w:rPr>
          <w:rFonts w:ascii="Times New Roman;serif" w:hAnsi="Times New Roman;serif"/>
          <w:b w:val="false"/>
          <w:color w:val="000000"/>
          <w:sz w:val="22"/>
        </w:rPr>
        <w:t xml:space="preserve">. Any Borrower or any other Loan Party fails to pay (i) when and as required to be paid herein, any amount of principal of any Loan or any Unreimbursed Amount (to the extent that such Unreimbursed Amount has not been refinanced by a Revolving Credit Borrowing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or (ii) within five (5) Business Days after the same becomes due, any interest on any Loan or any other amount payable hereunder or with respect to any other Loan Document;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 xml:space="preserve">. Any Borrower fails to perform or observe any term, covenant or agreement contained in any of </w:t>
      </w:r>
      <w:r>
        <w:rPr>
          <w:rFonts w:ascii="Times New Roman;serif" w:hAnsi="Times New Roman;serif"/>
          <w:b w:val="false"/>
          <w:color w:val="000000"/>
          <w:sz w:val="22"/>
          <w:u w:val="single"/>
        </w:rPr>
        <w:t>Sections 6.03(a)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6.05(a)</w:t>
      </w:r>
      <w:r>
        <w:rPr>
          <w:color w:val="000000"/>
        </w:rPr>
        <w:t xml:space="preserve"> </w:t>
      </w:r>
      <w:r>
        <w:rPr>
          <w:rFonts w:ascii="Times New Roman;serif" w:hAnsi="Times New Roman;serif"/>
          <w:b w:val="false"/>
          <w:color w:val="000000"/>
          <w:sz w:val="22"/>
        </w:rPr>
        <w:t xml:space="preserve">(solely with respect to any Borrower) or </w:t>
      </w:r>
      <w:r>
        <w:rPr>
          <w:rFonts w:ascii="Times New Roman;serif" w:hAnsi="Times New Roman;serif"/>
          <w:b w:val="false"/>
          <w:color w:val="000000"/>
          <w:sz w:val="22"/>
          <w:u w:val="single"/>
        </w:rPr>
        <w:t>Article VII</w:t>
      </w:r>
      <w:r>
        <w:rPr>
          <w:rFonts w:ascii="Times New Roman;serif" w:hAnsi="Times New Roman;serif"/>
          <w:b w:val="false"/>
          <w:color w:val="000000"/>
          <w:sz w:val="22"/>
        </w:rPr>
        <w:t>;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other covenant or agreement (not specified in </w:t>
      </w:r>
      <w:r>
        <w:rPr>
          <w:rFonts w:ascii="Times New Roman;serif" w:hAnsi="Times New Roman;serif"/>
          <w:b w:val="false"/>
          <w:color w:val="000000"/>
          <w:sz w:val="22"/>
          <w:u w:val="single"/>
        </w:rPr>
        <w:t>Section 8.01(a)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contained in any Loan Document on its part to be performed or observed and such failure continues for thirty (30) days after notice thereof by the Administrative Agent to the Company; or</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84505"/>
                <wp:effectExtent l="0" t="0" r="0" b="0"/>
                <wp:wrapNone/>
                <wp:docPr id="141" name="Frame14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any Borrower or any other Loan Party herein, in any other Loan Document, or in any document required to be delivered in connection herewith or therewith shall be incorrect or misleading in any material respect when made or deemed made;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Cross-Default</w:t>
      </w:r>
      <w:r>
        <w:rPr>
          <w:rFonts w:ascii="Times New Roman;serif" w:hAnsi="Times New Roman;serif"/>
          <w:b w:val="false"/>
          <w:color w:val="000000"/>
          <w:sz w:val="22"/>
        </w:rPr>
        <w:t xml:space="preserve">. Any Loan Party or any Subsidiary (A) fails to make any payment beyond the applicable grace period with respect thereto, if any (whether by scheduled maturity, required prepayment, acceleration, demand, or otherwise) in respect of any Indebtedness (other than Indebtedness hereunder), together with any other Indebtedness (other than Indebtedness hereunder) in respect of which such a payment default exists, having an aggregate principal amount for all such Indebtedness of not less than the Threshold Amount, or (B) fails to observe or perform any other agreement or condition relating to any such Indebtedness having an aggregate principal amount for all such Indebtedness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Insolvency Proceedings, Etc</w:t>
      </w:r>
      <w:r>
        <w:rPr>
          <w:rFonts w:ascii="Times New Roman;serif" w:hAnsi="Times New Roman;serif"/>
          <w:b w:val="false"/>
          <w:color w:val="000000"/>
          <w:sz w:val="22"/>
        </w:rPr>
        <w:t>. Any Loan Party or any of the Subsidiaries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Any Loan Party or any Subsidiary becomes unable or admits in writing its inability or fails generally to pay its debts in excess of the Threshold Amount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pStyle w:val="TextBody"/>
        <w:bidi w:val="0"/>
        <w:spacing w:lineRule="auto" w:line="288" w:before="0" w:after="0"/>
        <w:ind w:left="0" w:right="0" w:firstLine="72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Judgments</w:t>
      </w:r>
      <w:r>
        <w:rPr>
          <w:rFonts w:ascii="Times New Roman;serif" w:hAnsi="Times New Roman;serif"/>
          <w:b w:val="false"/>
          <w:color w:val="000000"/>
          <w:sz w:val="22"/>
        </w:rPr>
        <w:t>. There is entered against any Loan Party or any Subsidiary one or more final judgments or orders for the payment of money in an aggregate amount exceeding the Threshold Amount (to the extent not covered by independent third-party insurance as to which the insurer has been notified of such judgment or order and has not denied coverage) and such judgments or orders shall not have been satisfied, vacated, discharged or stayed or bonded pending an appeal for a period of sixty (60) consecutive days; or</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84505"/>
                <wp:effectExtent l="0" t="0" r="0" b="0"/>
                <wp:wrapNone/>
                <wp:docPr id="142" name="Frame14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could reasonably be expected to result in liability of any Loan Party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 xml:space="preserve">. Any material provision of any Loan Document, at any time after its execution and delivery and for any reason other than as expressly permitted hereunder or thereunder (including as a result of a transaction permitted under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 or as a result of acts or omissions by the Administrative Agent or any Lender or the satisfaction in full of all the Obligations, ceases to be in full force and effect; or any Loan Party contests in writing the validity or enforceability of any provision of any Loan Document or any Lien on any material portion of the Collateral created thereby; or any Loan Party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(k)</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Collateral Documents</w:t>
      </w:r>
      <w:r>
        <w:rPr>
          <w:rFonts w:ascii="Times New Roman;serif" w:hAnsi="Times New Roman;serif"/>
          <w:b w:val="false"/>
          <w:color w:val="000000"/>
          <w:sz w:val="22"/>
        </w:rPr>
        <w:t xml:space="preserve">. (i) Any Collateral Document after delivery thereof pursuant to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6.13</w:t>
      </w:r>
      <w:r>
        <w:rPr>
          <w:color w:val="000000"/>
        </w:rPr>
        <w:t xml:space="preserve"> </w:t>
      </w:r>
      <w:r>
        <w:rPr>
          <w:rFonts w:ascii="Times New Roman;serif" w:hAnsi="Times New Roman;serif"/>
          <w:b w:val="false"/>
          <w:color w:val="000000"/>
          <w:sz w:val="22"/>
        </w:rPr>
        <w:t xml:space="preserve">shall for any reason (other than pursuant to the terms thereof including as a result of a transaction permitted under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7.05</w:t>
      </w:r>
      <w:r>
        <w:rPr>
          <w:rFonts w:ascii="Times New Roman;serif" w:hAnsi="Times New Roman;serif"/>
          <w:b w:val="false"/>
          <w:color w:val="000000"/>
          <w:sz w:val="22"/>
        </w:rPr>
        <w:t>) cease to create a valid and perfected lien, with the priority required by the Collateral Documents on and security interest in any material portion of the Collateral purported to be covered thereby, subject to Permitted Liens, except to the extent that any such loss of perfection or priority results from the failure of the Administrative Agent or the Collateral Agent to maintain possession of certificates actually delivered to it representing securities pledged under the Collateral Documents or to file Uniform Commercial Code continuation statements and except as to Collateral consisting of real property to the extent that such losses are covered by a lender’s title insurance policy and such insurer has not denied coverage, or (ii) any of the Equity Interests of OSI ceasing to be pledged pursuant to the Security Agreement free of Liens other than Liens created by the Security Agreement or any nonconsensual Liens arising solely by operation of Law;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Junior Financing Documentation</w:t>
      </w:r>
      <w:r>
        <w:rPr>
          <w:rFonts w:ascii="Times New Roman;serif" w:hAnsi="Times New Roman;serif"/>
          <w:b w:val="false"/>
          <w:color w:val="000000"/>
          <w:sz w:val="22"/>
        </w:rPr>
        <w:t>. (i) Any of the Obligations of the Loan Parties under the Loan Documents for any reason shall cease to be “Senior Indebtedness” (or any comparable term) or “Senior Secured Financing” (or any comparable term) under, and as defined in, any Junior Financing Documentation that is subordinated (or required to be subordinated) to the Obligations and having an aggregate principal amount (for all such Junior Financing Documentation) of not less than the Threshold Amount, (ii) the subordination provisions set forth in any Junior Financing Documentation shall, in whole or in part, cease to be effective or cease to be legally valid, binding and enforceable against the holders of any such Junior Financing having an aggregate principal amount (for all such Junior Financing Documentation) of not less than the Threshold Amount, if applicable or (iii) any Loan Party contests in writing the validity or enforceability of any subordination provision set forth in any Junior Financing Documentation.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8.02    </w:t>
      </w:r>
      <w:r>
        <w:rPr>
          <w:rFonts w:ascii="Times New Roman;serif" w:hAnsi="Times New Roman;serif"/>
          <w:b/>
          <w:color w:val="000000"/>
          <w:sz w:val="22"/>
          <w:u w:val="single"/>
        </w:rPr>
        <w:t>Remedies Upon Event of Default</w:t>
      </w:r>
      <w:r>
        <w:rPr>
          <w:rFonts w:ascii="Times New Roman;serif" w:hAnsi="Times New Roman;serif"/>
          <w:b w:val="false"/>
          <w:color w:val="000000"/>
          <w:sz w:val="22"/>
        </w:rPr>
        <w:t>. If any Event of Default occurs and is continuing, the Administrative Agent may and, at the request of the Required Lenders, shall take any or all of the following actions: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84505"/>
                <wp:effectExtent l="0" t="0" r="0" b="0"/>
                <wp:wrapNone/>
                <wp:docPr id="143" name="Frame14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(a)declare the commitment of each Lender to make Loans and any obligation of the L/C Issuers to make L/C Credit Extensions to be terminated, whereupon such commitments and obligation shall be terminated;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(c)require that the Borrowers Cash Collateralize the L/C Obligations (in an amount equal to the then Outstanding Amount thereof);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(d)exercise on behalf of itself and the Lenders all rights and remedies available to it and the Lenders under the Loan Documents or applicable Law;</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the occurrence of an actual or deemed entry of an Event of Default under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with respect to any Borrower,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8.03    </w:t>
      </w:r>
      <w:r>
        <w:rPr>
          <w:rFonts w:ascii="Times New Roman;serif" w:hAnsi="Times New Roman;serif"/>
          <w:b/>
          <w:color w:val="000000"/>
          <w:sz w:val="22"/>
          <w:u w:val="single"/>
        </w:rPr>
        <w:t>Exclusion of Immaterial Subsidiaries</w:t>
      </w:r>
      <w:r>
        <w:rPr>
          <w:rFonts w:ascii="Times New Roman;serif" w:hAnsi="Times New Roman;serif"/>
          <w:b w:val="false"/>
          <w:color w:val="000000"/>
          <w:sz w:val="22"/>
        </w:rPr>
        <w:t xml:space="preserve">. Solely for the purpose of determining whether a Default has occurred under clause (f) or (g) of </w:t>
      </w:r>
      <w:r>
        <w:rPr>
          <w:rFonts w:ascii="Times New Roman;serif" w:hAnsi="Times New Roman;serif"/>
          <w:b w:val="false"/>
          <w:color w:val="000000"/>
          <w:sz w:val="22"/>
          <w:u w:val="single"/>
        </w:rPr>
        <w:t>Section 8.01</w:t>
      </w:r>
      <w:r>
        <w:rPr>
          <w:rFonts w:ascii="Times New Roman;serif" w:hAnsi="Times New Roman;serif"/>
          <w:b w:val="false"/>
          <w:color w:val="000000"/>
          <w:sz w:val="22"/>
        </w:rPr>
        <w:t>, any reference in any such clause to any Subsidiary or Loan Party shall be deemed not to include any Immaterial Subsidiary (it being agreed that all Immaterial Subsidiaries affected by any event or circumstance referred to in any such clause shall be considered together, as a single consolidated Immaterial Subsidiary, for purposes of determining whether the condition specified above is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8.04    </w:t>
      </w:r>
      <w:r>
        <w:rPr>
          <w:rFonts w:ascii="Times New Roman;serif" w:hAnsi="Times New Roman;serif"/>
          <w:b/>
          <w:color w:val="000000"/>
          <w:sz w:val="22"/>
          <w:u w:val="single"/>
        </w:rPr>
        <w:t>Application of Funds</w:t>
      </w:r>
      <w:r>
        <w:rPr>
          <w:rFonts w:ascii="Times New Roman;serif" w:hAnsi="Times New Roman;serif"/>
          <w:b w:val="false"/>
          <w:color w:val="000000"/>
          <w:sz w:val="22"/>
        </w:rPr>
        <w:t xml:space="preserve">. 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any amounts received on account of the Obligations shall be applied by the Administrative Agent in the following order:</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(other than principal and interest, but including Attorney Costs payable under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each of the Administrative Agent and the Collateral Agent in its capacity as such;</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(other than commitment fees, letter of credit fees and facility fees), indemnities and other amounts (other than principal and interest) payable to the Lenders (including Attorney Costs payable under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ratably among them in proportion to the amounts described in this clause Second payable to them;</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to payment of that portion of the Obligations constituting accrued and unpaid commitment fees, letter of credit fees, facilities fees and interest on the Loans and L/C Borrowings, ratably among the Lenders in proportion to the respective amounts described in this clause Third payable to them;</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84505"/>
                <wp:effectExtent l="0" t="0" r="0" b="0"/>
                <wp:wrapNone/>
                <wp:docPr id="144" name="Frame14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to payment of that portion of the Obligations constituting unpaid principal of the Loans and L/C Borrowings, the Obligations under Secured Hedge Agreements and the Cash Management Obligations, ratably among the Lenders and the other Secured Parties in proportion to the respective amounts described in this clause Fourth held by them;</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Fifth</w:t>
      </w:r>
      <w:r>
        <w:rPr>
          <w:rFonts w:ascii="Times New Roman;serif" w:hAnsi="Times New Roman;serif"/>
          <w:b w:val="false"/>
          <w:color w:val="000000"/>
          <w:sz w:val="22"/>
        </w:rPr>
        <w:t>, to the Administrative Agent for the account of the L/C Issuers, to Cash Collateralize that portion of L/C Obligations comprised of the aggregate undrawn amount of Letters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Sixth</w:t>
      </w:r>
      <w:r>
        <w:rPr>
          <w:rFonts w:ascii="Times New Roman;serif" w:hAnsi="Times New Roman;serif"/>
          <w:b w:val="false"/>
          <w:color w:val="000000"/>
          <w:sz w:val="22"/>
        </w:rPr>
        <w:t>,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Last</w:t>
      </w:r>
      <w:r>
        <w:rPr>
          <w:rFonts w:ascii="Times New Roman;serif" w:hAnsi="Times New Roman;serif"/>
          <w:b w:val="false"/>
          <w:color w:val="000000"/>
          <w:sz w:val="22"/>
        </w:rPr>
        <w:t>, the balance, if any, after all of the Obligations have been indefeasibly paid in full, to the Borrowers or as otherwise required by Law.</w:t>
      </w:r>
    </w:p>
    <w:p>
      <w:pPr>
        <w:pStyle w:val="TextBody"/>
        <w:bidi w:val="0"/>
        <w:spacing w:lineRule="auto" w:line="288" w:before="0" w:after="24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amounts used to Cash Collateralize the aggregate undrawn amount of Letters of Credit pursuant to clause </w:t>
      </w:r>
      <w:r>
        <w:rPr>
          <w:rFonts w:ascii="Times New Roman;serif" w:hAnsi="Times New Roman;serif"/>
          <w:b w:val="false"/>
          <w:color w:val="000000"/>
          <w:sz w:val="22"/>
          <w:u w:val="single"/>
        </w:rPr>
        <w:t>Fifth</w:t>
      </w:r>
      <w:r>
        <w:rPr>
          <w:color w:val="000000"/>
        </w:rPr>
        <w:t xml:space="preserve"> </w:t>
      </w:r>
      <w:r>
        <w:rPr>
          <w:rFonts w:ascii="Times New Roman;serif" w:hAnsi="Times New Roman;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IX</w:t>
        <w:br/>
        <w:br/>
        <w:t>ADMINISTRATIVE AGENT AND OTHER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9.01    </w:t>
      </w:r>
      <w:r>
        <w:rPr>
          <w:rFonts w:ascii="Times New Roman;serif" w:hAnsi="Times New Roman;serif"/>
          <w:b/>
          <w:color w:val="000000"/>
          <w:sz w:val="22"/>
          <w:u w:val="single"/>
        </w:rPr>
        <w:t>Appointment and Authorization of Agents</w:t>
      </w:r>
      <w:r>
        <w:rPr>
          <w:rFonts w:ascii="Times New Roman;serif" w:hAnsi="Times New Roman;serif"/>
          <w:b w:val="false"/>
          <w:color w:val="000000"/>
          <w:sz w:val="22"/>
        </w:rPr>
        <w:t>. (a) 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(b)Each L/C Issuer shall act on behalf of the Lenders with respect to any Letters of Credit issued by it and the documents associated therewith, and each such L/C Issuer shall have all of the benefits and immunities (i)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to the Agents in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and in the definition of “Agent-Related Person” included such L/C Issuer with respect to such acts or omissions, and (ii) as additionally provided herein with respect to such L/C Issuer.</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84505"/>
                <wp:effectExtent l="0" t="0" r="0" b="0"/>
                <wp:wrapNone/>
                <wp:docPr id="145" name="Frame14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(c)The Administrative Agent shall also act as the “collateral agent” under the Loan Documents, and each of the Lenders (in its capacities as a Lender, Swing Line Lender (if applicable), L/C Issuer (if applicable) and a potential Hedge Bank) hereby irrevocably appoints and authorizes the Administrative Agent to act as the agent of (and to hold any security interest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9.07</w:t>
      </w:r>
      <w:r>
        <w:rPr>
          <w:rFonts w:ascii="Times New Roman;serif" w:hAnsi="Times New Roman;serif"/>
          <w:b w:val="false"/>
          <w:color w:val="000000"/>
          <w:sz w:val="22"/>
        </w:rPr>
        <w:t>, as though such co-agents, sub-agents and attorneys-in-fact were the “collateral agent” under the Loan Documents) as if set forth in full herein with respect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9.02    </w:t>
      </w:r>
      <w:r>
        <w:rPr>
          <w:rFonts w:ascii="Times New Roman;serif" w:hAnsi="Times New Roman;serif"/>
          <w:b/>
          <w:color w:val="000000"/>
          <w:sz w:val="22"/>
          <w:u w:val="single"/>
        </w:rPr>
        <w:t>Delegation of Duties</w:t>
      </w:r>
      <w:r>
        <w:rPr>
          <w:rFonts w:ascii="Times New Roman;serif" w:hAnsi="Times New Roman;serif"/>
          <w:b w:val="false"/>
          <w:color w:val="000000"/>
          <w:sz w:val="22"/>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such sub-agents as shall be deemed necessary by the Administrative Agent and shall be entitled to advice of counsel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 (as determined in the final judgment of a court of competent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9.03    </w:t>
      </w:r>
      <w:r>
        <w:rPr>
          <w:rFonts w:ascii="Times New Roman;serif" w:hAnsi="Times New Roman;serif"/>
          <w:b/>
          <w:color w:val="000000"/>
          <w:sz w:val="22"/>
          <w:u w:val="single"/>
        </w:rPr>
        <w:t>Liability of Agents</w:t>
      </w:r>
      <w:r>
        <w:rPr>
          <w:rFonts w:ascii="Times New Roman;serif" w:hAnsi="Times New Roman;serif"/>
          <w:b w:val="false"/>
          <w:color w:val="000000"/>
          <w:sz w:val="22"/>
        </w:rPr>
        <w:t>.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for or have any duty to ascertain or inquire into the utilization of any L/C Issuer’s L/C Commitment (it being understood and agreed that each L/C Issuer shall monitor compliance with its own L/C Commitment without any further action by the Administrative Agent).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484505"/>
                <wp:effectExtent l="0" t="0" r="0" b="0"/>
                <wp:wrapNone/>
                <wp:docPr id="146" name="Frame14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9.04    </w:t>
      </w:r>
      <w:r>
        <w:rPr>
          <w:rFonts w:ascii="Times New Roman;serif" w:hAnsi="Times New Roman;serif"/>
          <w:b/>
          <w:color w:val="000000"/>
          <w:sz w:val="22"/>
          <w:u w:val="single"/>
        </w:rPr>
        <w:t>Reliance by Agents</w:t>
      </w:r>
      <w:r>
        <w:rPr>
          <w:rFonts w:ascii="Times New Roman;serif" w:hAnsi="Times New Roman;serif"/>
          <w:b w:val="false"/>
          <w:color w:val="000000"/>
          <w:sz w:val="22"/>
        </w:rPr>
        <w:t>. (a)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(b)For purposes of determining compliance with the conditions specified in </w:t>
      </w:r>
      <w:r>
        <w:rPr>
          <w:rFonts w:ascii="Times New Roman;serif" w:hAnsi="Times New Roman;serif"/>
          <w:b w:val="false"/>
          <w:color w:val="000000"/>
          <w:sz w:val="22"/>
          <w:u w:val="single"/>
        </w:rPr>
        <w:t>Article IV</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9.05    </w:t>
      </w:r>
      <w:r>
        <w:rPr>
          <w:rFonts w:ascii="Times New Roman;serif" w:hAnsi="Times New Roman;serif"/>
          <w:b/>
          <w:color w:val="000000"/>
          <w:sz w:val="22"/>
          <w:u w:val="single"/>
        </w:rPr>
        <w:t>Notice of Default</w:t>
      </w:r>
      <w:r>
        <w:rPr>
          <w:rFonts w:ascii="Times New Roman;serif" w:hAnsi="Times New Roman;serif"/>
          <w:b w:val="false"/>
          <w:color w:val="000000"/>
          <w:sz w:val="22"/>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Company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9.06    </w:t>
      </w:r>
      <w:r>
        <w:rPr>
          <w:rFonts w:ascii="Times New Roman;serif" w:hAnsi="Times New Roman;serif"/>
          <w:b/>
          <w:color w:val="000000"/>
          <w:sz w:val="22"/>
          <w:u w:val="single"/>
        </w:rPr>
        <w:t>Credit Decision; Disclosure of Information by Agents</w:t>
      </w:r>
      <w:r>
        <w:rPr>
          <w:rFonts w:ascii="Times New Roman;serif" w:hAnsi="Times New Roman;serif"/>
          <w:b w:val="false"/>
          <w:color w:val="000000"/>
          <w:sz w:val="22"/>
        </w:rPr>
        <w:t xml:space="preserve">. Each Lender and each L/C Issuer expressly acknowledges that none of the Administrative Agent, any Joint Lead Arranger or any of their respective Agent-Related Persons has made any representations or warranties to it and that no act taken or failure to act by the Administrative Agent, any Joint Lead Arranger or any of their respective Agent-Related Persons, including any consent to, and acceptance of any assignment or review of the affairs of the Borrowers and their Subsidiaries or Affiliates shall be deemed to constitute a representation or warranty of the Administrative Agent, any Joint Lead Arranger or any of their respective Agent-Related Persons to any Lender, any L/C Issuer or any other Secured Party as to any matter, including whether the Administrative Agent, any Joint Lead Arranger or any of their respective Agent-Related Persons have disclosed material information in their (or their respective Agent-Related Persons’) possession. Each Lender and each L/C Issuer expressly acknowledges, represents and warrants to the Administrative Agent and each Joint Lead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Loan Party or its Subsidiaries or Affiliates or for the purpose of making, acquiring, purchasing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84505"/>
                <wp:effectExtent l="0" t="0" r="0" b="0"/>
                <wp:wrapNone/>
                <wp:docPr id="147" name="Frame14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holding any other type of financial instrument such as a security (and agrees not to assert a claim in contravention of the foregoing such as a claim under the federal or state securities laws),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any Joint Lead Arranger, any other Lender or any of their respective Agent-Related Persons and based on such documents and information as it has deemed appropriate, made its own credit analysis and appraisal of, and investigations into, the business, prospects, operations, property, assets, liabilities, financial and other condition and creditworthiness of the Borrowers and their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L/C Issuer also acknowledges that (i) it will, independently and without reliance upon the Administrative Agent, any Joint Lead Arranger or any other Lender or any of their respective Agent-Related Persons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Borrowers and their Subsidiaries and (ii) it will not assert any claim in contravention of this </w:t>
      </w:r>
      <w:r>
        <w:rPr>
          <w:rFonts w:ascii="Times New Roman;serif" w:hAnsi="Times New Roman;serif"/>
          <w:b w:val="false"/>
          <w:color w:val="000000"/>
          <w:sz w:val="22"/>
          <w:u w:val="single"/>
        </w:rPr>
        <w:t>Section 9.06</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9.07    </w:t>
      </w:r>
      <w:r>
        <w:rPr>
          <w:rFonts w:ascii="Times New Roman;serif" w:hAnsi="Times New Roman;serif"/>
          <w:b/>
          <w:color w:val="000000"/>
          <w:sz w:val="22"/>
          <w:u w:val="single"/>
        </w:rPr>
        <w:t>Indemnification of Agents</w:t>
      </w:r>
      <w:r>
        <w:rPr>
          <w:rFonts w:ascii="Times New Roman;serif" w:hAnsi="Times New Roman;serif"/>
          <w:b w:val="false"/>
          <w:color w:val="000000"/>
          <w:sz w:val="22"/>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in accordance with its Pro Rata Share, and hold harmless each Agent-Related Person from and against any and all Indemnified Liabilities incurred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Lender shall be liable for the payment to any Agent-Related Person of any portion of such Indemnified Liabilities resulting from such Agent-Related Person’s own gross negligence, bad faith or willful misconduct, as determined by the final judgment of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action taken in accordance with the directions of the Required Lenders (or such other number or percentage of the Lenders as shall be required by the Loan Documents) shall be deemed to constitute gross negligence, bad faith or willful misconduct for purposes of this </w:t>
      </w:r>
      <w:r>
        <w:rPr>
          <w:rFonts w:ascii="Times New Roman;serif" w:hAnsi="Times New Roman;serif"/>
          <w:b w:val="false"/>
          <w:color w:val="000000"/>
          <w:sz w:val="22"/>
          <w:u w:val="single"/>
        </w:rPr>
        <w:t>Section 9.07</w:t>
      </w:r>
      <w:r>
        <w:rPr>
          <w:rFonts w:ascii="Times New Roman;serif" w:hAnsi="Times New Roman;serif"/>
          <w:b w:val="false"/>
          <w:color w:val="000000"/>
          <w:sz w:val="22"/>
        </w:rPr>
        <w:t xml:space="preserve">. In the case of any investigation, litigation or proceeding giving rise to any Indemnified Liabilities, this </w:t>
      </w:r>
      <w:r>
        <w:rPr>
          <w:rFonts w:ascii="Times New Roman;serif" w:hAnsi="Times New Roman;serif"/>
          <w:b w:val="false"/>
          <w:color w:val="000000"/>
          <w:sz w:val="22"/>
          <w:u w:val="single"/>
        </w:rPr>
        <w:t>Section 9.07</w:t>
      </w:r>
      <w:r>
        <w:rPr>
          <w:color w:val="000000"/>
        </w:rPr>
        <w:t xml:space="preserve"> </w:t>
      </w:r>
      <w:r>
        <w:rPr>
          <w:rFonts w:ascii="Times New Roman;serif" w:hAnsi="Times New Roman;serif"/>
          <w:b w:val="false"/>
          <w:color w:val="000000"/>
          <w:sz w:val="22"/>
        </w:rPr>
        <w:t xml:space="preserve">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and without limiting the Borrowers’ obligation to do so. The undertaking in this </w:t>
      </w:r>
      <w:r>
        <w:rPr>
          <w:rFonts w:ascii="Times New Roman;serif" w:hAnsi="Times New Roman;serif"/>
          <w:b w:val="false"/>
          <w:color w:val="000000"/>
          <w:sz w:val="22"/>
          <w:u w:val="single"/>
        </w:rPr>
        <w:t>Section 9.07</w:t>
      </w:r>
      <w:r>
        <w:rPr>
          <w:color w:val="000000"/>
        </w:rPr>
        <w:t xml:space="preserve"> </w:t>
      </w:r>
      <w:r>
        <w:rPr>
          <w:rFonts w:ascii="Times New Roman;serif" w:hAnsi="Times New Roman;serif"/>
          <w:b w:val="false"/>
          <w:color w:val="000000"/>
          <w:sz w:val="22"/>
        </w:rPr>
        <w:t>shall survive termination of the Aggregate Commitments, the payment of all other Obligations and the resignation of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9.08    </w:t>
      </w:r>
      <w:r>
        <w:rPr>
          <w:rFonts w:ascii="Times New Roman;serif" w:hAnsi="Times New Roman;serif"/>
          <w:b/>
          <w:color w:val="000000"/>
          <w:sz w:val="22"/>
          <w:u w:val="single"/>
        </w:rPr>
        <w:t>Agents in their Individual Capacities</w:t>
      </w:r>
      <w:r>
        <w:rPr>
          <w:rFonts w:ascii="Times New Roman;serif" w:hAnsi="Times New Roman;serif"/>
          <w:b w:val="false"/>
          <w:color w:val="000000"/>
          <w:sz w:val="22"/>
        </w:rPr>
        <w:t xml:space="preserve">. Wells Fargo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Wells Fargo were not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484505"/>
                <wp:effectExtent l="0" t="0" r="0" b="0"/>
                <wp:wrapNone/>
                <wp:docPr id="148" name="Frame14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Swing Line Lender or an L/C Issuer hereunder and without notice to or consent of the Lenders. The Lenders acknowledge that, pursuant to such activities, Wells Fargo or its Affiliates may receive information regarding any Loan Party or its Affiliates (including information that may be subject to confidentiality obligations in favor of such Loan Party or such Affiliate) and acknowledge that the Administrative Agent shall be under no obligation to provide such information to them. With respect to its Loans, Wells Fargo shall have the same rights and powers under this Agreement as any other Lender and may exercise such rights and powers as though it were not the Administrative Agent, the Swing Line Lender or an L/C Issuer, and the terms “Lender” and “Lenders” include Wells Fargo in its individual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9.09    </w:t>
      </w:r>
      <w:r>
        <w:rPr>
          <w:rFonts w:ascii="Times New Roman;serif" w:hAnsi="Times New Roman;serif"/>
          <w:b/>
          <w:color w:val="000000"/>
          <w:sz w:val="22"/>
          <w:u w:val="single"/>
        </w:rPr>
        <w:t>Successor Agents</w:t>
      </w:r>
      <w:r>
        <w:rPr>
          <w:rFonts w:ascii="Times New Roman;serif" w:hAnsi="Times New Roman;serif"/>
          <w:b w:val="false"/>
          <w:color w:val="000000"/>
          <w:sz w:val="22"/>
        </w:rPr>
        <w:t xml:space="preserve">. The Administrative Agent may resign as the Administrative Agent upon ten (10) days’ notice to the Lenders and the Borrowers. If the Administrative Agent is subject to an Agent-Related Distress Event, the Required Lenders may remove the Administrative Agent upon ten (10) days’ notice. Upon the resignation or removal of the Administrative Agent under this Agreement, the Required Lenders shall appoint from among the Lenders a successor agent for the Lenders, which successor agent shall be consented to by the Borrowers (which consent of the Borrowers shall not be unreasonably withheld or delayed if such successor is a commercial bank with a combined capital and surplus of at least $1,000,000,000, and otherwise may be withheld at the Borrowers’ sole discretion) at all times other than during the existence of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If no successor agent is appointed prior to the effective date of the resignation of the Administrative Agent, the Administrative Agent may appoint, after consulting with the Lenders and the Borrowers,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and/or Supplemental Administrative Agent, as the case may be, and the retiring Administrative Agent’s appointment, powers and duties as the Administrative Agent shall be terminated. After the retiring Administrative Agent’s resignation or removal hereunder as the Administrative Agent,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shall inure to its benefit as to any actions taken or omitted to be taken by it while it was the Administrative Agent under this Agreement. If no successor agent has accepted appointment as the Administrative Agent by the date which is ten (10) days following the retiring Administrative Agent’s notice of resignation or the receipt by the Administrative Agent of the notice of removal referred to above, as applicable, the retiring Administrative Agent’s resignation or removal, as the case may be,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the retiring Administrative Agent shall be discharged from its duties and obligations under the Loan Documents. The fees payable by the Borrowers to a successor Administrative Agent shall be the same as those payable to its predecessor unless otherwise agreed between the Borrowers and such successor. After the retiring Administrative Agent’s resignation or removal hereunder as the Administrative Agent,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continue in effect for its benefit in respect of any actions taken or omitted to be taken by it while it was acting as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9.10    </w:t>
      </w:r>
      <w:r>
        <w:rPr>
          <w:rFonts w:ascii="Times New Roman;serif" w:hAnsi="Times New Roman;serif"/>
          <w:b/>
          <w:color w:val="000000"/>
          <w:sz w:val="22"/>
          <w:u w:val="single"/>
        </w:rPr>
        <w:t>Administrative Agent May File Proofs of Claim</w:t>
      </w:r>
      <w:r>
        <w:rPr>
          <w:rFonts w:ascii="Times New Roman;serif" w:hAnsi="Times New Roman;serif"/>
          <w:b w:val="false"/>
          <w:color w:val="000000"/>
          <w:sz w:val="22"/>
        </w:rPr>
        <w:t xml:space="preserve">.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84505"/>
                <wp:effectExtent l="0" t="0" r="0" b="0"/>
                <wp:wrapNone/>
                <wp:docPr id="149" name="Frame14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otherwise and irrespective of whether the Administrative Agent shall have made any demand on the Borrowers) shall be entitled and empowered, by intervention in such proceeding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serif" w:hAnsi="Times New Roman;serif"/>
          <w:b w:val="false"/>
          <w:color w:val="000000"/>
          <w:sz w:val="22"/>
          <w:u w:val="single"/>
        </w:rPr>
        <w:t>Sections 2.03(h)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 allowed in such judicial proceeding;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9.11    </w:t>
      </w:r>
      <w:r>
        <w:rPr>
          <w:rFonts w:ascii="Times New Roman;serif" w:hAnsi="Times New Roman;serif"/>
          <w:b/>
          <w:color w:val="000000"/>
          <w:sz w:val="22"/>
          <w:u w:val="single"/>
        </w:rPr>
        <w:t>Collateral and Guaranty Matters</w:t>
      </w:r>
      <w:r>
        <w:rPr>
          <w:rFonts w:ascii="Times New Roman;serif" w:hAnsi="Times New Roman;serif"/>
          <w:b w:val="false"/>
          <w:color w:val="000000"/>
          <w:sz w:val="22"/>
        </w:rPr>
        <w:t>. The Lenders irrevocably agree: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(a)that any Lien on any property granted to or held by the Administrative Agent or the Collateral Agent under any Loan Document shall be automatically released (i) upon termination of the Aggregate Commitments and payment in full of all Obligations (other than (x) obligations under Secured Hedge Agreements not yet due and payable, (y) Cash Management Obligations not yet due and payable and (z) contingent indemnification obligations not yet accrued and payable) and the expiration or termination of all Letters of Credit (or upon cash collateralization of all Letters of Credit in a manner and pursuant to arrangements reasonably satisfactory to the Administrative Agent and the applicable L/C Issuers or receipt of backstop letters of credit, in form and substance and from a financial institution, reasonably satisfactory to the Administrative Agent and the applicable L/C Issuers), (ii) at the time the property subject to such Lien is transferred or to be transferred as part of or in connection with any transfer permitted hereunder or under any other Loan Document to any Person other than any Borrower or any Guarantor (whether as a Disposition or Investment), as certified by the Borrowers, (iii) subject to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if the release of such Lien is approved, authorized or ratified in writing by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release of all or substantially all of the Collateral shall be subject to </w:t>
      </w:r>
      <w:r>
        <w:rPr>
          <w:rFonts w:ascii="Times New Roman;serif" w:hAnsi="Times New Roman;serif"/>
          <w:b w:val="false"/>
          <w:color w:val="000000"/>
          <w:sz w:val="22"/>
          <w:u w:val="single"/>
        </w:rPr>
        <w:t>Section 10.01(e)</w:t>
      </w:r>
      <w:r>
        <w:rPr>
          <w:rFonts w:ascii="Times New Roman;serif" w:hAnsi="Times New Roman;serif"/>
          <w:b w:val="false"/>
          <w:color w:val="000000"/>
          <w:sz w:val="22"/>
        </w:rPr>
        <w:t xml:space="preserve">; or (iv) if the property subject to such Lien is owned by a Guarantor, upon release of such Guarantor from its obligations under its Guaranty pursuant to clause (c) below;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(b)to release or subordinate any Lien on any property granted to or held by the Administrative Agent or the Collateral Agent under any Loan Document to the holder of any Lien on such property that is permitted by </w:t>
      </w:r>
      <w:r>
        <w:rPr>
          <w:rFonts w:ascii="Times New Roman;serif" w:hAnsi="Times New Roman;serif"/>
          <w:b w:val="false"/>
          <w:color w:val="000000"/>
          <w:sz w:val="22"/>
          <w:u w:val="single"/>
        </w:rPr>
        <w:t>Section 7.01(i)</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release or subordination of all or substantially all of the Collateral shall be subject to </w:t>
      </w:r>
      <w:r>
        <w:rPr>
          <w:rFonts w:ascii="Times New Roman;serif" w:hAnsi="Times New Roman;serif"/>
          <w:b w:val="false"/>
          <w:color w:val="000000"/>
          <w:sz w:val="22"/>
          <w:u w:val="single"/>
        </w:rPr>
        <w:t>Section 10.01(e)</w:t>
      </w:r>
      <w:r>
        <w:rPr>
          <w:rFonts w:ascii="Times New Roman;serif" w:hAnsi="Times New Roman;serif"/>
          <w:b w:val="false"/>
          <w:color w:val="000000"/>
          <w:sz w:val="22"/>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484505"/>
                <wp:effectExtent l="0" t="0" r="0" b="0"/>
                <wp:wrapNone/>
                <wp:docPr id="150" name="Frame14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(c)that any Guarantor shall be automatically released from its obligations under the Guaranty if such Person ceases to be a Subsidiary as a result of a transaction or designation permitted hereunder, as certified by the Borrowers;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release shall occur if such Guarantor continues (after giving effect to the consummation of such transaction or designation) to be a guarantor in respect of any Junior Financing;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release of Guarantors comprising substantially all of the aggregate value of the Guarantees shall be subject to </w:t>
      </w:r>
      <w:r>
        <w:rPr>
          <w:rFonts w:ascii="Times New Roman;serif" w:hAnsi="Times New Roman;serif"/>
          <w:b w:val="false"/>
          <w:color w:val="000000"/>
          <w:sz w:val="22"/>
          <w:u w:val="single"/>
        </w:rPr>
        <w:t>Section 10.01(f)</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Upon request by the Administrative Agent at any time, the Required Lenders (or such greater number of Lenders as may be required pursuant to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will confirm in writing the Administrative Agent’s authority to release or subordinate its interest in particular types or items of property, or to release any Guarantor from its obligations under the Guaranty pursuant to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the Administrative Agent will (and each Lender irrevocably authorizes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Notwithstanding the forgoing, in the case of any such sale, transfer or disposal of any property constituting Collateral in a transaction constituting a Disposition permitted pursuant to Section 7.05 to a Person other than a Loan Party, the Liens created by any of the Collateral Documents on such property and any such Guarantor shall, subject to the other requirements set forth in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only be automatically released so long as (i) such transaction is entered into for a bona fide business purpose (as determined in good faith by the Borrowers) and, for the avoidance of doubt, not for the primary purpose of causing such release and (ii) such assets were not transferred to an Affiliate of the Borrowers (other than for purposes of a bona fide joint venture arrangement on terms that are not less favorable than arm’s-length terms).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9.12    </w:t>
      </w:r>
      <w:r>
        <w:rPr>
          <w:rFonts w:ascii="Times New Roman;serif" w:hAnsi="Times New Roman;serif"/>
          <w:b/>
          <w:color w:val="000000"/>
          <w:sz w:val="22"/>
          <w:u w:val="single"/>
        </w:rPr>
        <w:t>Other Agents; Arrangers and Managers</w:t>
      </w:r>
      <w:r>
        <w:rPr>
          <w:rFonts w:ascii="Times New Roman;serif" w:hAnsi="Times New Roman;serif"/>
          <w:b w:val="false"/>
          <w:color w:val="000000"/>
          <w:sz w:val="22"/>
        </w:rPr>
        <w:t>. None of the Lenders or other Persons identified on the facing page or signature pages of this Agreement as a “syndication agent,” “documentation agent”, “joint bookrunner” or “joint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9.13    </w:t>
      </w:r>
      <w:r>
        <w:rPr>
          <w:rFonts w:ascii="Times New Roman;serif" w:hAnsi="Times New Roman;serif"/>
          <w:b/>
          <w:color w:val="000000"/>
          <w:sz w:val="22"/>
          <w:u w:val="single"/>
        </w:rPr>
        <w:t>Appointment of Supplemental Administrative Agents</w:t>
      </w:r>
      <w:r>
        <w:rPr>
          <w:rFonts w:ascii="Times New Roman;serif" w:hAnsi="Times New Roman;serif"/>
          <w:b w:val="false"/>
          <w:color w:val="000000"/>
          <w:sz w:val="22"/>
        </w:rPr>
        <w:t>.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serif" w:hAnsi="Times New Roman;serif"/>
          <w:b w:val="false"/>
          <w:color w:val="000000"/>
          <w:sz w:val="22"/>
          <w:u w:val="single"/>
        </w:rPr>
        <w:t>Supplemental Administrative Agent</w:t>
      </w:r>
      <w:r>
        <w:rPr>
          <w:color w:val="000000"/>
        </w:rPr>
        <w:t xml:space="preserve">” </w:t>
      </w:r>
      <w:r>
        <w:rPr>
          <w:rFonts w:ascii="Times New Roman;serif" w:hAnsi="Times New Roman;serif"/>
          <w:b w:val="false"/>
          <w:color w:val="000000"/>
          <w:sz w:val="22"/>
        </w:rPr>
        <w:t>and collectively as “</w:t>
      </w:r>
      <w:r>
        <w:rPr>
          <w:rFonts w:ascii="Times New Roman;serif" w:hAnsi="Times New Roman;serif"/>
          <w:b w:val="false"/>
          <w:color w:val="000000"/>
          <w:sz w:val="22"/>
          <w:u w:val="single"/>
        </w:rPr>
        <w:t>Supplemental Administrative Agents</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84505"/>
                <wp:effectExtent l="0" t="0" r="0" b="0"/>
                <wp:wrapNone/>
                <wp:docPr id="151" name="Frame15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of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(c)Should any instrument in writing from any Borrower or any other Loan Party be required by any Supplemental Administrative Agent so appointed by the Administrative Agent for more fully and certainly vesting in and confirming to him or it such rights, powers, privileges and duties, such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9.14    </w:t>
      </w:r>
      <w:r>
        <w:rPr>
          <w:rFonts w:ascii="Times New Roman;serif" w:hAnsi="Times New Roman;serif"/>
          <w:b/>
          <w:color w:val="000000"/>
          <w:sz w:val="22"/>
          <w:u w:val="single"/>
        </w:rPr>
        <w:t>Lender Representation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Borrowers or any other Loan Party, that at least one of the following is and will be true: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(i)such Lender is not using “plan assets” (within the meaning of Section 3(42) of ERISA or otherwise) of one or more Benefit Plans with respect to such Lender’s entrance into, participation in, administration of and performance of the Loans, the Letters of Credit or the Commitments or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(iii)(A) such Lender is an investment fund managed by a “Qualified Professional Asset Manager” (within the meaning of Part VI of PTE 84-14), (B) such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84505"/>
                <wp:effectExtent l="0" t="0" r="0" b="0"/>
                <wp:wrapNone/>
                <wp:docPr id="152" name="Frame15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Borrowers or any other Loan Party, that none of the Administrative Agent, any Joint Lead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9.15    </w:t>
      </w:r>
      <w:r>
        <w:rPr>
          <w:rFonts w:ascii="Times New Roman;serif" w:hAnsi="Times New Roman;serif"/>
          <w:b/>
          <w:color w:val="000000"/>
          <w:sz w:val="22"/>
          <w:u w:val="single"/>
        </w:rPr>
        <w:t>Erroneous 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(a)Each Lender, each L/C Issuer and each other Secured Party hereby severally agrees that if (i) the Administrative Agent notifies (which such notice shall be conclusive absent manifest error) such Lender or L/C Issuer or any other Secured Party (or the Lender Affiliate of a Secured Party) that has received funds from the Administrative Agent or any of its Affiliates, either for its own account or on behalf of a Lender, L/C Issuer or other Secured Party (each such recipient,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serif" w:hAnsi="Times New Roman;serif"/>
          <w:b w:val="false"/>
          <w:color w:val="000000"/>
          <w:sz w:val="22"/>
          <w:u w:val="single"/>
        </w:rPr>
        <w:t>Section 9.15(a),</w:t>
      </w:r>
      <w:r>
        <w:rPr>
          <w:color w:val="000000"/>
        </w:rPr>
        <w:t xml:space="preserve"> </w:t>
      </w:r>
      <w:r>
        <w:rPr>
          <w:rFonts w:ascii="Times New Roman;serif" w:hAnsi="Times New Roman;serif"/>
          <w:b w:val="false"/>
          <w:color w:val="000000"/>
          <w:sz w:val="22"/>
        </w:rPr>
        <w:t>whether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xml:space="preserve">), then, in each case, such Payment Recipient is deemed to have knowledge of such error at the time of its receipt of such Erroneous Payment;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Section shall require the Administrative Agent to provide any of the notices specified in clauses (i) or (ii) above. Each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84505"/>
                <wp:effectExtent l="0" t="0" r="0" b="0"/>
                <wp:wrapNone/>
                <wp:docPr id="153" name="Frame15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(b)Without limiting the immediately preceding clause (a), each Payment Recipient agrees that, in the case of clause (a)(ii) above, it shall promptly notify the Administrative Agent in writing of such occurrence.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(d)In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serif" w:hAnsi="Times New Roman;serif"/>
          <w:b w:val="false"/>
          <w:color w:val="000000"/>
          <w:sz w:val="22"/>
          <w:u w:val="single"/>
        </w:rPr>
        <w:t>Erroneous Payment Impacted Class</w:t>
      </w:r>
      <w:r>
        <w:rPr>
          <w:color w:val="000000"/>
        </w:rPr>
        <w:t>”</w:t>
      </w:r>
      <w:r>
        <w:rPr>
          <w:rFonts w:ascii="Times New Roman;serif" w:hAnsi="Times New Roman;serif"/>
          <w:b w:val="false"/>
          <w:color w:val="000000"/>
          <w:sz w:val="22"/>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and (3) the Administrative Agent may reflect such assignments in the Register without further consent or action by any other Person.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84505"/>
                <wp:effectExtent l="0" t="0" r="0" b="0"/>
                <wp:wrapNone/>
                <wp:docPr id="154" name="Frame15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Payment Recipient from any source, against any amount due to the Administrative Agent under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(f)Each party’s obligations under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shall survive the resignation or replacement of the Administrative Agent or any transfer of rights or obligations by, or the replacement of, a Lender or any L/C Issuer, the termination of the Commitments or the repayment, satisfaction or discharge of all Obligations (or any portion thereof) under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(g)Nothing in this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 xml:space="preserve">will constitute a waiver or release of any claim of the Administrative Agent hereunder arising from any Payment Recipient’s receipt of an Erroneous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X</w:t>
        <w:br/>
        <w:b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10.01    </w:t>
      </w:r>
      <w:r>
        <w:rPr>
          <w:rFonts w:ascii="Times New Roman;serif" w:hAnsi="Times New Roman;serif"/>
          <w:b/>
          <w:color w:val="000000"/>
          <w:sz w:val="22"/>
          <w:u w:val="single"/>
        </w:rPr>
        <w:t>Amendments, Etc</w:t>
      </w:r>
      <w:r>
        <w:rPr>
          <w:rFonts w:ascii="Times New Roman;serif" w:hAnsi="Times New Roman;serif"/>
          <w:b w:val="false"/>
          <w:color w:val="000000"/>
          <w:sz w:val="22"/>
        </w:rPr>
        <w:t xml:space="preserve">. Except as otherwise set forth in this Agreement, no amendment, modification, supplement or waiver of any provision of this Agreement or any other Loan Document, and no consent to any departure by any Borrower or any other Loan Party therefrom, shall be effective unless in writing signed by the Required Lenders and each Borrower or the other applicable Loan Party, as the case may be, and each such waiver, amendment, modification, supplement or consent shall be effective only in the specific instance and for the specific purpose for which given;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amendment, modification, supplement, waiver or consent shall: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(a)extend or increase the Commitment of any Lender without the written consent of such Lender (it being understood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the waiver of any Default, mandatory prepayment or mandatory reduction of the Commitments shall not constitute an extension or increase of any Commitment of any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(b)postpone any date scheduled for, or reduce the amount of, any payment of principal, interest or fees under </w:t>
      </w:r>
      <w:r>
        <w:rPr>
          <w:rFonts w:ascii="Times New Roman;serif" w:hAnsi="Times New Roman;serif"/>
          <w:b w:val="false"/>
          <w:color w:val="000000"/>
          <w:sz w:val="22"/>
          <w:u w:val="single"/>
        </w:rPr>
        <w:t>Section 2.07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without the written consent of each Lender directly affected thereby, it being understood that the waiver of (or amendment to the terms of) any mandatory prepayment shall not constitute a postponement of any date scheduled for the payment of principal or interest;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(c)reduce or forgive the principal of, or the rate of interest specified herein on, any Loan or L/C Borrowing, or (subject to clause (iii) of the second proviso to this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any fees or other amounts payable hereunder or under any other Loan Document without the written consent of each Lender directly affected thereby, it being understood that any change to the definition of Total Net Leverage Ratio, Consolidated Senior Secured Net Leverage Ratio, Consolidated Secured Net Leverage Ratio or in the component definitions thereof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84505"/>
                <wp:effectExtent l="0" t="0" r="0" b="0"/>
                <wp:wrapNone/>
                <wp:docPr id="155" name="Frame15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constitute a reduction in the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only the consent of the Required Lenders shall be necessary to amend the definition of “Default Rate” or to waive any obligation of the Borrowers to pay interest at the Default Rate;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(d)change any provision of this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the definition of “Required Lenders”, “Required Facility Lenders” or “Pro Rata Share” or </w:t>
      </w:r>
      <w:r>
        <w:rPr>
          <w:rFonts w:ascii="Times New Roman;serif" w:hAnsi="Times New Roman;serif"/>
          <w:b w:val="false"/>
          <w:color w:val="000000"/>
          <w:sz w:val="22"/>
          <w:u w:val="single"/>
        </w:rPr>
        <w:t>Section 2.06(c)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2.13</w:t>
      </w:r>
      <w:r>
        <w:rPr>
          <w:rFonts w:ascii="Times New Roman;serif" w:hAnsi="Times New Roman;serif"/>
          <w:b w:val="false"/>
          <w:color w:val="000000"/>
          <w:sz w:val="22"/>
        </w:rPr>
        <w:t>, any other provision hereof specifying the pro rata sharing of payments, pro rata making of Loans or pro rata reduction of Commitments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(e)release or subordinate all or substantially all of the Collateral or release or subordinate any Collateral Document (or any Lien created thereby) which would have the effect of releasing or subordinating all or substantially all of the Collateral in any transaction or series of related transactions, without the written consent of each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(f)release all or substantially all of the aggregate value of the Guarantees, without the written consent of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(g)amend, waive or otherwise modify any term or provision (including the waiver of any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as to any Credit Extension under one or more Revolving Credit Facilities) which directly affects Lenders under one or more Revolving Credit Facilities and does not directly affect Lenders under any other Facilities, in each case, (i) for matters that would otherwise require the written consent of the Required Lenders, without the written consent of the Required Facility Lenders under such applicable Revolving Credit Facility or Facilities with respect to Revolving Credit Commitments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Revolving Credit Facility or Facilities with respect to Revolving Credit Commitments (and in the case of multiple Facilities which are affected, such Required Facility Lenders shall consent together as one Facility);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waivers described in this clause (g) shall not require the consent of any Lenders other than the Required Facility Lenders under such Facility or Facilities with respect to Revolving Credit Commitments (it being understood that any amendment to the conditions of effectiveness of Incremental Commitments set forth in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be subject to clause (i)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(h)amend, waive or otherwise modify any term or provision which directly affects Lenders under one or more Facilities and does not directly affect Lenders under any other Facilities, in each case, (i) for matters that would otherwise require the written consent of the Required Lenders, without the written consent of the Required Facility Lenders under such applicable Facilities with respect to Incremental Term Commitments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Facilities with respect to Incremental Term Commitments (and in the case of multiple Facilities which are affected, such Required Facility Lenders shall consent together as one Facility);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waivers described in this clause (h) shall not require the consent of any Lenders other than the Required Facility Lenders under such Facility or Facilities with respect to Incremental Term Commitments (it being understood that any amendment to the conditions of effectiveness of Incremental Commitments set forth in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be subject to clause (i) below);</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84505"/>
                <wp:effectExtent l="0" t="0" r="0" b="0"/>
                <wp:wrapNone/>
                <wp:docPr id="156" name="Frame15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(i)amend, waive or otherwise modify any term or provision (including the availability and conditions to funding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with respect to Incremental Term Loans and the rate of interest applicable thereto) which directly affects Lenders of one or more Incremental Term Loans and does not directly affect Lenders under any other Facility, in each case, (i) for matters that would otherwise require the written consent of the Required Lenders, without the written consent of the Required Facility Lenders under such applicable Incremental Term Loans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Incremental Term Loans (and in the case of multiple Facilities which are affected, such Required Facility Lenders shall consent together as one Facility);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permitted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the waivers described in this clause (i) shall only require the consent of the Required Facility Lenders under such applicable Incremental Term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(j)except as expressly permitted by </w:t>
      </w:r>
      <w:r>
        <w:rPr>
          <w:rFonts w:ascii="Times New Roman;serif" w:hAnsi="Times New Roman;serif"/>
          <w:b w:val="false"/>
          <w:color w:val="000000"/>
          <w:sz w:val="22"/>
          <w:u w:val="single"/>
        </w:rPr>
        <w:t>Section 7.04(d)</w:t>
      </w:r>
      <w:r>
        <w:rPr>
          <w:rFonts w:ascii="Times New Roman;serif" w:hAnsi="Times New Roman;serif"/>
          <w:b w:val="false"/>
          <w:color w:val="000000"/>
          <w:sz w:val="22"/>
        </w:rPr>
        <w:t>, consent to the assignment or transfer by any Borrower of any of its rights or obligations under this Agreement or any other Loan Document;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(k)(i) subordinate any of the Obligations in right of payment or otherwise adversely affect the priority of payment of any of such Obligations or (ii) subordinate the Liens securing any Obligations in a disproportionate and adverse manner relative to the effect on the Liens of any other holder of the Obligations, in each case of clause (i) and (ii) without the consent of each of the Lenders directly and adversely affected thereby; </w:t>
      </w:r>
    </w:p>
    <w:p>
      <w:pPr>
        <w:pStyle w:val="TextBody"/>
        <w:bidi w:val="0"/>
        <w:spacing w:lineRule="auto" w:line="288" w:before="0" w:after="240"/>
        <w:jc w:val="both"/>
        <w:rPr/>
      </w:pP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 no amendment, waiver or consent shall, unless in writing and signed by each L/C Issuer in addition to the Lenders required above, affect the rights or duties of an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w:t>
      </w:r>
      <w:r>
        <w:rPr>
          <w:rFonts w:ascii="Times New Roman;serif" w:hAnsi="Times New Roman;serif"/>
          <w:b w:val="false"/>
          <w:color w:val="000000"/>
          <w:sz w:val="22"/>
          <w:u w:val="single"/>
        </w:rPr>
        <w:t>Section 10.07(h)</w:t>
      </w:r>
      <w:r>
        <w:rPr>
          <w:color w:val="000000"/>
        </w:rPr>
        <w:t xml:space="preserve"> </w:t>
      </w:r>
      <w:r>
        <w:rPr>
          <w:rFonts w:ascii="Times New Roman;serif" w:hAnsi="Times New Roman;serif"/>
          <w:b w:val="false"/>
          <w:color w:val="000000"/>
          <w:sz w:val="22"/>
        </w:rPr>
        <w:t xml:space="preserve">may not be amended, waived or otherwise modified without the consent of each Granting Lender all or any part of whose Loans are being funded by an SPC at the time of such amendment, waiver or other modification; (v) the consent of Lenders holding more than 50% of any Class of Commitments shall be required with respect to any amendment that by its terms adversely affects the rights of such Class in respect of payments hereunder in a manner different than such amendment affects other Classes; and (vi) the Administrative Agent and the Borrowers may, without the consent of any Lender, enter into amendments or modifications to this Agreement or any of the other Loan Documents or to enter into additional Loan Documents as the Administrative Agent reasonably deems appropriate in order to implement any Benchmark Replacement or any Conforming Changes or otherwise effectuate the terms 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 xml:space="preserve">in accordance with the terms of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Any such waiver and any such amendment, modification or supplement in accordance with the terms of 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shall apply equally to each of the Lenders and shall be binding on the Loan Parties, the Lenders, the Agents and all future holders of the Loans and Commitments. Notwithstanding anything to the contrary herein, no Defaulting Lender shall have any right to approve or disapprove any amendment, waiver or consent hereunder, except that the Commitment of such Lender may not be increased or extended without the consent of such Lender (it being understood that any Commitments or Loans held or deemed held by any Defaulting Lender shall be excluded for a vote of the Lenders hereunder requiring any consent of the Lenders).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84505"/>
                <wp:effectExtent l="0" t="0" r="0" b="0"/>
                <wp:wrapNone/>
                <wp:docPr id="157" name="Frame15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Lender consent is required to effect any amendment or supplement to any First Lien Intercreditor Agreement or other intercreditor agreement or arrangement permitted under this Agreement (i) that is for the purpose of adding the holders of Permitted Pari Passu Secured Refinancing Debt, secured Incremental Equivalent Debt or other secured Indebtedness permitted to be incurred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a Senior Representative with respect thereto) as parties thereto, as expressly contemplated by the terms of such First Lien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other changes are not adverse, in any material respect, to the interests of the Lenders) or (ii) that is expressly contemplated by any First Lien Intercreditor Agreement or other intercreditor agreement or arrangement permitted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 such agreement shall amend, modify or otherwise affect the rights or duties of the Administrative Agent hereunder or under any other Loan Document without the prior written consent of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this Agreement may be amended (or amended and restated) with the written consent of the Required Lenders, the Administrative Agent and each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Incremental Term Loans and the Revolving Credit Loans and the accrued interest and fees in respect thereof and (b) to include appropriately the Lenders holding such credit facilities in any determination of the Required Lenders.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Administrative Agent and the Borrowers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Borrowers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10.02    </w:t>
      </w:r>
      <w:r>
        <w:rPr>
          <w:rFonts w:ascii="Times New Roman;serif" w:hAnsi="Times New Roman;serif"/>
          <w:b/>
          <w:color w:val="000000"/>
          <w:sz w:val="22"/>
          <w:u w:val="single"/>
        </w:rPr>
        <w:t>Notices and Other Communications; Facsimile Copies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(i)if to any Borrower, the Administrative Agent or the Swing Line Lender, to the address, facsimile number, electronic mail address or telephone number specified for such Person on </w:t>
      </w:r>
      <w:r>
        <w:rPr>
          <w:rFonts w:ascii="Times New Roman;serif" w:hAnsi="Times New Roman;serif"/>
          <w:b w:val="false"/>
          <w:color w:val="000000"/>
          <w:sz w:val="22"/>
          <w:u w:val="single"/>
        </w:rPr>
        <w:t>Schedule 10.02</w:t>
      </w:r>
      <w:r>
        <w:rPr>
          <w:color w:val="000000"/>
        </w:rPr>
        <w:t xml:space="preserve"> </w:t>
      </w:r>
      <w:r>
        <w:rPr>
          <w:rFonts w:ascii="Times New Roman;serif" w:hAnsi="Times New Roman;serif"/>
          <w:b w:val="false"/>
          <w:color w:val="000000"/>
          <w:sz w:val="22"/>
        </w:rPr>
        <w:t>or to such other address, facsimile number, electronic mail address or telephone number as shall be designated by such party in a notice to the other parties;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 to any L/C Issuer or other Lender, to the address, facsimile number, electronic mail address or telephone number specified in its Administrative Questionnaire or to such other address, facsimile number, electronic mail address or telephone number as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84505"/>
                <wp:effectExtent l="0" t="0" r="0" b="0"/>
                <wp:wrapNone/>
                <wp:docPr id="158" name="Frame15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designated by such party in a notice to a Borrower, the Administrative Agent, the L/C Issuers and the Swing Line Lender.</w:t>
      </w:r>
    </w:p>
    <w:p>
      <w:pPr>
        <w:pStyle w:val="TextBody"/>
        <w:bidi w:val="0"/>
        <w:spacing w:lineRule="auto" w:line="288" w:before="0" w:after="240"/>
        <w:jc w:val="both"/>
        <w:rPr/>
      </w:pPr>
      <w:r>
        <w:rPr>
          <w:rFonts w:ascii="Times New Roman;serif" w:hAnsi="Times New Roman;serif"/>
          <w:b w:val="false"/>
          <w:color w:val="000000"/>
          <w:sz w:val="22"/>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Times New Roman;serif" w:hAnsi="Times New Roman;serif"/>
          <w:b w:val="false"/>
          <w:color w:val="000000"/>
          <w:sz w:val="22"/>
          <w:u w:val="single"/>
        </w:rPr>
        <w:t>Section 10.02(c)</w:t>
      </w:r>
      <w:r>
        <w:rPr>
          <w:rFonts w:ascii="Times New Roman;serif" w:hAnsi="Times New Roman;serif"/>
          <w:b w:val="false"/>
          <w:color w:val="000000"/>
          <w:sz w:val="22"/>
        </w:rPr>
        <w:t xml:space="preserve">), when delivered;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notices and other communications to the Administrative Agent, the L/C Issuers and the Swing Line Lender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shall not be effective until actually received by such Person. In no event shall a voice mail message be effective as a notice, communication or confirmation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Effectiveness of Facsimile Documents and Electronic Transmission and Signatures</w:t>
      </w:r>
      <w:r>
        <w:rPr>
          <w:rFonts w:ascii="Times New Roman;serif" w:hAnsi="Times New Roman;serif"/>
          <w:b w:val="false"/>
          <w:color w:val="000000"/>
          <w:sz w:val="22"/>
        </w:rPr>
        <w:t>. Loan Documents may be transmitted and/or signed by facsimile or electronic format (i.e. “tif” or “pdf”). The effectiveness of any such documents and signatures shall, subject to applicable Law, have the same force and effect as manually signed originals and shall be binding on all Loan Parties, the Agents and the Lenders.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Reliance by Agents and Lenders</w:t>
      </w:r>
      <w:r>
        <w:rPr>
          <w:rFonts w:ascii="Times New Roman;serif" w:hAnsi="Times New Roman;serif"/>
          <w:b w:val="false"/>
          <w:color w:val="000000"/>
          <w:sz w:val="22"/>
        </w:rPr>
        <w:t>. The Administrative Agent and the Lenders shall be entitled to rely and act upon any notices (including telephonic Committed Loan Notices and Swing Line Loan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Lender from all losses, costs, expenses and liabilities resulting from the reliance by such Person on each notice purportedly given by or on behalf of the Company in the absence of gross negligence or willful misconduct. All telephonic notices to the Administrative Agent may be recorded by the Administrative Agent, and each of the parties hereto hereby consents to such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10.03    </w:t>
      </w:r>
      <w:r>
        <w:rPr>
          <w:rFonts w:ascii="Times New Roman;serif" w:hAnsi="Times New Roman;serif"/>
          <w:b/>
          <w:color w:val="000000"/>
          <w:sz w:val="22"/>
          <w:u w:val="single"/>
        </w:rPr>
        <w:t>No Waiver; Cumulative Remedies</w:t>
      </w:r>
      <w:r>
        <w:rPr>
          <w:rFonts w:ascii="Times New Roman;serif" w:hAnsi="Times New Roman;serif"/>
          <w:b w:val="false"/>
          <w:color w:val="000000"/>
          <w:sz w:val="22"/>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10.04    </w:t>
      </w:r>
      <w:r>
        <w:rPr>
          <w:rFonts w:ascii="Times New Roman;serif" w:hAnsi="Times New Roman;serif"/>
          <w:b/>
          <w:color w:val="000000"/>
          <w:sz w:val="22"/>
          <w:u w:val="single"/>
        </w:rPr>
        <w:t>Attorney Costs, Expenses and Taxes</w:t>
      </w:r>
      <w:r>
        <w:rPr>
          <w:rFonts w:ascii="Times New Roman;serif" w:hAnsi="Times New Roman;serif"/>
          <w:b w:val="false"/>
          <w:color w:val="000000"/>
          <w:sz w:val="22"/>
        </w:rPr>
        <w:t xml:space="preserve">. Each Borrower agrees (a) if the Closing Date occurs, to pay or reimburse the Administrative Agent, each Co-Syndication Agent, each Co-Documentation Agent and the Joint Lead Arrangers for all reasonable and documented out-of-pocket costs and expenses incurred (promptly following written demand therefor, together with backup documentation supporting such reimbursement request)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McGuireWoods LLP and, if necessary, one firm of local counsel in any relevant jurisdiction, and (b) after the Closing Date, upon presentation of a summary statement, together with any supporting documentation reasonably requested by the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84505"/>
                <wp:effectExtent l="0" t="0" r="0" b="0"/>
                <wp:wrapNone/>
                <wp:docPr id="159" name="Frame15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 promptly pay or reimburse the Administrative Agent, each Co-Syndication Agent, each Co-Documentation Agent, the Joint Lead Arrangers and each Lender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including all Attorney Costs, which shall be limited to Attorney Costs of one counsel to the Administrative Agent and the Lenders taken as a whole (and, if necessary, one firm of local counsel to the Administrative Agent and the Lenders taken as a whole in any relevant jurisdiction and, solely in the event of any actual or potential conflict of interest, one additional counsel in each relevant jurisdiction to each group of similarly situated affected persons taken as a whole)). The agreements in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survive the termination of the Aggregate Commitments and repayment of all other Obligations. All amounts due under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be paid within thirty (30) days of receipt by the Borrowers of an invoice relating thereto setting forth such expenses in reasonable detail;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the Closing Date, all amounts due under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be paid on the Closing Date to the extent invoiced to the Borrowers within three (3) Business Days prior to the Closing Date. If any Loan Party fails to pay when due any costs, expenses or other amounts payable by it hereunder or under any Loan Document, such amount may be paid on behalf of such Loan Party by the Administrative Agent in its sole discretion.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not apply to Indemnified Taxes or Excluded Taxes, which, in each case, shall be governed by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also shall not apply to taxes covered by </w:t>
      </w:r>
      <w:r>
        <w:rPr>
          <w:rFonts w:ascii="Times New Roman;serif" w:hAnsi="Times New Roman;serif"/>
          <w:b w:val="false"/>
          <w:color w:val="000000"/>
          <w:sz w:val="22"/>
          <w:u w:val="single"/>
        </w:rPr>
        <w:t>Section 3.04</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10.05    </w:t>
      </w:r>
      <w:r>
        <w:rPr>
          <w:rFonts w:ascii="Times New Roman;serif" w:hAnsi="Times New Roman;serif"/>
          <w:b/>
          <w:color w:val="000000"/>
          <w:sz w:val="22"/>
          <w:u w:val="single"/>
        </w:rPr>
        <w:t>Indemnification by the Borrowers</w:t>
      </w:r>
      <w:r>
        <w:rPr>
          <w:rFonts w:ascii="Times New Roman;serif" w:hAnsi="Times New Roman;serif"/>
          <w:b w:val="false"/>
          <w:color w:val="000000"/>
          <w:sz w:val="22"/>
        </w:rPr>
        <w:t>. Whether or not the transactions contemplated hereby are consummated, each Borrower shall indemnify and hold harmless each Agent-Related Person, each Lender and their respective Affiliates, directors, officers, employees, counsel, agents, trustees, investment advisors and attorneys-in-fact (collectively the “</w:t>
      </w:r>
      <w:r>
        <w:rPr>
          <w:rFonts w:ascii="Times New Roman;serif" w:hAnsi="Times New Roman;serif"/>
          <w:b w:val="false"/>
          <w:color w:val="000000"/>
          <w:sz w:val="22"/>
          <w:u w:val="single"/>
        </w:rPr>
        <w:t>Indemnitees</w:t>
      </w:r>
      <w:r>
        <w:rPr>
          <w:color w:val="000000"/>
        </w:rPr>
        <w:t>”</w:t>
      </w:r>
      <w:r>
        <w:rPr>
          <w:rFonts w:ascii="Times New Roman;serif" w:hAnsi="Times New Roman;serif"/>
          <w:b w:val="false"/>
          <w:color w:val="000000"/>
          <w:sz w:val="22"/>
        </w:rPr>
        <w:t>) from and against any and all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of Hazardous Materials on or from any property currently or formerly owned or operated by any Borrower, any Subsidiary or any other Loan Party, or any Environmental Liability related in any way to any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in all cases, whether or not caused by or arising, in whole or in part, out of the negligence of the Indemnitee;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such liabilities, obligations, losses, damages, penalties, claims, demands, actions, judgments, suits, costs, expenses or disbursements resulted from the gross negligence, bad faith or willful misconduct of, or material breach of Loan Document by, such Indemnitee or of any affiliate, director, officer, employee, counsel, agent or attorney-in-fact of such Indemnitee as determined by a court of competent jurisdiction in a final and non-appealable decision. No Agent-Related Person shall be liable for any damages arising from the use by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84505"/>
                <wp:effectExtent l="0" t="0" r="0" b="0"/>
                <wp:wrapNone/>
                <wp:docPr id="160" name="Frame15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others of any information or other materials obtained through IntraLinks or other similar information transmission systems in connection with this Agreement (except for damages resulting from the gross negligence, bad faith or willful misconduct, as determined by a court of competent jurisdiction in a final and non-appealable decision, of any such Agent-Related Person), nor shall any Agent-Related Person, any Lender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Agent-Related Person or a Lender to a third party). In the case of an investigation, litigation or other proceeding to which the indemnity in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shall be paid within ten (10) Business Days after demand therefor;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such Indemnitee shall promptly refund such amount to the extent that there is a final judicial or arbitral determination that such Indemnitee was not entitled to indemnification or contribution rights with respect to such payment pursuant to the express terms of this </w:t>
      </w:r>
      <w:r>
        <w:rPr>
          <w:rFonts w:ascii="Times New Roman;serif" w:hAnsi="Times New Roman;serif"/>
          <w:b w:val="false"/>
          <w:color w:val="000000"/>
          <w:sz w:val="22"/>
          <w:u w:val="single"/>
        </w:rPr>
        <w:t>Section 10.05</w:t>
      </w:r>
      <w:r>
        <w:rPr>
          <w:rFonts w:ascii="Times New Roman;serif" w:hAnsi="Times New Roman;serif"/>
          <w:b w:val="false"/>
          <w:color w:val="000000"/>
          <w:sz w:val="22"/>
        </w:rPr>
        <w:t xml:space="preserve">. The agreements in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shall survive the resignation of the Administrative Agent, the replacement of any Lender, the termination of the Aggregate Commitments and the repayment, satisfaction or discharge of all the other Obligations.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shall not apply to Taxes, other than any Taxes that represent losses, claims, damages, etc. arising from any non-Tax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10.06    </w:t>
      </w:r>
      <w:r>
        <w:rPr>
          <w:rFonts w:ascii="Times New Roman;serif" w:hAnsi="Times New Roman;serif"/>
          <w:b/>
          <w:color w:val="000000"/>
          <w:sz w:val="22"/>
          <w:u w:val="single"/>
        </w:rPr>
        <w:t>Payments Set Aside</w:t>
      </w:r>
      <w:r>
        <w:rPr>
          <w:rFonts w:ascii="Times New Roman;serif" w:hAnsi="Times New Roman;serif"/>
          <w:b w:val="false"/>
          <w:color w:val="000000"/>
          <w:sz w:val="22"/>
        </w:rPr>
        <w:t xml:space="preserve">.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interest thereon from the date of such demand to the date such payment is made at a rate per annum equal to the Federal Funds Rate from time to time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10.07    </w:t>
      </w:r>
      <w:r>
        <w:rPr>
          <w:rFonts w:ascii="Times New Roman;serif" w:hAnsi="Times New Roman;serif"/>
          <w:b/>
          <w:color w:val="000000"/>
          <w:sz w:val="22"/>
          <w:u w:val="single"/>
        </w:rPr>
        <w:t>Successors and Assigns</w:t>
      </w:r>
      <w:r>
        <w:rPr>
          <w:rFonts w:ascii="Times New Roman;serif" w:hAnsi="Times New Roman;serif"/>
          <w:b w:val="false"/>
          <w:color w:val="000000"/>
          <w:sz w:val="22"/>
        </w:rPr>
        <w:t xml:space="preserve">. (a)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2"/>
          <w:u w:val="single"/>
        </w:rPr>
        <w:t>Section 10.07(b)</w:t>
      </w:r>
      <w:r>
        <w:rPr>
          <w:rFonts w:ascii="Times New Roman;serif" w:hAnsi="Times New Roman;serif"/>
          <w:b w:val="false"/>
          <w:color w:val="000000"/>
          <w:sz w:val="22"/>
        </w:rPr>
        <w:t xml:space="preserve">, (ii) by way of participation in accordance with the provisions of </w:t>
      </w:r>
      <w:r>
        <w:rPr>
          <w:rFonts w:ascii="Times New Roman;serif" w:hAnsi="Times New Roman;serif"/>
          <w:b w:val="false"/>
          <w:color w:val="000000"/>
          <w:sz w:val="22"/>
          <w:u w:val="single"/>
        </w:rPr>
        <w:t>Section 10.07(e)</w:t>
      </w:r>
      <w:r>
        <w:rPr>
          <w:rFonts w:ascii="Times New Roman;serif" w:hAnsi="Times New Roman;serif"/>
          <w:b w:val="false"/>
          <w:color w:val="000000"/>
          <w:sz w:val="22"/>
        </w:rPr>
        <w:t xml:space="preserve">, (iii) by way of pledge or assignment of a security interest subject to the restrictions of </w:t>
      </w:r>
      <w:r>
        <w:rPr>
          <w:rFonts w:ascii="Times New Roman;serif" w:hAnsi="Times New Roman;serif"/>
          <w:b w:val="false"/>
          <w:color w:val="000000"/>
          <w:sz w:val="22"/>
          <w:u w:val="single"/>
        </w:rPr>
        <w:t>Section 10.07(g)</w:t>
      </w:r>
      <w:r>
        <w:rPr>
          <w:color w:val="000000"/>
        </w:rPr>
        <w:t xml:space="preserve"> </w:t>
      </w:r>
      <w:r>
        <w:rPr>
          <w:rFonts w:ascii="Times New Roman;serif" w:hAnsi="Times New Roman;serif"/>
          <w:b w:val="false"/>
          <w:color w:val="000000"/>
          <w:sz w:val="22"/>
        </w:rPr>
        <w:t xml:space="preserve">and (i) or (iv) to an SPC in accordance with the provisions of </w:t>
      </w:r>
      <w:r>
        <w:rPr>
          <w:rFonts w:ascii="Times New Roman;serif" w:hAnsi="Times New Roman;serif"/>
          <w:b w:val="false"/>
          <w:color w:val="000000"/>
          <w:sz w:val="22"/>
          <w:u w:val="single"/>
        </w:rPr>
        <w:t>Section 10.07(h)</w:t>
      </w:r>
      <w:r>
        <w:rPr>
          <w:color w:val="000000"/>
        </w:rPr>
        <w:t xml:space="preserve"> </w:t>
      </w:r>
      <w:r>
        <w:rPr>
          <w:rFonts w:ascii="Times New Roman;serif" w:hAnsi="Times New Roman;serif"/>
          <w:b w:val="false"/>
          <w:color w:val="000000"/>
          <w:sz w:val="22"/>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2"/>
          <w:u w:val="single"/>
        </w:rPr>
        <w:t>Section 10.07(f)</w:t>
      </w:r>
      <w:r>
        <w:rPr>
          <w:color w:val="000000"/>
        </w:rPr>
        <w:t xml:space="preserve"> </w:t>
      </w:r>
      <w:r>
        <w:rPr>
          <w:rFonts w:ascii="Times New Roman;serif" w:hAnsi="Times New Roman;serif"/>
          <w:b w:val="false"/>
          <w:color w:val="000000"/>
          <w:sz w:val="22"/>
        </w:rPr>
        <w:t xml:space="preserve">and, to the extent expressly contemplated hereby, the Indemnitees) any legal or equitable right, remedy or claim under or by reason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(b)(i)    Subject to the conditions set forth in paragraph (b)(ii) below, any Lender may assign to one or more assignees (other than to natural persons, the Company and its Subsidiaries and Affiliates, Disqualified Institutions and Defaulting Lenders) (“</w:t>
      </w:r>
      <w:r>
        <w:rPr>
          <w:rFonts w:ascii="Times New Roman;serif" w:hAnsi="Times New Roman;serif"/>
          <w:b w:val="false"/>
          <w:color w:val="000000"/>
          <w:sz w:val="22"/>
          <w:u w:val="single"/>
        </w:rPr>
        <w:t>Assignees</w:t>
      </w:r>
      <w:r>
        <w:rPr>
          <w:color w:val="000000"/>
        </w:rPr>
        <w:t>”</w:t>
      </w:r>
      <w:r>
        <w:rPr>
          <w:rFonts w:ascii="Times New Roman;serif" w:hAnsi="Times New Roman;serif"/>
          <w:b w:val="false"/>
          <w:color w:val="000000"/>
          <w:sz w:val="22"/>
        </w:rPr>
        <w:t xml:space="preserve">) all or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484505"/>
                <wp:effectExtent l="0" t="0" r="0" b="0"/>
                <wp:wrapNone/>
                <wp:docPr id="161" name="Frame16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 portion of its rights and obligations under this Agreement (including all or a portion of its Commitment and the Loans (including for purposes of this </w:t>
      </w:r>
      <w:r>
        <w:rPr>
          <w:rFonts w:ascii="Times New Roman;serif" w:hAnsi="Times New Roman;serif"/>
          <w:b w:val="false"/>
          <w:color w:val="000000"/>
          <w:sz w:val="22"/>
          <w:u w:val="single"/>
        </w:rPr>
        <w:t>Section 10.07(b)</w:t>
      </w:r>
      <w:r>
        <w:rPr>
          <w:rFonts w:ascii="Times New Roman;serif" w:hAnsi="Times New Roman;serif"/>
          <w:b w:val="false"/>
          <w:color w:val="000000"/>
          <w:sz w:val="22"/>
        </w:rPr>
        <w:t>, participations in L/C Obligations and in Swing Line Loans) at the time owing to it) with the prior written consent (such consent not to be unreasonably withheld, delayed or conditioned) 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(A)each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consent of any Borrower shall be required for (i) an assignment of a Revolving Credit Commitment to a Revolving Credit Lender or an Affiliate of a Revolving Credit Lender or an Approved Fund of a Revolving Credit Lender or (ii) if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has occurred and is continuing, an assignment to any Assignee;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each Borrower shall be deemed to have consented to any such assignment unless it shall object thereto by written notice to the Administrative Agent within 10 Business Days after having received notice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consent of the Administrative Agent shall be required for an assignment (i) of all or any portion of a Loan to a Lender, an Affiliate of a Lender or an Approved Fund or (ii) to an Agent or an Affiliate of an Agent;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(C)each Principal L/C Issuer at the time of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consent of the Principal L/C Issuers shall be required for any assignment to an Agent or an Affiliate of an Agent;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(D)the Swing Line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consent of the Swing Line Lender shall be required for any assignment to an Agent or an Affiliate of an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(ii)Assignments shall be subject to the following additional conditions: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(A)except in the case of an assignment to a Lender or an Affiliate of a Lender or an Approved Fund of a Lender or an assignment of the entire remaining amount of the assigning Lender’s Commitment or Loans of any Class, the amount of the Commitment or Loans of the assigning Lender subject to each such assignment (determined as of the date the Assignment and Assumption Agreement with respect to such assignment is delivered to the Administrative Agent) shall not be less than $5,000,000 unless each of the Borrowers and the Administrative Agent otherwise consents,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no such consent of the Borrowers shall be required if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has occurred and is continuing and (2) such amounts shall be aggregated in respect of each Lender and its Affiliates or Approved Funds, if 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each Borrower shall be deemed to have given its consent 10 Business Days after the date written notice thereof has been delivered by the assigning Lender (through the Administrative Agent) unless such consent is expressly refused by each Borrower prior to such 10th Business Day;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(B)the parties to each assignment shall execute and deliver to the Administrative Agent an Assignment and Assumption Agreement, together with a processing and recordation fee of $3,500, unless waived or reduced by the Administrative Agent in its sole discretion,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only one such fee shall be payable in the event of simultaneous assignments from any Lender or its Approved Funds to one or more other Approved Funds; and</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84505"/>
                <wp:effectExtent l="0" t="0" r="0" b="0"/>
                <wp:wrapNone/>
                <wp:docPr id="162" name="Frame16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Assignee, if it shall not be a Lender, shall deliver to the Administrative Agent an Administrative Questionnaire.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paragraph (b) shall not prohibit any Lender from assigning all or a portion of its rights and obligations among separate Facilities on a non-pro rata basis.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(c)Subject to acceptance and recording thereof by the Administrative Agent pursuant to </w:t>
      </w:r>
      <w:r>
        <w:rPr>
          <w:rFonts w:ascii="Times New Roman;serif" w:hAnsi="Times New Roman;serif"/>
          <w:b w:val="false"/>
          <w:color w:val="000000"/>
          <w:sz w:val="22"/>
          <w:u w:val="single"/>
        </w:rPr>
        <w:t>Section 10.07(d)</w:t>
      </w:r>
      <w:r>
        <w:rPr>
          <w:rFonts w:ascii="Times New Roman;serif" w:hAnsi="Times New Roman;serif"/>
          <w:b w:val="false"/>
          <w:color w:val="000000"/>
          <w:sz w:val="22"/>
        </w:rPr>
        <w:t xml:space="preserve">, from and after the effective date specified in each Assignment and Assumption Agreement, the Eligible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Upon request, and the surrender by the assigning Lender of its Note, each Borrower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Section 10.07(e)</w:t>
      </w:r>
      <w:r>
        <w:rPr>
          <w:color w:val="000000"/>
        </w:rPr>
        <w:t xml:space="preserve"> </w:t>
      </w:r>
      <w:r>
        <w:rPr>
          <w:rFonts w:ascii="Times New Roman;serif" w:hAnsi="Times New Roman;serif"/>
          <w:b w:val="false"/>
          <w:color w:val="000000"/>
          <w:sz w:val="22"/>
        </w:rPr>
        <w:t>(other than a purported assignment to a natural person, which shall be null and void).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(d)The Administrative Agent, acting solely for this purpose as an agent of the Borrowers, shall maintain at the Administrative Agent’s Office a copy of each Assignment and Assumption Agreement delivered to it and a register for the recordation of the names and addresses of the Lenders, and the Commitments of, and principal amounts (and related interest amounts) of the Loans, L/C Obligations (specifying the Unreimbursed Amounts), L/C Borrowings and amounts due under </w:t>
      </w:r>
      <w:r>
        <w:rPr>
          <w:rFonts w:ascii="Times New Roman;serif" w:hAnsi="Times New Roman;serif"/>
          <w:b w:val="false"/>
          <w:color w:val="000000"/>
          <w:sz w:val="22"/>
          <w:u w:val="single"/>
        </w:rPr>
        <w:t>Section 2.03</w:t>
      </w:r>
      <w:r>
        <w:rPr>
          <w:rFonts w:ascii="Times New Roman;serif" w:hAnsi="Times New Roman;serif"/>
          <w:b w:val="false"/>
          <w:color w:val="000000"/>
          <w:sz w:val="22"/>
        </w:rPr>
        <w:t>,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The Register shall be available for inspection (electronically or in-person at the Administrative Agent’s Office) by the Borrowers, any Agent and any Lender (but only to the extent of entries in the Register that are applicable to such Lender), at any reasonable time and from time to time upon reasonable prior notice. Notwithstanding anything to the contrary contained in this Agreement, the Loans, L/C Obligations and L/C Borrowings are intended to be treated as registered obligations for U.S. federal income tax purposes and this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shall be construed so that they are at all times maintained in “registered form” within the meaning of Sections 163(f), 871(h)(2) and 881(c)(2) of the Code, Section 5f.103-1(c) of the United States Treasury Regulation and any other related regulations (or any successor provisions of the Code or such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(e)Any Lender may at any time, without the consent of, or notice to, the Borrowers, the Administrative Agent, the Swing Line Lender or any L/C Issuer, sell participations to any Person (other than a natural person, the Company and its Subsidiaries and Affiliates, Disqualified Institutions and Defaulting Lenders)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484505"/>
                <wp:effectExtent l="0" t="0" r="0" b="0"/>
                <wp:wrapNone/>
                <wp:docPr id="163" name="Frame16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clauses (a) through (f) of the first proviso to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that directly affects such Participant. Subject to </w:t>
      </w:r>
      <w:r>
        <w:rPr>
          <w:rFonts w:ascii="Times New Roman;serif" w:hAnsi="Times New Roman;serif"/>
          <w:b w:val="false"/>
          <w:color w:val="000000"/>
          <w:sz w:val="22"/>
          <w:u w:val="single"/>
        </w:rPr>
        <w:t>Section 10.07(f)</w:t>
      </w:r>
      <w:r>
        <w:rPr>
          <w:rFonts w:ascii="Times New Roman;serif" w:hAnsi="Times New Roman;serif"/>
          <w:b w:val="false"/>
          <w:color w:val="000000"/>
          <w:sz w:val="22"/>
        </w:rPr>
        <w:t xml:space="preserve">, each Borrower agrees that each Participant shall be entitled to the benefits of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to the same extent as if it were a Lender (subject, for the avoidance of doubt, to the limitations and requirements of those Sections applying to each Participant as if it were a Lender) and had acquired its interest by assignment pursuant to </w:t>
      </w:r>
      <w:r>
        <w:rPr>
          <w:rFonts w:ascii="Times New Roman;serif" w:hAnsi="Times New Roman;serif"/>
          <w:b w:val="false"/>
          <w:color w:val="000000"/>
          <w:sz w:val="22"/>
          <w:u w:val="single"/>
        </w:rPr>
        <w:t>Section 10.07(c)</w:t>
      </w:r>
      <w:r>
        <w:rPr>
          <w:color w:val="000000"/>
        </w:rPr>
        <w:t xml:space="preserve"> </w:t>
      </w:r>
      <w:r>
        <w:rPr>
          <w:rFonts w:ascii="Times New Roman;serif" w:hAnsi="Times New Roman;serif"/>
          <w:b w:val="false"/>
          <w:color w:val="000000"/>
          <w:sz w:val="22"/>
        </w:rPr>
        <w:t xml:space="preserve">but shall not be entitled to recover greater amounts under such Sections than the selling Lender would be entitled to recover except as otherwise provided in </w:t>
      </w:r>
      <w:r>
        <w:rPr>
          <w:rFonts w:ascii="Times New Roman;serif" w:hAnsi="Times New Roman;serif"/>
          <w:b w:val="false"/>
          <w:color w:val="000000"/>
          <w:sz w:val="22"/>
          <w:u w:val="single"/>
        </w:rPr>
        <w:t>Section 10.07(f)</w:t>
      </w:r>
      <w:r>
        <w:rPr>
          <w:color w:val="000000"/>
        </w:rPr>
        <w:t xml:space="preserve"> </w:t>
      </w:r>
      <w:r>
        <w:rPr>
          <w:rFonts w:ascii="Times New Roman;serif" w:hAnsi="Times New Roman;serif"/>
          <w:b w:val="false"/>
          <w:color w:val="000000"/>
          <w:sz w:val="22"/>
        </w:rPr>
        <w:t xml:space="preserve">below. To the extent permitted by applicable Law, each Participant also shall be entitled to the benefits of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(i) that the portion of the Participant Register relating to a Participant shall be made available to the Borrowers and Administrative Agent to the extent the benefits of this Agreement are claimed with respect to such Participant (including, without limitation,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rFonts w:ascii="Times New Roman;serif" w:hAnsi="Times New Roman;serif"/>
          <w:b w:val="false"/>
          <w:color w:val="000000"/>
          <w:sz w:val="22"/>
        </w:rPr>
        <w:t>), or (ii) otherwise to the extent that such disclosure is necessary to establish that such commitment, loan, letter of credit or other obligation is in registered form under Sections 163(f), 871(h)(2) and 881(c)(2) of the Code and Section 5f.103-1(c) of the United States Treasury Regulations and any other related regulations (or any successor provisions of the Code or such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(f)Participant shall not be entitled to receive any greater payment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than the applicable Lender would have been entitled to receive with respect to the participation sold to such Participant, unless the sale of the participation to such Participant is made with each Borrower’s prior written consent. A Participant shall not be entitled to the benefits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unless each Borrower is notified of the participation sold to such Participant and such Participant agrees, for the benefit of the Borrowers, to comply with </w:t>
      </w:r>
      <w:r>
        <w:rPr>
          <w:rFonts w:ascii="Times New Roman;serif" w:hAnsi="Times New Roman;serif"/>
          <w:b w:val="false"/>
          <w:color w:val="000000"/>
          <w:sz w:val="22"/>
          <w:u w:val="single"/>
        </w:rPr>
        <w:t>Section 3.01(g)</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(g)Any Lender may, without the consent of the Borrowers or the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484505"/>
                <wp:effectExtent l="0" t="0" r="0" b="0"/>
                <wp:wrapNone/>
                <wp:docPr id="164" name="Frame16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(h)Notwithstanding anything to the contrary contained herein, any Lender (a “</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 may, without the consent of the Borrowers or the Administrative Agent, grant to a special purpose funding vehicle identified as such in writing from time to time by the Granting Lender to the Administrative Agent and the Borrowers (an “</w:t>
      </w:r>
      <w:r>
        <w:rPr>
          <w:rFonts w:ascii="Times New Roman;serif" w:hAnsi="Times New Roman;serif"/>
          <w:b w:val="false"/>
          <w:color w:val="000000"/>
          <w:sz w:val="22"/>
          <w:u w:val="single"/>
        </w:rPr>
        <w:t>SPC</w:t>
      </w:r>
      <w:r>
        <w:rPr>
          <w:color w:val="000000"/>
        </w:rPr>
        <w:t>”</w:t>
      </w:r>
      <w:r>
        <w:rPr>
          <w:rFonts w:ascii="Times New Roman;serif" w:hAnsi="Times New Roman;serif"/>
          <w:b w:val="false"/>
          <w:color w:val="000000"/>
          <w:sz w:val="22"/>
        </w:rPr>
        <w:t xml:space="preserve">) the option to provide all or any part of any Loan that such Granting Lender would otherwise be obligated to make pursuant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(including its obligations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(i)Notwithstanding anything to the contrary contained herein, (1) any Lender may, without the consent of the Borrowers or the Administrative Agent, in accordance with applicable Law create a security interest in all or any portion of the Loans owing to it and the Note, if any, held by it and (2) any Lender that is a Fund may, without the consent of the Borrowers or the Administrative Agent, create a security interest in all or any portion of the Loans owing to it and the Note, if any, held by it to the trustee for holders of obligations owed, or securities issued, by such Fund as security for such obligations or securities;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and until such trustee actually becomes a Lender in compliance with the other provisions of this </w:t>
      </w:r>
      <w:r>
        <w:rPr>
          <w:rFonts w:ascii="Times New Roman;serif" w:hAnsi="Times New Roman;serif"/>
          <w:b w:val="false"/>
          <w:color w:val="000000"/>
          <w:sz w:val="22"/>
          <w:u w:val="single"/>
        </w:rPr>
        <w:t>Section 10.07</w:t>
      </w:r>
      <w:r>
        <w:rPr>
          <w:rFonts w:ascii="Times New Roman;serif" w:hAnsi="Times New Roman;serif"/>
          <w:b w:val="false"/>
          <w:color w:val="000000"/>
          <w:sz w:val="22"/>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(j)Notwithstanding anything to the contrary contained herein, any L/C Issuer or the Swing Line Lender may, upon thirty (30) days’ notice to the Borrowers and the Lenders, resign as an L/C Issuer or the Swing Line Lender, respectively;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 or prior to the expiration of such 30-day period with respect to such resignation, the relevant L/C Issuer or the Swing Line Lender shall have identified a successor L/C Issuer or Swing Line Lender reasonably acceptable to the Borrowers willing to accept its appointment as successor L/C Issuer or Swing Line Lender, as applicable. In the event of any such resignation of an L/C Issuer or the Swing Line Lender, the Borrowers shall be entitled to appoint from among the Lenders willing to accept such appointment a successor L/C Issuer or Swing Line Lender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failure by the Borrowers to appoint any such successor shall affect the resignation of the relevant L/C Issuer or the Swing Line Lender, as the case may be,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484505"/>
                <wp:effectExtent l="0" t="0" r="0" b="0"/>
                <wp:wrapNone/>
                <wp:docPr id="165" name="Frame164"/>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10.08    </w:t>
      </w:r>
      <w:r>
        <w:rPr>
          <w:rFonts w:ascii="Times New Roman;serif" w:hAnsi="Times New Roman;serif"/>
          <w:b/>
          <w:color w:val="000000"/>
          <w:sz w:val="22"/>
          <w:u w:val="single"/>
        </w:rPr>
        <w:t>Confidentiality</w:t>
      </w:r>
      <w:r>
        <w:rPr>
          <w:rFonts w:ascii="Times New Roman;serif" w:hAnsi="Times New Roman;serif"/>
          <w:b w:val="false"/>
          <w:color w:val="000000"/>
          <w:sz w:val="22"/>
        </w:rPr>
        <w:t xml:space="preserve">. Each of the Agents and the Lenders agrees to maintain the confidentiality of the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(c) to the extent required by applicable Laws or regulations or by any subpoena or similar legal process; (d) to any other party to this Agreement; (e) subject to an agreement containing provisions substantially the same as those of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(or as may otherwise be reasonably acceptable to the Borrowers), to any pledgee referred to in </w:t>
      </w:r>
      <w:r>
        <w:rPr>
          <w:rFonts w:ascii="Times New Roman;serif" w:hAnsi="Times New Roman;serif"/>
          <w:b w:val="false"/>
          <w:color w:val="000000"/>
          <w:sz w:val="22"/>
          <w:u w:val="single"/>
        </w:rPr>
        <w:t>Section 10.07(g)</w:t>
      </w:r>
      <w:r>
        <w:rPr>
          <w:rFonts w:ascii="Times New Roman;serif" w:hAnsi="Times New Roman;serif"/>
          <w:b w:val="false"/>
          <w:color w:val="000000"/>
          <w:sz w:val="22"/>
        </w:rPr>
        <w:t xml:space="preserve">, actual or prospective counterparty to a Swap Contract, actual or prospective Eligible Assignee of or Participant in any of its rights or obligations under this Agreement or actual or prospective counterparty to any swap, derivative or other transaction under which payments are to be made by reference to the Borrowers and their obligations, this Agreement or payments hereunder; (f) with the written consent of the Borrowers; (g) to the extent such Information (i) becomes publicly available other than as a result of a breach of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or (ii) becomes available to any Agent or any Lender from a third party that is not, to such Person’s knowledge, subject to confidentiality obligations to the Borrowers; (h) to any Governmental Authority or examiner (including the National Association of Insurance Commissioners or any other similar organization) regulating any Lender or its Affiliates; or (i) to any rating agency when required by it (it being understood that, prior to any such disclosure, such rating agency shall undertake to preserve the confidentiality of any Information relating to the Loan Parties received by it from such Lender).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Times New Roman;serif" w:hAnsi="Times New Roman;serif"/>
          <w:b w:val="false"/>
          <w:color w:val="000000"/>
          <w:sz w:val="22"/>
          <w:u w:val="single"/>
        </w:rPr>
        <w:t>Section 10.08</w:t>
      </w:r>
      <w:r>
        <w:rPr>
          <w:rFonts w:ascii="Times New Roman;serif" w:hAnsi="Times New Roman;serif"/>
          <w:b w:val="false"/>
          <w:color w:val="000000"/>
          <w:sz w:val="22"/>
        </w:rPr>
        <w:t xml:space="preserve">, “Information” means all information received from any Loan Party relating to any Loan Party or its business, other than any such information that is publicly available to any Agent or any Lender prior to disclosure by any Loan Party other than as a result of a breach of this </w:t>
      </w:r>
      <w:r>
        <w:rPr>
          <w:rFonts w:ascii="Times New Roman;serif" w:hAnsi="Times New Roman;serif"/>
          <w:b w:val="false"/>
          <w:color w:val="000000"/>
          <w:sz w:val="22"/>
          <w:u w:val="single"/>
        </w:rPr>
        <w:t>Section 10.08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information received from a Loan Party after the Closing Date, such information is clearly identified at the time of delivery as confidential or (ii) is delivered pursuant to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6.03</w:t>
      </w:r>
      <w:r>
        <w:rPr>
          <w:rFonts w:ascii="Times New Roman;serif" w:hAnsi="Times New Roman;serif"/>
          <w:b w:val="false"/>
          <w:color w:val="000000"/>
          <w:sz w:val="22"/>
        </w:rPr>
        <w:t>.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10.09    </w:t>
      </w:r>
      <w:r>
        <w:rPr>
          <w:rFonts w:ascii="Times New Roman;serif" w:hAnsi="Times New Roman;serif"/>
          <w:b/>
          <w:color w:val="000000"/>
          <w:sz w:val="22"/>
          <w:u w:val="single"/>
        </w:rPr>
        <w:t>Setoff</w:t>
      </w:r>
      <w:r>
        <w:rPr>
          <w:rFonts w:ascii="Times New Roman;serif" w:hAnsi="Times New Roman;serif"/>
          <w:b w:val="false"/>
          <w:color w:val="000000"/>
          <w:sz w:val="22"/>
        </w:rPr>
        <w:t xml:space="preserve">. (a) In addition to any rights and remedies of the Lenders provided by Law, upon the occurrence and during the continuance of any Event of Default, each Agent, each Lender and their respective Affiliates is authorized at any time and from time to time, without prior notice to any Borrower or any other Loan Party, any such notice being waived by each Borrower (on its own behalf and on behalf of each Loan Party) to the fullest extent permitted by applicable Law, to set off and apply any and all deposits (general or special, time or demand, provisional or final) at any time held by, and other Indebtedness at any time owing by, such Agent, such Lender and/or such Affiliates to or for the credit or the account of the respective Loan Parties against any and all Obligations owing to such Agent, such Lender and/or such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Each Lender agrees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484505"/>
                <wp:effectExtent l="0" t="0" r="0" b="0"/>
                <wp:wrapNone/>
                <wp:docPr id="166" name="Frame165"/>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 notify the Borrowers and the Administrative Agent after any such set off and application made by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give such notice shall not affect the validity of such setoff and application. The rights of each Agent and each Lender under this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are in addition to other rights and remedies (including other rights of setoff) that such Agent and such Lender may have.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(b)NOTWITHSTANDING THE FOREGOING SUBSECTION (a), AT ANY TIME THAT THE LOANS OR ANY OTHER OBLIGATION SHALL BE SECURED BY REAL PROPERTY LOCATED IN CALIFORNIA, NO LENDER OR AGENT SHALL EXERCISE A RIGHT OF SETOFF, LIEN OR COUNTERCLAIM OR TAKE ANY COURT OR ADMINISTRATIVE ACTION OR INSTITUTE ANY PROCEEDING TO ENFORCE ANY PROVISION OF THIS AGREEMENT OR ANY NOTE UNLESS IT IS TAKEN WITH THE CONSENT OF THE REQUIRED LENDERS OR, TO THE EXTENT REQUIRED BY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OF THIS AGREEMENT, ALL OF THE LENDERS, OR APPROVED IN WRITING BY THE ADMINISTRATIVE AGENT, IF SUCH SETOFF OR ACTION OR PROCEEDING WOULD OR MIGHT (PURSUANT TO CALIFORNIA CODE OF CIVIL PROCEDURE SECTIONS 580a, 580b, 580d AND 726 OF THE CALIFORNIA CODE OF CIVIL PROCEDURE OR SECTION 2924 OF THE CALIFORNIA CIVIL CODE, IF APPLICABLE, OR OTHERWISE) AFFECT OR IMPAIR THE VALIDITY, PRIORITY, OR ENFORCEABILITY OF THE LIENS GRANTED TO THE COLLATERAL AGENT PURSUANT TO THE COLLATERAL DOCUMENTS OR THE ENFORCEABILITY OF THE NOTES AND OTHER OBLIGATIONS HEREUNDER, AND ANY ATTEMPTED EXERCISE BY ANY LENDER OR ANY AGENT OF ANY SUCH RIGHT WITHOUT OBTAINING SUCH CONSENT OF THE REQUIRED LENDERS OR THE ADMINISTRATIVE AGENT SHALL BE NULL AND VOID. THIS SUBSECTION (b) SHALL BE SOLELY FOR THE BENEFIT OF EACH OF THE LENDERS AND THE ADMINISTRATIVE AGENT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10.10    </w:t>
      </w:r>
      <w:r>
        <w:rPr>
          <w:rFonts w:ascii="Times New Roman;serif" w:hAnsi="Times New Roman;serif"/>
          <w:b/>
          <w:color w:val="000000"/>
          <w:sz w:val="22"/>
          <w:u w:val="single"/>
        </w:rPr>
        <w:t>Interest Rate Limitation</w:t>
      </w:r>
      <w:r>
        <w:rPr>
          <w:rFonts w:ascii="Times New Roman;serif" w:hAnsi="Times New Roman;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10.11    </w:t>
      </w:r>
      <w:r>
        <w:rPr>
          <w:rFonts w:ascii="Times New Roman;serif" w:hAnsi="Times New Roman;serif"/>
          <w:b/>
          <w:color w:val="000000"/>
          <w:sz w:val="22"/>
          <w:u w:val="single"/>
        </w:rPr>
        <w:t>Counterparts; Electronic Execution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and each other Loan Document may be executed in one or more counterparts, each of which shall be deemed an original, but all of which together shall constitute one and the same instrument. Delivery by telecopier or in electronic (i.e., “pdf” or “tif”) format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in electronic format be confirmed by a manually signed original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to request or deliver the same shall not limit the effectiveness of any document or signature delivered by telecopier or in electronic format.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Execution</w:t>
      </w:r>
      <w:r>
        <w:rPr>
          <w:rFonts w:ascii="Times New Roman;serif" w:hAnsi="Times New Roman;serif"/>
          <w:b w:val="false"/>
          <w:color w:val="000000"/>
          <w:sz w:val="22"/>
        </w:rPr>
        <w:t xml:space="preserve">. The words “execute,” “execution,” “signed,” “signature,” “delivery” and words of like import in or related to this Agreement, any other Loan Document or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484505"/>
                <wp:effectExtent l="0" t="0" r="0" b="0"/>
                <wp:wrapNone/>
                <wp:docPr id="167" name="Frame166"/>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without limiting the foregoing, (a)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(b) upon the request of the Administrative Agent or any Lender, any Electronic Signature shall be promptly followed by an original manually executed counterpart thereof.  Without limiting the generality of the foregoing, each party hereto hereby (i) agrees that, for all purposes, including without limitation, in connection with any workout, restructuring, enforcement of remedies, bankruptcy proceedings or litigation among the Administrative Agent, the Lenders and any of the Loan Parties, electronic images of this Agreement or any other Loan Document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10.12    </w:t>
      </w:r>
      <w:r>
        <w:rPr>
          <w:rFonts w:ascii="Times New Roman;serif" w:hAnsi="Times New Roman;serif"/>
          <w:b/>
          <w:color w:val="000000"/>
          <w:sz w:val="22"/>
          <w:u w:val="single"/>
        </w:rPr>
        <w:t>Integration</w:t>
      </w:r>
      <w:r>
        <w:rPr>
          <w:rFonts w:ascii="Times New Roman;serif" w:hAnsi="Times New Roman;serif"/>
          <w:b w:val="false"/>
          <w:color w:val="000000"/>
          <w:sz w:val="22"/>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10.13    </w:t>
      </w:r>
      <w:r>
        <w:rPr>
          <w:rFonts w:ascii="Times New Roman;serif" w:hAnsi="Times New Roman;serif"/>
          <w:b/>
          <w:color w:val="000000"/>
          <w:sz w:val="22"/>
          <w:u w:val="single"/>
        </w:rPr>
        <w:t>Survival of Representations and Warranties</w:t>
      </w:r>
      <w:r>
        <w:rPr>
          <w:rFonts w:ascii="Times New Roman;serif" w:hAnsi="Times New Roman;serif"/>
          <w:b w:val="false"/>
          <w:color w:val="000000"/>
          <w:sz w:val="22"/>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(other than Obligations under Secured Hedge Agreements, Cash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484505"/>
                <wp:effectExtent l="0" t="0" r="0" b="0"/>
                <wp:wrapNone/>
                <wp:docPr id="168" name="Frame167"/>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or contingent indemnification obligations, in any such case, not then due and payable) or any Letter of Credit shall remain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2"/>
        </w:rPr>
        <w:t>Section 10.14    </w:t>
      </w:r>
      <w:r>
        <w:rPr>
          <w:rFonts w:ascii="Times New Roman;serif" w:hAnsi="Times New Roman;serif"/>
          <w:b/>
          <w:color w:val="000000"/>
          <w:sz w:val="22"/>
          <w:u w:val="single"/>
        </w:rPr>
        <w:t>Severability</w:t>
      </w:r>
      <w:r>
        <w:rPr>
          <w:rFonts w:ascii="Times New Roman;serif" w:hAnsi="Times New Roman;serif"/>
          <w:b w:val="false"/>
          <w:color w:val="000000"/>
          <w:sz w:val="22"/>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color w:val="000000"/>
          <w:sz w:val="22"/>
        </w:rPr>
        <w:t>Section 10.15    </w:t>
      </w:r>
      <w:r>
        <w:rPr>
          <w:rFonts w:ascii="Times New Roman;serif" w:hAnsi="Times New Roman;serif"/>
          <w:b/>
          <w:color w:val="000000"/>
          <w:sz w:val="22"/>
          <w:u w:val="single"/>
        </w:rPr>
        <w:t>GOVERNING LAW</w:t>
      </w:r>
      <w:r>
        <w:rPr>
          <w:rFonts w:ascii="Times New Roman;serif" w:hAnsi="Times New Roman;serif"/>
          <w:b w:val="false"/>
          <w:color w:val="000000"/>
          <w:sz w:val="22"/>
        </w:rPr>
        <w:t>. (a) THIS AGREEMENT AND EACH OTHER LOAN DOCUMENT SHALL BE GOVERNED BY, AND CONSTRUED IN ACCORDANCE WITH, THE LAW OF THE STATE OF NEW YORK.</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BORROWER, THE ADMINISTRATIVE AGENT AND EACH LENDER EACH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(c)EACH BORROWER, THE ADMINISTRATIVE AGENT AND EACH LENDER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(d)EACH PARTY HERETO IRREVOCABLY CONSENTS TO SERVICE OF PROCESS IN THE MANNER PROVIDED FOR NOTICES IN </w:t>
      </w:r>
      <w:r>
        <w:rPr>
          <w:rFonts w:ascii="Times New Roman;serif" w:hAnsi="Times New Roman;serif"/>
          <w:b w:val="false"/>
          <w:color w:val="000000"/>
          <w:sz w:val="22"/>
          <w:u w:val="single"/>
        </w:rPr>
        <w:t>SECTION 10.02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before="0" w:after="0"/>
        <w:ind w:left="0" w:right="0" w:firstLine="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484505"/>
                <wp:effectExtent l="0" t="0" r="0" b="0"/>
                <wp:wrapNone/>
                <wp:docPr id="169" name="Frame168"/>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10.16    </w:t>
      </w:r>
      <w:r>
        <w:rPr>
          <w:rFonts w:ascii="Times New Roman;serif" w:hAnsi="Times New Roman;serif"/>
          <w:b/>
          <w:color w:val="000000"/>
          <w:sz w:val="22"/>
          <w:u w:val="single"/>
        </w:rPr>
        <w:t>WAIVER OF RIGHT TO TRIAL BY JURY</w:t>
      </w:r>
      <w:r>
        <w:rPr>
          <w:rFonts w:ascii="Times New Roman;serif" w:hAnsi="Times New Roman;serif"/>
          <w:b w:val="false"/>
          <w:color w:val="000000"/>
          <w:sz w:val="22"/>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10.16 WITH ANY COURT AS WRITTEN EVIDENCE OF THE CONSENT OF THE SIGNATORIES HERETO TO THE WAIVER OF THEIR RIGHT TO TRIAL BY JURY.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10.17    </w:t>
      </w:r>
      <w:r>
        <w:rPr>
          <w:rFonts w:ascii="Times New Roman;serif" w:hAnsi="Times New Roman;serif"/>
          <w:b/>
          <w:color w:val="000000"/>
          <w:sz w:val="22"/>
          <w:u w:val="single"/>
        </w:rPr>
        <w:t>Binding Effect</w:t>
      </w:r>
      <w:r>
        <w:rPr>
          <w:rFonts w:ascii="Times New Roman;serif" w:hAnsi="Times New Roman;serif"/>
          <w:b w:val="false"/>
          <w:color w:val="000000"/>
          <w:sz w:val="22"/>
        </w:rPr>
        <w:t>. This Agreement shall become effective when it shall have been executed by each Borrower and the Administrative Agent shall have been notified by each Lender, each L/C Issuer and the Swing Line Lender that each such Lender, each such L/C Issuer and the Swing Line Lender has executed it and thereafter shall be binding upon and inure to the benefit of each Borrower, each Agent, each Lender, each L/C Issuer and the Swing Line Lender and their respective successors and assigns, except that no Borrower shall have the right to assign its rights hereunder or any interest herein without the prior written consent of the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10.18    </w:t>
      </w:r>
      <w:r>
        <w:rPr>
          <w:rFonts w:ascii="Times New Roman;serif" w:hAnsi="Times New Roman;serif"/>
          <w:b/>
          <w:color w:val="000000"/>
          <w:sz w:val="22"/>
          <w:u w:val="single"/>
        </w:rPr>
        <w:t>Lender Action</w:t>
      </w:r>
      <w:r>
        <w:rPr>
          <w:rFonts w:ascii="Times New Roman;serif" w:hAnsi="Times New Roman;serif"/>
          <w:b w:val="false"/>
          <w:color w:val="000000"/>
          <w:sz w:val="22"/>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w:t>
      </w:r>
      <w:r>
        <w:rPr>
          <w:rFonts w:ascii="Times New Roman;serif" w:hAnsi="Times New Roman;serif"/>
          <w:b w:val="false"/>
          <w:color w:val="000000"/>
          <w:sz w:val="22"/>
          <w:u w:val="single"/>
        </w:rPr>
        <w:t>Section 10.18</w:t>
      </w:r>
      <w:r>
        <w:rPr>
          <w:color w:val="000000"/>
        </w:rPr>
        <w:t xml:space="preserve"> </w:t>
      </w:r>
      <w:r>
        <w:rPr>
          <w:rFonts w:ascii="Times New Roman;serif" w:hAnsi="Times New Roman;serif"/>
          <w:b w:val="false"/>
          <w:color w:val="000000"/>
          <w:sz w:val="22"/>
        </w:rPr>
        <w:t>is for the sole benefit of the Lenders and shall not afford any right to, or constitute a defense available to, any Loan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10.19    </w:t>
      </w:r>
      <w:r>
        <w:rPr>
          <w:rFonts w:ascii="Times New Roman;serif" w:hAnsi="Times New Roman;serif"/>
          <w:b/>
          <w:color w:val="000000"/>
          <w:sz w:val="22"/>
          <w:u w:val="single"/>
        </w:rPr>
        <w:t>USA PATRIOT Act; Anti-Money Laundering Laws</w:t>
      </w:r>
      <w:r>
        <w:rPr>
          <w:rFonts w:ascii="Times New Roman;serif" w:hAnsi="Times New Roman;serif"/>
          <w:b w:val="false"/>
          <w:color w:val="000000"/>
          <w:sz w:val="22"/>
        </w:rPr>
        <w:t>. Each Lender hereby notifies the Loan Parties that pursuant to the requirements of the USA PATRIOT Act (Title III of Pub. L. 107-56 (signed into law October 26, 2001))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or any other Anti-Money Laundering Laws, it is required to obtain, verify and record information that identifies the Loan Parties, which information includes the name and address of the Loan Parties and other information that will allow such Lender to identify the Loan Parties in accordance with the Act or such Anti-Money Laundering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10.20    </w:t>
      </w:r>
      <w:r>
        <w:rPr>
          <w:rFonts w:ascii="Times New Roman;serif" w:hAnsi="Times New Roman;serif"/>
          <w:b/>
          <w:color w:val="000000"/>
          <w:sz w:val="22"/>
          <w:u w:val="single"/>
        </w:rPr>
        <w:t>No Advisory or Fiduciary Responsibility</w:t>
      </w:r>
      <w:r>
        <w:rPr>
          <w:rFonts w:ascii="Times New Roman;serif" w:hAnsi="Times New Roman;serif"/>
          <w:b w:val="false"/>
          <w:color w:val="000000"/>
          <w:sz w:val="22"/>
        </w:rPr>
        <w:t xml:space="preserve">. 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Agents and the Joint Lead Arrangers are arm’s-length commercial transactions between the Borrowers and their respective Affiliates, on the one hand, and the Administrative Agent and the Joint Lead Arrangers, on the other hand, (B) each Borrower has consulted its own legal, accounting, regulatory and tax advisors to the extent it has deemed appropriate, and (C) each Borrower is capable of evaluating, and understands and accepts, the terms, risks and conditions of the transactions contemplated hereby and by the other Loan Documents; (ii) (A) the Agents, the Joint Lead Arrangers and each Lender is and has been acting solely as a principal and, except as expressly agreed in writing by the relevant parties, has not been, is not, and will not be acting as an advisor, agent or fiduciary for the Borrowers or any of their respective Affiliates, or any other Person and (B) none of the Agents, the Joint Lead Arrangers nor any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484505"/>
                <wp:effectExtent l="0" t="0" r="0" b="0"/>
                <wp:wrapNone/>
                <wp:docPr id="170" name="Frame169"/>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Lender has any obligation to the Borrowers or any of their respective Affiliates with respect to the transactions contemplated hereby except those obligations expressly set forth herein and in the other Loan Documents; and (iii) the Agents, the Joint Lead Arrangers, the Lender and their respective Affiliates may be engaged in a broad range of transactions that involve interests that differ from those of the Borrowers and their respective Affiliates, and none of the Agents, the Joint Lead Arrangers nor any Lender has any obligation to disclose any of such interests to the Borrowers or any of their respective Affiliates. To the fullest extent permitted by law, each Borrower hereby waives and releases any claims that it may have against the Agents, the Joint Lead Arrangers or any Lender with respect to any breach or alleged breach of agency or fiduciary duty in connection with any aspect of any transaction contemplated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10.21    </w:t>
      </w:r>
      <w:r>
        <w:rPr>
          <w:rFonts w:ascii="Times New Roman;serif" w:hAnsi="Times New Roman;serif"/>
          <w:b/>
          <w:color w:val="000000"/>
          <w:sz w:val="22"/>
          <w:u w:val="single"/>
        </w:rPr>
        <w:t>Intercreditor Agreement</w:t>
      </w:r>
      <w:r>
        <w:rPr>
          <w:rFonts w:ascii="Times New Roman;serif" w:hAnsi="Times New Roman;serif"/>
          <w:b w:val="false"/>
          <w:color w:val="000000"/>
          <w:sz w:val="22"/>
        </w:rPr>
        <w:t>. (a) PURSUANT TO THE EXPRESS TERMS OF EACH FIRST LIEN INTERCREDITOR AGREEMENT, IN THE EVENT OF ANY CONFLICT OR INCONSISTENCY BETWEEN THE TERMS OF THE RELEVANT FIRST LIEN INTERCREDITOR AGREEMENT AND ANY OF THE LOAN DOCUMENTS, THE PROVISIONS OF THE RELEVANT FIRST LIEN INTERCREDITOR AGREEMENT SHALL GOVERN AND CONTROL.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LENDER AUTHORIZES AND INSTRUCTS THE COLLATERAL AGENT AND THE ADMINISTRATIVE AGENT TO ENTER INTO THE RELEVANT FIRST LIEN INTERCREDITOR AGREEMENT ON BEHALF OF SUCH LENDER, AND TO TAKE ALL ACTIONS (AND EXECUTE ALL DOCUMENTS) REQUIRED (OR DEEMED ADVISABLE) BY IT IN ACCORDANCE WITH THE TERMS OF SUCH FIRST LIEN INTERCREDITOR AGREEMENT(S). EACH LENDER AGREES TO BE BOUND BY AND WILL TAKE NO ACTIONS CONTRARY TO THE PROVISIONS OF THE RELEVANT FIRST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(c)THE PROVISIONS OF THIS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ARE NOT INTENDED TO SUMMARIZE ALL RELEVANT PROVISIONS OF THE RELEVANT FIRST LIEN INTERCREDITOR AGREEMENT. REFERENCE MUST BE MADE TO THE RELEVANT FIRST LIEN INTERCREDITOR AGREEMENT ITSELF TO UNDERSTAND ALL TERMS AND CONDITIONS THEREOF. EACH LENDER IS RESPONSIBLE FOR MAKING ITS OWN ANALYSIS AND REVIEW OF THE RELEVANT FIRST LIEN INTERCREDITOR AGREEMENT AND THE TERMS AND PROVISIONS THEREOF, AND NO AGENT (AND NONE OF ITS AFFILIATES) MAKES ANY REPRESENTATION TO ANY LENDER AS TO THE SUFFICIENCY OR ADVISABILITY OF THE PROVISIONS CONTAINED IN THE RELEVANT FIRST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(d)THE PROVISIONS OF THIS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SHALL APPLY WITH EQUAL FORCE, MUTATIS MUTANDIS, TO THE FIRST-LIEN INTERCREDITOR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1080"/>
        <w:jc w:val="both"/>
        <w:rPr/>
      </w:pPr>
      <w:r>
        <w:rPr>
          <w:rFonts w:ascii="Times New Roman;serif" w:hAnsi="Times New Roman;serif"/>
          <w:b/>
          <w:color w:val="000000"/>
          <w:sz w:val="22"/>
        </w:rPr>
        <w:t>Section 10.22    </w:t>
      </w:r>
      <w:r>
        <w:rPr>
          <w:rFonts w:ascii="Times New Roman;serif" w:hAnsi="Times New Roman;serif"/>
          <w:b/>
          <w:color w:val="000000"/>
          <w:sz w:val="22"/>
          <w:u w:val="single"/>
        </w:rPr>
        <w:t>Company as Agent for the Borrowers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(a)Each Borrower and each other Loan Party, as applicable, hereby irrevocably appoints and constitutes the Company as its agent to (i) request and receive the proceeds of advances in respect of the Loans and request Letters of Credit (and to otherwise act on behalf of such Borrower pursuant to this Agreement and the other Loan Documents) from the Administrative Agent and the Lenders in the name or on behalf of each such Borrower, (ii) receive statements of account and all other notices from the Administrative Agent or any Lender, as applicable, with respect to the Obligations or otherwise under or in connection with this Agreement and the other Loan Documents, (iii) except where otherwise expressly indicated, execute and deliver Compliance Certificates and all other notices, certificates and documents to be executed and/or delivered by any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484505"/>
                <wp:effectExtent l="0" t="0" r="0" b="0"/>
                <wp:wrapNone/>
                <wp:docPr id="171" name="Frame170"/>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Loan Party hereunder or the other Loan Documents, and (iv) otherwise act on behalf of such Loan Party pursuant to this Agreement and the other Loan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(b)The authorizations contained in this </w:t>
      </w:r>
      <w:r>
        <w:rPr>
          <w:rFonts w:ascii="Times New Roman;serif" w:hAnsi="Times New Roman;serif"/>
          <w:b w:val="false"/>
          <w:color w:val="000000"/>
          <w:sz w:val="22"/>
          <w:u w:val="single"/>
        </w:rPr>
        <w:t>Section 10.22</w:t>
      </w:r>
      <w:r>
        <w:rPr>
          <w:color w:val="000000"/>
        </w:rPr>
        <w:t xml:space="preserve"> </w:t>
      </w:r>
      <w:r>
        <w:rPr>
          <w:rFonts w:ascii="Times New Roman;serif" w:hAnsi="Times New Roman;serif"/>
          <w:b w:val="false"/>
          <w:color w:val="000000"/>
          <w:sz w:val="22"/>
        </w:rPr>
        <w:t>are coupled with an interest and shall be irrevocable, and the Administrative Agent and the Lenders may rely on any notice, request, information supplied by the Company, every document executed by the Company, every agreement made by the Company or other action taken by the Company in respect of any Borrower or other Loan Party as if the same were supplied, made or taken by such Borrower or such other Loan Party. Without limiting the generality of the foregoing, the failure of one or more Borrowers or other Loan Parties to join in the execution of any writing in connection herewith shall not relieve any Borrower or other Loan Party from obligations in respect of such writing. No purported termination of the appointment of the Company as agent shall be effective without the prior written consent of the Administrative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10.23    </w:t>
      </w:r>
      <w:r>
        <w:rPr>
          <w:rFonts w:ascii="Times New Roman;serif" w:hAnsi="Times New Roman;serif"/>
          <w:b/>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color w:val="000000"/>
          <w:sz w:val="22"/>
        </w:rPr>
        <w:t>Section 10.24    </w:t>
      </w:r>
      <w:r>
        <w:rPr>
          <w:rFonts w:ascii="Times New Roman;serif" w:hAnsi="Times New Roman;serif"/>
          <w:b/>
          <w:color w:val="000000"/>
          <w:sz w:val="22"/>
          <w:u w:val="single"/>
        </w:rPr>
        <w:t>Amendment and Restatement; No Novation</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Loans and Revolving Credit Commitments of the Lenders hereunder.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484505"/>
                <wp:effectExtent l="0" t="0" r="0" b="0"/>
                <wp:wrapNone/>
                <wp:docPr id="172" name="Frame171"/>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10.25    </w:t>
      </w:r>
      <w:r>
        <w:rPr>
          <w:rFonts w:ascii="Times New Roman;serif" w:hAnsi="Times New Roman;serif"/>
          <w:b/>
          <w:color w:val="000000"/>
          <w:sz w:val="22"/>
          <w:u w:val="single"/>
        </w:rPr>
        <w:t>Acknowledgement Regarding Any Supported QFCs</w:t>
      </w:r>
      <w:r>
        <w:rPr>
          <w:rFonts w:ascii="Times New Roman;serif" w:hAnsi="Times New Roman;serif"/>
          <w:b w:val="false"/>
          <w:color w:val="000000"/>
          <w:sz w:val="22"/>
        </w:rPr>
        <w:t xml:space="preserve">. To the extent that the Loan Documents </w:t>
      </w:r>
      <w:r>
        <w:rPr>
          <w:rFonts w:ascii="Times New Roman;serif" w:hAnsi="Times New Roman;serif"/>
          <w:b w:val="false"/>
          <w:color w:val="000000"/>
          <w:sz w:val="22"/>
          <w:u w:val="single"/>
        </w:rPr>
        <w:t>provide</w:t>
      </w:r>
      <w:r>
        <w:rPr>
          <w:color w:val="000000"/>
        </w:rPr>
        <w:t xml:space="preserve"> </w:t>
      </w:r>
      <w:r>
        <w:rPr>
          <w:rFonts w:ascii="Times New Roman;serif" w:hAnsi="Times New Roman;serif"/>
          <w:b w:val="false"/>
          <w:color w:val="000000"/>
          <w:sz w:val="22"/>
        </w:rPr>
        <w:t>support, through a guarantee or otherwise, for Swap Contracts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(a)In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(b)As used in this </w:t>
      </w:r>
      <w:r>
        <w:rPr>
          <w:rFonts w:ascii="Times New Roman;serif" w:hAnsi="Times New Roman;serif"/>
          <w:b w:val="false"/>
          <w:color w:val="000000"/>
          <w:sz w:val="22"/>
          <w:u w:val="single"/>
        </w:rPr>
        <w:t>Section 10.25</w:t>
      </w:r>
      <w:r>
        <w:rPr>
          <w:rFonts w:ascii="Times New Roman;serif" w:hAnsi="Times New Roman;serif"/>
          <w:b w:val="false"/>
          <w:color w:val="000000"/>
          <w:sz w:val="22"/>
        </w:rPr>
        <w:t>, the following terms have the following meanings:</w:t>
      </w:r>
    </w:p>
    <w:p>
      <w:pPr>
        <w:pStyle w:val="TextBody"/>
        <w:bidi w:val="0"/>
        <w:spacing w:lineRule="auto" w:line="288" w:before="0" w:after="240"/>
        <w:ind w:left="0" w:right="0" w:firstLine="90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90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 “covered entity” as that term is defined in, and interpreted in accordance with, 12 C.F.R. § 252.82(b);</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 “covered bank” as that term is defined in, and interpreted in accordance with, 12 C.F.R. § 47.3(b);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(iii)a “covered FSI” as that term is defined in, and interpreted in accordance with, 12 C.F.R. § 382.2(b).</w:t>
      </w:r>
    </w:p>
    <w:p>
      <w:pPr>
        <w:pStyle w:val="TextBody"/>
        <w:bidi w:val="0"/>
        <w:spacing w:lineRule="auto" w:line="288" w:before="0" w:after="240"/>
        <w:ind w:left="0" w:right="0" w:firstLine="900"/>
        <w:jc w:val="left"/>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90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484505"/>
                <wp:effectExtent l="0" t="0" r="0" b="0"/>
                <wp:wrapNone/>
                <wp:docPr id="173" name="Frame172"/>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lineRule="auto" w:line="288" w:before="0" w:after="240"/>
        <w:ind w:left="0" w:right="0" w:firstLine="72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484505"/>
                <wp:effectExtent l="0" t="0" r="0" b="0"/>
                <wp:wrapNone/>
                <wp:docPr id="174" name="Frame173"/>
                <a:graphic xmlns:a="http://schemas.openxmlformats.org/drawingml/2006/main">
                  <a:graphicData uri="http://schemas.microsoft.com/office/word/2010/wordprocessingShape">
                    <wps:wsp>
                      <wps:cNvSpPr txBox="1"/>
                      <wps:spPr>
                        <a:xfrm>
                          <a:off x="0" y="0"/>
                          <a:ext cx="6480175" cy="4845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225989119_4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as of the date first above written.</w:t>
      </w:r>
    </w:p>
    <w:tbl>
      <w:tblPr>
        <w:tblW w:w="4255" w:type="dxa"/>
        <w:jc w:val="right"/>
        <w:tblInd w:w="0" w:type="dxa"/>
        <w:tblLayout w:type="fixed"/>
        <w:tblCellMar>
          <w:top w:w="28" w:type="dxa"/>
          <w:left w:w="28" w:type="dxa"/>
          <w:bottom w:w="28" w:type="dxa"/>
          <w:right w:w="28" w:type="dxa"/>
        </w:tblCellMar>
      </w:tblPr>
      <w:tblGrid>
        <w:gridCol w:w="716"/>
        <w:gridCol w:w="631"/>
        <w:gridCol w:w="631"/>
        <w:gridCol w:w="631"/>
        <w:gridCol w:w="631"/>
        <w:gridCol w:w="64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BORROWERS: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OSI RESTAURANT PARTNERS, LLC, </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Borrower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3"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732" w:type="dxa"/>
        <w:jc w:val="right"/>
        <w:tblInd w:w="0" w:type="dxa"/>
        <w:tblLayout w:type="fixed"/>
        <w:tblCellMar>
          <w:top w:w="28" w:type="dxa"/>
          <w:left w:w="28" w:type="dxa"/>
          <w:bottom w:w="28" w:type="dxa"/>
          <w:right w:w="28" w:type="dxa"/>
        </w:tblCellMar>
      </w:tblPr>
      <w:tblGrid>
        <w:gridCol w:w="537"/>
        <w:gridCol w:w="474"/>
        <w:gridCol w:w="474"/>
        <w:gridCol w:w="624"/>
        <w:gridCol w:w="624"/>
        <w:gridCol w:w="627"/>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BLOOMIN’ BRANDS, INC., </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Borrower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498475"/>
                <wp:effectExtent l="0" t="0" r="0" b="0"/>
                <wp:wrapNone/>
                <wp:docPr id="175" name="Frame17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1820"/>
        <w:gridCol w:w="1599"/>
        <w:gridCol w:w="1599"/>
        <w:gridCol w:w="1599"/>
        <w:gridCol w:w="1599"/>
        <w:gridCol w:w="1614"/>
        <w:gridCol w:w="109"/>
        <w:gridCol w:w="109"/>
        <w:gridCol w:w="157"/>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ADMINISTRATIVE AGENT AND LENDERS: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480"/>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 as Administrative Agent, Collateral Agent, Swing Line Lender, an L/C Issuer, and a Lender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Anne Shroyer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Anne Shroyer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498475"/>
                <wp:effectExtent l="0" t="0" r="0" b="0"/>
                <wp:wrapNone/>
                <wp:docPr id="176" name="Frame17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371" w:type="dxa"/>
        <w:jc w:val="right"/>
        <w:tblInd w:w="0" w:type="dxa"/>
        <w:tblLayout w:type="fixed"/>
        <w:tblCellMar>
          <w:top w:w="28" w:type="dxa"/>
          <w:left w:w="28" w:type="dxa"/>
          <w:bottom w:w="28" w:type="dxa"/>
          <w:right w:w="28" w:type="dxa"/>
        </w:tblCellMar>
      </w:tblPr>
      <w:tblGrid>
        <w:gridCol w:w="538"/>
        <w:gridCol w:w="473"/>
        <w:gridCol w:w="473"/>
        <w:gridCol w:w="504"/>
        <w:gridCol w:w="504"/>
        <w:gridCol w:w="507"/>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N.A.,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an L/C Issuer and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Dorost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John Dorost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98475"/>
                <wp:effectExtent l="0" t="0" r="0" b="0"/>
                <wp:wrapNone/>
                <wp:docPr id="177" name="Frame17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4811" w:type="dxa"/>
        <w:jc w:val="right"/>
        <w:tblInd w:w="0" w:type="dxa"/>
        <w:tblLayout w:type="fixed"/>
        <w:tblCellMar>
          <w:top w:w="28" w:type="dxa"/>
          <w:left w:w="28" w:type="dxa"/>
          <w:bottom w:w="28" w:type="dxa"/>
          <w:right w:w="28" w:type="dxa"/>
        </w:tblCellMar>
      </w:tblPr>
      <w:tblGrid>
        <w:gridCol w:w="821"/>
        <w:gridCol w:w="723"/>
        <w:gridCol w:w="723"/>
        <w:gridCol w:w="723"/>
        <w:gridCol w:w="723"/>
        <w:gridCol w:w="726"/>
        <w:gridCol w:w="109"/>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CAPITAL ONE, NATIONAL ASSOCIATION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an L/C Issuer and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Mauro Maris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Mauro Maris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498475"/>
                <wp:effectExtent l="0" t="0" r="0" b="0"/>
                <wp:wrapNone/>
                <wp:docPr id="178" name="Frame177"/>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9280" w:type="dxa"/>
        <w:jc w:val="right"/>
        <w:tblInd w:w="0" w:type="dxa"/>
        <w:tblLayout w:type="fixed"/>
        <w:tblCellMar>
          <w:top w:w="28" w:type="dxa"/>
          <w:left w:w="28" w:type="dxa"/>
          <w:bottom w:w="28" w:type="dxa"/>
          <w:right w:w="28" w:type="dxa"/>
        </w:tblCellMar>
      </w:tblPr>
      <w:tblGrid>
        <w:gridCol w:w="1648"/>
        <w:gridCol w:w="1447"/>
        <w:gridCol w:w="1447"/>
        <w:gridCol w:w="1447"/>
        <w:gridCol w:w="1447"/>
        <w:gridCol w:w="1472"/>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COÖPERATIEVE RABOBANK U.A., NEW YORK BRANCH, as an L/C Issuer and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Michael Lahaie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Lahaie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Austin Dowler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Austin Dowler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498475"/>
                <wp:effectExtent l="0" t="0" r="0" b="0"/>
                <wp:wrapNone/>
                <wp:docPr id="179" name="Frame178"/>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443" w:type="dxa"/>
        <w:jc w:val="right"/>
        <w:tblInd w:w="0" w:type="dxa"/>
        <w:tblLayout w:type="fixed"/>
        <w:tblCellMar>
          <w:top w:w="28" w:type="dxa"/>
          <w:left w:w="28" w:type="dxa"/>
          <w:bottom w:w="28" w:type="dxa"/>
          <w:right w:w="28" w:type="dxa"/>
        </w:tblCellMar>
      </w:tblPr>
      <w:tblGrid>
        <w:gridCol w:w="539"/>
        <w:gridCol w:w="471"/>
        <w:gridCol w:w="471"/>
        <w:gridCol w:w="525"/>
        <w:gridCol w:w="525"/>
        <w:gridCol w:w="540"/>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1"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TRUIST BANK,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an L/C Issuer and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Steve Curran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Steve Curran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498475"/>
                <wp:effectExtent l="0" t="0" r="0" b="0"/>
                <wp:wrapNone/>
                <wp:docPr id="180" name="Frame179"/>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4510" w:type="dxa"/>
        <w:jc w:val="right"/>
        <w:tblInd w:w="0" w:type="dxa"/>
        <w:tblLayout w:type="fixed"/>
        <w:tblCellMar>
          <w:top w:w="28" w:type="dxa"/>
          <w:left w:w="28" w:type="dxa"/>
          <w:bottom w:w="28" w:type="dxa"/>
          <w:right w:w="28" w:type="dxa"/>
        </w:tblCellMar>
      </w:tblPr>
      <w:tblGrid>
        <w:gridCol w:w="766"/>
        <w:gridCol w:w="674"/>
        <w:gridCol w:w="674"/>
        <w:gridCol w:w="674"/>
        <w:gridCol w:w="674"/>
        <w:gridCol w:w="676"/>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8"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U.S. BANK NATIONAL ASSOCIATION,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an L/C Issuer and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Ryen 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Ryen 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98475"/>
                <wp:effectExtent l="0" t="0" r="0" b="0"/>
                <wp:wrapNone/>
                <wp:docPr id="181" name="Frame180"/>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833" w:type="dxa"/>
        <w:jc w:val="right"/>
        <w:tblInd w:w="0" w:type="dxa"/>
        <w:tblLayout w:type="fixed"/>
        <w:tblCellMar>
          <w:top w:w="28" w:type="dxa"/>
          <w:left w:w="28" w:type="dxa"/>
          <w:bottom w:w="28" w:type="dxa"/>
          <w:right w:w="28" w:type="dxa"/>
        </w:tblCellMar>
      </w:tblPr>
      <w:tblGrid>
        <w:gridCol w:w="640"/>
        <w:gridCol w:w="562"/>
        <w:gridCol w:w="562"/>
        <w:gridCol w:w="562"/>
        <w:gridCol w:w="562"/>
        <w:gridCol w:w="573"/>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1"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Sean Bodkin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Sean Bodkin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498475"/>
                <wp:effectExtent l="0" t="0" r="0" b="0"/>
                <wp:wrapNone/>
                <wp:docPr id="182" name="Frame18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319" w:type="dxa"/>
        <w:jc w:val="right"/>
        <w:tblInd w:w="0" w:type="dxa"/>
        <w:tblLayout w:type="fixed"/>
        <w:tblCellMar>
          <w:top w:w="28" w:type="dxa"/>
          <w:left w:w="28" w:type="dxa"/>
          <w:bottom w:w="28" w:type="dxa"/>
          <w:right w:w="28" w:type="dxa"/>
        </w:tblCellMar>
      </w:tblPr>
      <w:tblGrid>
        <w:gridCol w:w="325"/>
        <w:gridCol w:w="284"/>
        <w:gridCol w:w="284"/>
        <w:gridCol w:w="679"/>
        <w:gridCol w:w="679"/>
        <w:gridCol w:w="696"/>
        <w:gridCol w:w="109"/>
        <w:gridCol w:w="109"/>
        <w:gridCol w:w="154"/>
      </w:tblGrid>
      <w:tr>
        <w:trPr/>
        <w:tc>
          <w:tcPr>
            <w:tcW w:w="3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TD BANK, N.A.,</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Essa A. Mousa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Essa A. Mousa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Relationship Manager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98475"/>
                <wp:effectExtent l="0" t="0" r="0" b="0"/>
                <wp:wrapNone/>
                <wp:docPr id="183" name="Frame18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410" w:type="dxa"/>
        <w:jc w:val="right"/>
        <w:tblInd w:w="0" w:type="dxa"/>
        <w:tblLayout w:type="fixed"/>
        <w:tblCellMar>
          <w:top w:w="28" w:type="dxa"/>
          <w:left w:w="28" w:type="dxa"/>
          <w:bottom w:w="28" w:type="dxa"/>
          <w:right w:w="28" w:type="dxa"/>
        </w:tblCellMar>
      </w:tblPr>
      <w:tblGrid>
        <w:gridCol w:w="351"/>
        <w:gridCol w:w="309"/>
        <w:gridCol w:w="309"/>
        <w:gridCol w:w="686"/>
        <w:gridCol w:w="686"/>
        <w:gridCol w:w="697"/>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8"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BMO BANK N.A.,</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Jake Oxenhandler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Jake Oxenhandler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498475"/>
                <wp:effectExtent l="0" t="0" r="0" b="0"/>
                <wp:wrapNone/>
                <wp:docPr id="184" name="Frame18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p>
      <w:pPr>
        <w:pStyle w:val="TextBody"/>
        <w:bidi w:val="0"/>
        <w:spacing w:before="100" w:after="283"/>
        <w:jc w:val="right"/>
        <w:rPr/>
      </w:pPr>
      <w:r>
        <w:rPr/>
      </w:r>
    </w:p>
    <w:tbl>
      <w:tblPr>
        <w:tblW w:w="5530" w:type="dxa"/>
        <w:jc w:val="right"/>
        <w:tblInd w:w="0" w:type="dxa"/>
        <w:tblLayout w:type="fixed"/>
        <w:tblCellMar>
          <w:top w:w="28" w:type="dxa"/>
          <w:left w:w="28" w:type="dxa"/>
          <w:bottom w:w="28" w:type="dxa"/>
          <w:right w:w="28" w:type="dxa"/>
        </w:tblCellMar>
      </w:tblPr>
      <w:tblGrid>
        <w:gridCol w:w="955"/>
        <w:gridCol w:w="840"/>
        <w:gridCol w:w="840"/>
        <w:gridCol w:w="840"/>
        <w:gridCol w:w="840"/>
        <w:gridCol w:w="843"/>
        <w:gridCol w:w="109"/>
        <w:gridCol w:w="109"/>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FIFTH THIRD BANK, NATIONAL ASSOCIATION, </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John A. Marian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John A. Marian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SVP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98475"/>
                <wp:effectExtent l="0" t="0" r="0" b="0"/>
                <wp:wrapNone/>
                <wp:docPr id="185" name="Frame18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3415" w:type="dxa"/>
        <w:jc w:val="right"/>
        <w:tblInd w:w="0" w:type="dxa"/>
        <w:tblLayout w:type="fixed"/>
        <w:tblCellMar>
          <w:top w:w="28" w:type="dxa"/>
          <w:left w:w="28" w:type="dxa"/>
          <w:bottom w:w="28" w:type="dxa"/>
          <w:right w:w="28" w:type="dxa"/>
        </w:tblCellMar>
      </w:tblPr>
      <w:tblGrid>
        <w:gridCol w:w="522"/>
        <w:gridCol w:w="458"/>
        <w:gridCol w:w="458"/>
        <w:gridCol w:w="533"/>
        <w:gridCol w:w="533"/>
        <w:gridCol w:w="539"/>
        <w:gridCol w:w="109"/>
        <w:gridCol w:w="109"/>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3"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RAYMOND JAMES BANK,</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Fern Lindsay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3"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Raymond James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SVP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498475"/>
                <wp:effectExtent l="0" t="0" r="0" b="0"/>
                <wp:wrapNone/>
                <wp:docPr id="186" name="Frame18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7331" w:type="dxa"/>
        <w:jc w:val="right"/>
        <w:tblInd w:w="0" w:type="dxa"/>
        <w:tblLayout w:type="fixed"/>
        <w:tblCellMar>
          <w:top w:w="28" w:type="dxa"/>
          <w:left w:w="28" w:type="dxa"/>
          <w:bottom w:w="28" w:type="dxa"/>
          <w:right w:w="28" w:type="dxa"/>
        </w:tblCellMar>
      </w:tblPr>
      <w:tblGrid>
        <w:gridCol w:w="1289"/>
        <w:gridCol w:w="1131"/>
        <w:gridCol w:w="1131"/>
        <w:gridCol w:w="1131"/>
        <w:gridCol w:w="1131"/>
        <w:gridCol w:w="1146"/>
        <w:gridCol w:w="109"/>
        <w:gridCol w:w="109"/>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FIRSTBANK PUERTO RICO d/b/a FIRSTBANK FLORIDA, 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Kevin P. Flynn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Kevin P. Flynn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SVP, Corporate Banking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498475"/>
                <wp:effectExtent l="0" t="0" r="0" b="0"/>
                <wp:wrapNone/>
                <wp:docPr id="187" name="Frame18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4794" w:type="dxa"/>
        <w:jc w:val="right"/>
        <w:tblInd w:w="0" w:type="dxa"/>
        <w:tblLayout w:type="fixed"/>
        <w:tblCellMar>
          <w:top w:w="28" w:type="dxa"/>
          <w:left w:w="28" w:type="dxa"/>
          <w:bottom w:w="28" w:type="dxa"/>
          <w:right w:w="28" w:type="dxa"/>
        </w:tblCellMar>
      </w:tblPr>
      <w:tblGrid>
        <w:gridCol w:w="817"/>
        <w:gridCol w:w="719"/>
        <w:gridCol w:w="719"/>
        <w:gridCol w:w="719"/>
        <w:gridCol w:w="719"/>
        <w:gridCol w:w="729"/>
        <w:gridCol w:w="109"/>
        <w:gridCol w:w="109"/>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2"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VALLEY NATIONAL BANK, 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Joseph Bachman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Joseph Bachman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Senior Vice President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498475"/>
                <wp:effectExtent l="0" t="0" r="0" b="0"/>
                <wp:wrapNone/>
                <wp:docPr id="188" name="Frame187"/>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1.01A</w:t>
        <w:br/>
        <w:t>Excluded Assets</w:t>
      </w:r>
    </w:p>
    <w:p>
      <w:pPr>
        <w:pStyle w:val="TextBody"/>
        <w:bidi w:val="0"/>
        <w:spacing w:lineRule="auto" w:line="288" w:before="0" w:after="240"/>
        <w:ind w:left="0" w:right="0" w:firstLine="720"/>
        <w:jc w:val="left"/>
        <w:rPr/>
      </w:pPr>
      <w:r>
        <w:rPr>
          <w:rFonts w:ascii="Times New Roman;serif" w:hAnsi="Times New Roman;serif"/>
          <w:b/>
          <w:color w:val="000000"/>
          <w:sz w:val="24"/>
        </w:rPr>
        <w:t>Excluded Assets</w:t>
      </w:r>
      <w:r>
        <w:rPr>
          <w:color w:val="000000"/>
        </w:rPr>
        <w:t xml:space="preserve"> </w:t>
      </w:r>
      <w:r>
        <w:rPr>
          <w:rFonts w:ascii="Times New Roman;serif" w:hAnsi="Times New Roman;serif"/>
          <w:b w:val="false"/>
          <w:color w:val="000000"/>
          <w:sz w:val="24"/>
        </w:rPr>
        <w:t>(pursuant to subsection (vi)(C) of the definition of Excluded Assets)</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of the outstanding Equity Interests held by New Private Restaurant Properties, LLC (constituting 41.46% of the total outstanding Equity Interests) in Northlake Drainage Association, Inc., a not-for-profit corporation organized under the Laws of the State of Florida; and all of the outstanding Equity Interests held by New Private Restaurant Properties, LLC (constituting 78.12% of the total outstanding Equity Interests) in OS Inverness Land Condominium Association, Inc., a not-for-profit corporation organized under the Laws of the State of Florida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1.01B</w:t>
        <w:br/>
        <w:t>Excluded Real Property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owned properties contained herein constitute Excluded Real Property.</w:t>
      </w:r>
    </w:p>
    <w:tbl>
      <w:tblPr>
        <w:tblW w:w="10205" w:type="dxa"/>
        <w:jc w:val="left"/>
        <w:tblInd w:w="0" w:type="dxa"/>
        <w:tblLayout w:type="fixed"/>
        <w:tblCellMar>
          <w:top w:w="28" w:type="dxa"/>
          <w:left w:w="28" w:type="dxa"/>
          <w:bottom w:w="28" w:type="dxa"/>
          <w:right w:w="28" w:type="dxa"/>
        </w:tblCellMar>
      </w:tblPr>
      <w:tblGrid>
        <w:gridCol w:w="1149"/>
        <w:gridCol w:w="780"/>
        <w:gridCol w:w="789"/>
        <w:gridCol w:w="205"/>
        <w:gridCol w:w="205"/>
        <w:gridCol w:w="206"/>
        <w:gridCol w:w="264"/>
        <w:gridCol w:w="264"/>
        <w:gridCol w:w="265"/>
        <w:gridCol w:w="709"/>
        <w:gridCol w:w="449"/>
        <w:gridCol w:w="450"/>
        <w:gridCol w:w="341"/>
        <w:gridCol w:w="341"/>
        <w:gridCol w:w="342"/>
        <w:gridCol w:w="587"/>
        <w:gridCol w:w="587"/>
        <w:gridCol w:w="593"/>
        <w:gridCol w:w="510"/>
        <w:gridCol w:w="510"/>
        <w:gridCol w:w="659"/>
      </w:tblGrid>
      <w:tr>
        <w:trPr/>
        <w:tc>
          <w:tcPr>
            <w:tcW w:w="11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Name</w:t>
            </w:r>
          </w:p>
        </w:tc>
        <w:tc>
          <w:tcPr>
            <w:tcW w:w="616"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State</w:t>
            </w:r>
          </w:p>
        </w:tc>
        <w:tc>
          <w:tcPr>
            <w:tcW w:w="793"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Open Date</w:t>
            </w:r>
          </w:p>
        </w:tc>
        <w:tc>
          <w:tcPr>
            <w:tcW w:w="1608"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Street Address</w:t>
            </w:r>
          </w:p>
        </w:tc>
        <w:tc>
          <w:tcPr>
            <w:tcW w:w="1024"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Facility Status</w:t>
            </w:r>
          </w:p>
        </w:tc>
        <w:tc>
          <w:tcPr>
            <w:tcW w:w="1767" w:type="dxa"/>
            <w:gridSpan w:val="3"/>
            <w:tcBorders>
              <w:top w:val="single" w:sz="4" w:space="0" w:color="000000"/>
              <w:left w:val="single" w:sz="4" w:space="0" w:color="000000"/>
              <w:bottom w:val="single" w:sz="4" w:space="0" w:color="000000"/>
            </w:tcBorders>
            <w:shd w:fill="0070C0"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Owner</w:t>
            </w:r>
          </w:p>
        </w:tc>
        <w:tc>
          <w:tcPr>
            <w:tcW w:w="1679" w:type="dxa"/>
            <w:gridSpan w:val="3"/>
            <w:tcBorders>
              <w:top w:val="single" w:sz="4" w:space="0" w:color="000000"/>
              <w:left w:val="single" w:sz="4" w:space="0" w:color="000000"/>
              <w:bottom w:val="single" w:sz="4" w:space="0" w:color="000000"/>
              <w:right w:val="single" w:sz="4" w:space="0" w:color="000000"/>
            </w:tcBorders>
            <w:shd w:fill="0070C0"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 xml:space="preserve">Book Value ($)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0455-01 - Rogers.PRML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12/13/2004</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4509 W. Poplar Street</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2"/>
              </w:rPr>
              <w:t xml:space="preserve">1,583,571.68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0606-07 - Aurora.PRML (Leased/Franchised 3/27/19)</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9/17/1996</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2088 S. Abilene Street</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852,282.67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0619-01 - Aurora.PRML (Leased/Franchised 4/25/17)</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9/17/1996</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2066 S. Abilene Street</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906,756.66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1060-01 - Orlando (Kirkman). 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6/27/1995</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4845 S. Kirkman Road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2,036,749.84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1099-01 - Tampa.PRML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1/30/2019</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4302 W Boy Scout Blvd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3,573,543.58 </w:t>
            </w:r>
          </w:p>
        </w:tc>
      </w:tr>
      <w:tr>
        <w:trPr/>
        <w:tc>
          <w:tcPr>
            <w:tcW w:w="27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1201-06 - Brookfield.PRML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2/6/2007</w:t>
            </w:r>
          </w:p>
        </w:tc>
        <w:tc>
          <w:tcPr>
            <w:tcW w:w="16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18355 W. Bluemound Rd.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2,012,456.61 </w:t>
            </w:r>
          </w:p>
        </w:tc>
      </w:tr>
      <w:tr>
        <w:trPr/>
        <w:tc>
          <w:tcPr>
            <w:tcW w:w="271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1424-01 - Joliet.PRML</w:t>
            </w:r>
          </w:p>
        </w:tc>
        <w:tc>
          <w:tcPr>
            <w:tcW w:w="6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w:t>
            </w:r>
          </w:p>
        </w:tc>
        <w:tc>
          <w:tcPr>
            <w:tcW w:w="79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6/28/2004</w:t>
            </w:r>
          </w:p>
        </w:tc>
        <w:tc>
          <w:tcPr>
            <w:tcW w:w="160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3241 Chicagoland Circle</w:t>
            </w:r>
          </w:p>
        </w:tc>
        <w:tc>
          <w:tcPr>
            <w:tcW w:w="10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6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9"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1,816,758.56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9"/>
        <w:gridCol w:w="759"/>
        <w:gridCol w:w="767"/>
        <w:gridCol w:w="205"/>
        <w:gridCol w:w="205"/>
        <w:gridCol w:w="206"/>
        <w:gridCol w:w="264"/>
        <w:gridCol w:w="264"/>
        <w:gridCol w:w="265"/>
        <w:gridCol w:w="607"/>
        <w:gridCol w:w="483"/>
        <w:gridCol w:w="484"/>
        <w:gridCol w:w="341"/>
        <w:gridCol w:w="341"/>
        <w:gridCol w:w="342"/>
        <w:gridCol w:w="588"/>
        <w:gridCol w:w="588"/>
        <w:gridCol w:w="594"/>
        <w:gridCol w:w="512"/>
        <w:gridCol w:w="512"/>
        <w:gridCol w:w="709"/>
      </w:tblGrid>
      <w:tr>
        <w:trPr/>
        <w:tc>
          <w:tcPr>
            <w:tcW w:w="116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Name</w:t>
            </w:r>
          </w:p>
        </w:tc>
        <w:tc>
          <w:tcPr>
            <w:tcW w:w="616"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State</w:t>
            </w:r>
          </w:p>
        </w:tc>
        <w:tc>
          <w:tcPr>
            <w:tcW w:w="793"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Open Date</w:t>
            </w:r>
          </w:p>
        </w:tc>
        <w:tc>
          <w:tcPr>
            <w:tcW w:w="1574"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Street Address</w:t>
            </w:r>
          </w:p>
        </w:tc>
        <w:tc>
          <w:tcPr>
            <w:tcW w:w="1024"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Facility Status</w:t>
            </w:r>
          </w:p>
        </w:tc>
        <w:tc>
          <w:tcPr>
            <w:tcW w:w="1770"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Owner</w:t>
            </w:r>
          </w:p>
        </w:tc>
        <w:tc>
          <w:tcPr>
            <w:tcW w:w="1733" w:type="dxa"/>
            <w:gridSpan w:val="3"/>
            <w:tcBorders>
              <w:top w:val="single" w:sz="4" w:space="0" w:color="000000"/>
              <w:left w:val="single" w:sz="4" w:space="0" w:color="000000"/>
              <w:right w:val="single" w:sz="4" w:space="0" w:color="000000"/>
            </w:tcBorders>
            <w:shd w:fill="0070C0"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 xml:space="preserve">Book Value ($)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1450-01 - Swansea.PRML (Closed/Obligated)</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1/10/1995</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4390 N. Illinois Street</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Closed/Active</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2"/>
              </w:rPr>
              <w:t xml:space="preserve">50,000.00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2001-02 - Tampa.PRML (closed)</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11/8/2000</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4322 W. Boy Scout Boulevard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Closed/Active</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2"/>
              </w:rPr>
              <w:t xml:space="preserve">1,425,142.98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2318-01 - Livonia (Relo-Owned)</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11/12/2014</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13010 Middlebelt Road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2,398,994.19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2330-01 - Southfield (Non-Pool)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3/4/2002</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23501 Greenfield Rd.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2"/>
              </w:rPr>
              <w:t xml:space="preserve">734,640.49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2420-01 - Hermantown.PRML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MN</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8/7/2006</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4255 Haines Road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1,193,370.29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2001-02 – Tampa.PRML (Relo)</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9/9/2024</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4342 Boy Scout Blvd.</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11,280,780.27 </w:t>
            </w:r>
          </w:p>
        </w:tc>
      </w:tr>
      <w:tr>
        <w:trPr/>
        <w:tc>
          <w:tcPr>
            <w:tcW w:w="26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3114-01 - Old Bridge.PRML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NJ</w:t>
            </w:r>
          </w:p>
        </w:tc>
        <w:tc>
          <w:tcPr>
            <w:tcW w:w="7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11/21/1995</w:t>
            </w:r>
          </w:p>
        </w:tc>
        <w:tc>
          <w:tcPr>
            <w:tcW w:w="15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1397 US Route 9</w:t>
            </w:r>
          </w:p>
        </w:tc>
        <w:tc>
          <w:tcPr>
            <w:tcW w:w="10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1,940,239.00 </w:t>
            </w:r>
          </w:p>
        </w:tc>
      </w:tr>
      <w:tr>
        <w:trPr/>
        <w:tc>
          <w:tcPr>
            <w:tcW w:w="26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3122-01 - Evesham.PRML</w:t>
            </w:r>
          </w:p>
        </w:tc>
        <w:tc>
          <w:tcPr>
            <w:tcW w:w="6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NJ</w:t>
            </w:r>
          </w:p>
        </w:tc>
        <w:tc>
          <w:tcPr>
            <w:tcW w:w="79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9/10/2007</w:t>
            </w:r>
          </w:p>
        </w:tc>
        <w:tc>
          <w:tcPr>
            <w:tcW w:w="157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901 Route 73 South</w:t>
            </w:r>
          </w:p>
        </w:tc>
        <w:tc>
          <w:tcPr>
            <w:tcW w:w="10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7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73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1,514,414.49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6"/>
        <w:gridCol w:w="715"/>
        <w:gridCol w:w="724"/>
        <w:gridCol w:w="205"/>
        <w:gridCol w:w="205"/>
        <w:gridCol w:w="206"/>
        <w:gridCol w:w="261"/>
        <w:gridCol w:w="261"/>
        <w:gridCol w:w="262"/>
        <w:gridCol w:w="620"/>
        <w:gridCol w:w="517"/>
        <w:gridCol w:w="519"/>
        <w:gridCol w:w="338"/>
        <w:gridCol w:w="338"/>
        <w:gridCol w:w="339"/>
        <w:gridCol w:w="575"/>
        <w:gridCol w:w="575"/>
        <w:gridCol w:w="581"/>
        <w:gridCol w:w="510"/>
        <w:gridCol w:w="510"/>
        <w:gridCol w:w="658"/>
      </w:tblGrid>
      <w:tr>
        <w:trPr/>
        <w:tc>
          <w:tcPr>
            <w:tcW w:w="1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725"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Name</w:t>
            </w:r>
          </w:p>
        </w:tc>
        <w:tc>
          <w:tcPr>
            <w:tcW w:w="616"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State</w:t>
            </w:r>
          </w:p>
        </w:tc>
        <w:tc>
          <w:tcPr>
            <w:tcW w:w="784"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Open Date</w:t>
            </w:r>
          </w:p>
        </w:tc>
        <w:tc>
          <w:tcPr>
            <w:tcW w:w="1656"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Street Address</w:t>
            </w:r>
          </w:p>
        </w:tc>
        <w:tc>
          <w:tcPr>
            <w:tcW w:w="1015"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Facility Status</w:t>
            </w:r>
          </w:p>
        </w:tc>
        <w:tc>
          <w:tcPr>
            <w:tcW w:w="1731"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Owner</w:t>
            </w:r>
          </w:p>
        </w:tc>
        <w:tc>
          <w:tcPr>
            <w:tcW w:w="1678" w:type="dxa"/>
            <w:gridSpan w:val="3"/>
            <w:tcBorders>
              <w:top w:val="single" w:sz="4" w:space="0" w:color="000000"/>
              <w:left w:val="single" w:sz="4" w:space="0" w:color="000000"/>
              <w:right w:val="single" w:sz="4" w:space="0" w:color="000000"/>
            </w:tcBorders>
            <w:shd w:fill="0070C0"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 xml:space="preserve">Book Value ($)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3458-01 - Blowing Rock.PRML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NC</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8/4/1998</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8280 Valley Blvd., Hwy 321 Bypass</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1,500,871.22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3621-01 - Maumee.PRML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12/10/1996</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401 W. Dussel</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1,634,595.80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3632-01 - Boardman.PRML (relo)</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12/5/2018</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1320 Boardman Poland Rd</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2,089,939.64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3636-01 - Mansfield.PRML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OH</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9/3/1996</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820 N. Lexington Springmill Road</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1,402,965.88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4458-01 - Addison.PRML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6/22/1993</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15180 Addison Rd.</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1,717,289.66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4460-01 - Tyler (Non-Pool)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12/14/1993</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5704 South Broadway</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1,703,602.79 </w:t>
            </w:r>
          </w:p>
        </w:tc>
      </w:tr>
      <w:tr>
        <w:trPr/>
        <w:tc>
          <w:tcPr>
            <w:tcW w:w="2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4510-01 - Sandy.PRML (Leased/Franchised 4/27/17)</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UT</w:t>
            </w:r>
          </w:p>
        </w:tc>
        <w:tc>
          <w:tcPr>
            <w:tcW w:w="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2/27/1996</w:t>
            </w:r>
          </w:p>
        </w:tc>
        <w:tc>
          <w:tcPr>
            <w:tcW w:w="16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7770 South 1300 East</w:t>
            </w:r>
          </w:p>
        </w:tc>
        <w:tc>
          <w:tcPr>
            <w:tcW w:w="10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1,554,474.89 </w:t>
            </w:r>
          </w:p>
        </w:tc>
      </w:tr>
      <w:tr>
        <w:trPr/>
        <w:tc>
          <w:tcPr>
            <w:tcW w:w="2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5010-01 - Evansville.PRML (Leased/Franchised 4/27/17)</w:t>
            </w:r>
          </w:p>
        </w:tc>
        <w:tc>
          <w:tcPr>
            <w:tcW w:w="6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WY</w:t>
            </w:r>
          </w:p>
        </w:tc>
        <w:tc>
          <w:tcPr>
            <w:tcW w:w="78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11/17/1998</w:t>
            </w:r>
          </w:p>
        </w:tc>
        <w:tc>
          <w:tcPr>
            <w:tcW w:w="16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229 Miracle Rd.</w:t>
            </w:r>
          </w:p>
        </w:tc>
        <w:tc>
          <w:tcPr>
            <w:tcW w:w="10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78"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350,000.00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4"/>
        <w:gridCol w:w="805"/>
        <w:gridCol w:w="814"/>
        <w:gridCol w:w="205"/>
        <w:gridCol w:w="205"/>
        <w:gridCol w:w="206"/>
        <w:gridCol w:w="266"/>
        <w:gridCol w:w="266"/>
        <w:gridCol w:w="267"/>
        <w:gridCol w:w="683"/>
        <w:gridCol w:w="494"/>
        <w:gridCol w:w="496"/>
        <w:gridCol w:w="344"/>
        <w:gridCol w:w="344"/>
        <w:gridCol w:w="345"/>
        <w:gridCol w:w="598"/>
        <w:gridCol w:w="598"/>
        <w:gridCol w:w="605"/>
        <w:gridCol w:w="510"/>
        <w:gridCol w:w="510"/>
        <w:gridCol w:w="660"/>
      </w:tblGrid>
      <w:tr>
        <w:trPr/>
        <w:tc>
          <w:tcPr>
            <w:tcW w:w="98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Name</w:t>
            </w:r>
          </w:p>
        </w:tc>
        <w:tc>
          <w:tcPr>
            <w:tcW w:w="616"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State</w:t>
            </w:r>
          </w:p>
        </w:tc>
        <w:tc>
          <w:tcPr>
            <w:tcW w:w="799"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Open Date</w:t>
            </w:r>
          </w:p>
        </w:tc>
        <w:tc>
          <w:tcPr>
            <w:tcW w:w="1673"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Street Address</w:t>
            </w:r>
          </w:p>
        </w:tc>
        <w:tc>
          <w:tcPr>
            <w:tcW w:w="1033"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Facility Status</w:t>
            </w:r>
          </w:p>
        </w:tc>
        <w:tc>
          <w:tcPr>
            <w:tcW w:w="1801" w:type="dxa"/>
            <w:gridSpan w:val="3"/>
            <w:tcBorders>
              <w:top w:val="single" w:sz="4" w:space="0" w:color="000000"/>
              <w:left w:val="single" w:sz="4" w:space="0" w:color="000000"/>
            </w:tcBorders>
            <w:shd w:fill="007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Owner</w:t>
            </w:r>
          </w:p>
        </w:tc>
        <w:tc>
          <w:tcPr>
            <w:tcW w:w="1680" w:type="dxa"/>
            <w:gridSpan w:val="3"/>
            <w:tcBorders>
              <w:top w:val="single" w:sz="4" w:space="0" w:color="000000"/>
              <w:left w:val="single" w:sz="4" w:space="0" w:color="000000"/>
              <w:right w:val="single" w:sz="4" w:space="0" w:color="000000"/>
            </w:tcBorders>
            <w:shd w:fill="0070C0"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 xml:space="preserve">Book Value ($) </w:t>
            </w:r>
          </w:p>
        </w:tc>
      </w:tr>
      <w:tr>
        <w:trPr/>
        <w:tc>
          <w:tcPr>
            <w:tcW w:w="26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6502-07 - Southport.PRML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w:t>
            </w:r>
          </w:p>
        </w:tc>
        <w:tc>
          <w:tcPr>
            <w:tcW w:w="7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6/11/2002</w:t>
            </w:r>
          </w:p>
        </w:tc>
        <w:tc>
          <w:tcPr>
            <w:tcW w:w="16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4690 Southport Crossing Drive</w:t>
            </w:r>
          </w:p>
        </w:tc>
        <w:tc>
          <w:tcPr>
            <w:tcW w:w="10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8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2,269,662.77 </w:t>
            </w:r>
          </w:p>
        </w:tc>
      </w:tr>
      <w:tr>
        <w:trPr/>
        <w:tc>
          <w:tcPr>
            <w:tcW w:w="26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7004-06 - South Tampa (Non-Pool)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w:t>
            </w:r>
          </w:p>
        </w:tc>
        <w:tc>
          <w:tcPr>
            <w:tcW w:w="7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11/19/2001</w:t>
            </w:r>
          </w:p>
        </w:tc>
        <w:tc>
          <w:tcPr>
            <w:tcW w:w="16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3665 Henderson Blvd.</w:t>
            </w:r>
          </w:p>
        </w:tc>
        <w:tc>
          <w:tcPr>
            <w:tcW w:w="10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8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1,282,385.23 </w:t>
            </w:r>
          </w:p>
        </w:tc>
      </w:tr>
      <w:tr>
        <w:trPr/>
        <w:tc>
          <w:tcPr>
            <w:tcW w:w="26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9407-06 - Southern Pines.PRML</w:t>
            </w:r>
          </w:p>
        </w:tc>
        <w:tc>
          <w:tcPr>
            <w:tcW w:w="6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NC</w:t>
            </w:r>
          </w:p>
        </w:tc>
        <w:tc>
          <w:tcPr>
            <w:tcW w:w="7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12/13/2004</w:t>
            </w:r>
          </w:p>
        </w:tc>
        <w:tc>
          <w:tcPr>
            <w:tcW w:w="16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190 Partner Circle</w:t>
            </w:r>
          </w:p>
        </w:tc>
        <w:tc>
          <w:tcPr>
            <w:tcW w:w="10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8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1,489,331.69 </w:t>
            </w:r>
          </w:p>
        </w:tc>
      </w:tr>
      <w:tr>
        <w:trPr/>
        <w:tc>
          <w:tcPr>
            <w:tcW w:w="260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9802-07 - Brookfield.PRML (closed/Obligated)</w:t>
            </w:r>
          </w:p>
        </w:tc>
        <w:tc>
          <w:tcPr>
            <w:tcW w:w="6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w:t>
            </w:r>
          </w:p>
        </w:tc>
        <w:tc>
          <w:tcPr>
            <w:tcW w:w="79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1/29/2007</w:t>
            </w:r>
          </w:p>
        </w:tc>
        <w:tc>
          <w:tcPr>
            <w:tcW w:w="167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18375 W. Bluemound Rd.</w:t>
            </w:r>
          </w:p>
        </w:tc>
        <w:tc>
          <w:tcPr>
            <w:tcW w:w="103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Open</w:t>
            </w:r>
          </w:p>
        </w:tc>
        <w:tc>
          <w:tcPr>
            <w:tcW w:w="18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c>
          <w:tcPr>
            <w:tcW w:w="168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2"/>
              </w:rPr>
              <w:t xml:space="preserve">1,105,603.33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1.01C</w:t>
        <w:br/>
        <w:t>Existing Letters of Credit</w:t>
      </w:r>
    </w:p>
    <w:tbl>
      <w:tblPr>
        <w:tblW w:w="10205" w:type="dxa"/>
        <w:jc w:val="left"/>
        <w:tblInd w:w="0" w:type="dxa"/>
        <w:tblLayout w:type="fixed"/>
        <w:tblCellMar>
          <w:top w:w="28" w:type="dxa"/>
          <w:left w:w="28" w:type="dxa"/>
          <w:bottom w:w="28" w:type="dxa"/>
          <w:right w:w="28" w:type="dxa"/>
        </w:tblCellMar>
      </w:tblPr>
      <w:tblGrid>
        <w:gridCol w:w="587"/>
        <w:gridCol w:w="515"/>
        <w:gridCol w:w="519"/>
        <w:gridCol w:w="1170"/>
        <w:gridCol w:w="1160"/>
        <w:gridCol w:w="1163"/>
        <w:gridCol w:w="659"/>
        <w:gridCol w:w="659"/>
        <w:gridCol w:w="576"/>
        <w:gridCol w:w="383"/>
        <w:gridCol w:w="383"/>
        <w:gridCol w:w="385"/>
        <w:gridCol w:w="627"/>
        <w:gridCol w:w="596"/>
        <w:gridCol w:w="823"/>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Issuing Bank</w:t>
            </w:r>
          </w:p>
        </w:tc>
        <w:tc>
          <w:tcPr>
            <w:tcW w:w="3493"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Beneficiary</w:t>
            </w:r>
          </w:p>
        </w:tc>
        <w:tc>
          <w:tcPr>
            <w:tcW w:w="1894"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Letter of Credit No.</w:t>
            </w:r>
          </w:p>
        </w:tc>
        <w:tc>
          <w:tcPr>
            <w:tcW w:w="1151"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Expiry Date</w:t>
            </w:r>
          </w:p>
        </w:tc>
        <w:tc>
          <w:tcPr>
            <w:tcW w:w="2046" w:type="dxa"/>
            <w:gridSpan w:val="3"/>
            <w:tcBorders>
              <w:top w:val="single" w:sz="4" w:space="0" w:color="000000"/>
              <w:left w:val="single" w:sz="4" w:space="0" w:color="000000"/>
              <w:right w:val="single" w:sz="4" w:space="0" w:color="000000"/>
            </w:tcBorders>
            <w:shd w:fill="B6B6B6" w:val="clear"/>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Amount Outstanding</w:t>
              <w:br/>
              <w:t>As of 09/22/2026</w:t>
            </w:r>
          </w:p>
        </w:tc>
      </w:tr>
      <w:tr>
        <w:trPr/>
        <w:tc>
          <w:tcPr>
            <w:tcW w:w="16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w:t>
            </w:r>
          </w:p>
        </w:tc>
        <w:tc>
          <w:tcPr>
            <w:tcW w:w="34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Travelers Indemnity Company</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LC870-116646</w:t>
            </w:r>
          </w:p>
        </w:tc>
        <w:tc>
          <w:tcPr>
            <w:tcW w:w="11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1/1/2027</w:t>
            </w:r>
          </w:p>
        </w:tc>
        <w:tc>
          <w:tcPr>
            <w:tcW w:w="20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$3,350,000.00</w:t>
            </w:r>
          </w:p>
        </w:tc>
      </w:tr>
      <w:tr>
        <w:trPr/>
        <w:tc>
          <w:tcPr>
            <w:tcW w:w="16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w:t>
            </w:r>
          </w:p>
        </w:tc>
        <w:tc>
          <w:tcPr>
            <w:tcW w:w="34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Safety National Casualty Corporation</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IS0450529U</w:t>
            </w:r>
          </w:p>
        </w:tc>
        <w:tc>
          <w:tcPr>
            <w:tcW w:w="11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8/24/2027</w:t>
            </w:r>
          </w:p>
        </w:tc>
        <w:tc>
          <w:tcPr>
            <w:tcW w:w="20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$16,750,000.00</w:t>
            </w:r>
          </w:p>
        </w:tc>
      </w:tr>
      <w:tr>
        <w:trPr/>
        <w:tc>
          <w:tcPr>
            <w:tcW w:w="16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w:t>
            </w:r>
          </w:p>
        </w:tc>
        <w:tc>
          <w:tcPr>
            <w:tcW w:w="34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Baltimore Gas and Electric</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IS000150874U</w:t>
            </w:r>
          </w:p>
        </w:tc>
        <w:tc>
          <w:tcPr>
            <w:tcW w:w="11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10/21/2027</w:t>
            </w:r>
          </w:p>
        </w:tc>
        <w:tc>
          <w:tcPr>
            <w:tcW w:w="204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$168,342.00</w:t>
            </w:r>
          </w:p>
        </w:tc>
      </w:tr>
      <w:tr>
        <w:trPr/>
        <w:tc>
          <w:tcPr>
            <w:tcW w:w="16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w:t>
            </w:r>
          </w:p>
        </w:tc>
        <w:tc>
          <w:tcPr>
            <w:tcW w:w="34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Ohio Bureau of Workers’ Compensation</w:t>
            </w:r>
          </w:p>
        </w:tc>
        <w:tc>
          <w:tcPr>
            <w:tcW w:w="1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IS000027379U</w:t>
            </w:r>
          </w:p>
        </w:tc>
        <w:tc>
          <w:tcPr>
            <w:tcW w:w="11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1/8/2027</w:t>
            </w:r>
          </w:p>
        </w:tc>
        <w:tc>
          <w:tcPr>
            <w:tcW w:w="204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$580,000.00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1.01D</w:t>
        <w:br/>
        <w:t>Foreign Subsidiaries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1.01E</w:t>
        <w:br/>
        <w:t>Certain Restaurant LPs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br/>
        <w:t xml:space="preserve">Bonefish/Fredericksburg, Limited Partnership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Bonefish/Newport News, Limited Partnership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Bonefish/Richmond, Limited Partnership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Bonefish/Southern Virginia, Limited Partnership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Bonefish/Virginia, Limited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2.01</w:t>
        <w:br/>
        <w:t>Commitments</w:t>
      </w:r>
    </w:p>
    <w:tbl>
      <w:tblPr>
        <w:tblW w:w="8428" w:type="dxa"/>
        <w:jc w:val="left"/>
        <w:tblInd w:w="0" w:type="dxa"/>
        <w:tblLayout w:type="fixed"/>
        <w:tblCellMar>
          <w:top w:w="28" w:type="dxa"/>
          <w:left w:w="28" w:type="dxa"/>
          <w:bottom w:w="28" w:type="dxa"/>
          <w:right w:w="28" w:type="dxa"/>
        </w:tblCellMar>
      </w:tblPr>
      <w:tblGrid>
        <w:gridCol w:w="1455"/>
        <w:gridCol w:w="1281"/>
        <w:gridCol w:w="1299"/>
        <w:gridCol w:w="919"/>
        <w:gridCol w:w="919"/>
        <w:gridCol w:w="921"/>
        <w:gridCol w:w="478"/>
        <w:gridCol w:w="478"/>
        <w:gridCol w:w="678"/>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275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Revolving Credit Commitment </w:t>
            </w:r>
          </w:p>
        </w:tc>
        <w:tc>
          <w:tcPr>
            <w:tcW w:w="163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 Commitment</w:t>
            </w:r>
          </w:p>
        </w:tc>
      </w:tr>
      <w:tr>
        <w:trPr/>
        <w:tc>
          <w:tcPr>
            <w:tcW w:w="4035" w:type="dxa"/>
            <w:gridSpan w:val="3"/>
            <w:tcBorders>
              <w:top w:val="sing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c>
          <w:tcPr>
            <w:tcW w:w="2759"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$150,000,000.00</w:t>
            </w:r>
          </w:p>
        </w:tc>
        <w:tc>
          <w:tcPr>
            <w:tcW w:w="1634" w:type="dxa"/>
            <w:gridSpan w:val="3"/>
            <w:tcBorders>
              <w:top w:val="single" w:sz="6"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 N.A.</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$141,000,000.00</w:t>
            </w:r>
          </w:p>
        </w:tc>
        <w:tc>
          <w:tcPr>
            <w:tcW w:w="1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One, National Association</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$141,000,000.00</w:t>
            </w:r>
          </w:p>
        </w:tc>
        <w:tc>
          <w:tcPr>
            <w:tcW w:w="1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Coöperatieve Rabobank U.A., New York Branch</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$141,000,000.00</w:t>
            </w:r>
          </w:p>
        </w:tc>
        <w:tc>
          <w:tcPr>
            <w:tcW w:w="1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Truist Bank</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$141,000,000.00</w:t>
            </w:r>
          </w:p>
        </w:tc>
        <w:tc>
          <w:tcPr>
            <w:tcW w:w="1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$141,000,000.00</w:t>
            </w:r>
          </w:p>
        </w:tc>
        <w:tc>
          <w:tcPr>
            <w:tcW w:w="16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w:t>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JPMorgan Chase Bank, N.A.</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Bank, N.A.</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BMO Bank N.A.</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Third Bank, National Association</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James Bank</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FirstBank Puerto Rico d/b/a FirstBank Florida</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Valley National Bank</w:t>
            </w:r>
          </w:p>
        </w:tc>
        <w:tc>
          <w:tcPr>
            <w:tcW w:w="2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$25,000,000.00</w:t>
            </w:r>
          </w:p>
        </w:tc>
        <w:tc>
          <w:tcPr>
            <w:tcW w:w="1634"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$1,200,000,000.00</w:t>
            </w:r>
          </w:p>
        </w:tc>
        <w:tc>
          <w:tcPr>
            <w:tcW w:w="16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$75,000,000.00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5.06</w:t>
        <w:br/>
        <w:t>Certain Litigation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5.12</w:t>
        <w:br/>
        <w:t>Subsidiaries and Other Equity Investments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    Pledged Subsidiaries with Equity Interests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0"/>
        <w:gridCol w:w="502"/>
        <w:gridCol w:w="508"/>
        <w:gridCol w:w="355"/>
        <w:gridCol w:w="355"/>
        <w:gridCol w:w="356"/>
        <w:gridCol w:w="386"/>
        <w:gridCol w:w="386"/>
        <w:gridCol w:w="388"/>
        <w:gridCol w:w="527"/>
        <w:gridCol w:w="481"/>
        <w:gridCol w:w="482"/>
        <w:gridCol w:w="635"/>
        <w:gridCol w:w="635"/>
        <w:gridCol w:w="637"/>
        <w:gridCol w:w="482"/>
        <w:gridCol w:w="482"/>
        <w:gridCol w:w="483"/>
        <w:gridCol w:w="355"/>
        <w:gridCol w:w="355"/>
        <w:gridCol w:w="5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BFBFBF" w:val="clear"/>
            <w:tcMar>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60"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90"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07"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47" w:type="dxa"/>
            <w:gridSpan w:val="3"/>
            <w:tcBorders>
              <w:top w:val="single" w:sz="4" w:space="0" w:color="000000"/>
              <w:left w:val="single" w:sz="4" w:space="0" w:color="000000"/>
              <w:bottom w:val="single" w:sz="4" w:space="0" w:color="000000"/>
            </w:tcBorders>
            <w:shd w:fill="BFBFBF"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23" w:type="dxa"/>
            <w:gridSpan w:val="3"/>
            <w:tcBorders>
              <w:top w:val="single" w:sz="4" w:space="0" w:color="000000"/>
              <w:left w:val="single" w:sz="4" w:space="0" w:color="000000"/>
              <w:bottom w:val="single" w:sz="4" w:space="0" w:color="000000"/>
              <w:right w:val="single" w:sz="4" w:space="0" w:color="000000"/>
            </w:tcBorders>
            <w:shd w:fill="BFBFBF" w:val="clear"/>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99.98%</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99.98%</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 Air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common stock, no par value</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 Nebraska,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$.01 par value</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 Oklahoma,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$.01 par value</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BFG/FPS of Marlton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Brands Gift Card Services,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57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Baltimore County,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90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Units</w:t>
            </w:r>
          </w:p>
        </w:tc>
        <w:tc>
          <w:tcPr>
            <w:tcW w:w="14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c>
          <w:tcPr>
            <w:tcW w:w="122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4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57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Beverages, LLC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6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Holdings, LLC</w:t>
            </w:r>
          </w:p>
        </w:tc>
        <w:tc>
          <w:tcPr>
            <w:tcW w:w="190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Unit</w:t>
            </w:r>
          </w:p>
        </w:tc>
        <w:tc>
          <w:tcPr>
            <w:tcW w:w="144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23"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557"/>
        <w:gridCol w:w="557"/>
        <w:gridCol w:w="562"/>
        <w:gridCol w:w="355"/>
        <w:gridCol w:w="355"/>
        <w:gridCol w:w="356"/>
        <w:gridCol w:w="385"/>
        <w:gridCol w:w="385"/>
        <w:gridCol w:w="386"/>
        <w:gridCol w:w="498"/>
        <w:gridCol w:w="463"/>
        <w:gridCol w:w="464"/>
        <w:gridCol w:w="628"/>
        <w:gridCol w:w="628"/>
        <w:gridCol w:w="630"/>
        <w:gridCol w:w="478"/>
        <w:gridCol w:w="478"/>
        <w:gridCol w:w="479"/>
        <w:gridCol w:w="353"/>
        <w:gridCol w:w="353"/>
        <w:gridCol w:w="50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25"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8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5"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3"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Brandywine,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Holdings,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Unit</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Kansas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of Bel Air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Bonefish/Anne Arundel,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2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 units</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Bonefish/Asheville,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167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Bonefish/Carolinas,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8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167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Bonefish/Columbus- I, Limited Partnership</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596"/>
        <w:gridCol w:w="549"/>
        <w:gridCol w:w="556"/>
        <w:gridCol w:w="355"/>
        <w:gridCol w:w="355"/>
        <w:gridCol w:w="356"/>
        <w:gridCol w:w="384"/>
        <w:gridCol w:w="384"/>
        <w:gridCol w:w="385"/>
        <w:gridCol w:w="497"/>
        <w:gridCol w:w="461"/>
        <w:gridCol w:w="463"/>
        <w:gridCol w:w="625"/>
        <w:gridCol w:w="625"/>
        <w:gridCol w:w="627"/>
        <w:gridCol w:w="476"/>
        <w:gridCol w:w="476"/>
        <w:gridCol w:w="478"/>
        <w:gridCol w:w="351"/>
        <w:gridCol w:w="351"/>
        <w:gridCol w:w="50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21"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77"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09"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Bonefish/Crescent Springs,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Bonefish/Glen Burnie,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5090 units</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99.78%</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99.78%</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Bonefish/Greensboro,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Bonefish/Hyde Park,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of Overlea,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7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common stock, no par value</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97.826%</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97.826%</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170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of Howard County,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10 shares of Class B common stock, no par value</w:t>
            </w:r>
          </w:p>
        </w:tc>
        <w:tc>
          <w:tcPr>
            <w:tcW w:w="14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42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90 shares of Class A common stock, no par value</w:t>
            </w:r>
          </w:p>
        </w:tc>
        <w:tc>
          <w:tcPr>
            <w:tcW w:w="143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170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2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7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9"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614"/>
        <w:gridCol w:w="455"/>
        <w:gridCol w:w="461"/>
        <w:gridCol w:w="355"/>
        <w:gridCol w:w="355"/>
        <w:gridCol w:w="356"/>
        <w:gridCol w:w="393"/>
        <w:gridCol w:w="393"/>
        <w:gridCol w:w="394"/>
        <w:gridCol w:w="443"/>
        <w:gridCol w:w="443"/>
        <w:gridCol w:w="445"/>
        <w:gridCol w:w="664"/>
        <w:gridCol w:w="664"/>
        <w:gridCol w:w="666"/>
        <w:gridCol w:w="498"/>
        <w:gridCol w:w="498"/>
        <w:gridCol w:w="500"/>
        <w:gridCol w:w="366"/>
        <w:gridCol w:w="366"/>
        <w:gridCol w:w="528"/>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8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331"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94"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9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60"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Kansas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Bowie,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Germantown,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810 shares of common stock, $1.00 par value</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90 shares of common stock, $1.00 par value</w:t>
            </w:r>
          </w:p>
        </w:tc>
        <w:tc>
          <w:tcPr>
            <w:tcW w:w="149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Ocean City,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w:t>
            </w:r>
          </w:p>
          <w:p>
            <w:pPr>
              <w:pStyle w:val="TableContents"/>
              <w:bidi w:val="0"/>
              <w:spacing w:before="0" w:after="240"/>
              <w:jc w:val="left"/>
              <w:rPr/>
            </w:pPr>
            <w:r>
              <w:rPr/>
            </w:r>
          </w:p>
          <w:p>
            <w:pPr>
              <w:pStyle w:val="TableContents"/>
              <w:bidi w:val="0"/>
              <w:spacing w:before="0" w:after="240"/>
              <w:jc w:val="left"/>
              <w:rPr/>
            </w:pPr>
            <w:r>
              <w:rPr/>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shares of common stock, no par value</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98%</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98%</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Pasadena,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2000 shares of common stock, no par value</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53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Waldorf,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600 shares of common stock, no par value</w:t>
            </w:r>
          </w:p>
        </w:tc>
        <w:tc>
          <w:tcPr>
            <w:tcW w:w="149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3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400 shares of common stock, no par value</w:t>
            </w:r>
          </w:p>
        </w:tc>
        <w:tc>
          <w:tcPr>
            <w:tcW w:w="149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580"/>
        <w:gridCol w:w="580"/>
        <w:gridCol w:w="587"/>
        <w:gridCol w:w="355"/>
        <w:gridCol w:w="355"/>
        <w:gridCol w:w="356"/>
        <w:gridCol w:w="382"/>
        <w:gridCol w:w="382"/>
        <w:gridCol w:w="383"/>
        <w:gridCol w:w="502"/>
        <w:gridCol w:w="466"/>
        <w:gridCol w:w="468"/>
        <w:gridCol w:w="616"/>
        <w:gridCol w:w="616"/>
        <w:gridCol w:w="618"/>
        <w:gridCol w:w="471"/>
        <w:gridCol w:w="471"/>
        <w:gridCol w:w="472"/>
        <w:gridCol w:w="348"/>
        <w:gridCol w:w="348"/>
        <w:gridCol w:w="501"/>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47"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3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5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14"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197"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Carrabba’s/Birmingham 280,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Carrabba’s/DC-I,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 Omaha,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Beverages of Texas,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Holdings,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Holdings,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17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Oklahoma,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1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174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CIGI/BFG of East Brunswick Partnership</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5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632"/>
        <w:gridCol w:w="403"/>
        <w:gridCol w:w="408"/>
        <w:gridCol w:w="355"/>
        <w:gridCol w:w="355"/>
        <w:gridCol w:w="356"/>
        <w:gridCol w:w="390"/>
        <w:gridCol w:w="390"/>
        <w:gridCol w:w="391"/>
        <w:gridCol w:w="534"/>
        <w:gridCol w:w="488"/>
        <w:gridCol w:w="490"/>
        <w:gridCol w:w="650"/>
        <w:gridCol w:w="650"/>
        <w:gridCol w:w="652"/>
        <w:gridCol w:w="490"/>
        <w:gridCol w:w="490"/>
        <w:gridCol w:w="492"/>
        <w:gridCol w:w="361"/>
        <w:gridCol w:w="361"/>
        <w:gridCol w:w="51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71"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12"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52"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72"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41"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DoorSide,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 stock, $1.00 par value</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Hagerstown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OBTex Holdings,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 City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 shares of common stock, no par value</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Management,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shares of common stock, $0.01 par value</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144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Prime,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144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Realty, LLC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709"/>
        <w:gridCol w:w="484"/>
        <w:gridCol w:w="490"/>
        <w:gridCol w:w="355"/>
        <w:gridCol w:w="355"/>
        <w:gridCol w:w="356"/>
        <w:gridCol w:w="383"/>
        <w:gridCol w:w="383"/>
        <w:gridCol w:w="384"/>
        <w:gridCol w:w="520"/>
        <w:gridCol w:w="473"/>
        <w:gridCol w:w="474"/>
        <w:gridCol w:w="621"/>
        <w:gridCol w:w="621"/>
        <w:gridCol w:w="622"/>
        <w:gridCol w:w="474"/>
        <w:gridCol w:w="474"/>
        <w:gridCol w:w="475"/>
        <w:gridCol w:w="350"/>
        <w:gridCol w:w="350"/>
        <w:gridCol w:w="504"/>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67"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64"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2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04"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Restaurant Services,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 Nebraska,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 Oklahoma,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6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OSF/BFG of Deptford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OSF/BFG of Lawrenceville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168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OSF/CIGI of Evesham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168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Inc.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6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 Inc.</w:t>
            </w:r>
          </w:p>
        </w:tc>
        <w:tc>
          <w:tcPr>
            <w:tcW w:w="1864"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2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620"/>
        <w:gridCol w:w="413"/>
        <w:gridCol w:w="420"/>
        <w:gridCol w:w="355"/>
        <w:gridCol w:w="355"/>
        <w:gridCol w:w="356"/>
        <w:gridCol w:w="389"/>
        <w:gridCol w:w="389"/>
        <w:gridCol w:w="391"/>
        <w:gridCol w:w="534"/>
        <w:gridCol w:w="488"/>
        <w:gridCol w:w="489"/>
        <w:gridCol w:w="648"/>
        <w:gridCol w:w="648"/>
        <w:gridCol w:w="650"/>
        <w:gridCol w:w="489"/>
        <w:gridCol w:w="489"/>
        <w:gridCol w:w="491"/>
        <w:gridCol w:w="360"/>
        <w:gridCol w:w="360"/>
        <w:gridCol w:w="523"/>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69"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11"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4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69"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43"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II, Inc.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II,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Brands, Inc.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Inc.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Alabama,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Beverages of Texas,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OBTex Holdings,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Designated Partner,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Kansas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Aspen Hill,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 stock, no par value</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145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Calvert County,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51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common shares, no par value</w:t>
            </w:r>
          </w:p>
        </w:tc>
        <w:tc>
          <w:tcPr>
            <w:tcW w:w="146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89.87 %</w:t>
            </w:r>
          </w:p>
        </w:tc>
        <w:tc>
          <w:tcPr>
            <w:tcW w:w="124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89.87 %</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145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Laurel, LLC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1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662"/>
        <w:gridCol w:w="474"/>
        <w:gridCol w:w="482"/>
        <w:gridCol w:w="355"/>
        <w:gridCol w:w="355"/>
        <w:gridCol w:w="356"/>
        <w:gridCol w:w="385"/>
        <w:gridCol w:w="385"/>
        <w:gridCol w:w="386"/>
        <w:gridCol w:w="524"/>
        <w:gridCol w:w="477"/>
        <w:gridCol w:w="479"/>
        <w:gridCol w:w="629"/>
        <w:gridCol w:w="629"/>
        <w:gridCol w:w="630"/>
        <w:gridCol w:w="478"/>
        <w:gridCol w:w="478"/>
        <w:gridCol w:w="480"/>
        <w:gridCol w:w="353"/>
        <w:gridCol w:w="353"/>
        <w:gridCol w:w="50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8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88"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3"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c>
          <w:tcPr>
            <w:tcW w:w="161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La Plata,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 shares of common stock, no par value </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8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 shares of common stock, no par value</w:t>
            </w:r>
          </w:p>
        </w:tc>
        <w:tc>
          <w:tcPr>
            <w:tcW w:w="14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c>
          <w:tcPr>
            <w:tcW w:w="161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Silver Spring,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1000 shares of common stock, no par value </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c>
          <w:tcPr>
            <w:tcW w:w="161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Waldorf,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800 shares of common stock, no par value </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48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shares of common stock, no par value</w:t>
            </w:r>
          </w:p>
        </w:tc>
        <w:tc>
          <w:tcPr>
            <w:tcW w:w="14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c>
          <w:tcPr>
            <w:tcW w:w="161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Canton,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c>
          <w:tcPr>
            <w:tcW w:w="161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8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w:t>
            </w:r>
          </w:p>
        </w:tc>
        <w:tc>
          <w:tcPr>
            <w:tcW w:w="161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Howard County, Inc.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8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Class A Common Stock, no par value</w:t>
            </w:r>
          </w:p>
        </w:tc>
        <w:tc>
          <w:tcPr>
            <w:tcW w:w="143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13"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0"/>
        <w:gridCol w:w="110"/>
        <w:gridCol w:w="1079"/>
        <w:gridCol w:w="509"/>
        <w:gridCol w:w="515"/>
        <w:gridCol w:w="355"/>
        <w:gridCol w:w="355"/>
        <w:gridCol w:w="356"/>
        <w:gridCol w:w="372"/>
        <w:gridCol w:w="372"/>
        <w:gridCol w:w="373"/>
        <w:gridCol w:w="496"/>
        <w:gridCol w:w="446"/>
        <w:gridCol w:w="448"/>
        <w:gridCol w:w="570"/>
        <w:gridCol w:w="570"/>
        <w:gridCol w:w="572"/>
        <w:gridCol w:w="445"/>
        <w:gridCol w:w="445"/>
        <w:gridCol w:w="446"/>
        <w:gridCol w:w="330"/>
        <w:gridCol w:w="330"/>
        <w:gridCol w:w="475"/>
      </w:tblGrid>
      <w:tr>
        <w:trPr/>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17"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39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712"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33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135"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21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St. Mary’s County,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3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 shares of common stock, no par value</w:t>
            </w:r>
          </w:p>
        </w:tc>
        <w:tc>
          <w:tcPr>
            <w:tcW w:w="13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c>
          <w:tcPr>
            <w:tcW w:w="113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c>
          <w:tcPr>
            <w:tcW w:w="21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West Virginia,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WV</w:t>
            </w:r>
          </w:p>
        </w:tc>
        <w:tc>
          <w:tcPr>
            <w:tcW w:w="111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39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shares of common stock, $1.00 par value</w:t>
            </w:r>
          </w:p>
        </w:tc>
        <w:tc>
          <w:tcPr>
            <w:tcW w:w="13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c>
          <w:tcPr>
            <w:tcW w:w="21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Outback/Carrabba’s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1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7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c>
          <w:tcPr>
            <w:tcW w:w="21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Outback/Stone-II, Limited Partnership</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17"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Designated Partner, LLC</w:t>
            </w:r>
          </w:p>
        </w:tc>
        <w:tc>
          <w:tcPr>
            <w:tcW w:w="171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103"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Outback-Carrabba’s of Hunt Valley,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49 shares of common stock, no par value </w:t>
            </w:r>
          </w:p>
        </w:tc>
        <w:tc>
          <w:tcPr>
            <w:tcW w:w="133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98.98%</w:t>
            </w:r>
          </w:p>
        </w:tc>
        <w:tc>
          <w:tcPr>
            <w:tcW w:w="1135"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98.98%</w:t>
            </w:r>
          </w:p>
        </w:tc>
      </w:tr>
      <w:tr>
        <w:trPr/>
        <w:tc>
          <w:tcPr>
            <w:tcW w:w="34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9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712" w:type="dxa"/>
            <w:gridSpan w:val="3"/>
            <w:tcBorders>
              <w:left w:val="single" w:sz="4" w:space="0" w:color="000000"/>
            </w:tcBorders>
            <w:tcMar>
              <w:top w:w="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 shares of common stock, no par value</w:t>
            </w:r>
          </w:p>
        </w:tc>
        <w:tc>
          <w:tcPr>
            <w:tcW w:w="13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w:t>
            </w:r>
          </w:p>
        </w:tc>
        <w:tc>
          <w:tcPr>
            <w:tcW w:w="2103"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Owings Mills Incorporated</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39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 shares of common stock, no par value</w:t>
            </w:r>
          </w:p>
        </w:tc>
        <w:tc>
          <w:tcPr>
            <w:tcW w:w="133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49.49%</w:t>
            </w:r>
          </w:p>
        </w:tc>
        <w:tc>
          <w:tcPr>
            <w:tcW w:w="1135"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49.49%</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
        <w:gridCol w:w="111"/>
        <w:gridCol w:w="111"/>
        <w:gridCol w:w="570"/>
        <w:gridCol w:w="466"/>
        <w:gridCol w:w="472"/>
        <w:gridCol w:w="355"/>
        <w:gridCol w:w="355"/>
        <w:gridCol w:w="356"/>
        <w:gridCol w:w="388"/>
        <w:gridCol w:w="388"/>
        <w:gridCol w:w="389"/>
        <w:gridCol w:w="530"/>
        <w:gridCol w:w="484"/>
        <w:gridCol w:w="486"/>
        <w:gridCol w:w="642"/>
        <w:gridCol w:w="642"/>
        <w:gridCol w:w="644"/>
        <w:gridCol w:w="486"/>
        <w:gridCol w:w="486"/>
        <w:gridCol w:w="487"/>
        <w:gridCol w:w="358"/>
        <w:gridCol w:w="358"/>
        <w:gridCol w:w="515"/>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65"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00"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28"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59" w:type="dxa"/>
            <w:gridSpan w:val="3"/>
            <w:tcBorders>
              <w:top w:val="single" w:sz="4" w:space="0" w:color="000000"/>
              <w:left w:val="single" w:sz="4" w:space="0" w:color="000000"/>
            </w:tcBorders>
            <w:shd w:fill="BFBFBF"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31" w:type="dxa"/>
            <w:gridSpan w:val="3"/>
            <w:tcBorders>
              <w:top w:val="single" w:sz="4" w:space="0" w:color="000000"/>
              <w:left w:val="single" w:sz="4" w:space="0" w:color="000000"/>
              <w:right w:val="single" w:sz="4" w:space="0" w:color="000000"/>
            </w:tcBorders>
            <w:shd w:fill="BFBFBF" w:val="clear"/>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c>
          <w:tcPr>
            <w:tcW w:w="150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Perry Hall Outback, Inc.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50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2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4,950 shares of common stock, no par value</w:t>
            </w:r>
          </w:p>
        </w:tc>
        <w:tc>
          <w:tcPr>
            <w:tcW w:w="145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123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34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c>
          <w:tcPr>
            <w:tcW w:w="150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Restaurant Master Lessee, LLC</w:t>
            </w:r>
          </w:p>
        </w:tc>
        <w:tc>
          <w:tcPr>
            <w:tcW w:w="10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0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28"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5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3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c>
          <w:tcPr>
            <w:tcW w:w="150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Private Restaurant Properties, LLC</w:t>
            </w:r>
          </w:p>
        </w:tc>
        <w:tc>
          <w:tcPr>
            <w:tcW w:w="106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5"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0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28"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5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31"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    Unpledged Subsidiaries</w:t>
      </w:r>
    </w:p>
    <w:tbl>
      <w:tblPr>
        <w:tblW w:w="8565" w:type="dxa"/>
        <w:jc w:val="left"/>
        <w:tblInd w:w="0" w:type="dxa"/>
        <w:tblLayout w:type="fixed"/>
        <w:tblCellMar>
          <w:top w:w="28" w:type="dxa"/>
          <w:left w:w="28" w:type="dxa"/>
          <w:bottom w:w="28" w:type="dxa"/>
          <w:right w:w="28" w:type="dxa"/>
        </w:tblCellMar>
      </w:tblPr>
      <w:tblGrid>
        <w:gridCol w:w="151"/>
        <w:gridCol w:w="134"/>
        <w:gridCol w:w="135"/>
        <w:gridCol w:w="1563"/>
        <w:gridCol w:w="1563"/>
        <w:gridCol w:w="1568"/>
        <w:gridCol w:w="435"/>
        <w:gridCol w:w="435"/>
        <w:gridCol w:w="436"/>
        <w:gridCol w:w="627"/>
        <w:gridCol w:w="627"/>
        <w:gridCol w:w="89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op w:val="single" w:sz="4" w:space="0" w:color="000000"/>
              <w:left w:val="single" w:sz="4" w:space="0" w:color="000000"/>
              <w:bottom w:val="single" w:sz="4" w:space="0" w:color="000000"/>
            </w:tcBorders>
            <w:shd w:fill="B6B6B6" w:val="clear"/>
            <w:tcMar>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4" w:space="0" w:color="000000"/>
              <w:left w:val="single" w:sz="4" w:space="0" w:color="000000"/>
              <w:bottom w:val="single" w:sz="4" w:space="0" w:color="000000"/>
            </w:tcBorders>
            <w:shd w:fill="B6B6B6"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 of Entity</w:t>
            </w:r>
          </w:p>
        </w:tc>
        <w:tc>
          <w:tcPr>
            <w:tcW w:w="1306" w:type="dxa"/>
            <w:gridSpan w:val="3"/>
            <w:tcBorders>
              <w:top w:val="single" w:sz="4" w:space="0" w:color="000000"/>
              <w:left w:val="single" w:sz="4" w:space="0" w:color="000000"/>
              <w:bottom w:val="single" w:sz="4" w:space="0" w:color="000000"/>
            </w:tcBorders>
            <w:shd w:fill="B6B6B6"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w:t>
            </w:r>
          </w:p>
        </w:tc>
        <w:tc>
          <w:tcPr>
            <w:tcW w:w="2145" w:type="dxa"/>
            <w:gridSpan w:val="3"/>
            <w:tcBorders>
              <w:top w:val="single" w:sz="4" w:space="0" w:color="000000"/>
              <w:left w:val="single" w:sz="4" w:space="0" w:color="000000"/>
              <w:bottom w:val="single" w:sz="4" w:space="0" w:color="000000"/>
              <w:right w:val="single" w:sz="4" w:space="0" w:color="000000"/>
            </w:tcBorders>
            <w:shd w:fill="B6B6B6" w:val="clear"/>
            <w:tcMar>
              <w:top w:w="3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4"/>
              </w:rPr>
              <w:t>Percentage Owned</w:t>
            </w:r>
            <w:r>
              <w:rPr>
                <w:rFonts w:ascii="Times New Roman;serif" w:hAnsi="Times New Roman;serif"/>
                <w:b/>
                <w:color w:val="000000"/>
                <w:sz w:val="16"/>
              </w:rPr>
              <w:t>1</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BBI International Holdings, Inc.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BBI Ristorante Italiano, LLC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BFG New Jersey Services,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BFG Pennsylvania Services, LTD</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 Brands Holdings I C.V.</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Netherlands</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 Brands Holdings II C.V.</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Netherlands</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Bloomin’ Brands International, LLC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 Group Holdings B.V.</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Netherlands</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 Group Restaurants, LLC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 No. 1 Limited</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Hong Kong</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 Grill International, LLC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 of Gaithersburg, Inc.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MD</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Bonefish/Fredericksburg,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Bonefish/Newport News,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Bonefish/Richmond,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Bonefish/Southern Virginia,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c>
          <w:tcPr>
            <w:tcW w:w="46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Bonefish/Virginia, Limited Partnership</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c>
          <w:tcPr>
            <w:tcW w:w="469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CIGI Florida Services, LTD</w:t>
            </w:r>
          </w:p>
        </w:tc>
        <w:tc>
          <w:tcPr>
            <w:tcW w:w="1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8565" w:type="dxa"/>
            <w:gridSpan w:val="12"/>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ableContents"/>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An asterisk denotes a non-wholly owned Restaurant LP or Employee Participation Subsidiary.</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74" w:type="dxa"/>
        <w:jc w:val="left"/>
        <w:tblInd w:w="0" w:type="dxa"/>
        <w:tblLayout w:type="fixed"/>
        <w:tblCellMar>
          <w:top w:w="28" w:type="dxa"/>
          <w:left w:w="28" w:type="dxa"/>
          <w:bottom w:w="28" w:type="dxa"/>
          <w:right w:w="28" w:type="dxa"/>
        </w:tblCellMar>
      </w:tblPr>
      <w:tblGrid>
        <w:gridCol w:w="151"/>
        <w:gridCol w:w="134"/>
        <w:gridCol w:w="135"/>
        <w:gridCol w:w="1829"/>
        <w:gridCol w:w="1829"/>
        <w:gridCol w:w="1832"/>
        <w:gridCol w:w="539"/>
        <w:gridCol w:w="539"/>
        <w:gridCol w:w="541"/>
        <w:gridCol w:w="627"/>
        <w:gridCol w:w="627"/>
        <w:gridCol w:w="89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op w:val="single" w:sz="4" w:space="0" w:color="000000"/>
              <w:left w:val="single" w:sz="4" w:space="0" w:color="000000"/>
              <w:bottom w:val="single" w:sz="4" w:space="0" w:color="000000"/>
            </w:tcBorders>
            <w:shd w:fill="B6B6B6" w:val="clear"/>
            <w:tcMar>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4" w:space="0" w:color="000000"/>
              <w:left w:val="single" w:sz="4" w:space="0" w:color="000000"/>
              <w:bottom w:val="single" w:sz="4" w:space="0" w:color="000000"/>
            </w:tcBorders>
            <w:shd w:fill="B6B6B6"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 of Entity</w:t>
            </w:r>
          </w:p>
        </w:tc>
        <w:tc>
          <w:tcPr>
            <w:tcW w:w="1619" w:type="dxa"/>
            <w:gridSpan w:val="3"/>
            <w:tcBorders>
              <w:top w:val="single" w:sz="4" w:space="0" w:color="000000"/>
              <w:left w:val="single" w:sz="4" w:space="0" w:color="000000"/>
              <w:bottom w:val="single" w:sz="4" w:space="0" w:color="000000"/>
            </w:tcBorders>
            <w:shd w:fill="B6B6B6"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w:t>
            </w:r>
          </w:p>
        </w:tc>
        <w:tc>
          <w:tcPr>
            <w:tcW w:w="2145" w:type="dxa"/>
            <w:gridSpan w:val="3"/>
            <w:tcBorders>
              <w:top w:val="single" w:sz="4" w:space="0" w:color="000000"/>
              <w:left w:val="single" w:sz="4" w:space="0" w:color="000000"/>
              <w:bottom w:val="single" w:sz="4" w:space="0" w:color="000000"/>
              <w:right w:val="single" w:sz="4" w:space="0" w:color="000000"/>
            </w:tcBorders>
            <w:shd w:fill="B6B6B6" w:val="clear"/>
            <w:tcMar>
              <w:top w:w="3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4"/>
              </w:rPr>
              <w:t>Percentage Owned</w:t>
            </w:r>
            <w:r>
              <w:rPr>
                <w:rFonts w:ascii="Times New Roman;serif" w:hAnsi="Times New Roman;serif"/>
                <w:b/>
                <w:color w:val="000000"/>
                <w:sz w:val="16"/>
              </w:rPr>
              <w:t>1</w:t>
            </w:r>
          </w:p>
        </w:tc>
      </w:tr>
      <w:tr>
        <w:trPr/>
        <w:tc>
          <w:tcPr>
            <w:tcW w:w="420"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c>
          <w:tcPr>
            <w:tcW w:w="5490"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Dutch Holdings I, LLC</w:t>
            </w:r>
          </w:p>
        </w:tc>
        <w:tc>
          <w:tcPr>
            <w:tcW w:w="1619"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Fleming’s International,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Fleming’s Beverages,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TX</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Fleming’s/Outback Holdings, Inc.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TX</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Fleming’s Restaurantes Do Brasil Ltda</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FPS Nebraska, Inc.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FPS Oklahoma, Inc.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 Niagara Falls,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OSF Florida Services, LTD</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OSF New York Services, Limited Partnership</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OSF Virginia Services, Limited Partnership</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OSI International,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OSI/Fleming’s,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Philippines Development Holdings Corporation</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Puerto Rico Designated Partner,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Steakhouse International Investments Co.</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Cayman Islands</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Steakhouse International, L.P.</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36.</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Steakhouse International, LLC</w:t>
            </w:r>
          </w:p>
        </w:tc>
        <w:tc>
          <w:tcPr>
            <w:tcW w:w="16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37.</w:t>
            </w:r>
          </w:p>
        </w:tc>
        <w:tc>
          <w:tcPr>
            <w:tcW w:w="54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Steakhouse Restaurantes Brasil S.A.</w:t>
            </w:r>
          </w:p>
        </w:tc>
        <w:tc>
          <w:tcPr>
            <w:tcW w:w="161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Brazil</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32.54%</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35" w:type="dxa"/>
        <w:jc w:val="left"/>
        <w:tblInd w:w="0" w:type="dxa"/>
        <w:tblLayout w:type="fixed"/>
        <w:tblCellMar>
          <w:top w:w="28" w:type="dxa"/>
          <w:left w:w="28" w:type="dxa"/>
          <w:bottom w:w="28" w:type="dxa"/>
          <w:right w:w="28" w:type="dxa"/>
        </w:tblCellMar>
      </w:tblPr>
      <w:tblGrid>
        <w:gridCol w:w="151"/>
        <w:gridCol w:w="134"/>
        <w:gridCol w:w="135"/>
        <w:gridCol w:w="1453"/>
        <w:gridCol w:w="1453"/>
        <w:gridCol w:w="1458"/>
        <w:gridCol w:w="435"/>
        <w:gridCol w:w="435"/>
        <w:gridCol w:w="436"/>
        <w:gridCol w:w="627"/>
        <w:gridCol w:w="627"/>
        <w:gridCol w:w="89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left w:val="single" w:sz="4" w:space="0" w:color="000000"/>
            </w:tcBorders>
            <w:shd w:fill="B6B6B6"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 of Entity</w:t>
            </w:r>
          </w:p>
        </w:tc>
        <w:tc>
          <w:tcPr>
            <w:tcW w:w="1306" w:type="dxa"/>
            <w:gridSpan w:val="3"/>
            <w:tcBorders>
              <w:top w:val="single" w:sz="4" w:space="0" w:color="000000"/>
              <w:left w:val="single" w:sz="4" w:space="0" w:color="000000"/>
            </w:tcBorders>
            <w:shd w:fill="B6B6B6"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w:t>
            </w:r>
          </w:p>
        </w:tc>
        <w:tc>
          <w:tcPr>
            <w:tcW w:w="2145" w:type="dxa"/>
            <w:gridSpan w:val="3"/>
            <w:tcBorders>
              <w:top w:val="single" w:sz="4" w:space="0" w:color="000000"/>
              <w:left w:val="single" w:sz="4" w:space="0" w:color="000000"/>
              <w:right w:val="single" w:sz="4" w:space="0" w:color="000000"/>
            </w:tcBorders>
            <w:shd w:fill="B6B6B6" w:val="clear"/>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4"/>
              </w:rPr>
              <w:t>Percentage Owned</w:t>
            </w:r>
            <w:r>
              <w:rPr>
                <w:rFonts w:ascii="Times New Roman;serif" w:hAnsi="Times New Roman;serif"/>
                <w:b/>
                <w:color w:val="000000"/>
                <w:sz w:val="16"/>
              </w:rPr>
              <w:t>1</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38.</w:t>
            </w:r>
          </w:p>
        </w:tc>
        <w:tc>
          <w:tcPr>
            <w:tcW w:w="43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Outback/Fleming’s Designated Partner, LLC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89.62%</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39.</w:t>
            </w:r>
          </w:p>
        </w:tc>
        <w:tc>
          <w:tcPr>
            <w:tcW w:w="43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Prince George’s County Outback, Inc.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MD</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40.</w:t>
            </w:r>
          </w:p>
        </w:tc>
        <w:tc>
          <w:tcPr>
            <w:tcW w:w="43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of Carroll County, Inc.</w:t>
            </w:r>
          </w:p>
        </w:tc>
        <w:tc>
          <w:tcPr>
            <w:tcW w:w="1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MD</w:t>
            </w:r>
          </w:p>
        </w:tc>
        <w:tc>
          <w:tcPr>
            <w:tcW w:w="21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90%</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    Non-Subsidiaries</w:t>
      </w:r>
    </w:p>
    <w:tbl>
      <w:tblPr>
        <w:tblW w:w="8806" w:type="dxa"/>
        <w:jc w:val="left"/>
        <w:tblInd w:w="0" w:type="dxa"/>
        <w:tblLayout w:type="fixed"/>
        <w:tblCellMar>
          <w:top w:w="28" w:type="dxa"/>
          <w:left w:w="28" w:type="dxa"/>
          <w:bottom w:w="28" w:type="dxa"/>
          <w:right w:w="28" w:type="dxa"/>
        </w:tblCellMar>
      </w:tblPr>
      <w:tblGrid>
        <w:gridCol w:w="151"/>
        <w:gridCol w:w="134"/>
        <w:gridCol w:w="135"/>
        <w:gridCol w:w="1668"/>
        <w:gridCol w:w="1668"/>
        <w:gridCol w:w="1674"/>
        <w:gridCol w:w="435"/>
        <w:gridCol w:w="435"/>
        <w:gridCol w:w="436"/>
        <w:gridCol w:w="605"/>
        <w:gridCol w:w="605"/>
        <w:gridCol w:w="86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Entity</w:t>
            </w:r>
          </w:p>
        </w:tc>
        <w:tc>
          <w:tcPr>
            <w:tcW w:w="1306" w:type="dxa"/>
            <w:gridSpan w:val="3"/>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Jurisdiction</w:t>
            </w:r>
          </w:p>
        </w:tc>
        <w:tc>
          <w:tcPr>
            <w:tcW w:w="2070" w:type="dxa"/>
            <w:gridSpan w:val="3"/>
            <w:tcBorders>
              <w:top w:val="single" w:sz="4" w:space="0" w:color="000000"/>
              <w:left w:val="single" w:sz="4" w:space="0" w:color="000000"/>
              <w:right w:val="single" w:sz="4" w:space="0" w:color="000000"/>
            </w:tcBorders>
            <w:shd w:fill="B6B6B6"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Percentage Owned</w:t>
            </w:r>
          </w:p>
        </w:tc>
      </w:tr>
      <w:tr>
        <w:trPr/>
        <w:tc>
          <w:tcPr>
            <w:tcW w:w="4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w:t>
            </w:r>
          </w:p>
        </w:tc>
        <w:tc>
          <w:tcPr>
            <w:tcW w:w="501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Northlake Drainage Association, Inc.</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0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41.46%</w:t>
            </w:r>
          </w:p>
        </w:tc>
      </w:tr>
      <w:tr>
        <w:trPr/>
        <w:tc>
          <w:tcPr>
            <w:tcW w:w="42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w:t>
            </w:r>
          </w:p>
        </w:tc>
        <w:tc>
          <w:tcPr>
            <w:tcW w:w="501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 Inverness Land Condominium Association, Inc.</w:t>
            </w:r>
          </w:p>
        </w:tc>
        <w:tc>
          <w:tcPr>
            <w:tcW w:w="1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FL</w:t>
            </w:r>
          </w:p>
        </w:tc>
        <w:tc>
          <w:tcPr>
            <w:tcW w:w="20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78.12%</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Schedule 7.01(b) </w:t>
        <w:br/>
        <w:t>Existing Liens</w:t>
      </w:r>
    </w:p>
    <w:tbl>
      <w:tblPr>
        <w:tblW w:w="10205" w:type="dxa"/>
        <w:jc w:val="left"/>
        <w:tblInd w:w="0" w:type="dxa"/>
        <w:tblLayout w:type="fixed"/>
        <w:tblCellMar>
          <w:top w:w="28" w:type="dxa"/>
          <w:left w:w="28" w:type="dxa"/>
          <w:bottom w:w="28" w:type="dxa"/>
          <w:right w:w="28" w:type="dxa"/>
        </w:tblCellMar>
      </w:tblPr>
      <w:tblGrid>
        <w:gridCol w:w="532"/>
        <w:gridCol w:w="466"/>
        <w:gridCol w:w="471"/>
        <w:gridCol w:w="637"/>
        <w:gridCol w:w="637"/>
        <w:gridCol w:w="642"/>
        <w:gridCol w:w="190"/>
        <w:gridCol w:w="190"/>
        <w:gridCol w:w="191"/>
        <w:gridCol w:w="732"/>
        <w:gridCol w:w="388"/>
        <w:gridCol w:w="389"/>
        <w:gridCol w:w="233"/>
        <w:gridCol w:w="233"/>
        <w:gridCol w:w="234"/>
        <w:gridCol w:w="1179"/>
        <w:gridCol w:w="1179"/>
        <w:gridCol w:w="1682"/>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Debtor</w:t>
            </w:r>
          </w:p>
        </w:tc>
        <w:tc>
          <w:tcPr>
            <w:tcW w:w="191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Creditor</w:t>
            </w:r>
          </w:p>
        </w:tc>
        <w:tc>
          <w:tcPr>
            <w:tcW w:w="57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State</w:t>
            </w:r>
          </w:p>
        </w:tc>
        <w:tc>
          <w:tcPr>
            <w:tcW w:w="15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Financing Statement No.</w:t>
            </w:r>
          </w:p>
        </w:tc>
        <w:tc>
          <w:tcPr>
            <w:tcW w:w="70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Filing Date</w:t>
            </w:r>
          </w:p>
        </w:tc>
        <w:tc>
          <w:tcPr>
            <w:tcW w:w="404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Collateral</w:t>
            </w:r>
          </w:p>
        </w:tc>
      </w:tr>
      <w:tr>
        <w:trPr/>
        <w:tc>
          <w:tcPr>
            <w:tcW w:w="146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BLOOMIN’ BRANDS, INC.</w:t>
            </w:r>
          </w:p>
        </w:tc>
        <w:tc>
          <w:tcPr>
            <w:tcW w:w="191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PRESIDIO NETWORKED SOLUTIONS LLC</w:t>
            </w:r>
          </w:p>
        </w:tc>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w:t>
            </w:r>
          </w:p>
        </w:tc>
        <w:tc>
          <w:tcPr>
            <w:tcW w:w="1509"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20206215844</w:t>
            </w:r>
          </w:p>
        </w:tc>
        <w:tc>
          <w:tcPr>
            <w:tcW w:w="70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9/9/2020</w:t>
            </w:r>
          </w:p>
        </w:tc>
        <w:tc>
          <w:tcPr>
            <w:tcW w:w="4040"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All present and future Goods, including but not limited to various equipment, routers, software, and any replacement, substitution, addition, attachment, modification, update, revision, enhancement, accessory, insurance, proceeds and the cash proceeds of any Goods, wherever located, purchased from Presidio Networked Solutions LLC by Bloomin’ Brands, Inc.</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Schedule 7.02(f)</w:t>
      </w:r>
      <w:r>
        <w:rPr>
          <w:color w:val="000000"/>
        </w:rPr>
        <w:t xml:space="preserve"> </w:t>
      </w:r>
      <w:r>
        <w:rPr>
          <w:rFonts w:ascii="Times New Roman;serif" w:hAnsi="Times New Roman;serif"/>
          <w:b/>
          <w:color w:val="000000"/>
          <w:sz w:val="24"/>
        </w:rPr>
        <w:br/>
        <w:t>Existing Investments</w:t>
      </w:r>
    </w:p>
    <w:p>
      <w:pPr>
        <w:pStyle w:val="TextBody"/>
        <w:bidi w:val="0"/>
        <w:spacing w:lineRule="auto" w:line="26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1.Investments in the form of Equity Interests existing on the Closing Date in the entities listed on Schedule 5.12 and Schedule 1.01A.</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2.Loans to each certain Restaurant LPs by such Restaurant LP’s general partner pursuant to such Restaurant LP’s limited partnership agreement entered into in the ordinary course of business consistent with past practice and in existence on the Closing Date.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3.Managing partner investment deposits from current managing partners who own Equity Interests in Employment Participation Subsidiaries, in an aggregate principal amount not exceeding $350,000 plus accrued and unpaid interest.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4.As a result of the Company assigning its interest in obligations under real estate leases in connection with the sale of certain restaurants, the Company is contingently liable for approximately 15 lease agreements. These leases have varying terms, the latest of which expires in 2032. The potential amount of undiscounted payments the Company could be required to make in the event of non-payment by the primary lessees was approximately $9.7 million. The present value of these potential payments discounted at the Company’s incremental borrowing rate as of June 28, 2026 was approximately $7.9 million. As of June 28, 2026, the Company’s recorded contingent lease liability was $1.6 million. The Company believes this reserve is sufficient to cover the risk that the Company will be required to make payments under these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Schedule 7.03(b)</w:t>
      </w:r>
      <w:r>
        <w:rPr>
          <w:color w:val="000000"/>
        </w:rPr>
        <w:t xml:space="preserve"> </w:t>
      </w:r>
      <w:r>
        <w:rPr>
          <w:rFonts w:ascii="Times New Roman;serif" w:hAnsi="Times New Roman;serif"/>
          <w:b/>
          <w:color w:val="000000"/>
          <w:sz w:val="24"/>
        </w:rPr>
        <w:br/>
        <w:t>Existing Indebtedness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7.08</w:t>
        <w:br/>
        <w:t>Transactions with Affiliates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7.09</w:t>
        <w:br/>
        <w:t>Existing Restrictions</w:t>
      </w:r>
    </w:p>
    <w:p>
      <w:pPr>
        <w:pStyle w:val="TextBody"/>
        <w:bidi w:val="0"/>
        <w:spacing w:lineRule="auto" w:line="26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The following Third-Party Sale Leases, in each case as amended or replaced from time to time to the extent such amendment or replacement is not adverse to the Lenders in any material respect:</w:t>
      </w:r>
    </w:p>
    <w:p>
      <w:pPr>
        <w:pStyle w:val="TextBody"/>
        <w:bidi w:val="0"/>
        <w:spacing w:lineRule="auto" w:line="268" w:before="0" w:after="240"/>
        <w:ind w:left="0" w:right="0" w:hanging="1080"/>
        <w:jc w:val="both"/>
        <w:rPr>
          <w:rFonts w:ascii="Times New Roman;serif" w:hAnsi="Times New Roman;serif"/>
          <w:b w:val="false"/>
          <w:color w:val="000000"/>
          <w:sz w:val="24"/>
        </w:rPr>
      </w:pPr>
      <w:r>
        <w:rPr>
          <w:rFonts w:ascii="Times New Roman;serif" w:hAnsi="Times New Roman;serif"/>
          <w:b w:val="false"/>
          <w:color w:val="000000"/>
          <w:sz w:val="24"/>
        </w:rPr>
        <w:t>a.Lease, dated as of March 14, 2012, between VEREIT Real Estate, L.P. and Bonefish Grill, LLC, and related Sublease, dated as of March 14, 2012, between Bonefish Grill, LLC and Outback Steakhouse of Florida,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b.Lease, dated as of March 14, 2012, between NNN REIT, LP and Bonefish Grill,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c.Lease, dated as of March 14, 2012, between VEREIT Real Estate, L.P. and Carrabba’s Italian Grill,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d.Lease, dated as of March 14, 2012, between NNN REIT, LP and Carrabba’s Italian Grill,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e.Lease, dated as of March 14, 2012, between VEREIT Real Estate, L.P. and OS Prime,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f.Lease, dated as of March 14, 2012, between NNN REIT, LP and OS Prime,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g.Lease, dated as of March 14, 2012, between Cole OU Portfolio, LLC and Outback Steakhouse of Florida,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h.Lease, dated as of March 14, 2012, between NNN REIT, LP and Outback Steakhouse of Florida, LLC.</w:t>
      </w:r>
    </w:p>
    <w:p>
      <w:pPr>
        <w:pStyle w:val="TextBody"/>
        <w:bidi w:val="0"/>
        <w:spacing w:lineRule="auto" w:line="268" w:before="0" w:after="24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i.Lease, dated as of March 14, 2012, between NNN REIT Trust and Outback Steakhouse of Florida, LLC.</w:t>
      </w:r>
    </w:p>
    <w:p>
      <w:pPr>
        <w:pStyle w:val="TextBody"/>
        <w:bidi w:val="0"/>
        <w:spacing w:lineRule="auto" w:line="26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    Indenture, dated as of April 16, 2021, among Bloomin’ Brands, Inc. and OSI Restaurant Partners, LLC, as issuers, and Wells Fargo Bank, National Association, as trustee, in connection with the 5.125% Senior Notes due 2029.</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10.02</w:t>
        <w:br/>
        <w:t>Administrative Agent’s Office, Certain Addresses for Notices</w:t>
      </w:r>
    </w:p>
    <w:p>
      <w:pPr>
        <w:pStyle w:val="TextBody"/>
        <w:bidi w:val="0"/>
        <w:spacing w:lineRule="auto" w:line="288" w:before="0" w:after="240"/>
        <w:jc w:val="left"/>
        <w:rPr/>
      </w:pPr>
      <w:r>
        <w:rPr>
          <w:rFonts w:ascii="Times New Roman;serif" w:hAnsi="Times New Roman;serif"/>
          <w:b/>
          <w:color w:val="000000"/>
          <w:sz w:val="24"/>
        </w:rPr>
        <w:t>ADMINISTRATIVE AGENT</w:t>
      </w:r>
      <w:r>
        <w:rPr>
          <w:rFonts w:ascii="Times New Roman;serif" w:hAnsi="Times New Roman;serif"/>
          <w:b w:val="false"/>
          <w:color w:val="000000"/>
          <w:sz w:val="24"/>
        </w:rPr>
        <w:t>:</w:t>
      </w:r>
    </w:p>
    <w:p>
      <w:pPr>
        <w:pStyle w:val="TextBody"/>
        <w:bidi w:val="0"/>
        <w:spacing w:lineRule="auto" w:line="268" w:before="0" w:after="0"/>
        <w:jc w:val="left"/>
        <w:rPr/>
      </w:pPr>
      <w:r>
        <w:rPr>
          <w:rFonts w:ascii="Times New Roman;serif" w:hAnsi="Times New Roman;serif"/>
          <w:b w:val="false"/>
          <w:i/>
          <w:color w:val="000000"/>
          <w:sz w:val="24"/>
          <w:u w:val="single"/>
        </w:rPr>
        <w:t>Administrative Agent’s Office</w:t>
      </w:r>
      <w:r>
        <w:rPr>
          <w:color w:val="000000"/>
        </w:rPr>
        <w:t xml:space="preserve"> </w:t>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(for payments and Requests for Credit Extensions):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MAC D 1109-019</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1525 West W.T. Harris Blvd.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North Carolina 28262</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Syndication Agency Services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(704) 590-2703</w:t>
      </w:r>
    </w:p>
    <w:p>
      <w:pPr>
        <w:pStyle w:val="TextBody"/>
        <w:bidi w:val="0"/>
        <w:spacing w:lineRule="auto" w:line="268" w:before="0" w:after="240"/>
        <w:jc w:val="left"/>
        <w:rPr>
          <w:rFonts w:ascii="Times New Roman;serif" w:hAnsi="Times New Roman;serif"/>
          <w:b w:val="false"/>
          <w:color w:val="000000"/>
          <w:sz w:val="24"/>
        </w:rPr>
      </w:pPr>
      <w:r>
        <w:rPr>
          <w:rFonts w:ascii="Times New Roman;serif" w:hAnsi="Times New Roman;serif"/>
          <w:b w:val="false"/>
          <w:color w:val="000000"/>
          <w:sz w:val="24"/>
        </w:rPr>
        <w:t>Facsimile: (704) 715-0092</w:t>
      </w:r>
    </w:p>
    <w:p>
      <w:pPr>
        <w:pStyle w:val="TextBody"/>
        <w:bidi w:val="0"/>
        <w:spacing w:lineRule="auto" w:line="288" w:before="0" w:after="0"/>
        <w:ind w:left="0" w:right="0" w:firstLine="720"/>
        <w:jc w:val="left"/>
        <w:rPr/>
      </w:pPr>
      <w:r>
        <w:rPr>
          <w:rFonts w:ascii="Times New Roman;serif" w:hAnsi="Times New Roman;serif"/>
          <w:b w:val="false"/>
          <w:i/>
          <w:color w:val="000000"/>
          <w:sz w:val="24"/>
          <w:u w:val="single"/>
        </w:rPr>
        <w:t>With copies to</w:t>
      </w:r>
      <w:r>
        <w:rPr>
          <w:rFonts w:ascii="Times New Roman;serif" w:hAnsi="Times New Roman;serif"/>
          <w:b w:val="false"/>
          <w:i/>
          <w:color w:val="000000"/>
          <w:sz w:val="24"/>
        </w:rPr>
        <w:t>:</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ind w:left="0" w:right="0" w:firstLine="720"/>
        <w:jc w:val="left"/>
        <w:rPr/>
      </w:pPr>
      <w:r>
        <w:rPr>
          <w:rFonts w:ascii="Times New Roman;serif" w:hAnsi="Times New Roman;serif"/>
          <w:b w:val="false"/>
          <w:color w:val="000000"/>
          <w:sz w:val="24"/>
        </w:rPr>
        <w:t>550 South Tryon Street, 33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4"/>
        </w:rPr>
        <w:t xml:space="preserve">Floor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Charlotte, NC 28202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Russell Jeter</w:t>
      </w:r>
    </w:p>
    <w:p>
      <w:pPr>
        <w:pStyle w:val="TextBody"/>
        <w:bidi w:val="0"/>
        <w:spacing w:lineRule="auto" w:line="237"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Tel: 803-629-5370 </w:t>
      </w:r>
    </w:p>
    <w:p>
      <w:pPr>
        <w:pStyle w:val="TextBody"/>
        <w:bidi w:val="0"/>
        <w:spacing w:lineRule="auto" w:line="237"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russell.jeter@wellsfargo.com</w:t>
      </w:r>
    </w:p>
    <w:p>
      <w:pPr>
        <w:pStyle w:val="TextBody"/>
        <w:bidi w:val="0"/>
        <w:spacing w:lineRule="auto" w:line="288" w:before="0" w:after="0"/>
        <w:jc w:val="left"/>
        <w:rPr/>
      </w:pPr>
      <w:r>
        <w:rPr>
          <w:rFonts w:ascii="Times New Roman;serif" w:hAnsi="Times New Roman;serif"/>
          <w:b w:val="false"/>
          <w:i/>
          <w:color w:val="000000"/>
          <w:sz w:val="24"/>
          <w:u w:val="single"/>
        </w:rPr>
        <w:t>Other Notices as Administrative Agent</w:t>
      </w:r>
      <w:r>
        <w:rPr>
          <w:rFonts w:ascii="Times New Roman;serif" w:hAnsi="Times New Roman;serif"/>
          <w:b w:val="false"/>
          <w:i/>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MAC D 1109-019</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1525 West W.T. Harris Blvd.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North Carolina 28262</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Syndication Agency Services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(704) 590-2703</w:t>
      </w:r>
    </w:p>
    <w:p>
      <w:pPr>
        <w:pStyle w:val="TextBody"/>
        <w:bidi w:val="0"/>
        <w:spacing w:lineRule="auto" w:line="268" w:before="0" w:after="240"/>
        <w:jc w:val="left"/>
        <w:rPr>
          <w:rFonts w:ascii="Times New Roman;serif" w:hAnsi="Times New Roman;serif"/>
          <w:b w:val="false"/>
          <w:color w:val="000000"/>
          <w:sz w:val="24"/>
        </w:rPr>
      </w:pPr>
      <w:r>
        <w:rPr>
          <w:rFonts w:ascii="Times New Roman;serif" w:hAnsi="Times New Roman;serif"/>
          <w:b w:val="false"/>
          <w:color w:val="000000"/>
          <w:sz w:val="24"/>
        </w:rPr>
        <w:t>Facsimile: (704) 715-0092</w:t>
      </w:r>
    </w:p>
    <w:p>
      <w:pPr>
        <w:pStyle w:val="TextBody"/>
        <w:bidi w:val="0"/>
        <w:spacing w:lineRule="auto" w:line="288" w:before="0" w:after="0"/>
        <w:ind w:left="0" w:right="0" w:firstLine="720"/>
        <w:jc w:val="left"/>
        <w:rPr/>
      </w:pPr>
      <w:r>
        <w:rPr>
          <w:rFonts w:ascii="Times New Roman;serif" w:hAnsi="Times New Roman;serif"/>
          <w:b w:val="false"/>
          <w:i/>
          <w:color w:val="000000"/>
          <w:sz w:val="24"/>
          <w:u w:val="single"/>
        </w:rPr>
        <w:t>With copies to</w:t>
      </w:r>
      <w:r>
        <w:rPr>
          <w:rFonts w:ascii="Times New Roman;serif" w:hAnsi="Times New Roman;serif"/>
          <w:b w:val="false"/>
          <w:i/>
          <w:color w:val="000000"/>
          <w:sz w:val="24"/>
        </w:rPr>
        <w:t>:</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ind w:left="0" w:right="0" w:firstLine="720"/>
        <w:jc w:val="left"/>
        <w:rPr/>
      </w:pPr>
      <w:r>
        <w:rPr>
          <w:rFonts w:ascii="Times New Roman;serif" w:hAnsi="Times New Roman;serif"/>
          <w:b w:val="false"/>
          <w:color w:val="000000"/>
          <w:sz w:val="24"/>
        </w:rPr>
        <w:t>550 South Tryon Street, 33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4"/>
        </w:rPr>
        <w:t xml:space="preserve">Floor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Charlotte, NC 28202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Russell Jeter</w:t>
      </w:r>
    </w:p>
    <w:p>
      <w:pPr>
        <w:pStyle w:val="TextBody"/>
        <w:bidi w:val="0"/>
        <w:spacing w:lineRule="auto" w:line="237"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Tel: 803-629-5370 </w:t>
      </w:r>
    </w:p>
    <w:p>
      <w:pPr>
        <w:pStyle w:val="TextBody"/>
        <w:bidi w:val="0"/>
        <w:spacing w:lineRule="auto" w:line="237"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russell.jeter@wellsfargo.com</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440"/>
        <w:jc w:val="left"/>
        <w:rPr>
          <w:rFonts w:ascii="Times New Roman;serif" w:hAnsi="Times New Roman;serif"/>
          <w:b/>
          <w:color w:val="000000"/>
          <w:sz w:val="24"/>
        </w:rPr>
      </w:pPr>
      <w:r>
        <w:rPr>
          <w:rFonts w:ascii="Times New Roman;serif" w:hAnsi="Times New Roman;serif"/>
          <w:b/>
          <w:color w:val="000000"/>
          <w:sz w:val="24"/>
        </w:rPr>
        <w:t>SWING LINE LENDER: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MAC D 1109-019</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1525 West W.T. Harris Blvd.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Charlotte, North Carolina 28262</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Syndication Agency Services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(704) 590-2703</w:t>
      </w:r>
    </w:p>
    <w:p>
      <w:pPr>
        <w:pStyle w:val="TextBody"/>
        <w:bidi w:val="0"/>
        <w:spacing w:lineRule="auto" w:line="268" w:before="0" w:after="240"/>
        <w:jc w:val="left"/>
        <w:rPr>
          <w:rFonts w:ascii="Times New Roman;serif" w:hAnsi="Times New Roman;serif"/>
          <w:b w:val="false"/>
          <w:color w:val="000000"/>
          <w:sz w:val="24"/>
        </w:rPr>
      </w:pPr>
      <w:r>
        <w:rPr>
          <w:rFonts w:ascii="Times New Roman;serif" w:hAnsi="Times New Roman;serif"/>
          <w:b w:val="false"/>
          <w:color w:val="000000"/>
          <w:sz w:val="24"/>
        </w:rPr>
        <w:t>Facsimile: (704) 715-0092</w:t>
      </w:r>
    </w:p>
    <w:p>
      <w:pPr>
        <w:pStyle w:val="TextBody"/>
        <w:bidi w:val="0"/>
        <w:spacing w:lineRule="auto" w:line="288" w:before="0" w:after="0"/>
        <w:ind w:left="0" w:right="0" w:firstLine="720"/>
        <w:jc w:val="left"/>
        <w:rPr/>
      </w:pPr>
      <w:r>
        <w:rPr>
          <w:rFonts w:ascii="Times New Roman;serif" w:hAnsi="Times New Roman;serif"/>
          <w:b w:val="false"/>
          <w:i/>
          <w:color w:val="000000"/>
          <w:sz w:val="24"/>
          <w:u w:val="single"/>
        </w:rPr>
        <w:t>With copies to</w:t>
      </w:r>
      <w:r>
        <w:rPr>
          <w:rFonts w:ascii="Times New Roman;serif" w:hAnsi="Times New Roman;serif"/>
          <w:b w:val="false"/>
          <w:i/>
          <w:color w:val="000000"/>
          <w:sz w:val="24"/>
        </w:rPr>
        <w:t>:</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68" w:before="0" w:after="0"/>
        <w:ind w:left="0" w:right="0" w:firstLine="720"/>
        <w:jc w:val="left"/>
        <w:rPr/>
      </w:pPr>
      <w:r>
        <w:rPr>
          <w:rFonts w:ascii="Times New Roman;serif" w:hAnsi="Times New Roman;serif"/>
          <w:b w:val="false"/>
          <w:color w:val="000000"/>
          <w:sz w:val="24"/>
        </w:rPr>
        <w:t>550 South Tryon Street, 33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4"/>
        </w:rPr>
        <w:t xml:space="preserve">Floor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Charlotte, NC 28202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Attn: Russell Jeter</w:t>
      </w:r>
    </w:p>
    <w:p>
      <w:pPr>
        <w:pStyle w:val="TextBody"/>
        <w:bidi w:val="0"/>
        <w:spacing w:lineRule="auto" w:line="237"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Tel: 803-629-5370 </w:t>
      </w:r>
    </w:p>
    <w:p>
      <w:pPr>
        <w:pStyle w:val="TextBody"/>
        <w:bidi w:val="0"/>
        <w:spacing w:lineRule="auto" w:line="237"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E-mail: russell.jeter@wellsfargo.com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BORROWERS: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Bloomin’ Brands, Inc.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OSI Restaurant Partners, LLC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2202 North West Shore Blvd., Suite 500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Tampa, FL 33607</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Eric Christel, Executive Vice President and Chief Financial Officer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(813) 282-1225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Facsimile: (813) 387-8689</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Electronic Mail: ericchristel@bloominbrands.com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Website Address: www.bloominbrands.com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8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COMMITTED LOAN NOTICE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To:    Wells Fargo Bank, National Association, </w:t>
        <w:br/>
        <w:t>as Administrative Agent</w:t>
        <w:br/>
        <w:t>MAC D1109-019</w:t>
        <w:br/>
        <w:t>1525 West W.T. Harris Blvd.</w:t>
        <w:br/>
        <w:t>Charlotte, North Carolina 28262</w:t>
        <w:br/>
        <w:t>Attention: Syndication Agency Services</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Capitalized terms used herein and not otherwise defined herein shall have the meanings assigned to such terms in the Credit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undersigned Borrower hereby requests (select one):</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2"/>
        </w:rPr>
        <w:t>A Borrowing of new Loans</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2"/>
        </w:rPr>
        <w:t>A conversion of Loans</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2"/>
        </w:rPr>
        <w:t>A continuation of Loans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be made on the terms set forth below:</w:t>
      </w:r>
    </w:p>
    <w:tbl>
      <w:tblPr>
        <w:tblW w:w="6020" w:type="dxa"/>
        <w:jc w:val="left"/>
        <w:tblInd w:w="0" w:type="dxa"/>
        <w:tblLayout w:type="fixed"/>
        <w:tblCellMar>
          <w:top w:w="28" w:type="dxa"/>
          <w:left w:w="28" w:type="dxa"/>
          <w:bottom w:w="28" w:type="dxa"/>
          <w:right w:w="28" w:type="dxa"/>
        </w:tblCellMar>
      </w:tblPr>
      <w:tblGrid>
        <w:gridCol w:w="157"/>
        <w:gridCol w:w="138"/>
        <w:gridCol w:w="140"/>
        <w:gridCol w:w="109"/>
        <w:gridCol w:w="109"/>
        <w:gridCol w:w="109"/>
        <w:gridCol w:w="1518"/>
        <w:gridCol w:w="1518"/>
        <w:gridCol w:w="1523"/>
        <w:gridCol w:w="109"/>
        <w:gridCol w:w="109"/>
        <w:gridCol w:w="109"/>
        <w:gridCol w:w="109"/>
        <w:gridCol w:w="109"/>
        <w:gridCol w:w="154"/>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Class of Borrowing</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of Borrowing, conversion or continuation </w:t>
              <w:br/>
              <w:t>(which is a Business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Type of Loan</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Period</w:t>
            </w: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Revolving Credit Loans or Incremental Term Loans.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Specify SOFR Loan or Base Rate Loan.</w:t>
      </w:r>
    </w:p>
    <w:p>
      <w:pPr>
        <w:pStyle w:val="TextBody"/>
        <w:bidi w:val="0"/>
        <w:spacing w:lineRule="auto" w:line="288"/>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0"/>
        </w:rPr>
        <w:t>Applicable for Borrowings of SOFR Loans only.</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A</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16840"/>
                <wp:effectExtent l="0" t="0" r="0" b="0"/>
                <wp:wrapNone/>
                <wp:docPr id="220" name="Frame2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226511349_3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226511349_3</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100" w:after="283"/>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above request has been made to the Administrative Agent by telephone at [(_____) _________________].</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A</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14960"/>
                <wp:effectExtent l="0" t="0" r="0" b="0"/>
                <wp:wrapNone/>
                <wp:docPr id="221" name="Frame22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undersigned Borrower hereby represents and warrants to the Administrative Agent and the Lenders that, on the date of this Committed Loan Notice and on the date of the related Borrowing, the conditions to lending specified in clauses (a) and (b) of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of the Credit Agreement have been satisfied.]</w:t>
      </w:r>
      <w:r>
        <w:rPr>
          <w:rFonts w:ascii="Times New Roman;serif" w:hAnsi="Times New Roman;serif"/>
          <w:b w:val="false"/>
          <w:color w:val="000000"/>
          <w:sz w:val="14"/>
        </w:rPr>
        <w:t>4</w:t>
      </w:r>
    </w:p>
    <w:tbl>
      <w:tblPr>
        <w:tblW w:w="4211" w:type="dxa"/>
        <w:jc w:val="right"/>
        <w:tblInd w:w="0" w:type="dxa"/>
        <w:tblLayout w:type="fixed"/>
        <w:tblCellMar>
          <w:top w:w="28" w:type="dxa"/>
          <w:left w:w="28" w:type="dxa"/>
          <w:bottom w:w="28" w:type="dxa"/>
          <w:right w:w="28" w:type="dxa"/>
        </w:tblCellMar>
      </w:tblPr>
      <w:tblGrid>
        <w:gridCol w:w="710"/>
        <w:gridCol w:w="624"/>
        <w:gridCol w:w="624"/>
        <w:gridCol w:w="624"/>
        <w:gridCol w:w="624"/>
        <w:gridCol w:w="633"/>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235" w:type="dxa"/>
        <w:jc w:val="right"/>
        <w:tblInd w:w="0" w:type="dxa"/>
        <w:tblLayout w:type="fixed"/>
        <w:tblCellMar>
          <w:top w:w="28" w:type="dxa"/>
          <w:left w:w="28" w:type="dxa"/>
          <w:bottom w:w="28" w:type="dxa"/>
          <w:right w:w="28" w:type="dxa"/>
        </w:tblCellMar>
      </w:tblPr>
      <w:tblGrid>
        <w:gridCol w:w="529"/>
        <w:gridCol w:w="466"/>
        <w:gridCol w:w="466"/>
        <w:gridCol w:w="466"/>
        <w:gridCol w:w="466"/>
        <w:gridCol w:w="470"/>
        <w:gridCol w:w="109"/>
        <w:gridCol w:w="109"/>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r>
              <w:rPr>
                <w:rFonts w:ascii="Times New Roman;serif" w:hAnsi="Times New Roman;serif"/>
                <w:b w:val="false"/>
                <w:color w:val="000000"/>
                <w:sz w:val="1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Insert bracketed language if the applicable Borrower is requesting a Borrowing of Loans after the Closing Date.</w:t>
      </w:r>
    </w:p>
    <w:p>
      <w:pPr>
        <w:pStyle w:val="TextBody"/>
        <w:bidi w:val="0"/>
        <w:spacing w:lineRule="auto" w:line="288" w:before="0" w:after="0"/>
        <w:jc w:val="left"/>
        <w:rPr/>
      </w:pPr>
      <w:r>
        <w:rPr>
          <w:rFonts w:ascii="Times New Roman;serif" w:hAnsi="Times New Roman;serif"/>
          <w:b w:val="false"/>
          <w:color w:val="000000"/>
          <w:sz w:val="14"/>
        </w:rPr>
        <w:t>5</w:t>
      </w:r>
      <w:r>
        <w:rPr>
          <w:rFonts w:ascii="Times New Roman;serif" w:hAnsi="Times New Roman;serif"/>
          <w:b w:val="false"/>
          <w:color w:val="000000"/>
          <w:sz w:val="20"/>
        </w:rPr>
        <w:t>Select applicable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14960"/>
                <wp:effectExtent l="0" t="0" r="0" b="0"/>
                <wp:wrapNone/>
                <wp:docPr id="222" name="Frame22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B</w:t>
      </w:r>
    </w:p>
    <w:p>
      <w:pPr>
        <w:pStyle w:val="TextBody"/>
        <w:bidi w:val="0"/>
        <w:spacing w:lineRule="auto" w:line="288" w:before="0" w:after="36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SWING LINE LOAN NOTICE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To:    Wells Fargo Bank, National Association,</w:t>
        <w:br/>
        <w:t>as Administrative Agent</w:t>
        <w:br/>
        <w:t>MAC D1109-019</w:t>
        <w:br/>
        <w:t>1525 West W.T. Harris Blvd.</w:t>
        <w:br/>
        <w:t>Charlotte, North Carolina 28262</w:t>
        <w:br/>
        <w:t>Attention: Syndication Agency Services</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Collateral Agent, Swing Line Lender and an L/C Issuer. Capitalized terms used herein and not otherwise defined herein shall have the meanings assigned to such terms in the Credit Agreement. The undersigned Borrower hereby gives you notice pursuant to </w:t>
      </w:r>
      <w:r>
        <w:rPr>
          <w:rFonts w:ascii="Times New Roman;serif" w:hAnsi="Times New Roman;serif"/>
          <w:b w:val="false"/>
          <w:color w:val="000000"/>
          <w:sz w:val="22"/>
          <w:u w:val="single"/>
        </w:rPr>
        <w:t>Section 2.04(b)</w:t>
      </w:r>
      <w:r>
        <w:rPr>
          <w:color w:val="000000"/>
        </w:rPr>
        <w:t xml:space="preserve"> </w:t>
      </w:r>
      <w:r>
        <w:rPr>
          <w:rFonts w:ascii="Times New Roman;serif" w:hAnsi="Times New Roman;serif"/>
          <w:b w:val="false"/>
          <w:color w:val="000000"/>
          <w:sz w:val="22"/>
        </w:rPr>
        <w:t>of the Credit Agreement that it requests a Swing Line Borrowing under the Credit Agreement, and in that connection sets forth below the terms on which such Swing Line Borrowing is requested to be made:</w:t>
      </w:r>
    </w:p>
    <w:tbl>
      <w:tblPr>
        <w:tblW w:w="3995" w:type="dxa"/>
        <w:jc w:val="left"/>
        <w:tblInd w:w="0" w:type="dxa"/>
        <w:tblLayout w:type="fixed"/>
        <w:tblCellMar>
          <w:top w:w="28" w:type="dxa"/>
          <w:left w:w="28" w:type="dxa"/>
          <w:bottom w:w="28" w:type="dxa"/>
          <w:right w:w="28" w:type="dxa"/>
        </w:tblCellMar>
      </w:tblPr>
      <w:tblGrid>
        <w:gridCol w:w="157"/>
        <w:gridCol w:w="138"/>
        <w:gridCol w:w="140"/>
        <w:gridCol w:w="109"/>
        <w:gridCol w:w="109"/>
        <w:gridCol w:w="109"/>
        <w:gridCol w:w="844"/>
        <w:gridCol w:w="844"/>
        <w:gridCol w:w="846"/>
        <w:gridCol w:w="109"/>
        <w:gridCol w:w="109"/>
        <w:gridCol w:w="109"/>
        <w:gridCol w:w="109"/>
        <w:gridCol w:w="109"/>
        <w:gridCol w:w="154"/>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Principal Amount to be </w:t>
            </w:r>
          </w:p>
          <w:p>
            <w:pPr>
              <w:pStyle w:val="TableContents"/>
              <w:bidi w:val="0"/>
              <w:spacing w:lineRule="auto" w:line="288" w:before="0" w:after="0"/>
              <w:jc w:val="left"/>
              <w:rPr/>
            </w:pPr>
            <w:r>
              <w:rPr>
                <w:rFonts w:ascii="Times New Roman;serif" w:hAnsi="Times New Roman;serif"/>
                <w:b w:val="false"/>
                <w:color w:val="000000"/>
                <w:sz w:val="22"/>
              </w:rPr>
              <w:t>Borrowed</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of Borrowing, </w:t>
              <w:br/>
              <w:t>(which is a Business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above request has been made to the Swing Line Lender and Administrative Agent by telephone at [(_____) _______________].</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The undersigned Borrower hereby represents and warrants to the Administrative Agent and the Lenders that, on the date of this Swing Line Loan Notice and on the date of the related Swing Line Borrowing, the conditions to lending specified in clauses (a) and (b) of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of the Credit Agreement have been satisfied.</w:t>
      </w:r>
    </w:p>
    <w:p>
      <w:pPr>
        <w:pStyle w:val="TextBody"/>
        <w:bidi w:val="0"/>
        <w:spacing w:lineRule="auto" w:line="288"/>
        <w:jc w:val="left"/>
        <w:rPr/>
      </w:pPr>
      <w:r>
        <w:rPr>
          <w:rFonts w:ascii="Times New Roman;serif" w:hAnsi="Times New Roman;serif"/>
          <w:b w:val="false"/>
          <w:color w:val="000000"/>
          <w:sz w:val="14"/>
        </w:rPr>
        <w:t>1</w:t>
      </w:r>
      <w:r>
        <w:rPr>
          <w:rFonts w:ascii="Times New Roman;serif" w:hAnsi="Times New Roman;serif"/>
          <w:b w:val="false"/>
          <w:color w:val="000000"/>
          <w:sz w:val="20"/>
        </w:rPr>
        <w:t>Shall be a minimum of $100,000.</w:t>
      </w:r>
      <w:r>
        <w:rPr>
          <w:color w:val="000000"/>
        </w:rPr>
        <w:t xml:space="preserve">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B</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16840"/>
                <wp:effectExtent l="0" t="0" r="0" b="0"/>
                <wp:wrapNone/>
                <wp:docPr id="223" name="Frame2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9.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100" w:after="283"/>
        <w:jc w:val="right"/>
        <w:rPr/>
      </w:pPr>
      <w:r>
        <w:rPr/>
      </w:r>
    </w:p>
    <w:tbl>
      <w:tblPr>
        <w:tblW w:w="4211" w:type="dxa"/>
        <w:jc w:val="right"/>
        <w:tblInd w:w="0" w:type="dxa"/>
        <w:tblLayout w:type="fixed"/>
        <w:tblCellMar>
          <w:top w:w="28" w:type="dxa"/>
          <w:left w:w="28" w:type="dxa"/>
          <w:bottom w:w="28" w:type="dxa"/>
          <w:right w:w="28" w:type="dxa"/>
        </w:tblCellMar>
      </w:tblPr>
      <w:tblGrid>
        <w:gridCol w:w="710"/>
        <w:gridCol w:w="624"/>
        <w:gridCol w:w="624"/>
        <w:gridCol w:w="624"/>
        <w:gridCol w:w="624"/>
        <w:gridCol w:w="633"/>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235" w:type="dxa"/>
        <w:jc w:val="right"/>
        <w:tblInd w:w="0" w:type="dxa"/>
        <w:tblLayout w:type="fixed"/>
        <w:tblCellMar>
          <w:top w:w="28" w:type="dxa"/>
          <w:left w:w="28" w:type="dxa"/>
          <w:bottom w:w="28" w:type="dxa"/>
          <w:right w:w="28" w:type="dxa"/>
        </w:tblCellMar>
      </w:tblPr>
      <w:tblGrid>
        <w:gridCol w:w="529"/>
        <w:gridCol w:w="466"/>
        <w:gridCol w:w="466"/>
        <w:gridCol w:w="466"/>
        <w:gridCol w:w="466"/>
        <w:gridCol w:w="470"/>
        <w:gridCol w:w="109"/>
        <w:gridCol w:w="109"/>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r>
              <w:rPr>
                <w:rFonts w:ascii="Times New Roman;serif" w:hAnsi="Times New Roman;serif"/>
                <w:b w:val="false"/>
                <w:color w:val="000000"/>
                <w:sz w:val="1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4"/>
        </w:rPr>
        <w:t>2</w:t>
      </w:r>
      <w:r>
        <w:rPr>
          <w:rFonts w:ascii="Times New Roman;serif" w:hAnsi="Times New Roman;serif"/>
          <w:b w:val="false"/>
          <w:color w:val="000000"/>
          <w:sz w:val="20"/>
        </w:rPr>
        <w:t>Select applicable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14960"/>
                <wp:effectExtent l="0" t="0" r="0" b="0"/>
                <wp:wrapNone/>
                <wp:docPr id="224" name="Frame22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LENDER: [•]</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REVOLVING CREDIT NOTE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New York, New York</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VALUE RECEIVED, the undersigned,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and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hereby promise to pay to the Lender set forth above (the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or its registered assigns, in lawful money of the United States of America in immediately available funds at the Administrative Agent’s Office (such term, and each other capitalized term used but not defined herein, having the meaning assigned to it in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Borrowers, the lenders from time to time party thereto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(A) on the dates set forth in the Credit Agreement, the lesser of (i) the principal amount set forth above and (ii) the aggregate unpaid principal amount of all Revolving Credit Loans made by the Lender to the Borrowers pursuant to the Credit Agreement, and (B) on each Interest Payment Date, interest from the date hereof on the principal amount from time to time outstanding on each such Revolving Credit Loan at the rate or rates per annum and payable on such dates as provided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Borrowers promise to pay interest, on demand, on any overdue principal and, to the extent permitted by law, overdue interest from their due dates at the rate or rates provided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Borrowers hereby waive diligence, presentment, demand, protest and notice of any kind whatsoever. The nonexercise by the holder hereof of any of its rights hereunder in any particular instance shall not constitute a waiver thereof in that or any subsequent instance.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failure of the holder hereof to make such a notation or any error in such notation shall not affect the obligations of the Borrowers under this note.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note is one of the promissory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Revolving Credit Note amends and restates, and supersedes and replaces, in each case in its entirety, the Revolving Credit Note executed by the Borrowers in favor of the Lender in connection with the Existing Credit Agreement (the “Original Note”), but no novation of the Indebtedness outstanding under the Original Note shall be deemed to have occurred by virtue of the amendment and restatement of the Original Note, and none is intended or implied. By execution hereof, the Borrowers hereby confirm and reaffirm their continuing liability with respect to such Indebtedness.]</w:t>
      </w:r>
    </w:p>
    <w:p>
      <w:pPr>
        <w:pStyle w:val="TextBody"/>
        <w:bidi w:val="0"/>
        <w:spacing w:before="0" w:after="240"/>
        <w:ind w:left="0" w:right="0" w:firstLine="720"/>
        <w:jc w:val="both"/>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C-1</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16840"/>
                <wp:effectExtent l="0" t="0" r="0" b="0"/>
                <wp:wrapNone/>
                <wp:docPr id="225" name="Frame2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THIS NOTE SHALL BE GOVERNED BY, AND CONSTRUED IN ACCORDANCE WITH, THE LAW OF THE STATE OF NEW YORK.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C-1</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14960"/>
                <wp:effectExtent l="0" t="0" r="0" b="0"/>
                <wp:wrapNone/>
                <wp:docPr id="226" name="Frame22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before="100" w:after="283"/>
        <w:jc w:val="right"/>
        <w:rPr/>
      </w:pPr>
      <w:r>
        <w:rPr/>
      </w:r>
    </w:p>
    <w:tbl>
      <w:tblPr>
        <w:tblW w:w="4137" w:type="dxa"/>
        <w:jc w:val="right"/>
        <w:tblInd w:w="0" w:type="dxa"/>
        <w:tblLayout w:type="fixed"/>
        <w:tblCellMar>
          <w:top w:w="28" w:type="dxa"/>
          <w:left w:w="28" w:type="dxa"/>
          <w:bottom w:w="28" w:type="dxa"/>
          <w:right w:w="28" w:type="dxa"/>
        </w:tblCellMar>
      </w:tblPr>
      <w:tblGrid>
        <w:gridCol w:w="696"/>
        <w:gridCol w:w="612"/>
        <w:gridCol w:w="612"/>
        <w:gridCol w:w="612"/>
        <w:gridCol w:w="612"/>
        <w:gridCol w:w="621"/>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159" w:type="dxa"/>
        <w:jc w:val="right"/>
        <w:tblInd w:w="0" w:type="dxa"/>
        <w:tblLayout w:type="fixed"/>
        <w:tblCellMar>
          <w:top w:w="28" w:type="dxa"/>
          <w:left w:w="28" w:type="dxa"/>
          <w:bottom w:w="28" w:type="dxa"/>
          <w:right w:w="28" w:type="dxa"/>
        </w:tblCellMar>
      </w:tblPr>
      <w:tblGrid>
        <w:gridCol w:w="515"/>
        <w:gridCol w:w="454"/>
        <w:gridCol w:w="454"/>
        <w:gridCol w:w="454"/>
        <w:gridCol w:w="454"/>
        <w:gridCol w:w="456"/>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C-1</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14960"/>
                <wp:effectExtent l="0" t="0" r="0" b="0"/>
                <wp:wrapNone/>
                <wp:docPr id="227" name="Frame22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LOANS AND PAYMENTS</w:t>
      </w:r>
    </w:p>
    <w:p>
      <w:pPr>
        <w:pStyle w:val="TextBody"/>
        <w:bidi w:val="0"/>
        <w:spacing w:before="0" w:after="0"/>
        <w:jc w:val="left"/>
        <w:rPr/>
      </w:pPr>
      <w:r>
        <w:rPr/>
      </w:r>
    </w:p>
    <w:tbl>
      <w:tblPr>
        <w:tblW w:w="8472" w:type="dxa"/>
        <w:jc w:val="center"/>
        <w:tblInd w:w="0" w:type="dxa"/>
        <w:tblLayout w:type="fixed"/>
        <w:tblCellMar>
          <w:top w:w="28" w:type="dxa"/>
          <w:left w:w="28" w:type="dxa"/>
          <w:bottom w:w="28" w:type="dxa"/>
          <w:right w:w="28" w:type="dxa"/>
        </w:tblCellMar>
      </w:tblPr>
      <w:tblGrid>
        <w:gridCol w:w="201"/>
        <w:gridCol w:w="177"/>
        <w:gridCol w:w="178"/>
        <w:gridCol w:w="554"/>
        <w:gridCol w:w="554"/>
        <w:gridCol w:w="556"/>
        <w:gridCol w:w="464"/>
        <w:gridCol w:w="464"/>
        <w:gridCol w:w="466"/>
        <w:gridCol w:w="559"/>
        <w:gridCol w:w="559"/>
        <w:gridCol w:w="561"/>
        <w:gridCol w:w="539"/>
        <w:gridCol w:w="539"/>
        <w:gridCol w:w="541"/>
        <w:gridCol w:w="456"/>
        <w:gridCol w:w="456"/>
        <w:gridCol w:w="648"/>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Amount of Loan</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Maturity 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Payments of</w:t>
              <w:br/>
              <w:t>Principal/Interest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Principal</w:t>
              <w:br/>
              <w:t>Balance of Note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Name of</w:t>
              <w:br/>
              <w:t>Person Making</w:t>
              <w:br/>
              <w:t>the Notation</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14960"/>
                <wp:effectExtent l="0" t="0" r="0" b="0"/>
                <wp:wrapNone/>
                <wp:docPr id="228" name="Frame22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C-2</w:t>
      </w:r>
    </w:p>
    <w:p>
      <w:pPr>
        <w:pStyle w:val="TextBody"/>
        <w:bidi w:val="0"/>
        <w:spacing w:lineRule="auto" w:line="288" w:before="0" w:after="0"/>
        <w:jc w:val="left"/>
        <w:rPr/>
      </w:pPr>
      <w:r>
        <w:rPr>
          <w:rFonts w:ascii="Times New Roman;serif" w:hAnsi="Times New Roman;serif"/>
          <w:b w:val="false"/>
          <w:color w:val="000000"/>
          <w:sz w:val="22"/>
        </w:rPr>
        <w:t xml:space="preserve">LENDER: </w:t>
      </w:r>
      <w:r>
        <w:rPr>
          <w:rFonts w:ascii="Times New Roman;serif" w:hAnsi="Times New Roman;serif"/>
          <w:b/>
          <w:color w:val="000000"/>
          <w:sz w:val="22"/>
        </w:rPr>
        <w:t>WELLS FARGO BANK, NATIONAL ASSOCIATION</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SWING LINE NOTE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New York, New York</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VALUE RECEIVED, the undersigned,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and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hereby promise to pay to the Lender set forth above (the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or its registered assigns, in lawful money of the United States of America in immediately available funds at the Administrative Agent’s Office (such term, and each other capitalized term used but not defined herein, having the meaning assigned to it in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Borrowers, the lenders from time to time party thereto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(A) on the dates set forth in the Credit Agreement, the lesser of (i) the principal amount set forth above and (ii) the aggregate unpaid principal amount of all Swing Line Loans made by the Lender to the Borrowers pursuant to the Credit Agreement, and (B) on each Interest Payment Date, interest from the date hereof on the principal amount from time to time outstanding on each such Swing Line Loan at the rate or rates per annum and payable on such dates as provided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Borrowers promise to pay interest, on demand, on any overdue principal and, to the extent permitted by law, overdue interest from their due dates at a rate or rates provided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Borrowers hereby waive diligence, presentment, demand, protest and notice of any kind whatsoever. The nonexercise by the holder hereof of any of its rights hereunder in any particular instance shall not constitute a waiver thereof in that or any subsequent instance.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failure of the holder hereof to make such a notation or any error in such notation shall not affect the obligations of the Borrowers under this note.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note is one of the promissory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Swing Line Note amends and restates, and supersedes and replaces, in each case in its entirety, the Swing Line Note executed by the Borrowers in favor of the Lender in connection with the Existing Credit Agreement (the “Original Note”), but no novation of the Indebtedness outstanding under the Original Note shall be deemed to have occurred by virtue of the amendment and restatement of the Original Note,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C-2</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16840"/>
                <wp:effectExtent l="0" t="0" r="0" b="0"/>
                <wp:wrapNone/>
                <wp:docPr id="229" name="Frame2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none is intended or implied. By execution hereof, the Borrowers hereby confirm and reaffirm their continuing liability with respect to such Indebtedness. </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THIS NOTE SHALL BE GOVERNED BY, AND CONSTRUED IN ACCORDANCE WITH, THE LAW OF THE STATE OF NEW YORK.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C-2</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14960"/>
                <wp:effectExtent l="0" t="0" r="0" b="0"/>
                <wp:wrapNone/>
                <wp:docPr id="230" name="Frame22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before="100" w:after="283"/>
        <w:jc w:val="right"/>
        <w:rPr/>
      </w:pPr>
      <w:r>
        <w:rPr/>
      </w:r>
    </w:p>
    <w:tbl>
      <w:tblPr>
        <w:tblW w:w="4137" w:type="dxa"/>
        <w:jc w:val="right"/>
        <w:tblInd w:w="0" w:type="dxa"/>
        <w:tblLayout w:type="fixed"/>
        <w:tblCellMar>
          <w:top w:w="28" w:type="dxa"/>
          <w:left w:w="28" w:type="dxa"/>
          <w:bottom w:w="28" w:type="dxa"/>
          <w:right w:w="28" w:type="dxa"/>
        </w:tblCellMar>
      </w:tblPr>
      <w:tblGrid>
        <w:gridCol w:w="696"/>
        <w:gridCol w:w="612"/>
        <w:gridCol w:w="612"/>
        <w:gridCol w:w="612"/>
        <w:gridCol w:w="612"/>
        <w:gridCol w:w="621"/>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159" w:type="dxa"/>
        <w:jc w:val="right"/>
        <w:tblInd w:w="0" w:type="dxa"/>
        <w:tblLayout w:type="fixed"/>
        <w:tblCellMar>
          <w:top w:w="28" w:type="dxa"/>
          <w:left w:w="28" w:type="dxa"/>
          <w:bottom w:w="28" w:type="dxa"/>
          <w:right w:w="28" w:type="dxa"/>
        </w:tblCellMar>
      </w:tblPr>
      <w:tblGrid>
        <w:gridCol w:w="515"/>
        <w:gridCol w:w="454"/>
        <w:gridCol w:w="454"/>
        <w:gridCol w:w="454"/>
        <w:gridCol w:w="454"/>
        <w:gridCol w:w="456"/>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C-2</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14960"/>
                <wp:effectExtent l="0" t="0" r="0" b="0"/>
                <wp:wrapNone/>
                <wp:docPr id="231" name="Frame23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0" w:after="0"/>
        <w:jc w:val="left"/>
        <w:rPr/>
      </w:pPr>
      <w:r>
        <w:rPr/>
      </w:r>
    </w:p>
    <w:p>
      <w:pPr>
        <w:pStyle w:val="TextBody"/>
        <w:bidi w:val="0"/>
        <w:spacing w:lineRule="auto" w:line="288" w:before="0" w:after="48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LOANS AND PAYMENTS</w:t>
      </w:r>
    </w:p>
    <w:p>
      <w:pPr>
        <w:pStyle w:val="TextBody"/>
        <w:bidi w:val="0"/>
        <w:spacing w:before="0" w:after="0"/>
        <w:jc w:val="left"/>
        <w:rPr/>
      </w:pPr>
      <w:r>
        <w:rPr/>
      </w:r>
    </w:p>
    <w:tbl>
      <w:tblPr>
        <w:tblW w:w="8472" w:type="dxa"/>
        <w:jc w:val="center"/>
        <w:tblInd w:w="0" w:type="dxa"/>
        <w:tblLayout w:type="fixed"/>
        <w:tblCellMar>
          <w:top w:w="28" w:type="dxa"/>
          <w:left w:w="28" w:type="dxa"/>
          <w:bottom w:w="28" w:type="dxa"/>
          <w:right w:w="28" w:type="dxa"/>
        </w:tblCellMar>
      </w:tblPr>
      <w:tblGrid>
        <w:gridCol w:w="201"/>
        <w:gridCol w:w="177"/>
        <w:gridCol w:w="178"/>
        <w:gridCol w:w="554"/>
        <w:gridCol w:w="554"/>
        <w:gridCol w:w="556"/>
        <w:gridCol w:w="464"/>
        <w:gridCol w:w="464"/>
        <w:gridCol w:w="466"/>
        <w:gridCol w:w="559"/>
        <w:gridCol w:w="559"/>
        <w:gridCol w:w="561"/>
        <w:gridCol w:w="539"/>
        <w:gridCol w:w="539"/>
        <w:gridCol w:w="541"/>
        <w:gridCol w:w="456"/>
        <w:gridCol w:w="456"/>
        <w:gridCol w:w="648"/>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Amount of Loan</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Maturity 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Payments of</w:t>
              <w:br/>
              <w:t>Principal/Interest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Principal</w:t>
              <w:br/>
              <w:t>Balance of Note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Name of</w:t>
              <w:br/>
              <w:t>Person Making</w:t>
              <w:br/>
              <w:t>the Notation</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14960"/>
                <wp:effectExtent l="0" t="0" r="0" b="0"/>
                <wp:wrapNone/>
                <wp:docPr id="232" name="Frame23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D</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COMPLIANCE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Collateral Agent, Swing Line Lender and an L/C Issuer (capitalized terms used herein have the meanings attributed thereto in the Credit Agreement unless otherwise defined herein). Pursuant to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of the Credit Agreement, the undersigned, in his/her capacity as a Responsible Officer of the Company, certifies as follows: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1.[Attached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is the audited consolidated balance sheet of the Company and its Subsidiaries as of December [__], 20[ ] and related consolidated statements of income or operations, stockholders’ equity and cash flows for the fiscal year then ended, setting forth in each case in comparative form the figures for the previous fiscal year, all in reasonable detail and prepared in accordance with GAAP, audited and accompanied by a report and opinion of [_______________], prepared in accordance with [Public Company Oversight Board] [American Institute of Certified Public Accountants] auditing standards and not subject to any “going concern” or like qualification or exception or any qualification or exception as to the scope of such audit (except as may be required as a result of (x) a prospective Event of Default with respect to the Financial Covenants or (y) the impending maturity of the Loans under the Credit Agreement).] </w:t>
      </w:r>
    </w:p>
    <w:p>
      <w:pPr>
        <w:pStyle w:val="TextBody"/>
        <w:bidi w:val="0"/>
        <w:spacing w:lineRule="auto" w:line="288" w:before="0" w:after="0"/>
        <w:ind w:left="0" w:right="0" w:hanging="720"/>
        <w:jc w:val="both"/>
        <w:rPr/>
      </w:pPr>
      <w:r>
        <w:rPr>
          <w:rFonts w:ascii="Times New Roman;serif" w:hAnsi="Times New Roman;serif"/>
          <w:b w:val="false"/>
          <w:color w:val="000000"/>
          <w:sz w:val="22"/>
        </w:rPr>
        <w:t xml:space="preserve">2.[Attached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is the consolidated balance sheet of the Company and its Subsidiaries as of [_______________] and the 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These present fairly in all material respects the financial condition, results of operations, stockholders’ equity and cash flows of the Company and its Subsidiaries in accordance with GAAP, subject only to normal year-end audit adjustments and the absence of footnotes.]</w:t>
      </w:r>
    </w:p>
    <w:p>
      <w:pPr>
        <w:pStyle w:val="TextBody"/>
        <w:bidi w:val="0"/>
        <w:spacing w:before="0" w:after="0"/>
        <w:ind w:left="0" w:right="0" w:hanging="36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3.To my knowledge, except as otherwise disclosed to the Administrative Agent in writing pursuant to the Credit Agreement, at no time during the period between [_______________] and [_______________] (the “</w:t>
      </w:r>
      <w:r>
        <w:rPr>
          <w:rFonts w:ascii="Times New Roman;serif" w:hAnsi="Times New Roman;serif"/>
          <w:b w:val="false"/>
          <w:color w:val="000000"/>
          <w:sz w:val="22"/>
          <w:u w:val="single"/>
        </w:rPr>
        <w:t>Certificate Period</w:t>
      </w:r>
      <w:r>
        <w:rPr>
          <w:color w:val="000000"/>
        </w:rPr>
        <w:t>”</w:t>
      </w:r>
      <w:r>
        <w:rPr>
          <w:rFonts w:ascii="Times New Roman;serif" w:hAnsi="Times New Roman;serif"/>
          <w:b w:val="false"/>
          <w:color w:val="000000"/>
          <w:sz w:val="22"/>
        </w:rPr>
        <w:t xml:space="preserve">) did a Default or an Event of Default exist. [If unable to provide the foregoing certification, fully describe the reasons therefor and circumstances thereof and any action taken or proposed to be taken with respect thereto on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attached hereto.]</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4.The following represent true and accurate calculations, as of the last day of the Certificate Period, to be used to determine whether the Company is in compliance with the Financial Covenants:</w: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Total Net Leverage Ratio:</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16840"/>
                <wp:effectExtent l="0" t="0" r="0" b="0"/>
                <wp:wrapNone/>
                <wp:docPr id="233" name="Frame2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before="0" w:after="240"/>
        <w:jc w:val="both"/>
        <w:rPr/>
      </w:pPr>
      <w:r>
        <w:rPr/>
      </w:r>
    </w:p>
    <w:tbl>
      <w:tblPr>
        <w:tblW w:w="3999"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109"/>
        <w:gridCol w:w="109"/>
        <w:gridCol w:w="109"/>
        <w:gridCol w:w="241"/>
        <w:gridCol w:w="241"/>
        <w:gridCol w:w="343"/>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Total Debt=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EBITDA=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Actual Ratio=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to 1.0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Required Ratio=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to 1.0</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Consolidated Senior Secured Net Leverage Ratio:</w:t>
      </w:r>
    </w:p>
    <w:tbl>
      <w:tblPr>
        <w:tblW w:w="4659" w:type="dxa"/>
        <w:jc w:val="left"/>
        <w:tblInd w:w="0" w:type="dxa"/>
        <w:tblLayout w:type="fixed"/>
        <w:tblCellMar>
          <w:top w:w="28" w:type="dxa"/>
          <w:left w:w="28" w:type="dxa"/>
          <w:bottom w:w="28" w:type="dxa"/>
          <w:right w:w="28" w:type="dxa"/>
        </w:tblCellMar>
      </w:tblPr>
      <w:tblGrid>
        <w:gridCol w:w="1151"/>
        <w:gridCol w:w="1012"/>
        <w:gridCol w:w="1017"/>
        <w:gridCol w:w="109"/>
        <w:gridCol w:w="109"/>
        <w:gridCol w:w="109"/>
        <w:gridCol w:w="109"/>
        <w:gridCol w:w="109"/>
        <w:gridCol w:w="109"/>
        <w:gridCol w:w="241"/>
        <w:gridCol w:w="241"/>
        <w:gridCol w:w="343"/>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Secured Net Debt=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EBITDA=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Actual Ratio=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to 1.0</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Required Ratio=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to 1.0</w:t>
            </w:r>
          </w:p>
        </w:tc>
      </w:tr>
    </w:tbl>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Supporting detail showing the calculations of Consolidated Total Debt and Consolidated Senior Secured Net Debt is attached hereto as </w:t>
      </w:r>
      <w:r>
        <w:rPr>
          <w:rFonts w:ascii="Times New Roman;serif" w:hAnsi="Times New Roman;serif"/>
          <w:b w:val="false"/>
          <w:color w:val="000000"/>
          <w:sz w:val="22"/>
          <w:u w:val="single"/>
        </w:rPr>
        <w:t>Schedule 1</w:t>
      </w:r>
      <w:r>
        <w:rPr>
          <w:rFonts w:ascii="Times New Roman;serif" w:hAnsi="Times New Roman;serif"/>
          <w:b w:val="false"/>
          <w:color w:val="000000"/>
          <w:sz w:val="22"/>
        </w:rPr>
        <w:t xml:space="preserve">. Supporting detail showing the calculation of Consolidated EBITDA is attached hereto as </w:t>
      </w:r>
      <w:r>
        <w:rPr>
          <w:rFonts w:ascii="Times New Roman;serif" w:hAnsi="Times New Roman;serif"/>
          <w:b w:val="false"/>
          <w:color w:val="000000"/>
          <w:sz w:val="22"/>
          <w:u w:val="single"/>
        </w:rPr>
        <w:t>Schedule 2</w:t>
      </w:r>
      <w:r>
        <w:rPr>
          <w:rFonts w:ascii="Times New Roman;serif" w:hAnsi="Times New Roman;serif"/>
          <w:b w:val="false"/>
          <w:color w:val="000000"/>
          <w:sz w:val="22"/>
        </w:rPr>
        <w:t>.</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5.The following represent true and accurate calculations, as of the last day of the Certificate Period, to be used to determine the Applicable Rate in accordance with the Credit Agreement:</w:t>
      </w:r>
    </w:p>
    <w:p>
      <w:pPr>
        <w:pStyle w:val="TextBody"/>
        <w:bidi w:val="0"/>
        <w:spacing w:before="0" w:after="0"/>
        <w:ind w:left="0" w:right="0" w:hanging="36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Total Net Leverage Ratio:</w:t>
      </w:r>
    </w:p>
    <w:tbl>
      <w:tblPr>
        <w:tblW w:w="3999"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109"/>
        <w:gridCol w:w="109"/>
        <w:gridCol w:w="109"/>
        <w:gridCol w:w="241"/>
        <w:gridCol w:w="241"/>
        <w:gridCol w:w="343"/>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Total Debt=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EBITDA=</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Ratio=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to 1.0</w:t>
            </w:r>
          </w:p>
        </w:tc>
      </w:tr>
    </w:tbl>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 xml:space="preserve">6.[Attached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is the information required to be delivered pursuant to </w:t>
      </w:r>
      <w:r>
        <w:rPr>
          <w:rFonts w:ascii="Times New Roman;serif" w:hAnsi="Times New Roman;serif"/>
          <w:b w:val="false"/>
          <w:color w:val="000000"/>
          <w:sz w:val="22"/>
          <w:u w:val="single"/>
        </w:rPr>
        <w:t>Section 6.02(e)(ii)</w:t>
      </w:r>
      <w:r>
        <w:rPr>
          <w:color w:val="000000"/>
        </w:rPr>
        <w:t xml:space="preserve"> </w:t>
      </w:r>
      <w:r>
        <w:rPr>
          <w:rFonts w:ascii="Times New Roman;serif" w:hAnsi="Times New Roman;serif"/>
          <w:b w:val="false"/>
          <w:color w:val="000000"/>
          <w:sz w:val="22"/>
        </w:rPr>
        <w:t>of the Credit Agreement.]</w:t>
      </w:r>
      <w:r>
        <w:rPr>
          <w:rFonts w:ascii="Times New Roman;serif" w:hAnsi="Times New Roman;serif"/>
          <w:b w:val="false"/>
          <w:color w:val="000000"/>
          <w:sz w:val="14"/>
        </w:rPr>
        <w:t>1</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 xml:space="preserve">7.[Attached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 xml:space="preserve">is an update of the information required pursuant to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 xml:space="preserve">of the Security Agreement][There has been no change in respect of the information required pursuant to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of the Security Agreement since [the Closing Date][the date of the last annual Compliance Certificate.]]</w:t>
      </w:r>
      <w:r>
        <w:rPr>
          <w:rFonts w:ascii="Times New Roman;serif" w:hAnsi="Times New Roman;serif"/>
          <w:b w:val="false"/>
          <w:color w:val="000000"/>
          <w:sz w:val="14"/>
        </w:rPr>
        <w:t>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 be included only in the annual compliance certificate.</w:t>
      </w:r>
    </w:p>
    <w:p>
      <w:pPr>
        <w:pStyle w:val="TextBody"/>
        <w:bidi w:val="0"/>
        <w:spacing w:lineRule="auto" w:line="288"/>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To be included only in the annual compliance certificate.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14960"/>
                <wp:effectExtent l="0" t="0" r="0" b="0"/>
                <wp:wrapNone/>
                <wp:docPr id="234" name="Frame23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in his/her capacity as a Responsible Officer of the Company, has executed this certificate for and on behalf of the Company and has caused this certificate to be delivered this ____ day of _______________, 20__.</w:t>
      </w:r>
    </w:p>
    <w:p>
      <w:pPr>
        <w:pStyle w:val="TextBody"/>
        <w:bidi w:val="0"/>
        <w:spacing w:before="0" w:after="0"/>
        <w:jc w:val="left"/>
        <w:rPr/>
      </w:pPr>
      <w:r>
        <w:rPr/>
      </w:r>
    </w:p>
    <w:tbl>
      <w:tblPr>
        <w:tblW w:w="3159" w:type="dxa"/>
        <w:jc w:val="right"/>
        <w:tblInd w:w="0" w:type="dxa"/>
        <w:tblLayout w:type="fixed"/>
        <w:tblCellMar>
          <w:top w:w="28" w:type="dxa"/>
          <w:left w:w="28" w:type="dxa"/>
          <w:bottom w:w="28" w:type="dxa"/>
          <w:right w:w="28" w:type="dxa"/>
        </w:tblCellMar>
      </w:tblPr>
      <w:tblGrid>
        <w:gridCol w:w="515"/>
        <w:gridCol w:w="454"/>
        <w:gridCol w:w="454"/>
        <w:gridCol w:w="454"/>
        <w:gridCol w:w="454"/>
        <w:gridCol w:w="456"/>
        <w:gridCol w:w="10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14960"/>
                <wp:effectExtent l="0" t="0" r="0" b="0"/>
                <wp:wrapNone/>
                <wp:docPr id="235" name="Frame23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Audited Consolidated Balance Sheet</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14960"/>
                <wp:effectExtent l="0" t="0" r="0" b="0"/>
                <wp:wrapNone/>
                <wp:docPr id="236" name="Frame23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5</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B</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List each Subsidiary: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[There has been no change in the identity of Subsidiaries since [the Closing Date] [the date of the last Compliance Certificate].]</w:t>
      </w:r>
      <w:r>
        <w:rPr>
          <w:rFonts w:ascii="Times New Roman;serif" w:hAnsi="Times New Roman;serif"/>
          <w:b w:val="false"/>
          <w:color w:val="000000"/>
          <w:sz w:val="14"/>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Use this language if there has not been a change in Subsidiaries since the later of the Closing Date and the date of the last Compliance Certificate.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14960"/>
                <wp:effectExtent l="0" t="0" r="0" b="0"/>
                <wp:wrapNone/>
                <wp:docPr id="237" name="Frame23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C</w:t>
      </w:r>
    </w:p>
    <w:p>
      <w:pPr>
        <w:pStyle w:val="TextBody"/>
        <w:bidi w:val="0"/>
        <w:spacing w:lineRule="auto" w:line="288" w:before="0" w:after="0"/>
        <w:jc w:val="both"/>
        <w:rPr/>
      </w:pPr>
      <w:r>
        <w:rPr>
          <w:rFonts w:ascii="Times New Roman;serif" w:hAnsi="Times New Roman;serif"/>
          <w:b w:val="false"/>
          <w:color w:val="000000"/>
          <w:sz w:val="22"/>
        </w:rPr>
        <w:t xml:space="preserve">[Update of the information required pursuant to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 xml:space="preserve">of the Security Agreement][There has been no change in respect of the information required pursuant to </w:t>
      </w:r>
      <w:r>
        <w:rPr>
          <w:rFonts w:ascii="Times New Roman;serif" w:hAnsi="Times New Roman;serif"/>
          <w:b w:val="false"/>
          <w:color w:val="000000"/>
          <w:sz w:val="22"/>
          <w:u w:val="single"/>
        </w:rPr>
        <w:t>Section 3.03(c)</w:t>
      </w:r>
      <w:r>
        <w:rPr>
          <w:color w:val="000000"/>
        </w:rPr>
        <w:t xml:space="preserve"> </w:t>
      </w:r>
      <w:r>
        <w:rPr>
          <w:rFonts w:ascii="Times New Roman;serif" w:hAnsi="Times New Roman;serif"/>
          <w:b w:val="false"/>
          <w:color w:val="000000"/>
          <w:sz w:val="22"/>
        </w:rPr>
        <w:t>of the Security Agreement since [the Closing Date][the date of the last annual Compliance Certificate].]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14960"/>
                <wp:effectExtent l="0" t="0" r="0" b="0"/>
                <wp:wrapNone/>
                <wp:docPr id="238" name="Frame23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Annex A</w:t>
      </w:r>
    </w:p>
    <w:p>
      <w:pPr>
        <w:pStyle w:val="TextBody"/>
        <w:bidi w:val="0"/>
        <w:spacing w:before="0" w:after="0"/>
        <w:jc w:val="center"/>
        <w:rPr/>
      </w:pPr>
      <w:r>
        <w:rPr/>
      </w:r>
    </w:p>
    <w:p>
      <w:pPr>
        <w:pStyle w:val="TextBody"/>
        <w:bidi w:val="0"/>
        <w:spacing w:before="0" w:after="16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14960"/>
                <wp:effectExtent l="0" t="0" r="0" b="0"/>
                <wp:wrapNone/>
                <wp:docPr id="239" name="Frame23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8</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Consolidated Total Debt and Consolidated Senior Secured Net Debt</w:t>
      </w:r>
    </w:p>
    <w:p>
      <w:pPr>
        <w:pStyle w:val="TextBody"/>
        <w:bidi w:val="0"/>
        <w:spacing w:before="0" w:after="0"/>
        <w:jc w:val="center"/>
        <w:rPr/>
      </w:pPr>
      <w:r>
        <w:rPr/>
      </w:r>
    </w:p>
    <w:p>
      <w:pPr>
        <w:pStyle w:val="TextBody"/>
        <w:bidi w:val="0"/>
        <w:spacing w:before="0" w:after="16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14960"/>
                <wp:effectExtent l="0" t="0" r="0" b="0"/>
                <wp:wrapNone/>
                <wp:docPr id="240" name="Frame23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Consolidated EBITDA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14960"/>
                <wp:effectExtent l="0" t="0" r="0" b="0"/>
                <wp:wrapNone/>
                <wp:docPr id="241" name="Frame24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E</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ASSIGNMENT AND ASSUMPTION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Assignment and Assumption Agreement (this “</w:t>
      </w:r>
      <w:r>
        <w:rPr>
          <w:rFonts w:ascii="Times New Roman;serif" w:hAnsi="Times New Roman;serif"/>
          <w:b w:val="false"/>
          <w:color w:val="000000"/>
          <w:sz w:val="22"/>
          <w:u w:val="single"/>
        </w:rPr>
        <w:t>Assignment and Assumption</w:t>
      </w:r>
      <w:r>
        <w:rPr>
          <w:color w:val="000000"/>
        </w:rPr>
        <w:t>”</w:t>
      </w:r>
      <w:r>
        <w:rPr>
          <w:rFonts w:ascii="Times New Roman;serif" w:hAnsi="Times New Roman;serif"/>
          <w:b w:val="false"/>
          <w:color w:val="000000"/>
          <w:sz w:val="22"/>
        </w:rPr>
        <w:t>) is dated as of the Effective Date set forth below and is entered into by and between the Assignor (as defined below) and the Assignee (as defined below). Capitalized terms used in this Assignment and Assumption and not otherwise defined herein have the meanings specified in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xml:space="preserve">), Collateral Agent, Swing Line Lender and an L/C Issuer, receipt of a copy of which is hereby acknowledged by the Assignee. The Standard Terms and Conditions set forth in </w:t>
      </w:r>
      <w:r>
        <w:rPr>
          <w:rFonts w:ascii="Times New Roman;serif" w:hAnsi="Times New Roman;serif"/>
          <w:b w:val="false"/>
          <w:color w:val="000000"/>
          <w:sz w:val="22"/>
          <w:u w:val="single"/>
        </w:rPr>
        <w:t>Annex 1</w:t>
      </w:r>
      <w:r>
        <w:rPr>
          <w:color w:val="000000"/>
        </w:rPr>
        <w:t xml:space="preserve"> </w:t>
      </w:r>
      <w:r>
        <w:rPr>
          <w:rFonts w:ascii="Times New Roman;serif" w:hAnsi="Times New Roman;serif"/>
          <w:b w:val="false"/>
          <w:color w:val="000000"/>
          <w:sz w:val="22"/>
        </w:rPr>
        <w:t>attached hereto are hereby agreed to and incorporated herein by reference and made a part of this Assignment and Assumption as if set forth herein in full.</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(including participations in any Letters of Credit or Swing Line Loans included in such facility)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erif" w:hAnsi="Times New Roman;serif"/>
          <w:b w:val="false"/>
          <w:color w:val="000000"/>
          <w:sz w:val="22"/>
          <w:u w:val="single"/>
        </w:rPr>
        <w:t>Assigned Interest</w:t>
      </w:r>
      <w:r>
        <w:rPr>
          <w:color w:val="000000"/>
        </w:rPr>
        <w:t>”</w:t>
      </w:r>
      <w:r>
        <w:rPr>
          <w:rFonts w:ascii="Times New Roman;serif" w:hAnsi="Times New Roman;serif"/>
          <w:b w:val="false"/>
          <w:color w:val="000000"/>
          <w:sz w:val="22"/>
        </w:rPr>
        <w:t>). Such sale and assignment is without recourse to the Assignor and, except as expressly provided in this Assignment and Assumption, without representation or warranty by the Assignor.</w:t>
      </w:r>
    </w:p>
    <w:p>
      <w:pPr>
        <w:pStyle w:val="TextBody"/>
        <w:bidi w:val="0"/>
        <w:spacing w:lineRule="auto" w:line="288" w:before="0" w:after="240"/>
        <w:ind w:left="0" w:right="0" w:hanging="360"/>
        <w:jc w:val="left"/>
        <w:rPr/>
      </w:pPr>
      <w:r>
        <w:rPr>
          <w:rFonts w:ascii="Times New Roman;serif" w:hAnsi="Times New Roman;serif"/>
          <w:b w:val="false"/>
          <w:color w:val="000000"/>
          <w:sz w:val="22"/>
        </w:rPr>
        <w:t>1.Assignor (the “</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w:t>
      </w:r>
    </w:p>
    <w:p>
      <w:pPr>
        <w:pStyle w:val="TextBody"/>
        <w:bidi w:val="0"/>
        <w:spacing w:lineRule="auto" w:line="288" w:before="0" w:after="0"/>
        <w:ind w:left="0" w:right="0" w:hanging="360"/>
        <w:jc w:val="left"/>
        <w:rPr/>
      </w:pPr>
      <w:r>
        <w:rPr>
          <w:rFonts w:ascii="Times New Roman;serif" w:hAnsi="Times New Roman;serif"/>
          <w:b w:val="false"/>
          <w:color w:val="000000"/>
          <w:sz w:val="22"/>
        </w:rPr>
        <w:t>2.Assignee (the “</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[Assignee is [not] a Defaulting Lender]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3.Borrowers:     OSI Restaurant Partners, LLC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4.Administrative Agent: Wells Fargo Bank, National Association</w:t>
      </w:r>
    </w:p>
    <w:p>
      <w:pPr>
        <w:pStyle w:val="TextBody"/>
        <w:bidi w:val="0"/>
        <w:spacing w:before="0" w:after="0"/>
        <w:jc w:val="left"/>
        <w:rPr/>
      </w:pPr>
      <w:r>
        <w:rPr/>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5.Assigned Interest:</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E</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16840"/>
                <wp:effectExtent l="0" t="0" r="0" b="0"/>
                <wp:wrapNone/>
                <wp:docPr id="242" name="Frame2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40.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5"/>
        <w:gridCol w:w="574"/>
        <w:gridCol w:w="579"/>
        <w:gridCol w:w="1050"/>
        <w:gridCol w:w="1050"/>
        <w:gridCol w:w="1052"/>
        <w:gridCol w:w="837"/>
        <w:gridCol w:w="837"/>
        <w:gridCol w:w="839"/>
        <w:gridCol w:w="798"/>
        <w:gridCol w:w="798"/>
        <w:gridCol w:w="1136"/>
      </w:tblGrid>
      <w:tr>
        <w:trPr/>
        <w:tc>
          <w:tcPr>
            <w:tcW w:w="65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Facility</w:t>
            </w:r>
          </w:p>
        </w:tc>
        <w:tc>
          <w:tcPr>
            <w:tcW w:w="31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Aggregate Amount of Commitment/Loans of all Lenders</w:t>
            </w:r>
          </w:p>
        </w:tc>
        <w:tc>
          <w:tcPr>
            <w:tcW w:w="25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Amount of Commitment/Loans Assigned</w:t>
            </w:r>
          </w:p>
        </w:tc>
        <w:tc>
          <w:tcPr>
            <w:tcW w:w="27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Percentage Assigned of Commitment/ Loans</w:t>
            </w:r>
            <w:r>
              <w:rPr>
                <w:rFonts w:ascii="Times New Roman;serif" w:hAnsi="Times New Roman;serif"/>
                <w:b w:val="false"/>
                <w:color w:val="000000"/>
                <w:sz w:val="14"/>
              </w:rPr>
              <w:t>1</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Incremental Term Loans</w:t>
            </w:r>
          </w:p>
        </w:tc>
        <w:tc>
          <w:tcPr>
            <w:tcW w:w="31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1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73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Revolving Credit Facility</w:t>
            </w:r>
            <w:r>
              <w:rPr>
                <w:rFonts w:ascii="Times New Roman;serif" w:hAnsi="Times New Roman;serif"/>
                <w:b w:val="false"/>
                <w:color w:val="000000"/>
                <w:sz w:val="14"/>
              </w:rPr>
              <w:t>2</w:t>
            </w:r>
          </w:p>
        </w:tc>
        <w:tc>
          <w:tcPr>
            <w:tcW w:w="31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1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732"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80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15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51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73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Set forth, to at least 8 decimals, as a percentage of the Commitment/Loans of all Lenders thereunder.</w:t>
      </w:r>
    </w:p>
    <w:p>
      <w:pPr>
        <w:pStyle w:val="TextBody"/>
        <w:bidi w:val="0"/>
        <w:spacing w:lineRule="auto" w:line="288"/>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Specify the Class of Revolving Credit Commitments (i.e., Revolving Credit Commitment, Extended Revolving Credit Commitment or Other Revolving Credit Commitment).</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E</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14960"/>
                <wp:effectExtent l="0" t="0" r="0" b="0"/>
                <wp:wrapNone/>
                <wp:docPr id="243" name="Frame24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40.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terms set forth in this Assignment and Assumption are hereby agreed to:</w:t>
      </w:r>
    </w:p>
    <w:tbl>
      <w:tblPr>
        <w:tblW w:w="4045" w:type="dxa"/>
        <w:jc w:val="right"/>
        <w:tblInd w:w="0" w:type="dxa"/>
        <w:tblLayout w:type="fixed"/>
        <w:tblCellMar>
          <w:top w:w="28" w:type="dxa"/>
          <w:left w:w="28" w:type="dxa"/>
          <w:bottom w:w="28" w:type="dxa"/>
          <w:right w:w="28" w:type="dxa"/>
        </w:tblCellMar>
      </w:tblPr>
      <w:tblGrid>
        <w:gridCol w:w="678"/>
        <w:gridCol w:w="598"/>
        <w:gridCol w:w="598"/>
        <w:gridCol w:w="598"/>
        <w:gridCol w:w="598"/>
        <w:gridCol w:w="603"/>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3"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[NAME OF ASSIGNOR], as Assignor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15" w:type="dxa"/>
        <w:jc w:val="right"/>
        <w:tblInd w:w="0" w:type="dxa"/>
        <w:tblLayout w:type="fixed"/>
        <w:tblCellMar>
          <w:top w:w="28" w:type="dxa"/>
          <w:left w:w="28" w:type="dxa"/>
          <w:bottom w:w="28" w:type="dxa"/>
          <w:right w:w="28" w:type="dxa"/>
        </w:tblCellMar>
      </w:tblPr>
      <w:tblGrid>
        <w:gridCol w:w="674"/>
        <w:gridCol w:w="591"/>
        <w:gridCol w:w="591"/>
        <w:gridCol w:w="591"/>
        <w:gridCol w:w="591"/>
        <w:gridCol w:w="605"/>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3"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[NAME OF ASSIGNEE], as Assignee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E</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14960"/>
                <wp:effectExtent l="0" t="0" r="0" b="0"/>
                <wp:wrapNone/>
                <wp:docPr id="244" name="Frame24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40.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0" w:after="0"/>
        <w:jc w:val="left"/>
        <w:rPr/>
      </w:pPr>
      <w:r>
        <w:rPr/>
      </w:r>
    </w:p>
    <w:tbl>
      <w:tblPr>
        <w:tblW w:w="7586" w:type="dxa"/>
        <w:jc w:val="left"/>
        <w:tblInd w:w="0" w:type="dxa"/>
        <w:tblLayout w:type="fixed"/>
        <w:tblCellMar>
          <w:top w:w="28" w:type="dxa"/>
          <w:left w:w="28" w:type="dxa"/>
          <w:bottom w:w="28" w:type="dxa"/>
          <w:right w:w="28" w:type="dxa"/>
        </w:tblCellMar>
      </w:tblPr>
      <w:tblGrid>
        <w:gridCol w:w="825"/>
        <w:gridCol w:w="728"/>
        <w:gridCol w:w="728"/>
        <w:gridCol w:w="728"/>
        <w:gridCol w:w="728"/>
        <w:gridCol w:w="735"/>
        <w:gridCol w:w="765"/>
        <w:gridCol w:w="765"/>
        <w:gridCol w:w="769"/>
        <w:gridCol w:w="239"/>
        <w:gridCol w:w="239"/>
        <w:gridCol w:w="337"/>
      </w:tblGrid>
      <w:tr>
        <w:trPr/>
        <w:tc>
          <w:tcPr>
            <w:tcW w:w="8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472" w:type="dxa"/>
            <w:gridSpan w:val="6"/>
            <w:tcBorders/>
            <w:tcMar>
              <w:top w:w="0" w:type="dxa"/>
              <w:left w:w="0" w:type="dxa"/>
              <w:bottom w:w="0" w:type="dxa"/>
              <w:right w:w="0" w:type="dxa"/>
            </w:tcMar>
            <w:vAlign w:val="center"/>
          </w:tcPr>
          <w:p>
            <w:pPr>
              <w:pStyle w:val="TableContents"/>
              <w:bidi w:val="0"/>
              <w:spacing w:lineRule="auto" w:line="240" w:before="100" w:after="283"/>
              <w:jc w:val="left"/>
              <w:rPr/>
            </w:pPr>
            <w:r>
              <w:rPr>
                <w:rFonts w:ascii="Times New Roman;serif" w:hAnsi="Times New Roman;serif"/>
                <w:b w:val="false"/>
                <w:color w:val="000000"/>
                <w:sz w:val="22"/>
              </w:rPr>
              <w:t>[Consented to and]</w:t>
            </w:r>
            <w:r>
              <w:rPr>
                <w:color w:val="000000"/>
              </w:rPr>
              <w:t xml:space="preserve"> </w:t>
            </w:r>
            <w:r>
              <w:rPr>
                <w:rFonts w:ascii="Times New Roman;serif" w:hAnsi="Times New Roman;serif"/>
                <w:b w:val="false"/>
                <w:color w:val="000000"/>
                <w:sz w:val="14"/>
              </w:rPr>
              <w:t>3</w:t>
            </w:r>
          </w:p>
        </w:tc>
        <w:tc>
          <w:tcPr>
            <w:tcW w:w="229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2"/>
              </w:rPr>
            </w:pPr>
            <w:r>
              <w:rPr>
                <w:rFonts w:ascii="Times New Roman;serif" w:hAnsi="Times New Roman;serif"/>
                <w:b w:val="false"/>
                <w:color w:val="000000"/>
                <w:sz w:val="22"/>
              </w:rPr>
              <w:t>Accepted:</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br/>
              <w:t>as Administrative Agent</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44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343636"/>
                <w:sz w:val="21"/>
              </w:rPr>
            </w:pPr>
            <w:r>
              <w:rPr>
                <w:rFonts w:ascii="Times New Roman;serif" w:hAnsi="Times New Roman;serif"/>
                <w:b w:val="false"/>
                <w:color w:val="343636"/>
                <w:sz w:val="21"/>
              </w:rPr>
              <w:t>Title:</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6"/>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2"/>
              </w:rPr>
            </w:pPr>
            <w:r>
              <w:rPr>
                <w:rFonts w:ascii="Times New Roman;serif" w:hAnsi="Times New Roman;serif"/>
                <w:b w:val="false"/>
                <w:color w:val="000000"/>
                <w:sz w:val="22"/>
              </w:rPr>
              <w:t>[Consented to:</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L/C ISSUER], as L/C Issuer</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343636"/>
                <w:sz w:val="21"/>
              </w:rPr>
            </w:pPr>
            <w:r>
              <w:rPr>
                <w:rFonts w:ascii="Times New Roman;serif" w:hAnsi="Times New Roman;serif"/>
                <w:b w:val="false"/>
                <w:color w:val="343636"/>
                <w:sz w:val="21"/>
              </w:rPr>
              <w:t>Title:</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 as Swing Line Lender]</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343636"/>
                <w:sz w:val="21"/>
              </w:rPr>
            </w:pPr>
            <w:r>
              <w:rPr>
                <w:rFonts w:ascii="Times New Roman;serif" w:hAnsi="Times New Roman;serif"/>
                <w:b w:val="false"/>
                <w:color w:val="343636"/>
                <w:sz w:val="21"/>
              </w:rPr>
              <w:t>Title:]</w:t>
            </w:r>
            <w:r>
              <w:rPr>
                <w:rFonts w:ascii="Times New Roman;serif" w:hAnsi="Times New Roman;serif"/>
                <w:b w:val="false"/>
                <w:color w:val="343636"/>
                <w:sz w:val="14"/>
              </w:rPr>
              <w:t>4</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 as a Borrower</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343636"/>
                <w:sz w:val="21"/>
              </w:rPr>
            </w:pPr>
            <w:r>
              <w:rPr>
                <w:rFonts w:ascii="Times New Roman;serif" w:hAnsi="Times New Roman;serif"/>
                <w:b w:val="false"/>
                <w:color w:val="343636"/>
                <w:sz w:val="21"/>
              </w:rPr>
              <w:t>Title:]</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 as a Borrower</w:t>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343636"/>
                <w:sz w:val="21"/>
              </w:rPr>
            </w:pPr>
            <w:r>
              <w:rPr>
                <w:rFonts w:ascii="Times New Roman;serif" w:hAnsi="Times New Roman;serif"/>
                <w:b w:val="false"/>
                <w:color w:val="343636"/>
                <w:sz w:val="21"/>
              </w:rPr>
              <w:t>Title:]</w:t>
            </w:r>
            <w:r>
              <w:rPr>
                <w:rFonts w:ascii="Times New Roman;serif" w:hAnsi="Times New Roman;serif"/>
                <w:b w:val="false"/>
                <w:color w:val="343636"/>
                <w:sz w:val="14"/>
              </w:rPr>
              <w:t>5</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0"/>
        </w:rPr>
        <w:t>No consent of the Administrative Agent shall be required for (i) an assignment of all or any portion of a Loan to a Lender, an Affiliate of a Lender or an Approved Fund or (ii) an assignment to an Agent or an Affiliate of an Agent.</w:t>
      </w:r>
    </w:p>
    <w:p>
      <w:pPr>
        <w:pStyle w:val="TextBody"/>
        <w:bidi w:val="0"/>
        <w:spacing w:lineRule="auto" w:line="288" w:before="0" w:after="0"/>
        <w:jc w:val="both"/>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0"/>
        </w:rPr>
        <w:t>No consent of any Principal L/C Issuer or the Swing Line Lender shall be required for an assignment to an Agent or an Affiliate of an Agent.</w:t>
      </w:r>
    </w:p>
    <w:p>
      <w:pPr>
        <w:pStyle w:val="TextBody"/>
        <w:bidi w:val="0"/>
        <w:spacing w:lineRule="auto" w:line="288" w:before="0" w:after="0"/>
        <w:jc w:val="both"/>
        <w:rPr/>
      </w:pP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0"/>
        </w:rPr>
        <w:t xml:space="preserve">No consent of the Borrowers shall be required for (i) an assignment of a Revolving Credit Commitment to a Revolving Credit Lender or Affiliate of a Revolving Credit Lender or an Approved Fund of a Revolving Credit Lender or (ii) if an Event of Default under </w:t>
      </w:r>
      <w:r>
        <w:rPr>
          <w:rFonts w:ascii="Times New Roman;serif" w:hAnsi="Times New Roman;serif"/>
          <w:b w:val="false"/>
          <w:color w:val="000000"/>
          <w:sz w:val="20"/>
          <w:u w:val="single"/>
        </w:rPr>
        <w:t>Section 8.01(a)</w:t>
      </w:r>
      <w:r>
        <w:rPr>
          <w:rFonts w:ascii="Times New Roman;serif" w:hAnsi="Times New Roman;serif"/>
          <w:b w:val="false"/>
          <w:color w:val="000000"/>
          <w:sz w:val="20"/>
        </w:rPr>
        <w:t>, (</w:t>
      </w:r>
      <w:r>
        <w:rPr>
          <w:rFonts w:ascii="Times New Roman;serif" w:hAnsi="Times New Roman;serif"/>
          <w:b w:val="false"/>
          <w:color w:val="000000"/>
          <w:sz w:val="20"/>
          <w:u w:val="single"/>
        </w:rPr>
        <w:t>f</w:t>
      </w:r>
      <w:r>
        <w:rPr>
          <w:rFonts w:ascii="Times New Roman;serif" w:hAnsi="Times New Roman;serif"/>
          <w:b w:val="false"/>
          <w:color w:val="000000"/>
          <w:sz w:val="20"/>
        </w:rPr>
        <w:t>) or (</w:t>
      </w:r>
      <w:r>
        <w:rPr>
          <w:rFonts w:ascii="Times New Roman;serif" w:hAnsi="Times New Roman;serif"/>
          <w:b w:val="false"/>
          <w:color w:val="000000"/>
          <w:sz w:val="20"/>
          <w:u w:val="single"/>
        </w:rPr>
        <w:t>g</w:t>
      </w:r>
      <w:r>
        <w:rPr>
          <w:rFonts w:ascii="Times New Roman;serif" w:hAnsi="Times New Roman;serif"/>
          <w:b w:val="false"/>
          <w:color w:val="000000"/>
          <w:sz w:val="20"/>
        </w:rPr>
        <w:t>) of the Credit Agreement has occurred and is continuing, an assignment to any Assignee.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14960"/>
                <wp:effectExtent l="0" t="0" r="0" b="0"/>
                <wp:wrapNone/>
                <wp:docPr id="245" name="Frame24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ANNEX 1</w:t>
      </w:r>
    </w:p>
    <w:p>
      <w:pPr>
        <w:pStyle w:val="TextBody"/>
        <w:bidi w:val="0"/>
        <w:spacing w:lineRule="auto" w:line="288" w:before="0" w:after="240"/>
        <w:jc w:val="center"/>
        <w:rPr/>
      </w:pPr>
      <w:r>
        <w:rPr>
          <w:rFonts w:ascii="Times New Roman;serif" w:hAnsi="Times New Roman;serif"/>
          <w:b/>
          <w:color w:val="000000"/>
          <w:sz w:val="22"/>
          <w:u w:val="single"/>
        </w:rPr>
        <w:t>CREDIT AGREEMENT</w:t>
      </w:r>
      <w:r>
        <w:rPr>
          <w:rFonts w:ascii="Times New Roman;serif" w:hAnsi="Times New Roman;serif"/>
          <w:b w:val="false"/>
          <w:color w:val="000000"/>
          <w:sz w:val="14"/>
        </w:rPr>
        <w:t>1</w:t>
      </w:r>
    </w:p>
    <w:p>
      <w:pPr>
        <w:pStyle w:val="TextBody"/>
        <w:bidi w:val="0"/>
        <w:spacing w:lineRule="auto" w:line="288" w:before="0" w:after="240"/>
        <w:jc w:val="center"/>
        <w:rPr/>
      </w:pPr>
      <w:r>
        <w:rPr>
          <w:rFonts w:ascii="Times New Roman;serif" w:hAnsi="Times New Roman;serif"/>
          <w:b/>
          <w:color w:val="000000"/>
          <w:sz w:val="22"/>
        </w:rPr>
        <w:t>STANDARD TERMS AND CONDITIONS FOR</w:t>
        <w:br/>
      </w:r>
      <w:r>
        <w:rPr>
          <w:rFonts w:ascii="Times New Roman;serif" w:hAnsi="Times New Roman;serif"/>
          <w:b/>
          <w:color w:val="000000"/>
          <w:sz w:val="22"/>
          <w:u w:val="single"/>
        </w:rPr>
        <w:t>ASSIGNMENT AND ASSUMPTION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Assignor</w:t>
      </w:r>
      <w:r>
        <w:rPr>
          <w:rFonts w:ascii="Times New Roman;serif" w:hAnsi="Times New Roman;serif"/>
          <w:b w:val="false"/>
          <w:color w:val="000000"/>
          <w:sz w:val="22"/>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(iii) the financial condition of, the Borrowers or any of their Subsidiaries or Affiliates or any other Person obligated in respect of the Credit Agreement or (iv) the performance or observance by the Borrowers or any of their Subsidiaries or Affiliates or any other Person of any of their obligations under the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1.2    </w:t>
      </w:r>
      <w:r>
        <w:rPr>
          <w:rFonts w:ascii="Times New Roman;serif" w:hAnsi="Times New Roman;serif"/>
          <w:b w:val="false"/>
          <w:color w:val="000000"/>
          <w:sz w:val="22"/>
          <w:u w:val="single"/>
        </w:rPr>
        <w:t>Assignee</w:t>
      </w:r>
      <w:r>
        <w:rPr>
          <w:rFonts w:ascii="Times New Roman;serif" w:hAnsi="Times New Roman;serif"/>
          <w:b w:val="false"/>
          <w:color w:val="000000"/>
          <w:sz w:val="22"/>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any Agent or any other Lender, and (v) if it is a Foreign Lender, attached to this Assignment and Assumption is any documentation required to be delivered by it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of the Credit Agreement, duly completed and executed by the Assignee; and (b) agrees that (i) it will, independently and without reliance on the Assignor, any Agent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Payments</w:t>
      </w:r>
      <w:r>
        <w:rPr>
          <w:rFonts w:ascii="Times New Roman;serif" w:hAnsi="Times New Roman;serif"/>
          <w:b w:val="false"/>
          <w:color w:val="000000"/>
          <w:sz w:val="22"/>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pStyle w:val="TextBody"/>
        <w:bidi w:val="0"/>
        <w:spacing w:lineRule="auto" w:line="288"/>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Capitalized terms used in this Assignment and Assumption and not otherwise defined herein have the meanings specified in the Fourth Amended and Restated Credit Agreement dated of September 25, 2026 (as amended, supplemented or otherwise modified from time to time, the “</w:t>
      </w:r>
      <w:r>
        <w:rPr>
          <w:rFonts w:ascii="Times New Roman;serif" w:hAnsi="Times New Roman;serif"/>
          <w:b w:val="false"/>
          <w:color w:val="000000"/>
          <w:sz w:val="20"/>
          <w:u w:val="single"/>
        </w:rPr>
        <w:t>Credit Agreement</w:t>
      </w:r>
      <w:r>
        <w:rPr>
          <w:color w:val="000000"/>
        </w:rPr>
        <w:t>”</w:t>
      </w:r>
      <w:r>
        <w:rPr>
          <w:rFonts w:ascii="Times New Roman;serif" w:hAnsi="Times New Roman;serif"/>
          <w:b w:val="false"/>
          <w:color w:val="000000"/>
          <w:sz w:val="20"/>
        </w:rPr>
        <w:t>), among OSI Restaurant Partners, LLC (“</w:t>
      </w:r>
      <w:r>
        <w:rPr>
          <w:rFonts w:ascii="Times New Roman;serif" w:hAnsi="Times New Roman;serif"/>
          <w:b w:val="false"/>
          <w:color w:val="000000"/>
          <w:sz w:val="20"/>
          <w:u w:val="single"/>
        </w:rPr>
        <w:t>OSI</w:t>
      </w:r>
      <w:r>
        <w:rPr>
          <w:color w:val="000000"/>
        </w:rPr>
        <w:t>”</w:t>
      </w:r>
      <w:r>
        <w:rPr>
          <w:rFonts w:ascii="Times New Roman;serif" w:hAnsi="Times New Roman;serif"/>
          <w:b w:val="false"/>
          <w:color w:val="000000"/>
          <w:sz w:val="20"/>
        </w:rPr>
        <w:t>), Bloomin’ Brands, Inc. (the “</w:t>
      </w:r>
      <w:r>
        <w:rPr>
          <w:rFonts w:ascii="Times New Roman;serif" w:hAnsi="Times New Roman;serif"/>
          <w:b w:val="false"/>
          <w:color w:val="000000"/>
          <w:sz w:val="20"/>
          <w:u w:val="single"/>
        </w:rPr>
        <w:t>Company</w:t>
      </w:r>
      <w:r>
        <w:rPr>
          <w:color w:val="000000"/>
        </w:rPr>
        <w:t xml:space="preserve">” </w:t>
      </w:r>
      <w:r>
        <w:rPr>
          <w:rFonts w:ascii="Times New Roman;serif" w:hAnsi="Times New Roman;serif"/>
          <w:b w:val="false"/>
          <w:color w:val="000000"/>
          <w:sz w:val="20"/>
        </w:rPr>
        <w:t>and together with OSI, the “</w:t>
      </w:r>
      <w:r>
        <w:rPr>
          <w:rFonts w:ascii="Times New Roman;serif" w:hAnsi="Times New Roman;serif"/>
          <w:b w:val="false"/>
          <w:color w:val="000000"/>
          <w:sz w:val="20"/>
          <w:u w:val="single"/>
        </w:rPr>
        <w:t>Borrowers</w:t>
      </w:r>
      <w:r>
        <w:rPr>
          <w:color w:val="000000"/>
        </w:rPr>
        <w:t>”</w:t>
      </w:r>
      <w:r>
        <w:rPr>
          <w:rFonts w:ascii="Times New Roman;serif" w:hAnsi="Times New Roman;serif"/>
          <w:b w:val="false"/>
          <w:color w:val="000000"/>
          <w:sz w:val="20"/>
        </w:rPr>
        <w:t>), the lenders from time to time party thereto (the “</w:t>
      </w:r>
      <w:r>
        <w:rPr>
          <w:rFonts w:ascii="Times New Roman;serif" w:hAnsi="Times New Roman;serif"/>
          <w:b w:val="false"/>
          <w:color w:val="000000"/>
          <w:sz w:val="20"/>
          <w:u w:val="single"/>
        </w:rPr>
        <w:t>Lenders</w:t>
      </w:r>
      <w:r>
        <w:rPr>
          <w:color w:val="000000"/>
        </w:rPr>
        <w:t>”</w:t>
      </w:r>
      <w:r>
        <w:rPr>
          <w:rFonts w:ascii="Times New Roman;serif" w:hAnsi="Times New Roman;serif"/>
          <w:b w:val="false"/>
          <w:color w:val="000000"/>
          <w:sz w:val="20"/>
        </w:rPr>
        <w:t>) and Wells Fargo Bank, National Association, as Administrative Agent (in such capacity, the “</w:t>
      </w:r>
      <w:r>
        <w:rPr>
          <w:rFonts w:ascii="Times New Roman;serif" w:hAnsi="Times New Roman;serif"/>
          <w:b w:val="false"/>
          <w:color w:val="000000"/>
          <w:sz w:val="20"/>
          <w:u w:val="single"/>
        </w:rPr>
        <w:t>Administrative Agent</w:t>
      </w:r>
      <w:r>
        <w:rPr>
          <w:color w:val="000000"/>
        </w:rPr>
        <w:t>”</w:t>
      </w:r>
      <w:r>
        <w:rPr>
          <w:rFonts w:ascii="Times New Roman;serif" w:hAnsi="Times New Roman;serif"/>
          <w:b w:val="false"/>
          <w:color w:val="000000"/>
          <w:sz w:val="20"/>
        </w:rPr>
        <w:t>), Collateral Agent, Swing Line Lender and an L/C Issuer.</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Annex 1</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16840"/>
                <wp:effectExtent l="0" t="0" r="0" b="0"/>
                <wp:wrapNone/>
                <wp:docPr id="246" name="Frame2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44.4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other electronic transmission shall be as effective as delivery of a manually executed counterpart of this Assignment and Assumption. This Assignment and Assumption shall be construed in accordance with and governed by the law of the State of New York.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14960"/>
                <wp:effectExtent l="0" t="0" r="0" b="0"/>
                <wp:wrapNone/>
                <wp:docPr id="247" name="Frame24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color w:val="000000"/>
        </w:rPr>
      </w:pPr>
      <w:r>
        <w:rPr>
          <w:color w:val="000000"/>
        </w:rPr>
        <w:t>    </w:t>
      </w:r>
      <w:r>
        <w:rPr>
          <w:rFonts w:ascii="Times New Roman;serif" w:hAnsi="Times New Roman;serif"/>
          <w:b w:val="false"/>
          <w:color w:val="000000"/>
          <w:sz w:val="22"/>
        </w:rPr>
        <w:t>EXHIBIT F</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 xml:space="preserve">GUARANTY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EXECUTION VERSION</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16840"/>
                <wp:effectExtent l="0" t="0" r="0" b="0"/>
                <wp:wrapNone/>
                <wp:docPr id="248" name="Frame2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73.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before="0" w:after="240"/>
        <w:jc w:val="right"/>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______________________________________________________________________________</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FOURTH AMENDED AND RESTATED GUARANTY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September 25,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OSI RESTAURANT PARTNERS, LLC,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BLOOMIN’ BRANDS,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SUBSIDIARIES OF BLOOMIN’ BRANDS,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IDENTIFIED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Ref: CID# 000010817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16840"/>
                <wp:effectExtent l="0" t="0" r="0" b="0"/>
                <wp:wrapNone/>
                <wp:docPr id="249" name="Frame2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before="0" w:after="0"/>
        <w:jc w:val="center"/>
        <w:rPr/>
      </w:pPr>
      <w:r>
        <w:rPr/>
      </w:r>
    </w:p>
    <w:p>
      <w:pPr>
        <w:pStyle w:val="TextBody"/>
        <w:bidi w:val="0"/>
        <w:spacing w:before="0" w:after="200"/>
        <w:jc w:val="right"/>
        <w:rPr/>
      </w:pPr>
      <w:r>
        <w:rPr/>
      </w:r>
    </w:p>
    <w:p>
      <w:pPr>
        <w:pStyle w:val="TextBody"/>
        <w:bidi w:val="0"/>
        <w:spacing w:before="0" w:after="0"/>
        <w:jc w:val="left"/>
        <w:rPr/>
      </w:pPr>
      <w:r>
        <w:rPr/>
      </w:r>
    </w:p>
    <w:tbl>
      <w:tblPr>
        <w:tblW w:w="8448" w:type="dxa"/>
        <w:jc w:val="left"/>
        <w:tblInd w:w="0" w:type="dxa"/>
        <w:tblLayout w:type="fixed"/>
        <w:tblCellMar>
          <w:top w:w="28" w:type="dxa"/>
          <w:left w:w="28" w:type="dxa"/>
          <w:bottom w:w="28" w:type="dxa"/>
          <w:right w:w="28" w:type="dxa"/>
        </w:tblCellMar>
      </w:tblPr>
      <w:tblGrid>
        <w:gridCol w:w="509"/>
        <w:gridCol w:w="450"/>
        <w:gridCol w:w="452"/>
        <w:gridCol w:w="207"/>
        <w:gridCol w:w="207"/>
        <w:gridCol w:w="207"/>
        <w:gridCol w:w="1898"/>
        <w:gridCol w:w="1898"/>
        <w:gridCol w:w="1903"/>
        <w:gridCol w:w="207"/>
        <w:gridCol w:w="207"/>
        <w:gridCol w:w="303"/>
      </w:tblGrid>
      <w:tr>
        <w:trPr/>
        <w:tc>
          <w:tcPr>
            <w:tcW w:w="5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84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23">
              <w:r>
                <w:rPr>
                  <w:rStyle w:val="InternetLink"/>
                  <w:rFonts w:ascii="Times New Roman;serif" w:hAnsi="Times New Roman;serif"/>
                  <w:b w:val="false"/>
                  <w:strike w:val="false"/>
                  <w:dstrike w:val="false"/>
                  <w:color w:val="000000"/>
                  <w:sz w:val="22"/>
                  <w:u w:val="none"/>
                  <w:effect w:val="none"/>
                </w:rPr>
                <w:t>1</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2"/>
              </w:rPr>
            </w:pPr>
            <w:r>
              <w:rPr>
                <w:rFonts w:ascii="Times New Roman;serif" w:hAnsi="Times New Roman;serif"/>
                <w:b w:val="false"/>
                <w:color w:val="000000"/>
                <w:sz w:val="22"/>
              </w:rPr>
              <w:t>Credit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26">
              <w:r>
                <w:rPr>
                  <w:rStyle w:val="InternetLink"/>
                  <w:rFonts w:ascii="Times New Roman;serif" w:hAnsi="Times New Roman;serif"/>
                  <w:b w:val="false"/>
                  <w:strike w:val="false"/>
                  <w:dstrike w:val="false"/>
                  <w:color w:val="000000"/>
                  <w:sz w:val="22"/>
                  <w:u w:val="none"/>
                  <w:effect w:val="none"/>
                </w:rPr>
                <w:t>1</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Defined Terms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29">
              <w:r>
                <w:rPr>
                  <w:rStyle w:val="InternetLink"/>
                  <w:rFonts w:ascii="Times New Roman;serif" w:hAnsi="Times New Roman;serif"/>
                  <w:b w:val="false"/>
                  <w:strike w:val="false"/>
                  <w:dstrike w:val="false"/>
                  <w:color w:val="000000"/>
                  <w:sz w:val="22"/>
                  <w:u w:val="none"/>
                  <w:effect w:val="none"/>
                </w:rPr>
                <w:t>1</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32">
              <w:r>
                <w:rPr>
                  <w:rStyle w:val="InternetLink"/>
                  <w:rFonts w:ascii="Times New Roman;serif" w:hAnsi="Times New Roman;serif"/>
                  <w:b w:val="false"/>
                  <w:strike w:val="false"/>
                  <w:dstrike w:val="false"/>
                  <w:color w:val="000000"/>
                  <w:sz w:val="22"/>
                  <w:u w:val="none"/>
                  <w:effect w:val="none"/>
                </w:rPr>
                <w:t>2</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35">
              <w:r>
                <w:rPr>
                  <w:rStyle w:val="InternetLink"/>
                  <w:rFonts w:ascii="Times New Roman;serif" w:hAnsi="Times New Roman;serif"/>
                  <w:b w:val="false"/>
                  <w:strike w:val="false"/>
                  <w:dstrike w:val="false"/>
                  <w:color w:val="000000"/>
                  <w:sz w:val="22"/>
                  <w:u w:val="none"/>
                  <w:effect w:val="none"/>
                </w:rPr>
                <w:t>2</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 of Payment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38">
              <w:r>
                <w:rPr>
                  <w:rStyle w:val="InternetLink"/>
                  <w:rFonts w:ascii="Times New Roman;serif" w:hAnsi="Times New Roman;serif"/>
                  <w:b w:val="false"/>
                  <w:strike w:val="false"/>
                  <w:dstrike w:val="false"/>
                  <w:color w:val="000000"/>
                  <w:sz w:val="22"/>
                  <w:u w:val="none"/>
                  <w:effect w:val="none"/>
                </w:rPr>
                <w:t>3</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Limitations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41">
              <w:r>
                <w:rPr>
                  <w:rStyle w:val="InternetLink"/>
                  <w:rFonts w:ascii="Times New Roman;serif" w:hAnsi="Times New Roman;serif"/>
                  <w:b w:val="false"/>
                  <w:strike w:val="false"/>
                  <w:dstrike w:val="false"/>
                  <w:color w:val="000000"/>
                  <w:sz w:val="22"/>
                  <w:u w:val="none"/>
                  <w:effect w:val="none"/>
                </w:rPr>
                <w:t>3</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44">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Agreement To Pay; Subrogation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47">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Information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50">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Indemnity, Subrogation and Subordination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53">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Indemnity and Subrogation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56">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Contribution and Subrogation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59">
              <w:r>
                <w:rPr>
                  <w:rStyle w:val="InternetLink"/>
                  <w:rFonts w:ascii="Times New Roman;serif" w:hAnsi="Times New Roman;serif"/>
                  <w:b w:val="false"/>
                  <w:strike w:val="false"/>
                  <w:dstrike w:val="false"/>
                  <w:color w:val="000000"/>
                  <w:sz w:val="22"/>
                  <w:u w:val="none"/>
                  <w:effect w:val="none"/>
                </w:rPr>
                <w:t>4</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62">
              <w:r>
                <w:rPr>
                  <w:rStyle w:val="InternetLink"/>
                  <w:rFonts w:ascii="Times New Roman;serif" w:hAnsi="Times New Roman;serif"/>
                  <w:b w:val="false"/>
                  <w:strike w:val="false"/>
                  <w:dstrike w:val="false"/>
                  <w:color w:val="000000"/>
                  <w:sz w:val="22"/>
                  <w:u w:val="none"/>
                  <w:effect w:val="none"/>
                </w:rPr>
                <w:t>5</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65">
              <w:r>
                <w:rPr>
                  <w:rStyle w:val="InternetLink"/>
                  <w:rFonts w:ascii="Times New Roman;serif" w:hAnsi="Times New Roman;serif"/>
                  <w:b w:val="false"/>
                  <w:strike w:val="false"/>
                  <w:dstrike w:val="false"/>
                  <w:color w:val="000000"/>
                  <w:sz w:val="22"/>
                  <w:u w:val="none"/>
                  <w:effect w:val="none"/>
                </w:rPr>
                <w:t>6</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68">
              <w:r>
                <w:rPr>
                  <w:rStyle w:val="InternetLink"/>
                  <w:rFonts w:ascii="Times New Roman;serif" w:hAnsi="Times New Roman;serif"/>
                  <w:b w:val="false"/>
                  <w:strike w:val="false"/>
                  <w:dstrike w:val="false"/>
                  <w:color w:val="000000"/>
                  <w:sz w:val="22"/>
                  <w:u w:val="none"/>
                  <w:effect w:val="none"/>
                </w:rPr>
                <w:t>6</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Waivers; Amendment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71">
              <w:r>
                <w:rPr>
                  <w:rStyle w:val="InternetLink"/>
                  <w:rFonts w:ascii="Times New Roman;serif" w:hAnsi="Times New Roman;serif"/>
                  <w:b w:val="false"/>
                  <w:strike w:val="false"/>
                  <w:dstrike w:val="false"/>
                  <w:color w:val="000000"/>
                  <w:sz w:val="22"/>
                  <w:u w:val="none"/>
                  <w:effect w:val="none"/>
                </w:rPr>
                <w:t>6</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Administration Agent's Fees and Expenses; Indemnification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74">
              <w:r>
                <w:rPr>
                  <w:rStyle w:val="InternetLink"/>
                  <w:rFonts w:ascii="Times New Roman;serif" w:hAnsi="Times New Roman;serif"/>
                  <w:b w:val="false"/>
                  <w:strike w:val="false"/>
                  <w:dstrike w:val="false"/>
                  <w:color w:val="000000"/>
                  <w:sz w:val="22"/>
                  <w:u w:val="none"/>
                  <w:effect w:val="none"/>
                </w:rPr>
                <w:t>7</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77">
              <w:r>
                <w:rPr>
                  <w:rStyle w:val="InternetLink"/>
                  <w:rFonts w:ascii="Times New Roman;serif" w:hAnsi="Times New Roman;serif"/>
                  <w:b w:val="false"/>
                  <w:strike w:val="false"/>
                  <w:dstrike w:val="false"/>
                  <w:color w:val="000000"/>
                  <w:sz w:val="22"/>
                  <w:u w:val="none"/>
                  <w:effect w:val="none"/>
                </w:rPr>
                <w:t>7</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80">
              <w:r>
                <w:rPr>
                  <w:rStyle w:val="InternetLink"/>
                  <w:rFonts w:ascii="Times New Roman;serif" w:hAnsi="Times New Roman;serif"/>
                  <w:b w:val="false"/>
                  <w:strike w:val="false"/>
                  <w:dstrike w:val="false"/>
                  <w:color w:val="000000"/>
                  <w:sz w:val="22"/>
                  <w:u w:val="none"/>
                  <w:effect w:val="none"/>
                </w:rPr>
                <w:t>7</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Effectiveness; Several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83">
              <w:r>
                <w:rPr>
                  <w:rStyle w:val="InternetLink"/>
                  <w:rFonts w:ascii="Times New Roman;serif" w:hAnsi="Times New Roman;serif"/>
                  <w:b w:val="false"/>
                  <w:strike w:val="false"/>
                  <w:dstrike w:val="false"/>
                  <w:color w:val="000000"/>
                  <w:sz w:val="22"/>
                  <w:u w:val="none"/>
                  <w:effect w:val="none"/>
                </w:rPr>
                <w:t>8</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4.07.</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86">
              <w:r>
                <w:rPr>
                  <w:rStyle w:val="InternetLink"/>
                  <w:rFonts w:ascii="Times New Roman;serif" w:hAnsi="Times New Roman;serif"/>
                  <w:b w:val="false"/>
                  <w:strike w:val="false"/>
                  <w:dstrike w:val="false"/>
                  <w:color w:val="000000"/>
                  <w:sz w:val="22"/>
                  <w:u w:val="none"/>
                  <w:effect w:val="none"/>
                </w:rPr>
                <w:t>8</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4.08.</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89">
              <w:r>
                <w:rPr>
                  <w:rStyle w:val="InternetLink"/>
                  <w:rFonts w:ascii="Times New Roman;serif" w:hAnsi="Times New Roman;serif"/>
                  <w:b w:val="false"/>
                  <w:strike w:val="false"/>
                  <w:dstrike w:val="false"/>
                  <w:color w:val="000000"/>
                  <w:sz w:val="22"/>
                  <w:u w:val="none"/>
                  <w:effect w:val="none"/>
                </w:rPr>
                <w:t>8</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4.09.</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Consent to Service of Process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92">
              <w:r>
                <w:rPr>
                  <w:rStyle w:val="InternetLink"/>
                  <w:rFonts w:ascii="Times New Roman;serif" w:hAnsi="Times New Roman;serif"/>
                  <w:b w:val="false"/>
                  <w:strike w:val="false"/>
                  <w:dstrike w:val="false"/>
                  <w:color w:val="000000"/>
                  <w:sz w:val="22"/>
                  <w:u w:val="none"/>
                  <w:effect w:val="none"/>
                </w:rPr>
                <w:t>8</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4.10.</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95">
              <w:r>
                <w:rPr>
                  <w:rStyle w:val="InternetLink"/>
                  <w:rFonts w:ascii="Times New Roman;serif" w:hAnsi="Times New Roman;serif"/>
                  <w:b w:val="false"/>
                  <w:strike w:val="false"/>
                  <w:dstrike w:val="false"/>
                  <w:color w:val="000000"/>
                  <w:sz w:val="22"/>
                  <w:u w:val="none"/>
                  <w:effect w:val="none"/>
                </w:rPr>
                <w:t>9</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Headings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598">
              <w:r>
                <w:rPr>
                  <w:rStyle w:val="InternetLink"/>
                  <w:rFonts w:ascii="Times New Roman;serif" w:hAnsi="Times New Roman;serif"/>
                  <w:b w:val="false"/>
                  <w:strike w:val="false"/>
                  <w:dstrike w:val="false"/>
                  <w:color w:val="000000"/>
                  <w:sz w:val="22"/>
                  <w:u w:val="none"/>
                  <w:effect w:val="none"/>
                </w:rPr>
                <w:t>9</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Obligations Absolute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01">
              <w:r>
                <w:rPr>
                  <w:rStyle w:val="InternetLink"/>
                  <w:rFonts w:ascii="Times New Roman;serif" w:hAnsi="Times New Roman;serif"/>
                  <w:b w:val="false"/>
                  <w:strike w:val="false"/>
                  <w:dstrike w:val="false"/>
                  <w:color w:val="000000"/>
                  <w:sz w:val="22"/>
                  <w:u w:val="none"/>
                  <w:effect w:val="none"/>
                </w:rPr>
                <w:t>9</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of Release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04">
              <w:r>
                <w:rPr>
                  <w:rStyle w:val="InternetLink"/>
                  <w:rFonts w:ascii="Times New Roman;serif" w:hAnsi="Times New Roman;serif"/>
                  <w:b w:val="false"/>
                  <w:strike w:val="false"/>
                  <w:dstrike w:val="false"/>
                  <w:color w:val="000000"/>
                  <w:sz w:val="22"/>
                  <w:u w:val="none"/>
                  <w:effect w:val="none"/>
                </w:rPr>
                <w:t>10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Subsidiaries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07">
              <w:r>
                <w:rPr>
                  <w:rStyle w:val="InternetLink"/>
                  <w:rFonts w:ascii="Times New Roman;serif" w:hAnsi="Times New Roman;serif"/>
                  <w:b w:val="false"/>
                  <w:strike w:val="false"/>
                  <w:dstrike w:val="false"/>
                  <w:color w:val="000000"/>
                  <w:sz w:val="22"/>
                  <w:u w:val="none"/>
                  <w:effect w:val="none"/>
                </w:rPr>
                <w:t>10</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Recourse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10">
              <w:r>
                <w:rPr>
                  <w:rStyle w:val="InternetLink"/>
                  <w:rFonts w:ascii="Times New Roman;serif" w:hAnsi="Times New Roman;serif"/>
                  <w:b w:val="false"/>
                  <w:strike w:val="false"/>
                  <w:dstrike w:val="false"/>
                  <w:color w:val="000000"/>
                  <w:sz w:val="22"/>
                  <w:u w:val="none"/>
                  <w:effect w:val="none"/>
                </w:rPr>
                <w:t>11</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Guaranteed Obligations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13">
              <w:r>
                <w:rPr>
                  <w:rStyle w:val="InternetLink"/>
                  <w:rFonts w:ascii="Times New Roman;serif" w:hAnsi="Times New Roman;serif"/>
                  <w:b w:val="false"/>
                  <w:strike w:val="false"/>
                  <w:dstrike w:val="false"/>
                  <w:color w:val="000000"/>
                  <w:sz w:val="22"/>
                  <w:u w:val="none"/>
                  <w:effect w:val="none"/>
                </w:rPr>
                <w:t>11</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4.17.</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Keepwell</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16">
              <w:r>
                <w:rPr>
                  <w:rStyle w:val="InternetLink"/>
                  <w:rFonts w:ascii="Times New Roman;serif" w:hAnsi="Times New Roman;serif"/>
                  <w:b w:val="false"/>
                  <w:strike w:val="false"/>
                  <w:dstrike w:val="false"/>
                  <w:color w:val="000000"/>
                  <w:sz w:val="22"/>
                  <w:u w:val="none"/>
                  <w:effect w:val="none"/>
                </w:rPr>
                <w:t>11</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4.18.</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 No Novation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19">
              <w:r>
                <w:rPr>
                  <w:rStyle w:val="InternetLink"/>
                  <w:rFonts w:ascii="Times New Roman;serif" w:hAnsi="Times New Roman;serif"/>
                  <w:b w:val="false"/>
                  <w:strike w:val="false"/>
                  <w:dstrike w:val="false"/>
                  <w:color w:val="000000"/>
                  <w:sz w:val="22"/>
                  <w:u w:val="none"/>
                  <w:effect w:val="none"/>
                </w:rPr>
                <w:t>12</w:t>
              </w:r>
            </w:hyperlink>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4.19.</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Acknowledgment Regarding Any Supported QFCs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22">
              <w:r>
                <w:rPr>
                  <w:rStyle w:val="InternetLink"/>
                  <w:rFonts w:ascii="Times New Roman;serif" w:hAnsi="Times New Roman;serif"/>
                  <w:b w:val="false"/>
                  <w:strike w:val="false"/>
                  <w:dstrike w:val="false"/>
                  <w:color w:val="000000"/>
                  <w:sz w:val="22"/>
                  <w:u w:val="none"/>
                  <w:effect w:val="none"/>
                </w:rPr>
                <w:t>12</w:t>
              </w:r>
            </w:hyperlink>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631">
              <w:r>
                <w:rPr>
                  <w:rStyle w:val="InternetLink"/>
                  <w:rFonts w:ascii="Times New Roman;serif" w:hAnsi="Times New Roman;serif"/>
                  <w:b w:val="false"/>
                  <w:strike w:val="false"/>
                  <w:dstrike w:val="false"/>
                  <w:color w:val="000000"/>
                  <w:sz w:val="22"/>
                  <w:u w:val="none"/>
                  <w:effect w:val="none"/>
                </w:rPr>
                <w:t>Subsidiary Parties</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302" w:before="0" w:after="283"/>
              <w:jc w:val="left"/>
              <w:rPr>
                <w:rFonts w:ascii="Times New Roman;serif" w:hAnsi="Times New Roman;serif"/>
                <w:b w:val="false"/>
                <w:color w:val="000000"/>
                <w:sz w:val="22"/>
              </w:rPr>
            </w:pPr>
            <w:r>
              <w:rPr>
                <w:rFonts w:ascii="Times New Roman;serif" w:hAnsi="Times New Roman;serif"/>
                <w:b w:val="false"/>
                <w:color w:val="000000"/>
                <w:sz w:val="22"/>
              </w:rPr>
              <w:t>Exhibit 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302" w:before="0" w:after="0"/>
              <w:jc w:val="left"/>
              <w:rPr/>
            </w:pPr>
            <w:hyperlink w:anchor="i79b18b9599514a328bfa5874fc40f42f_634">
              <w:r>
                <w:rPr>
                  <w:rStyle w:val="InternetLink"/>
                  <w:rFonts w:ascii="Times New Roman;serif" w:hAnsi="Times New Roman;serif"/>
                  <w:b w:val="false"/>
                  <w:strike w:val="false"/>
                  <w:dstrike w:val="false"/>
                  <w:color w:val="000000"/>
                  <w:sz w:val="22"/>
                  <w:u w:val="none"/>
                  <w:effect w:val="none"/>
                </w:rPr>
                <w:t>Form of Guaranty Supplement</w:t>
              </w:r>
            </w:hyperlink>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16840"/>
                <wp:effectExtent l="0" t="0" r="0" b="0"/>
                <wp:wrapNone/>
                <wp:docPr id="250" name="Frame2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FOURTH AMENDED AND RESTATED GUARANTY AGREEMENT dated as of September 25, 2026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other Subsidiaries of the Company identified herein and WELLS FARGO BANK, NATIONAL ASSOCIATION, as Administrative Agent on behalf of the Secured Parties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amended, restated, supplemented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Borrowers, each Lender from time to time party thereto and Wells Fargo Bank, National Association, as Administrative Agent, Collateral Agent, Swing Line Lender and an L/C Issuer.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Lenders have agreed to extend credit to the Borrowers subject to the terms and conditions set forth in the Credit Agreement, the Hedge Banks have agreed to enter into and/or maintain one or more Secured Hedge Agreements on the terms and conditions set forth therein and the Cash Management Banks have agreed to provide and/or maintain Cash Management Services on the terms and conditions agreed upon by the Borrowers or the respective Subsidiary and such Cash Management Bank. The obligations of the Lenders to extend such credit, the obligation of the Hedge Banks to enter into and/or maintain such Secured Hedge Agreements and the obligation of the Cash Management Banks to provide and/or maintain Cash Management Services are, in each case, conditioned upon, among other things, the execution and delivery of this Agreement by each Guarantor. The Borrowers and the Subsidiary Parties are affiliates of one another, are an integral part of a consolidated enterprise and will derive substantial direct and indirect benefits from (i) the extensions of credit to the Borrowers pursuant to the Credit Agreement, (ii) the entering into and/or maintaining by the Hedge Banks of Secured Hedge Agreements with a Borrower and/or one or more of its respective Subsidiaries and (iii) the providing and/or maintaining of Cash Management Services by the Cash Management Banks to a Borrower and/or one or more of its respective Subsidiaries, and are willing to execute and deliver this Agreement in order to induce the Lenders to extend such credit, the Hedge Banks to enter into and/or maintain such Secured Hedge Agreements and the Cash Management Banks to provide and/or maintain such Cash Management Services.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in consideration of the foregoing and other benefits accruing to each Guarantor, the receipt and sufficiency of which are hereby acknowledged, each Guarantor hereby makes the following representations and warranties to the Administrative Agent for the benefit of the Secured Parties and hereby covenants and agrees with each other Guarantor and the Administrative Agent for the benefit of the Secured Parties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2"/>
        </w:rPr>
        <w:t>ARTICLE I</w:t>
        <w:br/>
        <w:br/>
      </w:r>
      <w:r>
        <w:rPr>
          <w:rFonts w:ascii="Times New Roman;serif" w:hAnsi="Times New Roman;serif"/>
          <w:b/>
          <w:color w:val="000000"/>
          <w:sz w:val="22"/>
          <w:u w:val="single"/>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xml:space="preserve">. (a) Capitalized terms used in this Agreement and not otherwise defined herein have the meanings specified in the Credit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rules of construction specified in Article I of the Credit Agreement also apply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Other 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Fourth Amended and Restated Guaranty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09245"/>
                <wp:effectExtent l="0" t="0" r="0" b="0"/>
                <wp:wrapNone/>
                <wp:docPr id="251" name="Frame25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has the meaning assigned to such term in the preliminary statement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Discharge of Guaranteed Obligations</w:t>
      </w:r>
      <w:r>
        <w:rPr>
          <w:color w:val="000000"/>
        </w:rPr>
        <w:t xml:space="preserve">” </w:t>
      </w:r>
      <w:r>
        <w:rPr>
          <w:rFonts w:ascii="Times New Roman;serif" w:hAnsi="Times New Roman;serif"/>
          <w:b w:val="false"/>
          <w:color w:val="000000"/>
          <w:sz w:val="22"/>
        </w:rPr>
        <w:t xml:space="preserve">means the termination of this Agreement and the Guarantees made herein pursuant to </w:t>
      </w:r>
      <w:r>
        <w:rPr>
          <w:rFonts w:ascii="Times New Roman;serif" w:hAnsi="Times New Roman;serif"/>
          <w:b w:val="false"/>
          <w:color w:val="000000"/>
          <w:sz w:val="22"/>
          <w:u w:val="single"/>
        </w:rPr>
        <w:t>Section 4.13(a)</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mean the “</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as defined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Guaranteed Party</w:t>
      </w:r>
      <w:r>
        <w:rPr>
          <w:color w:val="000000"/>
        </w:rPr>
        <w:t xml:space="preserve">” </w:t>
      </w:r>
      <w:r>
        <w:rPr>
          <w:rFonts w:ascii="Times New Roman;serif" w:hAnsi="Times New Roman;serif"/>
          <w:b w:val="false"/>
          <w:color w:val="000000"/>
          <w:sz w:val="22"/>
        </w:rPr>
        <w:t>means each Borrower, each Subsidiary Guarantor and each Subsidiary of a Borrower party to any Secured Hedge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Guaranty Agreement Supplement</w:t>
      </w:r>
      <w:r>
        <w:rPr>
          <w:color w:val="000000"/>
        </w:rPr>
        <w:t xml:space="preserve">” </w:t>
      </w:r>
      <w:r>
        <w:rPr>
          <w:rFonts w:ascii="Times New Roman;serif" w:hAnsi="Times New Roman;serif"/>
          <w:b w:val="false"/>
          <w:color w:val="000000"/>
          <w:sz w:val="22"/>
        </w:rPr>
        <w:t>means an instrument substantially in the form of Exhibit I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w:t>
      </w:r>
      <w:r>
        <w:rPr>
          <w:color w:val="000000"/>
        </w:rPr>
        <w:t xml:space="preserve">” </w:t>
      </w:r>
      <w:r>
        <w:rPr>
          <w:rFonts w:ascii="Times New Roman;serif" w:hAnsi="Times New Roman;serif"/>
          <w:b w:val="false"/>
          <w:color w:val="000000"/>
          <w:sz w:val="22"/>
        </w:rPr>
        <w:t>means each Borrower and each Subsidiary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(and as defined in)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Credit Document</w:t>
      </w:r>
      <w:r>
        <w:rPr>
          <w:color w:val="000000"/>
        </w:rPr>
        <w:t xml:space="preserve">” </w:t>
      </w:r>
      <w:r>
        <w:rPr>
          <w:rFonts w:ascii="Times New Roman;serif" w:hAnsi="Times New Roman;serif"/>
          <w:b w:val="false"/>
          <w:color w:val="000000"/>
          <w:sz w:val="22"/>
        </w:rPr>
        <w:t>means each Loan Document, each Secured Hedge Agreement and any agreement evidencing any Cash Management Obligation.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collectively, the Administrative Agent, the Collateral Agent, the Lenders, the Hedge Banks, the Cash Management Banks, the Supplemental Administrative Agent and each co-agent or sub-agent appointed by the Administrative Agent from time to time pursuant to Section 9.02 of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 Parties</w:t>
      </w:r>
      <w:r>
        <w:rPr>
          <w:color w:val="000000"/>
        </w:rPr>
        <w:t xml:space="preserve">” </w:t>
      </w:r>
      <w:r>
        <w:rPr>
          <w:rFonts w:ascii="Times New Roman;serif" w:hAnsi="Times New Roman;serif"/>
          <w:b w:val="false"/>
          <w:color w:val="000000"/>
          <w:sz w:val="22"/>
        </w:rPr>
        <w:t xml:space="preserve">means (a) the Subsidiaries identified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and (b) each other Subsidiary that becomes a party to this Agreement as a Subsidiary Party after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2"/>
        </w:rPr>
        <w:t>ARTICLE II</w:t>
        <w:br/>
        <w:br/>
      </w:r>
      <w:r>
        <w:rPr>
          <w:rFonts w:ascii="Times New Roman;serif" w:hAnsi="Times New Roman;serif"/>
          <w:b/>
          <w:color w:val="000000"/>
          <w:sz w:val="22"/>
          <w:u w:val="single"/>
        </w:rPr>
        <w:t>Guaranty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Guaranty</w:t>
      </w:r>
      <w:r>
        <w:rPr>
          <w:rFonts w:ascii="Times New Roman;serif" w:hAnsi="Times New Roman;serif"/>
          <w:b w:val="false"/>
          <w:color w:val="000000"/>
          <w:sz w:val="22"/>
        </w:rPr>
        <w:t>. Each Guarantor irrevocably, absolutely and unconditionally guarantees, jointly with the other Guarantors and severally, as a primary obligor and not merely as a surety, the due and punctual payment and performance of the Guaranteed Obligations, in each case, whether such Guaranteed Obligations are now existing or hereafter incurred under, arising out of or in connection with any Secured Credit Document, and whether at maturity, by acceleration or otherwise. Each of the Guarantors further agrees that the Guaranteed Obligations may be extended, increased or renewed, in whole or in part, without notice to, or further assent from such Guarantor, and that such Guarantor will remain bound upon its guaranty notwithstanding any extension, increase or renewal of any Guaranteed Obligation. Each of the Guarantors waives, to the fullest extent permitted under applicable Law, presentment to, demand of payment from, and protest to, the applicable Guaranteed Party or any other Loan Party of any of the Guaranteed Obligations, and also waives, to the fullest extent permitted under applicable Law, notice of acceptance of its guaranty and notice of protest for nonpayment.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09245"/>
                <wp:effectExtent l="0" t="0" r="0" b="0"/>
                <wp:wrapNone/>
                <wp:docPr id="252" name="Frame25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Guarantee of Payment</w:t>
      </w:r>
      <w:r>
        <w:rPr>
          <w:rFonts w:ascii="Times New Roman;serif" w:hAnsi="Times New Roman;serif"/>
          <w:b w:val="false"/>
          <w:color w:val="000000"/>
          <w:sz w:val="22"/>
        </w:rPr>
        <w:t>. Each of the Guarantors further agrees that its guaranty hereunder constitutes a guarantee of payment when due and not of collection, and, to the fullest extent permitted under applicable Law, waives any right to require that any resort be had by the Administrative Agent or any other Secured Party to any security held for the payment of the Guaranteed Obligations, or to any balance of any deposit account or credit on the books of the Administrative Agent or any other Secured Party in favor of any Guaranteed Party or any other Person. The obligations of each Guarantor hereunder are independent of the obligations of any other Guarantor, any other guarantor, any Borrower or any other Guaranteed Party, and a separate action or actions may be brought and prosecuted against each Guarantor whether or not action is brought against any other Guarantor, any other guarantor, any Borrower or any other Guaranteed Party and whether or not any other Guarantor, any other guarantor, any Borrower or any other Guaranteed Party be joined in any such action or actions. Any payment required to be made by a Guarantor hereunder may be required by the Administrative Agent or any other Secured Party on any number of occasions.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2.03.    </w:t>
      </w:r>
      <w:r>
        <w:rPr>
          <w:rFonts w:ascii="Times New Roman;serif" w:hAnsi="Times New Roman;serif"/>
          <w:b w:val="false"/>
          <w:color w:val="000000"/>
          <w:sz w:val="22"/>
          <w:u w:val="single"/>
        </w:rPr>
        <w:t>No Limitations</w:t>
      </w:r>
      <w:r>
        <w:rPr>
          <w:rFonts w:ascii="Times New Roman;serif" w:hAnsi="Times New Roman;serif"/>
          <w:b w:val="false"/>
          <w:color w:val="000000"/>
          <w:sz w:val="22"/>
        </w:rPr>
        <w:t xml:space="preserve">. (a) Except for termination of a Guarantor’s obligations hereunder as expressly provided in </w:t>
      </w:r>
      <w:r>
        <w:rPr>
          <w:rFonts w:ascii="Times New Roman;serif" w:hAnsi="Times New Roman;serif"/>
          <w:b w:val="false"/>
          <w:color w:val="000000"/>
          <w:sz w:val="22"/>
          <w:u w:val="single"/>
        </w:rPr>
        <w:t>Section 4.13</w:t>
      </w:r>
      <w:r>
        <w:rPr>
          <w:rFonts w:ascii="Times New Roman;serif" w:hAnsi="Times New Roman;serif"/>
          <w:b w:val="false"/>
          <w:color w:val="000000"/>
          <w:sz w:val="22"/>
        </w:rPr>
        <w:t xml:space="preserve">, but without prejudice to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or otherwise. Without limiting the generality of the foregoing, except for termination of a Guarantor’s obligations hereunder as expressly provided in </w:t>
      </w:r>
      <w:r>
        <w:rPr>
          <w:rFonts w:ascii="Times New Roman;serif" w:hAnsi="Times New Roman;serif"/>
          <w:b w:val="false"/>
          <w:color w:val="000000"/>
          <w:sz w:val="22"/>
          <w:u w:val="single"/>
        </w:rPr>
        <w:t>Section 4.13</w:t>
      </w:r>
      <w:r>
        <w:rPr>
          <w:rFonts w:ascii="Times New Roman;serif" w:hAnsi="Times New Roman;serif"/>
          <w:b w:val="false"/>
          <w:color w:val="000000"/>
          <w:sz w:val="22"/>
        </w:rPr>
        <w:t>, the obligations of each Guarantor hereunder shall not be discharged or impaired or otherwise affected by (i) the failure of the Administrative Agent or any other Secured Party to assert any claim or demand or to enforce any right or remedy under the provisions of any Secured Credit Document or otherwise; (ii) any rescission, waiver, amendment or modification of, or any release from any of the terms or provisions of, any Secured Credit Document or any other agreement, including with respect to any other Guarantor under this Agreement; (iii) the release of any security held by the Collateral Agent or any other Secured Party for the Guaranteed Obligations; (iv) any default, failure or delay, willful or otherwise, in the performance of the Guaranteed Obligations; (v) the failure to perfect any security interest in, or the release of, any of the Collateral held by or on behalf of the Collateral Agent or any other Secured Party; (vi) the lack of legal existence of any Borrower or any Guarantor or legal obligation to discharge any of the Guaranteed Obligations by any Borrower or any Guarantor for any reason whatsoever, including, without limitation, in any insolvency, bankruptcy or reorganization of any Loan Party; or (vii) any other act or omission that may or might in any manner or to any extent vary the risk of any Guarantor or otherwise operate as a discharge of any Guarantor as a matter of law or equity (other than the indefeasible payment in full in cash of all the Guaranteed Obligations). Each Guarantor expressly authorizes the applicable Secured Parties to take and hold security for the payment and performance of the Guaranteed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Guaranteed Obligations all without affecting the obligations of any Guarantor hereunder.</w:t>
      </w:r>
    </w:p>
    <w:p>
      <w:pPr>
        <w:pStyle w:val="TextBody"/>
        <w:bidi w:val="0"/>
        <w:spacing w:lineRule="auto" w:line="288"/>
        <w:ind w:left="0" w:right="0" w:firstLine="720"/>
        <w:jc w:val="both"/>
        <w:rPr/>
      </w:pPr>
      <w:r>
        <w:rPr>
          <w:rFonts w:ascii="Times New Roman;serif" w:hAnsi="Times New Roman;serif"/>
          <w:b w:val="false"/>
          <w:color w:val="000000"/>
          <w:sz w:val="22"/>
        </w:rPr>
        <w:t xml:space="preserve">(b) Except for termination of a Guarantor’s obligations hereunder as expressly permitted in </w:t>
      </w:r>
      <w:r>
        <w:rPr>
          <w:rFonts w:ascii="Times New Roman;serif" w:hAnsi="Times New Roman;serif"/>
          <w:b w:val="false"/>
          <w:color w:val="000000"/>
          <w:sz w:val="22"/>
          <w:u w:val="single"/>
        </w:rPr>
        <w:t>Section 4.13</w:t>
      </w:r>
      <w:r>
        <w:rPr>
          <w:rFonts w:ascii="Times New Roman;serif" w:hAnsi="Times New Roman;serif"/>
          <w:b w:val="false"/>
          <w:color w:val="000000"/>
          <w:sz w:val="22"/>
        </w:rPr>
        <w:t xml:space="preserve">, but without prejudice to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to the fullest extent permitted by applicable Law, each Guarantor waives any defense based on or arising out of any defense of any Borrower or any other Guaranteed Party or the unenforceability of the Guaranteed Obligations or any part thereof from any cause, or the cessation from any cause of the liability of any Borrower or any other Guaranteed Party, other than the indefeasible payment in full in cash of all the Guaranteed Obligations. The Administrative Agent and the other Secured Parties may in accordance with the terms of the Collateral Documents, at their election, foreclose on any security held by one or more of them by one or more judicial or nonjudicial sales, accept an assignment of any such security in lieu of foreclosure, compromise or adjust any part of the Guaranteed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09245"/>
                <wp:effectExtent l="0" t="0" r="0" b="0"/>
                <wp:wrapNone/>
                <wp:docPr id="253" name="Frame25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make any other accommodation with any Borrower or any other Guaranteed Party or exercise any other right or remedy available to them against any Borrower or any other Guaranteed Party, without affecting or impairing in any way the liability of any Guarantor hereunder except to the extent the Guaranteed Obligations have been indefeasibly paid in full in cash.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any Borrower or any other Guaranteed Party, as the case may be, or any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2.04.    </w:t>
      </w:r>
      <w:r>
        <w:rPr>
          <w:rFonts w:ascii="Times New Roman;serif" w:hAnsi="Times New Roman;serif"/>
          <w:b w:val="false"/>
          <w:color w:val="000000"/>
          <w:sz w:val="22"/>
          <w:u w:val="single"/>
        </w:rPr>
        <w:t>Reinstatement</w:t>
      </w:r>
      <w:r>
        <w:rPr>
          <w:rFonts w:ascii="Times New Roman;serif" w:hAnsi="Times New Roman;serif"/>
          <w:b w:val="false"/>
          <w:color w:val="000000"/>
          <w:sz w:val="22"/>
        </w:rPr>
        <w:t xml:space="preserve">. Notwithstanding anything to the contrary contained in this Agreement, each of the Guarantors agrees that (i) its guaranty hereunder shall continue to be effective or be reinstated, as the case may be, if at any time payment, or any part thereof, of any Guaranteed Obligation is rescinded or must otherwise be restored by the Administrative Agent or any other Secured Party upon the bankruptcy or reorganization of any Borrower or any other Guaranteed Party or otherwise and (ii) the provisions of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shall survive termination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2.05.    </w:t>
      </w:r>
      <w:r>
        <w:rPr>
          <w:rFonts w:ascii="Times New Roman;serif" w:hAnsi="Times New Roman;serif"/>
          <w:b w:val="false"/>
          <w:color w:val="000000"/>
          <w:sz w:val="22"/>
          <w:u w:val="single"/>
        </w:rPr>
        <w:t>Agreement To Pay; Subrogation</w:t>
      </w:r>
      <w:r>
        <w:rPr>
          <w:rFonts w:ascii="Times New Roman;serif" w:hAnsi="Times New Roman;serif"/>
          <w:b w:val="false"/>
          <w:color w:val="000000"/>
          <w:sz w:val="22"/>
        </w:rPr>
        <w:t xml:space="preserve">. In furtherance of the foregoing and not in limitation of any other right that the Administrative Agent or any other Secured Party has at law or in equity against any Guarantor by virtue hereof, upon the failure of any Borrower or any other Guaranteed Party to pay any Guaranteed Obligation when and as the same shall become due, whether at maturity, by acceleration, after notice of prepayment or otherwise, each Guarantor hereby promises to and will forthwith pay, or cause to be paid, to the Administrative Agent for distribution to the applicable Secured Parties in cash the amount of such unpaid Guaranteed Obligation. Upon payment by any Guarantor of any sums to the Administrative Agent as provided above, all rights of such Guarantor against any Borrower or any other Guaranteed Party arising as a result thereof by way of right of subrogation, contribution, reimbursement, indemnity or otherwise shall in all respects be subject to </w:t>
      </w:r>
      <w:r>
        <w:rPr>
          <w:rFonts w:ascii="Times New Roman;serif" w:hAnsi="Times New Roman;serif"/>
          <w:b w:val="false"/>
          <w:color w:val="000000"/>
          <w:sz w:val="22"/>
          <w:u w:val="single"/>
        </w:rPr>
        <w:t>Article III</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2.06.    </w:t>
      </w:r>
      <w:r>
        <w:rPr>
          <w:rFonts w:ascii="Times New Roman;serif" w:hAnsi="Times New Roman;serif"/>
          <w:b w:val="false"/>
          <w:color w:val="000000"/>
          <w:sz w:val="22"/>
          <w:u w:val="single"/>
        </w:rPr>
        <w:t>Information</w:t>
      </w:r>
      <w:r>
        <w:rPr>
          <w:rFonts w:ascii="Times New Roman;serif" w:hAnsi="Times New Roman;serif"/>
          <w:b w:val="false"/>
          <w:color w:val="000000"/>
          <w:sz w:val="22"/>
        </w:rPr>
        <w:t>. Each Guarantor assumes all responsibility for being and keeping itself informed of each Borrower’s and each other Guaranteed Party’s financial condition and assets, and of all other circumstances bearing upon the risk of nonpayment of the Guaranteed Obligations and the nature, scope and extent of the risks that such Guarantor assumes and incurs hereunder, and agrees that none of the Administrative Agent or the other Secured Parties will have any duty to advise such Guarantor of information known to it or any of them regarding such circumstances or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2"/>
        </w:rPr>
        <w:t>ARTICLE III</w:t>
        <w:br/>
        <w:br/>
      </w:r>
      <w:r>
        <w:rPr>
          <w:rFonts w:ascii="Times New Roman;serif" w:hAnsi="Times New Roman;serif"/>
          <w:b/>
          <w:color w:val="000000"/>
          <w:sz w:val="22"/>
          <w:u w:val="single"/>
        </w:rPr>
        <w:t>Indemnity, Subrogation and Subordination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Indemnity and Subrogation</w:t>
      </w:r>
      <w:r>
        <w:rPr>
          <w:rFonts w:ascii="Times New Roman;serif" w:hAnsi="Times New Roman;serif"/>
          <w:b w:val="false"/>
          <w:color w:val="000000"/>
          <w:sz w:val="22"/>
        </w:rPr>
        <w:t xml:space="preserve">. In addition to all such rights of indemnity and subrogation as the Guarantors may have under applicable Law (but subject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each Guaranteed Party agrees that in the event a payment shall be made by any Guarantor under this Agreement on account of any Guaranteed Obligation owed directly by such Guaranteed Party (i.e., other than any obligation arising under this Agreement), such Guaranteed Party shall indemnify such Guarantor for the full amount of such payment and such Guarantor shall be subrogated to the rights of the Person to whom such payment shall have been made to the extent of such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val="false"/>
          <w:color w:val="000000"/>
          <w:sz w:val="22"/>
        </w:rPr>
        <w:t>Section 3.02.    </w:t>
      </w:r>
      <w:r>
        <w:rPr>
          <w:rFonts w:ascii="Times New Roman;serif" w:hAnsi="Times New Roman;serif"/>
          <w:b w:val="false"/>
          <w:color w:val="000000"/>
          <w:sz w:val="22"/>
          <w:u w:val="single"/>
        </w:rPr>
        <w:t>Contribution and Subrogation</w:t>
      </w:r>
      <w:r>
        <w:rPr>
          <w:rFonts w:ascii="Times New Roman;serif" w:hAnsi="Times New Roman;serif"/>
          <w:b w:val="false"/>
          <w:color w:val="000000"/>
          <w:sz w:val="22"/>
        </w:rPr>
        <w:t xml:space="preserve">. At any time a payment by any Subsidiary Party in respect of the Guaranteed Obligations is made under this Agreement that shall not have been fully indemnified as provided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the right of contribution of each Subsidiary Party against each other Subsidiary Party shall be determined as provided in the immediately succeeding sentence, with the right of contribution of each Subsidiary Party to be revised and restated as of each date on which an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09245"/>
                <wp:effectExtent l="0" t="0" r="0" b="0"/>
                <wp:wrapNone/>
                <wp:docPr id="254" name="Frame253"/>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unreimbursed payment (a “</w:t>
      </w:r>
      <w:r>
        <w:rPr>
          <w:rFonts w:ascii="Times New Roman;serif" w:hAnsi="Times New Roman;serif"/>
          <w:b w:val="false"/>
          <w:color w:val="000000"/>
          <w:sz w:val="22"/>
          <w:u w:val="single"/>
        </w:rPr>
        <w:t>Relevant Payment</w:t>
      </w:r>
      <w:r>
        <w:rPr>
          <w:color w:val="000000"/>
        </w:rPr>
        <w:t>”</w:t>
      </w:r>
      <w:r>
        <w:rPr>
          <w:rFonts w:ascii="Times New Roman;serif" w:hAnsi="Times New Roman;serif"/>
          <w:b w:val="false"/>
          <w:color w:val="000000"/>
          <w:sz w:val="22"/>
        </w:rPr>
        <w:t>) is made on the Guaranteed Obligations under this Agreement. At any time that a Relevant Payment is made by a Subsidiary Party that results in the aggregate payments made by such Subsidiary Party in respect of the Guaranteed Obligations to and including the date of the Relevant Payment exceeding such Subsidiary Party’s Contribution Percentage (as defined below) of the aggregate payments made by all Subsidiary Parties in respect of the Guaranteed Obligations to and including the date of the Relevant Payment (such excess, the “</w:t>
      </w:r>
      <w:r>
        <w:rPr>
          <w:rFonts w:ascii="Times New Roman;serif" w:hAnsi="Times New Roman;serif"/>
          <w:b w:val="false"/>
          <w:color w:val="000000"/>
          <w:sz w:val="22"/>
          <w:u w:val="single"/>
        </w:rPr>
        <w:t>Aggregate Excess Amount</w:t>
      </w:r>
      <w:r>
        <w:rPr>
          <w:color w:val="000000"/>
        </w:rPr>
        <w:t>”</w:t>
      </w:r>
      <w:r>
        <w:rPr>
          <w:rFonts w:ascii="Times New Roman;serif" w:hAnsi="Times New Roman;serif"/>
          <w:b w:val="false"/>
          <w:color w:val="000000"/>
          <w:sz w:val="22"/>
        </w:rPr>
        <w:t>), each such Subsidiary Party shall have a right of contribution against each other Subsidiary Party who has made payments in respect of the Guaranteed Obligations to and including the date of the Relevant Payment in an aggregate amount less than such other Subsidiary Party’s Contribution Percentage of the aggregate payments made to and including the date of the Relevant Payment by all Subsidiary Parties in respect of the Guaranteed Obligations (the aggregate amount of such deficit, the “</w:t>
      </w:r>
      <w:r>
        <w:rPr>
          <w:rFonts w:ascii="Times New Roman;serif" w:hAnsi="Times New Roman;serif"/>
          <w:b w:val="false"/>
          <w:color w:val="000000"/>
          <w:sz w:val="22"/>
          <w:u w:val="single"/>
        </w:rPr>
        <w:t>Aggregate Deficit Amount</w:t>
      </w:r>
      <w:r>
        <w:rPr>
          <w:color w:val="000000"/>
        </w:rPr>
        <w:t>”</w:t>
      </w:r>
      <w:r>
        <w:rPr>
          <w:rFonts w:ascii="Times New Roman;serif" w:hAnsi="Times New Roman;serif"/>
          <w:b w:val="false"/>
          <w:color w:val="000000"/>
          <w:sz w:val="22"/>
        </w:rPr>
        <w:t xml:space="preserve">) in an amount equal to (x) a fraction the numerator of which is the Aggregate Excess Amount of such Subsidiary Party and the denominator of which is the Aggregate Excess Amount of all Subsidiary Parties multiplied by (y) the Aggregate Deficit Amount of such other Subsidiary Party. A Subsidiary Party’s right of contribution pursuant to the preceding sentences shall arise at the time of each computation, subject to adjustment to the time of each computation;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all contribution rights of such Subsidiary Party shall be subject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As used in this </w:t>
      </w:r>
      <w:r>
        <w:rPr>
          <w:rFonts w:ascii="Times New Roman;serif" w:hAnsi="Times New Roman;serif"/>
          <w:b w:val="false"/>
          <w:color w:val="000000"/>
          <w:sz w:val="22"/>
          <w:u w:val="single"/>
        </w:rPr>
        <w:t>Section 3.02</w:t>
      </w:r>
      <w:r>
        <w:rPr>
          <w:rFonts w:ascii="Times New Roman;serif" w:hAnsi="Times New Roman;serif"/>
          <w:b w:val="false"/>
          <w:color w:val="000000"/>
          <w:sz w:val="22"/>
        </w:rPr>
        <w:t>: (i) each Subsidiary Party’s “</w:t>
      </w:r>
      <w:r>
        <w:rPr>
          <w:rFonts w:ascii="Times New Roman;serif" w:hAnsi="Times New Roman;serif"/>
          <w:b w:val="false"/>
          <w:color w:val="000000"/>
          <w:sz w:val="22"/>
          <w:u w:val="single"/>
        </w:rPr>
        <w:t>Contribution Percentage</w:t>
      </w:r>
      <w:r>
        <w:rPr>
          <w:color w:val="000000"/>
        </w:rPr>
        <w:t xml:space="preserve">” </w:t>
      </w:r>
      <w:r>
        <w:rPr>
          <w:rFonts w:ascii="Times New Roman;serif" w:hAnsi="Times New Roman;serif"/>
          <w:b w:val="false"/>
          <w:color w:val="000000"/>
          <w:sz w:val="22"/>
        </w:rPr>
        <w:t>shall mean the percentage obtained by dividing (x) the Adjusted Net Worth (as defined below) of such Subsidiary Party by (y) the aggregate Adjusted Net Worth of all Subsidiary Parties; (ii) the “</w:t>
      </w:r>
      <w:r>
        <w:rPr>
          <w:rFonts w:ascii="Times New Roman;serif" w:hAnsi="Times New Roman;serif"/>
          <w:b w:val="false"/>
          <w:color w:val="000000"/>
          <w:sz w:val="22"/>
          <w:u w:val="single"/>
        </w:rPr>
        <w:t>Adjusted Net Worth</w:t>
      </w:r>
      <w:r>
        <w:rPr>
          <w:color w:val="000000"/>
        </w:rPr>
        <w:t xml:space="preserve">” </w:t>
      </w:r>
      <w:r>
        <w:rPr>
          <w:rFonts w:ascii="Times New Roman;serif" w:hAnsi="Times New Roman;serif"/>
          <w:b w:val="false"/>
          <w:color w:val="000000"/>
          <w:sz w:val="22"/>
        </w:rPr>
        <w:t>of each Subsidiary Party shall mean the greater of (x) the Net Worth (as defined below) of such Subsidiary Party and (y) zero; and (iii) the “</w:t>
      </w:r>
      <w:r>
        <w:rPr>
          <w:rFonts w:ascii="Times New Roman;serif" w:hAnsi="Times New Roman;serif"/>
          <w:b w:val="false"/>
          <w:color w:val="000000"/>
          <w:sz w:val="22"/>
          <w:u w:val="single"/>
        </w:rPr>
        <w:t>Net Worth</w:t>
      </w:r>
      <w:r>
        <w:rPr>
          <w:color w:val="000000"/>
        </w:rPr>
        <w:t xml:space="preserve">” </w:t>
      </w:r>
      <w:r>
        <w:rPr>
          <w:rFonts w:ascii="Times New Roman;serif" w:hAnsi="Times New Roman;serif"/>
          <w:b w:val="false"/>
          <w:color w:val="000000"/>
          <w:sz w:val="22"/>
        </w:rPr>
        <w:t xml:space="preserve">of each Subsidiary Party shall mean the amount by which the fair saleable value of such Subsidiary Party’s assets on the date of any Relevant Payment exceeds its existing debts and other liabilities (including contingent liabilities, but without giving effect to any Guaranteed Obligations arising under this Agreement or any guaranteed obligations arising under any guaranty of any Junior Financing) on such date. Notwithstanding anything to the contrary contained above, any Subsidiary Party that is released from this Agreement pursuant to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 xml:space="preserve">hereof shall thereafter have no contribution obligations, or rights, pursuant to this </w:t>
      </w:r>
      <w:r>
        <w:rPr>
          <w:rFonts w:ascii="Times New Roman;serif" w:hAnsi="Times New Roman;serif"/>
          <w:b w:val="false"/>
          <w:color w:val="000000"/>
          <w:sz w:val="22"/>
          <w:u w:val="single"/>
        </w:rPr>
        <w:t>Section 3.02</w:t>
      </w:r>
      <w:r>
        <w:rPr>
          <w:rFonts w:ascii="Times New Roman;serif" w:hAnsi="Times New Roman;serif"/>
          <w:b w:val="false"/>
          <w:color w:val="000000"/>
          <w:sz w:val="22"/>
        </w:rPr>
        <w:t>, and at the time of any such release, if the released Subsidiary Party had an Aggregate Excess Amount or an Aggregate Deficit Amount, same shall be deemed reduced to $0, and the contribution rights and obligations of the remaining Subsidiary Parties shall be recalculated on the respective date of release (as otherwise provided above) based on the payments made hereunder by the remaining Subsidiary Parties. Each of the Subsidiary Parties recognizes and acknowledges that the rights to contribution arising hereunder shall constitute an asset in favor of the party entitled to such contribution. In this context, each Subsidiary Party has the right to waive its contribution right against any other Subsidiary Party to the extent that after giving effect to such waiver such Subsidiary Party would remain solvent, in the determination of the Required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pPr>
      <w:r>
        <w:rPr>
          <w:rFonts w:ascii="Times New Roman;serif" w:hAnsi="Times New Roman;serif"/>
          <w:b w:val="false"/>
          <w:color w:val="000000"/>
          <w:sz w:val="22"/>
        </w:rPr>
        <w:t>Section 3.03.    </w:t>
      </w:r>
      <w:r>
        <w:rPr>
          <w:rFonts w:ascii="Times New Roman;serif" w:hAnsi="Times New Roman;serif"/>
          <w:b w:val="false"/>
          <w:color w:val="000000"/>
          <w:sz w:val="22"/>
          <w:u w:val="single"/>
        </w:rPr>
        <w:t>Subordination</w:t>
      </w:r>
      <w:r>
        <w:rPr>
          <w:rFonts w:ascii="Times New Roman;serif" w:hAnsi="Times New Roman;serif"/>
          <w:b w:val="false"/>
          <w:color w:val="000000"/>
          <w:sz w:val="22"/>
        </w:rPr>
        <w:t xml:space="preserve">. Notwithstanding any provision of this Agreement to the contrary, all rights of the Guarantors under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3.02</w:t>
      </w:r>
      <w:r>
        <w:rPr>
          <w:color w:val="000000"/>
        </w:rPr>
        <w:t xml:space="preserve"> </w:t>
      </w:r>
      <w:r>
        <w:rPr>
          <w:rFonts w:ascii="Times New Roman;serif" w:hAnsi="Times New Roman;serif"/>
          <w:b w:val="false"/>
          <w:color w:val="000000"/>
          <w:sz w:val="22"/>
        </w:rPr>
        <w:t xml:space="preserve">and all other rights of indemnity, contribution or subrogation under applicable Law or otherwise shall be fully subordinated to the indefeasible payment in full in cash of the Guaranteed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amount shall be paid to such Guarantor on account of such subrogation rights at any time prior to the irrevocable payment in full in cash of all the Guaranteed Obligations, such amount shall be held in trust for the benefit of the Secured Parties and shall forthwith be paid to the Administrative Agent to be credited and applied against the Guaranteed Obligations, whether matured or unmatured, in accordance with Section 8.04 of the Credit Agreement. No failure on the part of any Borrower or any Guarantor to make the payments required by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3.02</w:t>
      </w:r>
      <w:r>
        <w:rPr>
          <w:color w:val="000000"/>
        </w:rPr>
        <w:t xml:space="preserve"> </w:t>
      </w:r>
      <w:r>
        <w:rPr>
          <w:rFonts w:ascii="Times New Roman;serif" w:hAnsi="Times New Roman;serif"/>
          <w:b w:val="false"/>
          <w:color w:val="000000"/>
          <w:sz w:val="22"/>
        </w:rPr>
        <w:t xml:space="preserve">(or any other payments required under applicable Law or otherwise) shall in any respect limit the obligations and liabilities of any Guarantor with respect to its obligations hereunder, and subject to </w:t>
      </w:r>
      <w:r>
        <w:rPr>
          <w:rFonts w:ascii="Times New Roman;serif" w:hAnsi="Times New Roman;serif"/>
          <w:b w:val="false"/>
          <w:color w:val="000000"/>
          <w:sz w:val="22"/>
          <w:u w:val="single"/>
        </w:rPr>
        <w:t>Section 4.16</w:t>
      </w:r>
      <w:r>
        <w:rPr>
          <w:rFonts w:ascii="Times New Roman;serif" w:hAnsi="Times New Roman;serif"/>
          <w:b w:val="false"/>
          <w:color w:val="000000"/>
          <w:sz w:val="22"/>
        </w:rPr>
        <w:t>, each Guarantor shall remain liable for the full amount of the obligations of such Guarantor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09245"/>
                <wp:effectExtent l="0" t="0" r="0" b="0"/>
                <wp:wrapNone/>
                <wp:docPr id="255" name="Frame254"/>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ARTICLE IV</w:t>
        <w:br/>
        <w:br/>
      </w:r>
      <w:r>
        <w:rPr>
          <w:rFonts w:ascii="Times New Roman;serif" w:hAnsi="Times New Roman;serif"/>
          <w:b/>
          <w:color w:val="000000"/>
          <w:sz w:val="22"/>
          <w:u w:val="single"/>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Notices</w:t>
      </w:r>
      <w:r>
        <w:rPr>
          <w:rFonts w:ascii="Times New Roman;serif" w:hAnsi="Times New Roman;serif"/>
          <w:b w:val="false"/>
          <w:color w:val="000000"/>
          <w:sz w:val="22"/>
        </w:rPr>
        <w:t>. All communications and notices hereunder shall (except as otherwise expressly permitted herein) be in writing and given as provided in Section 10.02 of the Credit Agreement. All communications and notices hereunder to any Subsidiary Party shall be given to it in care of the Company as provided in Section 10.02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Waivers; Amendment</w:t>
      </w:r>
      <w:r>
        <w:rPr>
          <w:rFonts w:ascii="Times New Roman;serif" w:hAnsi="Times New Roman;serif"/>
          <w:b w:val="false"/>
          <w:color w:val="000000"/>
          <w:sz w:val="22"/>
        </w:rPr>
        <w:t xml:space="preserve">. (a) No failure or delay by the Administrative Agent, any L/C Issuer, any Lender or any other Secured Party in exercising any right, remedy, power or privilege hereunder or under any other Secured Credit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Secured Parties hereunder and under the other Secured Credit Documents are cumulative and are not exclusive of any rights, remedies, powers or privileges that they would otherwise have. No waiver of any provision of this Agreement or consent to any departure by any Loan Party therefrom shall in any event be effective unless the same shall be permitted by paragraph (b) of this </w:t>
      </w:r>
      <w:r>
        <w:rPr>
          <w:rFonts w:ascii="Times New Roman;serif" w:hAnsi="Times New Roman;serif"/>
          <w:b w:val="false"/>
          <w:color w:val="000000"/>
          <w:sz w:val="22"/>
          <w:u w:val="single"/>
        </w:rPr>
        <w:t>Section 4.02</w:t>
      </w:r>
      <w:r>
        <w:rPr>
          <w:rFonts w:ascii="Times New Roman;serif" w:hAnsi="Times New Roman;serif"/>
          <w:b w:val="false"/>
          <w:color w:val="000000"/>
          <w:sz w:val="22"/>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L/C Issuer may have had notice or knowledge of such Default at the time. No notice or demand on any Loan Party in any case shall entitle any Loan Party to any other or further notice or demand in similar or other circumstances.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Neither this Agreement nor any provision hereof may be waived, amended or modified except pursuant to an agreement or agreements in writing entered into by the Administrative Agent and the Loan Party or Loan Parties with respect to which such waiver, amendment or modification is to apply, subject to any consent required in accordance with Section 10.01 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Each Guarantor hereby acknowledges and affirms that it understands that to the extent the Guaranteed Obligations are secured by real property located in the State of California, such Guarantor shall be liable for the full amount of the liability hereunder notwithstanding foreclosure on such real property by trustee sale or any other reason impairing such Guarantor’s or any Secured Party’s right to proceed against any Borrower or any other guarantor of the Guaranteed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Each Guarantor hereby waives, to the fullest extent permitted by applicable Law, all rights and benefits under Sections 580a, 580b, 580d and 726 of the California Code of Civil Procedure. Each Guarantor hereby further waives, to the fullest extent permitted by applicable Law, without limiting the generality of the foregoing or any other provision hereof, all rights and benefits which might otherwise be available to such Guarantor under Sections 2809, 2810, 2815, 2819, 2821, 2839, 2845, 2846, 2847, 2848, 2849, 2850, 2899 and 3433 of the California Civil Code.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    Each Guarantor waives its rights of subrogation and reimbursement and any other rights and defenses available to such Guarantor by reason of Sections 2787 to 2855, inclusive, of the California Civil Code, including, without limitation, (1) any defenses such Guarantor may have to this Agreement by reason of an election of remedies by the Secured Parties and (2) any rights or defenses such Guarantor may have by reason of protection afforded to the Borrowers pursuant to the antideficiency or other laws of California limiting or discharging the Borrowers’ indebtedness, including, without limitation, Section 580a, 580b, 580d and 726 of the California Code of Civil Procedure. In furtherance of such provisions, each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09245"/>
                <wp:effectExtent l="0" t="0" r="0" b="0"/>
                <wp:wrapNone/>
                <wp:docPr id="256" name="Frame255"/>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Guarantor hereby waives all rights and defenses arising out of an election of remedies of the Secured Parties, even though that election of remedies, such as a nonjudicial foreclosure destroys such Guarantor’s rights of subrogation and reimbursement against a Borrower by the operation of Section 580d of the California Code of Civil Procedure or otherwise.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Each Guarantor warrants and agrees that each of the waivers set forth above is made with full knowledge of its significance and consequences and that if any of such waivers are determined to be contrary to any applicable Law or public policy, such waivers shall be effective only to the maximum extent permitted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4.03.    </w:t>
      </w:r>
      <w:r>
        <w:rPr>
          <w:rFonts w:ascii="Times New Roman;serif" w:hAnsi="Times New Roman;serif"/>
          <w:b w:val="false"/>
          <w:color w:val="000000"/>
          <w:sz w:val="22"/>
          <w:u w:val="single"/>
        </w:rPr>
        <w:t>Administrative Agent’s Fees and Expenses; Indemnification</w:t>
      </w:r>
      <w:r>
        <w:rPr>
          <w:rFonts w:ascii="Times New Roman;serif" w:hAnsi="Times New Roman;serif"/>
          <w:b w:val="false"/>
          <w:color w:val="000000"/>
          <w:sz w:val="22"/>
        </w:rPr>
        <w:t>. (a) The parties hereto agree that the Administrative Agent shall be entitled to reimbursement of its expenses incurred hereunder as provided in Section 10.04 of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Without limitation of its indemnification obligations under the other Secured Credit Documents, each Guarantor jointly and severally agrees to indemnify the Administrative Agent and the other Indemnitees (as defined in Section 10.05 of the Credit Agreement) against, and hold each Indemnitee harmless from, any and all losses, claims, damages, liabilities and related expenses, including the reasonable fees, charges and disbursements of any counsel for any Indemnitee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incurred by or asserted against any Indemnitee arising out of, in connection with, or as a result of, the execution, delivery, performance or enforcement of this Agreement or any claim, litigation, investigation or proceeding relating to any of the foregoing, whether or not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losses, claims, damages, liabilities or related expenses are determined by a court of competent jurisdiction by a final and non-appealable decision to have resulted from the gross negligence, bad faith or willful misconduct of, or material breach of this Agreement by, such Indemnitee or of any Affiliate, director, officer, employee, counsel, agent or attorney-in-fact of such Indemnitee.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Any such amounts payable as provided hereunder shall be additional Guaranteed Obligations secured hereby and by the other Collateral Documents. The provisions of this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 xml:space="preserve">shall remain operative and in full force and effect regardless of the termination of this Agreement or any other Secured Credit Document, the consummation of the transactions contemplated hereby, the repayment of any of the Guaranteed Obligations, the invalidity or unenforceability of any term or provision of this Agreement or any other Secured Credit Document, or any investigation made by or on behalf of the Administrative Agent or any other Secured Party. All amounts due under this </w:t>
      </w:r>
      <w:r>
        <w:rPr>
          <w:rFonts w:ascii="Times New Roman;serif" w:hAnsi="Times New Roman;serif"/>
          <w:b w:val="false"/>
          <w:color w:val="000000"/>
          <w:sz w:val="22"/>
          <w:u w:val="single"/>
        </w:rPr>
        <w:t>Section 4.03</w:t>
      </w:r>
      <w:r>
        <w:rPr>
          <w:color w:val="000000"/>
        </w:rPr>
        <w:t xml:space="preserve"> </w:t>
      </w:r>
      <w:r>
        <w:rPr>
          <w:rFonts w:ascii="Times New Roman;serif" w:hAnsi="Times New Roman;serif"/>
          <w:b w:val="false"/>
          <w:color w:val="000000"/>
          <w:sz w:val="22"/>
        </w:rPr>
        <w:t>shall be payable within ten Business Days of written demand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4.04.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Whenever in this Agreement any of the parties hereto is referred to, such reference shall be deemed to include the permitted successors and assigns of such party; and all covenants, promises and agreements by or on behalf of any Guarantor or the Administrative Agent that are contained in this Agreement shall bind and inure to the benefit of their respective successors and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val="false"/>
          <w:color w:val="000000"/>
          <w:sz w:val="22"/>
        </w:rPr>
        <w:t>Section 4.05.    </w:t>
      </w:r>
      <w:r>
        <w:rPr>
          <w:rFonts w:ascii="Times New Roman;serif" w:hAnsi="Times New Roman;serif"/>
          <w:b w:val="false"/>
          <w:color w:val="000000"/>
          <w:sz w:val="22"/>
          <w:u w:val="single"/>
        </w:rPr>
        <w:t>Survival of Agreement</w:t>
      </w:r>
      <w:r>
        <w:rPr>
          <w:rFonts w:ascii="Times New Roman;serif" w:hAnsi="Times New Roman;serif"/>
          <w:b w:val="false"/>
          <w:color w:val="000000"/>
          <w:sz w:val="22"/>
        </w:rPr>
        <w:t xml:space="preserve">. All covenants, agreements, representations and warranties made by the Guaranteed Parties in the Secured Credit Documents and in the certificates or other instruments prepared or delivered in connection with or pursuant to this Agreement or any other Secured Credit Document shall be considered to have been relied upon by the relevant Secured Parties and shall survive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09245"/>
                <wp:effectExtent l="0" t="0" r="0" b="0"/>
                <wp:wrapNone/>
                <wp:docPr id="257" name="Frame256"/>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execution and delivery of the relevant Secured Credit Documents and the making of any Loans and issuance of any Letters of Credit, regardless of any investigation made by any Secured Party or on its behalf and notwithstanding that the Administrative Agent, any L/C Issuer, any Lender or any other Secured Party may have had notice or knowledge of any Default or default under any other Secured Credit Document or any incorrect representation or warranty at the time any credit is extended under any Secured Credit Document, and shall continue in full force and effect with respect to each Guarantor until this Agreement is terminated with respect to such Guarantor or such Guarantor is otherwise released from its obligations under this Agreement in each case pursuant to </w:t>
      </w:r>
      <w:r>
        <w:rPr>
          <w:rFonts w:ascii="Times New Roman;serif" w:hAnsi="Times New Roman;serif"/>
          <w:b w:val="false"/>
          <w:color w:val="000000"/>
          <w:sz w:val="22"/>
          <w:u w:val="single"/>
        </w:rPr>
        <w:t>Section 4.13</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4.06.    </w:t>
      </w:r>
      <w:r>
        <w:rPr>
          <w:rFonts w:ascii="Times New Roman;serif" w:hAnsi="Times New Roman;serif"/>
          <w:b w:val="false"/>
          <w:color w:val="000000"/>
          <w:sz w:val="22"/>
          <w:u w:val="single"/>
        </w:rPr>
        <w:t>Counterparts; Effectiveness; Several Agreement</w:t>
      </w:r>
      <w:r>
        <w:rPr>
          <w:rFonts w:ascii="Times New Roman;serif" w:hAnsi="Times New Roman;serif"/>
          <w:b w:val="false"/>
          <w:color w:val="000000"/>
          <w:sz w:val="22"/>
        </w:rPr>
        <w:t>. This Agreement may be executed in counterparts, each of which shall constitute an original but all of which when taken together shall constitute a single contract. Delivery of an executed signature page to this Agreement by facsimile or electronic (i.e., “tif” or “pdf”) transmission shall be as effective as delivery of a manually signed counterpart of this Agreement. This Agreement shall become effective as to any Loan Party when a counterpart hereof executed on behalf of such Loan Party shall have been delivered to the Administrative Agent and a counterpart hereof shall have been executed on behalf of the Administrative Agent, and thereafter shall be binding upon such Loan Party and the Administrative Agent and their respective permitted successors and assigns, and shall inure to the benefit of such Loan Party, the Administrative Agent and the other Secured Parties and their respective successors and assigns, except that no Loan Party shall have the right to assign or transfer its rights or obligations hereunder or any interest herein (and any such assignment or transfer shall be void) except as expressly contemplated by this Agreement or the Credit Agreement. This Agreement shall be construed as a separate agreement with respect to each Loan Party and may be amended, modified, restated, supplemented, waived or released with respect to any Loan Party without the approval of any other Loan Party and without affecting the obligations of any other Loan Party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4.07.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In addition to any rights and remedies of the Lenders provided by Law, upon the occurrence and during the continuance of any Event of Default, each Lender and its Affiliates is authorized at any time and from time to time, without prior notice to the Borrowers or any other Guaranteed Party, any such notice being waived by the Borrowers and each other Guaranteed Party to the fullest extent permitted by applicable Law, to set off and apply any and all deposits (general or special, time or demand, provisional or final) at any time held by, and other Indebtedness at any time owing by, such Lender and its Affiliates to or for the credit or the account of the respective Loan Parties against any and all Guaranteed Obligations owing to such Lender and its Affiliates hereunder, now or hereafter existing, irrespective of whether or not such Lender or Affiliate shall have made demand under this Agreement and although such Guaranteed Obligations may be contingent or unmatured or denominated in a currency different from that of the applicable deposit or Indebtedness. Each Lender agrees promptly to notify the Company and the Administrative Agent after any such set off and application made by such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failure to give such notice shall not affect the validity of such setoff and application. The rights of each Lender under this </w:t>
      </w:r>
      <w:r>
        <w:rPr>
          <w:rFonts w:ascii="Times New Roman;serif" w:hAnsi="Times New Roman;serif"/>
          <w:b w:val="false"/>
          <w:color w:val="000000"/>
          <w:sz w:val="22"/>
          <w:u w:val="single"/>
        </w:rPr>
        <w:t>Section 4.08</w:t>
      </w:r>
      <w:r>
        <w:rPr>
          <w:color w:val="000000"/>
        </w:rPr>
        <w:t xml:space="preserve"> </w:t>
      </w:r>
      <w:r>
        <w:rPr>
          <w:rFonts w:ascii="Times New Roman;serif" w:hAnsi="Times New Roman;serif"/>
          <w:b w:val="false"/>
          <w:color w:val="000000"/>
          <w:sz w:val="22"/>
        </w:rPr>
        <w:t>are in addition to other rights and remedies (including other rights of setoff) that such Lender may have.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left"/>
        <w:rPr/>
      </w:pPr>
      <w:r>
        <w:rPr>
          <w:rFonts w:ascii="Times New Roman;serif" w:hAnsi="Times New Roman;serif"/>
          <w:b w:val="false"/>
          <w:color w:val="000000"/>
          <w:sz w:val="22"/>
        </w:rPr>
        <w:t>Section 4.09.    </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 (a) This Agreement shall be construed in accordance with and governed by the law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09245"/>
                <wp:effectExtent l="0" t="0" r="0" b="0"/>
                <wp:wrapNone/>
                <wp:docPr id="258" name="Frame257"/>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of the Loan Parties hereby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and to bring proceedings against any Guarantor in the courts of any other jurisdiction in connection with the exercise of any rights under this Agreement or the enforcement of any judgment.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Each of the Loan Parties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Times New Roman;serif" w:hAnsi="Times New Roman;serif"/>
          <w:b w:val="false"/>
          <w:color w:val="000000"/>
          <w:sz w:val="22"/>
          <w:u w:val="single"/>
        </w:rPr>
        <w:t>Section 4.09</w:t>
      </w:r>
      <w:r>
        <w:rPr>
          <w:rFonts w:ascii="Times New Roman;serif" w:hAnsi="Times New Roman;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Each party to this Agreement irrevocably consents to service of process in the manner provided for notices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Nothing in this Agreement or any other Loan Document will affect the right of any party to this Agreement to serve process in any other manner permitted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4.10.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EXPRESSLY WAIVES ANY RIGHT TO TRIAL BY JURY OF ANY CLAIM, DEMAND, ACTION OR CAUSE OF ACTION ARISING UNDER THIS AGREEMENT OR IN ANY WAY CONNECTED WITH OR RELATED OR INCIDENTAL TO THE DEALINGS OF THE PARTIES HERETO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serif" w:hAnsi="Times New Roman;serif"/>
          <w:b w:val="false"/>
          <w:color w:val="000000"/>
          <w:sz w:val="22"/>
          <w:u w:val="single"/>
        </w:rPr>
        <w:t>SECTION 4.10</w:t>
      </w:r>
      <w:r>
        <w:rPr>
          <w:color w:val="000000"/>
        </w:rPr>
        <w:t xml:space="preserve"> </w:t>
      </w:r>
      <w:r>
        <w:rPr>
          <w:rFonts w:ascii="Times New Roman;serif" w:hAnsi="Times New Roman;serif"/>
          <w:b w:val="false"/>
          <w:color w:val="000000"/>
          <w:sz w:val="22"/>
        </w:rPr>
        <w:t>WITH ANY COURT AS WRITTEN EVIDENCE OF THE CONSENT OF THE SIGNATORIES HERETO TO THE WAIVER OF THEIR RIGHT TO TRIAL BY JURY.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4.11.    </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are not to affect the construction of, or to be taken into consideration in interpreting,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val="false"/>
          <w:color w:val="000000"/>
          <w:sz w:val="22"/>
        </w:rPr>
        <w:t>Section 4.12.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xml:space="preserve">. All rights of the Administrative Agent hereunder and all obligations of each Guarantor hereunder shall be absolute and unconditional irrespective of (a) any lack of validity or enforceability of the Credit Agreement, any other Loan Document, any other Secured Hedge Agreement, any other agreement with respect to any of the Guaranteed Obligations or any other agreement or instrument relating to any of the foregoing, (b) any change in the time, manner or place of payment of, or in any other term of, all or any of the Guaranteed Obligations, or any other amendment or waiver of or any consent to any departure from the Credit Agreement, any other Loan Document, any other Secured Hedge Agreement or any other agreement or instrument, (c) any release or amendment or waiver of or consent under or departure from any guaranty guaranteeing all or any portion of the Guaranteed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09245"/>
                <wp:effectExtent l="0" t="0" r="0" b="0"/>
                <wp:wrapNone/>
                <wp:docPr id="259" name="Frame258"/>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or (d) subject to the terms of </w:t>
      </w:r>
      <w:r>
        <w:rPr>
          <w:rFonts w:ascii="Times New Roman;serif" w:hAnsi="Times New Roman;serif"/>
          <w:b w:val="false"/>
          <w:color w:val="000000"/>
          <w:sz w:val="22"/>
          <w:u w:val="single"/>
        </w:rPr>
        <w:t>Section 4.13</w:t>
      </w:r>
      <w:r>
        <w:rPr>
          <w:rFonts w:ascii="Times New Roman;serif" w:hAnsi="Times New Roman;serif"/>
          <w:b w:val="false"/>
          <w:color w:val="000000"/>
          <w:sz w:val="22"/>
        </w:rPr>
        <w:t>, any other circumstance that might otherwise constitute a defense available to, or a discharge of, any Guarantor in respect of the Guaranteed Obligations or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4.13.    </w:t>
      </w:r>
      <w:r>
        <w:rPr>
          <w:rFonts w:ascii="Times New Roman;serif" w:hAnsi="Times New Roman;serif"/>
          <w:b w:val="false"/>
          <w:color w:val="000000"/>
          <w:sz w:val="22"/>
          <w:u w:val="single"/>
        </w:rPr>
        <w:t>Termination or Release</w:t>
      </w:r>
      <w:r>
        <w:rPr>
          <w:rFonts w:ascii="Times New Roman;serif" w:hAnsi="Times New Roman;serif"/>
          <w:b w:val="false"/>
          <w:color w:val="000000"/>
          <w:sz w:val="22"/>
        </w:rPr>
        <w:t xml:space="preserve">. (a) Subject to </w:t>
      </w:r>
      <w:r>
        <w:rPr>
          <w:rFonts w:ascii="Times New Roman;serif" w:hAnsi="Times New Roman;serif"/>
          <w:b w:val="false"/>
          <w:color w:val="000000"/>
          <w:sz w:val="22"/>
          <w:u w:val="single"/>
        </w:rPr>
        <w:t>Section 2.04</w:t>
      </w:r>
      <w:r>
        <w:rPr>
          <w:rFonts w:ascii="Times New Roman;serif" w:hAnsi="Times New Roman;serif"/>
          <w:b w:val="false"/>
          <w:color w:val="000000"/>
          <w:sz w:val="22"/>
        </w:rPr>
        <w:t>, this Agreement and the Guarantees made herein shall terminate with respect to all Guaranteed Obligations when all the outstanding Guaranteed Obligations (other than Guaranteed Obligations in respect of Secured Hedge Agreements and Cash Management Obligations not yet due and payable (to the extent permitted by the terms thereof) and contingent indemnification obligations not yet accrued and payable) have been indefeasibly paid in full and the Lenders have no further commitment to lend under the Credit Agreement, the L/C Obligations have been reduced to zero (other than L/C Obligations that have been fully cash collateralized or supported by a backstop letter of credit in each case in an amount and on terms reasonably satisfactory to the Administrative Agent and the L/C Issuer) and the L/C Issuers have no further obligations to issue Letters of Credit under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Subsidiary Party shall automatically be released from its obligations hereunder upon the consummation of any transaction permitted by the Credit Agreement as a result of which such Subsidiary Party ceases to be a Subsidiary of the Company or becomes an Excluded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In connection with any termination or release pursuant to paragraph (a) or (b), the Administrative Agent shall promptly execute and deliver to any Guarantor, at such Guarantor’s expense, all documents that such Guarantor shall reasonably request to evidence such termination or release. Any execution and delivery of documents pursuant to this </w:t>
      </w:r>
      <w:r>
        <w:rPr>
          <w:rFonts w:ascii="Times New Roman;serif" w:hAnsi="Times New Roman;serif"/>
          <w:b w:val="false"/>
          <w:color w:val="000000"/>
          <w:sz w:val="22"/>
          <w:u w:val="single"/>
        </w:rPr>
        <w:t>Section 4.13</w:t>
      </w:r>
      <w:r>
        <w:rPr>
          <w:color w:val="000000"/>
        </w:rPr>
        <w:t xml:space="preserve"> </w:t>
      </w:r>
      <w:r>
        <w:rPr>
          <w:rFonts w:ascii="Times New Roman;serif" w:hAnsi="Times New Roman;serif"/>
          <w:b w:val="false"/>
          <w:color w:val="000000"/>
          <w:sz w:val="22"/>
        </w:rPr>
        <w:t>shall be without recourse to or warranty by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At any time that each Borrower desires that the Administrative Agent take any of the actions described in the immediately preceding clause (c), it shall, upon request of the Administrative Agent, deliver to the Administrative Agent an officer’s certificate certifying that the release of the respective Subsidiary Party is permitted pursuant to paragraph (a) or (b). The Administrative Agent shall have no liability whatsoever to any Secured Party as the result of any release of any Subsidiary Party by it as permitted (or which the Administrative Agent in good faith believes to be permitted) by this </w:t>
      </w:r>
      <w:r>
        <w:rPr>
          <w:rFonts w:ascii="Times New Roman;serif" w:hAnsi="Times New Roman;serif"/>
          <w:b w:val="false"/>
          <w:color w:val="000000"/>
          <w:sz w:val="22"/>
          <w:u w:val="single"/>
        </w:rPr>
        <w:t>Section 4.13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Notwithstanding anything to the contrary set forth in this Agreement, each Cash Management Bank and each Hedge Bank by the acceptance of the benefits under this Agreement hereby acknowledge and agree that (i) the obligations of the Borrowers or any Subsidiary under any Secured Hedge Agreement and the Cash Management Obligations shall be guaranteed pursuant to this Agreement only to the extent that, and for so long as, the other Guaranteed Obligations are so guaranteed and (ii) any release of a Guarantor effected in the manner permitted by this Agreement shall not require the consent of any Hedge Bank or Cash Management Bank.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to the contrary in this Agreement or in any other Loan Document, without the consent of the Required Lenders, no Subsidiary Party shall be released from its obligations hereunder if such Subsidiary Party ceases to be a Wholly Owned Subsidiary solely by virtue of a disposition or issuance of Equity Interests, unless such disposition or issuance is a good faith disposition or issuance to a bona-fide unaffiliated third party whose primary purpose is not the release of the Guarantee and obligations of such Subsidiary Party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4.14.    </w:t>
      </w:r>
      <w:r>
        <w:rPr>
          <w:rFonts w:ascii="Times New Roman;serif" w:hAnsi="Times New Roman;serif"/>
          <w:b w:val="false"/>
          <w:color w:val="000000"/>
          <w:sz w:val="22"/>
          <w:u w:val="single"/>
        </w:rPr>
        <w:t>Additional Subsidiaries</w:t>
      </w:r>
      <w:r>
        <w:rPr>
          <w:rFonts w:ascii="Times New Roman;serif" w:hAnsi="Times New Roman;serif"/>
          <w:b w:val="false"/>
          <w:color w:val="000000"/>
          <w:sz w:val="22"/>
        </w:rPr>
        <w:t xml:space="preserve">. Pursuant to Section 6.11 of the Credit Agreement, certain Subsidiaries of the Loan Parties that were not in existence on the date of the Credit Agreement are required to enter in this Agreement as Subsidiary Parties upon becoming a Subsidiary. In addition, certain Subsidiaries of the Loan Parties that are not required under the Credit Agreement to enter in this Agreement as Subsidiary Parties may elect to do so at their option. Upon execution and delivery by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09245"/>
                <wp:effectExtent l="0" t="0" r="0" b="0"/>
                <wp:wrapNone/>
                <wp:docPr id="260" name="Frame25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and a Subsidiary of a Guaranty Agreement Supplement, such Subsidiary shall become a Subsidiary Party hereunder with the same force and effect as if originally named as a Subsidiary Party herein. The execution and delivery of any such instrument shall not require the consent of any other Loan Party hereunder. The rights and obligations of each Loan Party hereunder shall remain in full force and effect notwithstanding the addition of any new Loan Party as a party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4.15.    </w:t>
      </w:r>
      <w:r>
        <w:rPr>
          <w:rFonts w:ascii="Times New Roman;serif" w:hAnsi="Times New Roman;serif"/>
          <w:b w:val="false"/>
          <w:color w:val="000000"/>
          <w:sz w:val="22"/>
          <w:u w:val="single"/>
        </w:rPr>
        <w:t>Recourse</w:t>
      </w:r>
      <w:r>
        <w:rPr>
          <w:rFonts w:ascii="Times New Roman;serif" w:hAnsi="Times New Roman;serif"/>
          <w:b w:val="false"/>
          <w:color w:val="000000"/>
          <w:sz w:val="22"/>
        </w:rPr>
        <w:t>. This Agreement is made with full recourse to each Guarantor and pursuant to and upon all the warranties, representations, covenants and agreements on the part of such Guarantor contained herein, in the Loan Documents and the other Secured Credit Documents and otherwise in writing in connection herewith or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4.16.    </w:t>
      </w:r>
      <w:r>
        <w:rPr>
          <w:rFonts w:ascii="Times New Roman;serif" w:hAnsi="Times New Roman;serif"/>
          <w:b w:val="false"/>
          <w:color w:val="000000"/>
          <w:sz w:val="22"/>
          <w:u w:val="single"/>
        </w:rPr>
        <w:t>Limitation on Guaranteed Obligations</w:t>
      </w:r>
      <w:r>
        <w:rPr>
          <w:rFonts w:ascii="Times New Roman;serif" w:hAnsi="Times New Roman;serif"/>
          <w:b w:val="false"/>
          <w:color w:val="000000"/>
          <w:sz w:val="22"/>
        </w:rPr>
        <w:t>. Each Guarantor that is a Subsidiary Party and each Secured Party (by its acceptance of the benefits of this Agreement) hereby confirms that it is its intention that this Agreement not constitute a fraudulent transfer or conveyance for purposes of any Debtor Relief Laws (including the Bankruptcy Code of the United States, the Uniform Fraudulent Conveyance Act or any similar Federal or state law). To effectuate the foregoing intention, each Guarantor that is a Subsidiary Party and each Secured Party (by its acceptance of the benefits of this Agreement) hereby irrevocably agrees that the Guaranteed Obligations owing by such Guarantor under this Agreement shall be limited to such amount as will, after giving effect to such amount and all other (contingent or otherwise) liabilities of such Guarantor that are relevant under such Debtor Relief Laws (it being understood that it is the intention of the parties to this Agreement and the parties to any guarantee of any Junior Financing that is subordinated to any of the Guaranteed Obligations, to the maximum extent permitted under applicable Laws, that the liabilities in respect of the guarantees of such Junior Financing shall not be included for the foregoing purposes and that, if any reduction is required to the amount guaranteed by any Guarantor hereunder and with respect to such Junior Financing that its guarantee of amounts owing in respect of such Junior Financing shall first be reduced) and after giving effect to any rights to contribution and/or subrogation pursuant to any agreement providing for an equitable contribution and/or subrogation among such Guarantor and the other Guarantors, result in the Guaranteed Obligations of such Guarantor in respect of such amount not constituting a fraudulent transfer or conveyance and the maximum liability of each Guarantor hereunder and under the Secured Credit Documents shall in no event exceed such amount. Notwithstanding the provisions of the two preceding sentences, as between the Secured Parties and the holders of such Junior Financing, it is agreed (and the provisions of Junior Financing Documentation shall so provide) that any diminution (whether pursuant to court decree or otherwise) of any Guarantor’s obligation to make any distribution or payment pursuant to this Agreement shall have no force or effect for purposes of the subordination provisions contained in such Junior Financing Documentation, and that any payments received in respect of a Guarantor’s obligations with respect to such Junior Financing shall be turned over to the holders of the “</w:t>
      </w:r>
      <w:r>
        <w:rPr>
          <w:rFonts w:ascii="Times New Roman;serif" w:hAnsi="Times New Roman;serif"/>
          <w:b w:val="false"/>
          <w:color w:val="000000"/>
          <w:sz w:val="22"/>
          <w:u w:val="single"/>
        </w:rPr>
        <w:t>Senior Indebtedness</w:t>
      </w:r>
      <w:r>
        <w:rPr>
          <w:color w:val="000000"/>
        </w:rPr>
        <w:t xml:space="preserve">” </w:t>
      </w:r>
      <w:r>
        <w:rPr>
          <w:rFonts w:ascii="Times New Roman;serif" w:hAnsi="Times New Roman;serif"/>
          <w:b w:val="false"/>
          <w:color w:val="000000"/>
          <w:sz w:val="22"/>
        </w:rPr>
        <w:t xml:space="preserve">(as defined in such Junior Financing Documentation) (or obligations which would have constituted Senior Indebtedness if same had not been reduced or disallowed) of such Guarantor (which Senior Indebtedness shall be calculated as if there were no diminution thereto pursuant to this </w:t>
      </w:r>
      <w:r>
        <w:rPr>
          <w:rFonts w:ascii="Times New Roman;serif" w:hAnsi="Times New Roman;serif"/>
          <w:b w:val="false"/>
          <w:color w:val="000000"/>
          <w:sz w:val="22"/>
          <w:u w:val="single"/>
        </w:rPr>
        <w:t>Section 4.16</w:t>
      </w:r>
      <w:r>
        <w:rPr>
          <w:color w:val="000000"/>
        </w:rPr>
        <w:t xml:space="preserve"> </w:t>
      </w:r>
      <w:r>
        <w:rPr>
          <w:rFonts w:ascii="Times New Roman;serif" w:hAnsi="Times New Roman;serif"/>
          <w:b w:val="false"/>
          <w:color w:val="000000"/>
          <w:sz w:val="22"/>
        </w:rPr>
        <w:t>or for any other reason other than the indefeasible payment in full in cash of the respective obligations which would otherwise have constituted Senior Indebtedness) until all such Senior Indebtedness (or obligations which would have constituted Senior Indebtedness if same had not been reduced or disallowed) has been indefeasibly paid in full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0" w:right="0" w:firstLine="720"/>
        <w:jc w:val="both"/>
        <w:rPr/>
      </w:pPr>
      <w:r>
        <w:rPr>
          <w:rFonts w:ascii="Times New Roman;serif" w:hAnsi="Times New Roman;serif"/>
          <w:b w:val="false"/>
          <w:color w:val="000000"/>
          <w:sz w:val="22"/>
        </w:rPr>
        <w:t>Section 4.17.    </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ECP Guarantor hereby jointly and severally absolutely, unconditionally and irrevocably undertakes to provide such funds or other support as may be needed from time to time by each other Guarantor to honor all of its obligations under this Agreement in respect of Swap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each Qualified ECP Guarantor shall only be liable under this </w:t>
      </w:r>
      <w:r>
        <w:rPr>
          <w:rFonts w:ascii="Times New Roman;serif" w:hAnsi="Times New Roman;serif"/>
          <w:b w:val="false"/>
          <w:color w:val="000000"/>
          <w:sz w:val="22"/>
          <w:u w:val="single"/>
        </w:rPr>
        <w:t>Section 4.17</w:t>
      </w:r>
      <w:r>
        <w:rPr>
          <w:color w:val="000000"/>
        </w:rPr>
        <w:t xml:space="preserve"> </w:t>
      </w:r>
      <w:r>
        <w:rPr>
          <w:rFonts w:ascii="Times New Roman;serif" w:hAnsi="Times New Roman;serif"/>
          <w:b w:val="false"/>
          <w:color w:val="000000"/>
          <w:sz w:val="22"/>
        </w:rPr>
        <w:t xml:space="preserve">for the maximum amount of such liability that can be hereby incurred without rendering its obligations under this </w:t>
      </w:r>
      <w:r>
        <w:rPr>
          <w:rFonts w:ascii="Times New Roman;serif" w:hAnsi="Times New Roman;serif"/>
          <w:b w:val="false"/>
          <w:color w:val="000000"/>
          <w:sz w:val="22"/>
          <w:u w:val="single"/>
        </w:rPr>
        <w:t>Section 4.17</w:t>
      </w:r>
      <w:r>
        <w:rPr>
          <w:rFonts w:ascii="Times New Roman;serif" w:hAnsi="Times New Roman;serif"/>
          <w:b w:val="false"/>
          <w:color w:val="000000"/>
          <w:sz w:val="22"/>
        </w:rPr>
        <w:t xml:space="preserve">, or otherwise under this Agreement, as it relates to such other Guarantor, voidable under applicable Law relating to fraudulent conveyance or fraudulent transfer, and not for any greater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09245"/>
                <wp:effectExtent l="0" t="0" r="0" b="0"/>
                <wp:wrapNone/>
                <wp:docPr id="261" name="Frame260"/>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amount). The obligations of each Qualified ECP Guarantor under this Section shall remain in full force and effect until a Discharge of Guaranteed Obligations. Each Qualified ECP Guarantor intends that this </w:t>
      </w:r>
      <w:r>
        <w:rPr>
          <w:rFonts w:ascii="Times New Roman;serif" w:hAnsi="Times New Roman;serif"/>
          <w:b w:val="false"/>
          <w:color w:val="000000"/>
          <w:sz w:val="22"/>
          <w:u w:val="single"/>
        </w:rPr>
        <w:t>Section 4.17</w:t>
      </w:r>
      <w:r>
        <w:rPr>
          <w:color w:val="000000"/>
        </w:rPr>
        <w:t xml:space="preserve"> </w:t>
      </w:r>
      <w:r>
        <w:rPr>
          <w:rFonts w:ascii="Times New Roman;serif" w:hAnsi="Times New Roman;serif"/>
          <w:b w:val="false"/>
          <w:color w:val="000000"/>
          <w:sz w:val="22"/>
        </w:rPr>
        <w:t xml:space="preserve">constitute, and this </w:t>
      </w:r>
      <w:r>
        <w:rPr>
          <w:rFonts w:ascii="Times New Roman;serif" w:hAnsi="Times New Roman;serif"/>
          <w:b w:val="false"/>
          <w:color w:val="000000"/>
          <w:sz w:val="22"/>
          <w:u w:val="single"/>
        </w:rPr>
        <w:t>Section 4.17</w:t>
      </w:r>
      <w:r>
        <w:rPr>
          <w:color w:val="000000"/>
        </w:rPr>
        <w:t xml:space="preserve"> </w:t>
      </w:r>
      <w:r>
        <w:rPr>
          <w:rFonts w:ascii="Times New Roman;serif" w:hAnsi="Times New Roman;serif"/>
          <w:b w:val="false"/>
          <w:color w:val="000000"/>
          <w:sz w:val="22"/>
        </w:rPr>
        <w:t>shall be deemed to constitute, a “keepwell, support, or other agreement” for the benefit of each other Loan Party for all purposes of Section 1a(18)(A)(v)(II) of the Commodity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4.18.    </w:t>
      </w:r>
      <w:r>
        <w:rPr>
          <w:rFonts w:ascii="Times New Roman;serif" w:hAnsi="Times New Roman;serif"/>
          <w:b w:val="false"/>
          <w:color w:val="000000"/>
          <w:sz w:val="22"/>
          <w:u w:val="single"/>
        </w:rPr>
        <w:t>Amendment and Restatement; No Novation</w:t>
      </w:r>
      <w:r>
        <w:rPr>
          <w:rFonts w:ascii="Times New Roman;serif" w:hAnsi="Times New Roman;serif"/>
          <w:b w:val="false"/>
          <w:color w:val="000000"/>
          <w:sz w:val="22"/>
        </w:rPr>
        <w:t>. This Agreement constitutes an amendment and restatement of that certain Third Amended and Restated Guaranty Agreement dated as of September 19, 2024 (as amended, restated, supplemented, reaffirmed or otherwise modified, the “</w:t>
      </w:r>
      <w:r>
        <w:rPr>
          <w:rFonts w:ascii="Times New Roman;serif" w:hAnsi="Times New Roman;serif"/>
          <w:b w:val="false"/>
          <w:color w:val="000000"/>
          <w:sz w:val="22"/>
          <w:u w:val="single"/>
        </w:rPr>
        <w:t>Existing Guaranty Agreement</w:t>
      </w:r>
      <w:r>
        <w:rPr>
          <w:color w:val="000000"/>
        </w:rPr>
        <w:t>”</w:t>
      </w:r>
      <w:r>
        <w:rPr>
          <w:rFonts w:ascii="Times New Roman;serif" w:hAnsi="Times New Roman;serif"/>
          <w:b w:val="false"/>
          <w:color w:val="000000"/>
          <w:sz w:val="22"/>
        </w:rPr>
        <w:t>), effective from and after the Closing Date. The execution and delivery of this Agreement shall not constitute a novation of any indebtedness or other obligations owing to the Lenders or the Collateral Agent under the Existing Credit Agreement or guaranteed by the Existing Guaranty Agreement or release of any Liens securing any such indebtedness or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4.19.    </w:t>
      </w:r>
      <w:r>
        <w:rPr>
          <w:rFonts w:ascii="Times New Roman;serif" w:hAnsi="Times New Roman;serif"/>
          <w:b w:val="false"/>
          <w:color w:val="000000"/>
          <w:sz w:val="22"/>
          <w:u w:val="single"/>
        </w:rPr>
        <w:t>Acknowledgment Regarding Any Supported QFCs</w:t>
      </w:r>
      <w:r>
        <w:rPr>
          <w:rFonts w:ascii="Times New Roman;serif" w:hAnsi="Times New Roman;serif"/>
          <w:b w:val="false"/>
          <w:color w:val="000000"/>
          <w:sz w:val="22"/>
        </w:rPr>
        <w:t>. The provisions contained in Section 10.25 of the Credit Agreement shall be applicable to this Agreement and each Guaranty Agreement Supplement and are hereby incorporated by reference as if fully set forth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09245"/>
                <wp:effectExtent l="0" t="0" r="0" b="0"/>
                <wp:wrapNone/>
                <wp:docPr id="262" name="Frame261"/>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their duly authorized officers to execute and deliver this Agreement as of the date first above written.</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jc w:val="left"/>
        <w:rPr/>
      </w:pPr>
      <w:r>
        <w:rPr/>
      </w:r>
    </w:p>
    <w:tbl>
      <w:tblPr>
        <w:tblW w:w="4358" w:type="dxa"/>
        <w:jc w:val="right"/>
        <w:tblInd w:w="0" w:type="dxa"/>
        <w:tblLayout w:type="fixed"/>
        <w:tblCellMar>
          <w:top w:w="28" w:type="dxa"/>
          <w:left w:w="28" w:type="dxa"/>
          <w:bottom w:w="28" w:type="dxa"/>
          <w:right w:w="28" w:type="dxa"/>
        </w:tblCellMar>
      </w:tblPr>
      <w:tblGrid>
        <w:gridCol w:w="739"/>
        <w:gridCol w:w="648"/>
        <w:gridCol w:w="648"/>
        <w:gridCol w:w="648"/>
        <w:gridCol w:w="648"/>
        <w:gridCol w:w="65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GUARANTORS: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730" w:type="dxa"/>
        <w:jc w:val="right"/>
        <w:tblInd w:w="0" w:type="dxa"/>
        <w:tblLayout w:type="fixed"/>
        <w:tblCellMar>
          <w:top w:w="28" w:type="dxa"/>
          <w:left w:w="28" w:type="dxa"/>
          <w:bottom w:w="28" w:type="dxa"/>
          <w:right w:w="28" w:type="dxa"/>
        </w:tblCellMar>
      </w:tblPr>
      <w:tblGrid>
        <w:gridCol w:w="537"/>
        <w:gridCol w:w="473"/>
        <w:gridCol w:w="473"/>
        <w:gridCol w:w="623"/>
        <w:gridCol w:w="623"/>
        <w:gridCol w:w="629"/>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498475"/>
                <wp:effectExtent l="0" t="0" r="0" b="0"/>
                <wp:wrapNone/>
                <wp:docPr id="263" name="Frame26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0"/>
        <w:jc w:val="left"/>
        <w:rPr/>
      </w:pPr>
      <w:r>
        <w:rPr/>
      </w:r>
    </w:p>
    <w:tbl>
      <w:tblPr>
        <w:tblW w:w="5786" w:type="dxa"/>
        <w:jc w:val="right"/>
        <w:tblInd w:w="0" w:type="dxa"/>
        <w:tblLayout w:type="fixed"/>
        <w:tblCellMar>
          <w:top w:w="28" w:type="dxa"/>
          <w:left w:w="28" w:type="dxa"/>
          <w:bottom w:w="28" w:type="dxa"/>
          <w:right w:w="28" w:type="dxa"/>
        </w:tblCellMar>
      </w:tblPr>
      <w:tblGrid>
        <w:gridCol w:w="1001"/>
        <w:gridCol w:w="881"/>
        <w:gridCol w:w="881"/>
        <w:gridCol w:w="881"/>
        <w:gridCol w:w="881"/>
        <w:gridCol w:w="889"/>
        <w:gridCol w:w="109"/>
        <w:gridCol w:w="109"/>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color w:val="000000"/>
                <w:sz w:val="22"/>
              </w:rPr>
            </w:pPr>
            <w:r>
              <w:rPr>
                <w:rFonts w:ascii="Times New Roman;serif" w:hAnsi="Times New Roman;serif"/>
                <w:b/>
                <w:color w:val="000000"/>
                <w:sz w:val="22"/>
              </w:rPr>
              <w:t>BFG NEBRASKA,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BFG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BLOOMIN’ BRANDS GIFT CARD SERVICES,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BEVERAGES,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BRANDYWINE,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DESIGNATED PARTNER, LLC</w:t>
              <w:br/>
              <w:t>BONEFISH GRILL, LLC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HOLDINGS,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OF BEL AIR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BONEFISH/ASHEVILLE,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BONEFISH/CAROLINAS,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BONEFISH/COLUMBUS-I,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BONEFISH/CRESCENT SPRINGS,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BONEFISH/GREENSBORO, LIMITED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BONEFISH/HYDE PARK,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DESIGNATED PARTNER,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ITALIAN GRILL OF HOWARD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COUNTY,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ITALIAN GRILL,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OF BOWIE,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OF GERMANTOWN,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CARRABBA’S OF WALDORF,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CARRABBA’S/BIRMINGHAM 280,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CARRABBA’S/DC-I, LIMITED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BEVERAGES OF TEXAS,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HOLDINGS,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498475"/>
                <wp:effectExtent l="0" t="0" r="0" b="0"/>
                <wp:wrapNone/>
                <wp:docPr id="264" name="Frame26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tbl>
      <w:tblPr>
        <w:tblW w:w="5817" w:type="dxa"/>
        <w:jc w:val="right"/>
        <w:tblInd w:w="0" w:type="dxa"/>
        <w:tblLayout w:type="fixed"/>
        <w:tblCellMar>
          <w:top w:w="28" w:type="dxa"/>
          <w:left w:w="28" w:type="dxa"/>
          <w:bottom w:w="28" w:type="dxa"/>
          <w:right w:w="28" w:type="dxa"/>
        </w:tblCellMar>
      </w:tblPr>
      <w:tblGrid>
        <w:gridCol w:w="1008"/>
        <w:gridCol w:w="887"/>
        <w:gridCol w:w="887"/>
        <w:gridCol w:w="887"/>
        <w:gridCol w:w="887"/>
        <w:gridCol w:w="88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CIGI/BFG OF EAST BRUNSWICK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 OMAHA,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DOORSIDE,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FREDERICK OUTBACK,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PRIVATE RESTAURANT PROPERTIES,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OBTEX HOLDINGS, LLC</w:t>
              <w:br/>
              <w:t>OS MANAGEMENT,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 REALTY,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 RESTAURANT SERVICES,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OSF NEBRASKA,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OSF/BFG OF DEPTFORD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OSF/BFG OF LAWRENCEVILLE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OSF/CIGI OF EVESHAM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HOLDCO,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HOLDCO I, INC.</w:t>
              <w:br/>
              <w:t>OSI HOLDCO II,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ALABAMA,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BEVERAGES OF TEXAS,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DESIGNATED PARTNER,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OF ASPEN HILL,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OF LAUREL,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OF SILVER SPRING,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STEAKHOUSE OF FLORIDA,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STEAKHOUSE WEST VIRGINIA,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OUTBACK/CARRABBA’S PARTNERSHIP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OUTBACK/STONE-II, LIMITED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PRIVATE RESTAURANT MASTER LESSEE,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0" w:after="0"/>
        <w:ind w:left="0" w:right="0" w:firstLine="720"/>
        <w:jc w:val="left"/>
        <w:rPr/>
      </w:pPr>
      <w:r>
        <w:rPr/>
      </w:r>
    </w:p>
    <w:p>
      <w:pPr>
        <w:pStyle w:val="TextBody"/>
        <w:bidi w:val="0"/>
        <w:spacing w:before="0" w:after="0"/>
        <w:ind w:left="0" w:right="0" w:firstLine="36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498475"/>
                <wp:effectExtent l="0" t="0" r="0" b="0"/>
                <wp:wrapNone/>
                <wp:docPr id="265" name="Frame26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100" w:after="283"/>
        <w:jc w:val="right"/>
        <w:rPr/>
      </w:pPr>
      <w:r>
        <w:rPr/>
      </w:r>
    </w:p>
    <w:tbl>
      <w:tblPr>
        <w:tblW w:w="8275" w:type="dxa"/>
        <w:jc w:val="right"/>
        <w:tblInd w:w="0" w:type="dxa"/>
        <w:tblLayout w:type="fixed"/>
        <w:tblCellMar>
          <w:top w:w="28" w:type="dxa"/>
          <w:left w:w="28" w:type="dxa"/>
          <w:bottom w:w="28" w:type="dxa"/>
          <w:right w:w="28" w:type="dxa"/>
        </w:tblCellMar>
      </w:tblPr>
      <w:tblGrid>
        <w:gridCol w:w="1464"/>
        <w:gridCol w:w="1285"/>
        <w:gridCol w:w="1285"/>
        <w:gridCol w:w="1285"/>
        <w:gridCol w:w="1285"/>
        <w:gridCol w:w="1299"/>
        <w:gridCol w:w="109"/>
        <w:gridCol w:w="109"/>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0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WELLS FARGO BANK, NATIONAL ASSOCIATION, </w:t>
            </w:r>
            <w:r>
              <w:rPr>
                <w:rFonts w:ascii="Times New Roman;serif" w:hAnsi="Times New Roman;serif"/>
                <w:b w:val="false"/>
                <w:color w:val="000000"/>
                <w:sz w:val="22"/>
              </w:rPr>
              <w:t>as Administrative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Anne Shroyer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Anne Shroyer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498475"/>
                <wp:effectExtent l="0" t="0" r="0" b="0"/>
                <wp:wrapNone/>
                <wp:docPr id="266" name="Frame26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Guaranty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SCHEDULE I to the </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Guaranty Agreement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SUBSIDIARY PARTIES</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1.BFG Nebraska,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2.BFG Oklahoma,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3.Bloomin’ Brands Gift Card Services,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4.Bonefish Beverages,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5.Bonefish Brandywine,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6.Bonefish Designated Partner,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7.Bonefish Grill,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8.Bonefish Holdings,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9.Bonefish Kansas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10.Bonefish of Bel Air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11.Bonefish/Asheville,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12.Bonefish/Carolinas,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13.Bonefish/Columbus-I,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14.Bonefish/Crescent Springs,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15.Bonefish/Greensboro,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16.Bonefish/Hyde Park,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17.Carrabba’s Designated Partner,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18.Carrabba’s Italian Grill of Howard County,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19.Carrabba’s Italian Grill,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20.Carrabba’s Kansas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21.Carrabba’s of Bowie,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22.Carrabbas of Germantown,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23.Carrabba’s of Waldorf,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24.Carrabba’s/Birmingham 280, Limited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16840"/>
                <wp:effectExtent l="0" t="0" r="0" b="0"/>
                <wp:wrapNone/>
                <wp:docPr id="267" name="Frame2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25.Carrabba’s/DC-I, Limited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26.CIGI Beverages of Texas,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27.CIGI Holdings,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28.CIGI Oklahoma,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29.CIGI/BFG of East Brunswick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30.CIG Omaha,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31.DoorSide,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32.Frederick Outback,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33.New Private Restaurant Properties,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34.OBTex Holdings,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35.OS Management, Inc.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36.OS Realty, LLC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37.OS Restaurant Services, LLC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38.OSF Nebraska, Inc.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39.OSF Oklahoma, Inc.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40.OSF/BFG of Deptford Partnership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41.OSF/BFG of Lawrenceville Partnership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42.OSF/CIGI of Evesham Partnership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43.OSI HoldCo,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44.OSI HoldCo I,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45.OSI HoldCo II,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46.Outback Alabama, Inc.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47.Outback Beverages of Texas, LLC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48.Outback Designated Partner, LLC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49.Outback Kansas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50.Outback of Aspen Hill, Inc.</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16840"/>
                <wp:effectExtent l="0" t="0" r="0" b="0"/>
                <wp:wrapNone/>
                <wp:docPr id="268" name="Frame2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51.Outback of Laurel,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52.Outback of Silver Spring,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53.Outback Steakhouse of Florida, LLC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54.Outback Steakhouse West Virginia,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55.Outback/Carrabba’s Partnership</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56.Outback/Stone-II, Limited Partnership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57.Private Restaurant Master Lessee, LLC</w:t>
      </w:r>
    </w:p>
    <w:p>
      <w:pPr>
        <w:pStyle w:val="TextBody"/>
        <w:bidi w:val="0"/>
        <w:spacing w:before="0" w:after="24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16840"/>
                <wp:effectExtent l="0" t="0" r="0" b="0"/>
                <wp:wrapNone/>
                <wp:docPr id="269" name="Frame2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EXHIBIT I to the </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Guaranty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SUPPLEMENT NO. __ (this “Supplement”) dated as of [●], to the Fourth Amended and Restated Guaranty Agreement dated as of September 25, 2026 (the “</w:t>
      </w:r>
      <w:r>
        <w:rPr>
          <w:rFonts w:ascii="Times New Roman;serif" w:hAnsi="Times New Roman;serif"/>
          <w:b w:val="false"/>
          <w:color w:val="000000"/>
          <w:sz w:val="22"/>
          <w:u w:val="single"/>
        </w:rPr>
        <w:t>Guaranty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Subsidiaries of the Company identified therein and WELLS FARGO BANK, NATIONAL ASSOCIATION, as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Reference is made to (i) the Fourth Amended and Restated Credit Agreement dated as of September 25, 2026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Borrowers, each Lender from time to time party thereto and Wells Fargo Bank, National Association, as Administrative Agent, Collateral Agent, Swing Line Lender and an L/C Issuer, (ii) each Secured Hedge Agreement (as defined in the Credit Agreement) and (iii) the Cash Management Obligations (as defined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Capitalized terms used herein and not otherwise defined herein shall have the meanings assigned to such terms in the Credit Agreement and the Guaranty Agreement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2"/>
        </w:rPr>
        <w:t>C.    The Guarantors have entered into the Guaranty Agreement in order to induce (x) the Lenders to make Loans and the L/C Issuers to issue Letters of Credit, (y) the Hedge Banks to enter into and/or maintain Secured Hedge Agreements and (z) the Cash Management Banks to provide Cash Management Services. Section 4.14 of the Guaranty Agreement provides that additional Subsidiaries of the Company may become Subsidiary Parties under the Guaranty Agreement by execution and delivery of an instrument in the form of this Supplement. The undersigned Subsidiary (the “</w:t>
      </w:r>
      <w:r>
        <w:rPr>
          <w:rFonts w:ascii="Times New Roman;serif" w:hAnsi="Times New Roman;serif"/>
          <w:b w:val="false"/>
          <w:color w:val="000000"/>
          <w:sz w:val="22"/>
          <w:u w:val="single"/>
        </w:rPr>
        <w:t>New Subsidiary</w:t>
      </w:r>
      <w:r>
        <w:rPr>
          <w:color w:val="000000"/>
        </w:rPr>
        <w:t>”</w:t>
      </w:r>
      <w:r>
        <w:rPr>
          <w:rFonts w:ascii="Times New Roman;serif" w:hAnsi="Times New Roman;serif"/>
          <w:b w:val="false"/>
          <w:color w:val="000000"/>
          <w:sz w:val="22"/>
        </w:rPr>
        <w:t>) is executing this Supplement in accordance with the requirements of the Credit Agreement to become a Subsidiary Party under the Guaranty Agreement in order to induce the Lenders to make additional Loans and the L/C Issuers to issue additional Letters of Credit and as consideration for Loans previously made and Letters of Credit previously issued.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the Administrative Agent and the New Subsidiary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1</w:t>
      </w:r>
      <w:r>
        <w:rPr>
          <w:rFonts w:ascii="Times New Roman;serif" w:hAnsi="Times New Roman;serif"/>
          <w:b w:val="false"/>
          <w:color w:val="000000"/>
          <w:sz w:val="22"/>
        </w:rPr>
        <w:t>. In accordance with Section 4.14 of the Guaranty Agreement, the New Subsidiary by its signature below becomes a Subsidiary Party and Guarantor under the Guaranty Agreement with the same force and effect as if originally named therein as a Subsidiary Party and the New Subsidiary hereby (a) agrees to all the terms and provisions of the Guaranty Agreement applicable to it as a Subsidiary Party and Guarantor thereunder and (b) represents and warrants that the representations and warranties made by it as a Guarantor thereunder are true and correct on and as of the date hereof. Each reference to a “</w:t>
      </w:r>
      <w:r>
        <w:rPr>
          <w:rFonts w:ascii="Times New Roman;serif" w:hAnsi="Times New Roman;serif"/>
          <w:b w:val="false"/>
          <w:color w:val="000000"/>
          <w:sz w:val="22"/>
          <w:u w:val="single"/>
        </w:rPr>
        <w:t>Guarantor</w:t>
      </w:r>
      <w:r>
        <w:rPr>
          <w:color w:val="000000"/>
        </w:rPr>
        <w:t xml:space="preserve">” </w:t>
      </w:r>
      <w:r>
        <w:rPr>
          <w:rFonts w:ascii="Times New Roman;serif" w:hAnsi="Times New Roman;serif"/>
          <w:b w:val="false"/>
          <w:color w:val="000000"/>
          <w:sz w:val="22"/>
        </w:rPr>
        <w:t>in the Guaranty Agreement shall be deemed to include the New Subsidiary. The Guaranty Agreement is hereby incorporated herein by reference.</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2</w:t>
      </w:r>
      <w:r>
        <w:rPr>
          <w:rFonts w:ascii="Times New Roman;serif" w:hAnsi="Times New Roman;serif"/>
          <w:b w:val="false"/>
          <w:color w:val="000000"/>
          <w:sz w:val="22"/>
        </w:rPr>
        <w:t>. The New Subsidiary represents and warrants to the Administrative Agent and the other Secured Parties that (i) it has the power and authority to enter into this Supplement and (ii) this Supplement has been duly authorized, executed and delivered by it and constitutes its legal, valid and binding obligation, enforceable against it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3</w:t>
      </w:r>
      <w:r>
        <w:rPr>
          <w:rFonts w:ascii="Times New Roman;serif" w:hAnsi="Times New Roman;serif"/>
          <w:b w:val="false"/>
          <w:color w:val="000000"/>
          <w:sz w:val="22"/>
        </w:rPr>
        <w:t xml:space="preserve">. This Supplement may be executed in counterparts (and by different parties hereto on different counterparts), each of which shall constitute an original, but all of which when taken together shall constitute a single contract. This Supplement shall become effective when the Administrative Agent shall have received a counterpart of this Supplement that bears the signature of the New Subsidiary and the Administrative Agent has executed a counterpart hereof. Delivery of an executed signature page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16840"/>
                <wp:effectExtent l="0" t="0" r="0" b="0"/>
                <wp:wrapNone/>
                <wp:docPr id="270" name="Frame2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Supplement by facsimile or electronic (i.e., “tif” or “pdf”) transmission shall be as effective as delivery of a manually signed counterpart of this Supplement.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4</w:t>
      </w:r>
      <w:r>
        <w:rPr>
          <w:rFonts w:ascii="Times New Roman;serif" w:hAnsi="Times New Roman;serif"/>
          <w:b w:val="false"/>
          <w:color w:val="000000"/>
          <w:sz w:val="22"/>
        </w:rPr>
        <w:t>. Except as expressly supplemented hereby, the Guaranty Agreement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5</w:t>
      </w:r>
      <w:r>
        <w:rPr>
          <w:rFonts w:ascii="Times New Roman;serif" w:hAnsi="Times New Roman;serif"/>
          <w:b w:val="false"/>
          <w:color w:val="000000"/>
          <w:sz w:val="22"/>
        </w:rPr>
        <w:t>. THIS SUPPLEMENT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6</w:t>
      </w:r>
      <w:r>
        <w:rPr>
          <w:rFonts w:ascii="Times New Roman;serif" w:hAnsi="Times New Roman;serif"/>
          <w:b w:val="false"/>
          <w:color w:val="000000"/>
          <w:sz w:val="22"/>
        </w:rPr>
        <w:t>. In case any one or more of the provisions contained in this Supplement should be held invalid, illegal or unenforceable in any respect, the validity, legality and enforceability of the remaining provisions contained herein and in the Guaranty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7</w:t>
      </w:r>
      <w:r>
        <w:rPr>
          <w:rFonts w:ascii="Times New Roman;serif" w:hAnsi="Times New Roman;serif"/>
          <w:b w:val="false"/>
          <w:color w:val="000000"/>
          <w:sz w:val="22"/>
        </w:rPr>
        <w:t>. All communications and notices hereunder shall be in writing and given as provided in Section 4.01 of the Guaranty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8</w:t>
      </w:r>
      <w:r>
        <w:rPr>
          <w:rFonts w:ascii="Times New Roman;serif" w:hAnsi="Times New Roman;serif"/>
          <w:b w:val="false"/>
          <w:color w:val="000000"/>
          <w:sz w:val="22"/>
        </w:rPr>
        <w:t>. The New Subsidiary agrees to reimburse the Administrative Agent, on the same terms and to the same extent as provided for in Section 4.03 of the Guaranty Agreement, for its reasonable out-of-pocket expenses in connection with this Supplement, including the reasonable fees, other charges and disbursements of counsel for the Administrative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16840"/>
                <wp:effectExtent l="0" t="0" r="0" b="0"/>
                <wp:wrapNone/>
                <wp:docPr id="271" name="Frame2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226511354_2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New Subsidiary and the Administrative Agent have duly executed this Supplement to the Guaranty Agreement as of the day and year first above written.</w:t>
      </w:r>
    </w:p>
    <w:tbl>
      <w:tblPr>
        <w:tblW w:w="3627" w:type="dxa"/>
        <w:jc w:val="right"/>
        <w:tblInd w:w="0" w:type="dxa"/>
        <w:tblLayout w:type="fixed"/>
        <w:tblCellMar>
          <w:top w:w="28" w:type="dxa"/>
          <w:left w:w="28" w:type="dxa"/>
          <w:bottom w:w="28" w:type="dxa"/>
          <w:right w:w="28" w:type="dxa"/>
        </w:tblCellMar>
      </w:tblPr>
      <w:tblGrid>
        <w:gridCol w:w="602"/>
        <w:gridCol w:w="529"/>
        <w:gridCol w:w="529"/>
        <w:gridCol w:w="529"/>
        <w:gridCol w:w="529"/>
        <w:gridCol w:w="537"/>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6"/>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[NAME OF NEW SUBSIDIARY]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498475"/>
                <wp:effectExtent l="0" t="0" r="0" b="0"/>
                <wp:wrapNone/>
                <wp:docPr id="272" name="Frame27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Guaranty Agreement Supplement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Guaranty Agreement Supplement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w:t>
      </w:r>
    </w:p>
    <w:p>
      <w:pPr>
        <w:pStyle w:val="TextBody"/>
        <w:bidi w:val="0"/>
        <w:spacing w:lineRule="auto" w:line="288" w:before="0" w:after="0"/>
        <w:jc w:val="center"/>
        <w:rPr/>
      </w:pPr>
      <w:r>
        <w:rPr>
          <w:rFonts w:ascii="Times New Roman;serif" w:hAnsi="Times New Roman;serif"/>
          <w:b w:val="false"/>
          <w:color w:val="000000"/>
          <w:sz w:val="22"/>
        </w:rPr>
        <w:br/>
      </w:r>
      <w:r>
        <w:rPr>
          <w:rFonts w:ascii="Times New Roman;serif" w:hAnsi="Times New Roman;serif"/>
          <w:b/>
          <w:color w:val="000000"/>
          <w:sz w:val="22"/>
          <w:u w:val="single"/>
        </w:rPr>
        <w:t>SECURITY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EXECUTION VERSION</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16840"/>
                <wp:effectExtent l="0" t="0" r="0" b="0"/>
                <wp:wrapNone/>
                <wp:docPr id="273" name="Frame2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62.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before="0" w:after="240"/>
        <w:jc w:val="center"/>
        <w:rPr/>
      </w:pPr>
      <w:r>
        <w:rPr/>
      </w:r>
    </w:p>
    <w:p>
      <w:pPr>
        <w:pStyle w:val="TextBody"/>
        <w:bidi w:val="0"/>
        <w:spacing w:before="0" w:after="240"/>
        <w:jc w:val="right"/>
        <w:rPr/>
      </w:pPr>
      <w:r>
        <w:rPr/>
      </w:r>
    </w:p>
    <w:p>
      <w:pPr>
        <w:pStyle w:val="TextBody"/>
        <w:bidi w:val="0"/>
        <w:spacing w:before="0" w:after="240"/>
        <w:jc w:val="right"/>
        <w:rPr/>
      </w:pPr>
      <w:r>
        <w:rPr/>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______________________________________________________________________________</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FOURTH AMENDED AND RESTATED SECURITY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September 25, 2026</w:t>
        <w:br/>
        <w:br/>
        <w:t>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OSI RESTAURANT PARTNERS, LLC,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BLOOMIN’ BRANDS,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SUBSIDIARIES OF BLOOMIN’ BRANDS,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IDENTIFIED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______________________________________________________________________________</w:t>
      </w:r>
    </w:p>
    <w:p>
      <w:pPr>
        <w:pStyle w:val="TextBody"/>
        <w:bidi w:val="0"/>
        <w:spacing w:before="0" w:after="240"/>
        <w:jc w:val="center"/>
        <w:rPr/>
      </w:pPr>
      <w:r>
        <w:rPr/>
      </w:r>
    </w:p>
    <w:p>
      <w:pPr>
        <w:pStyle w:val="TextBody"/>
        <w:bidi w:val="0"/>
        <w:spacing w:lineRule="auto" w:line="288" w:before="0" w:after="240"/>
        <w:jc w:val="left"/>
        <w:rPr>
          <w:color w:val="000000"/>
        </w:rPr>
      </w:pPr>
      <w:r>
        <w:rPr>
          <w:color w:val="000000"/>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Ref: CID# 000010817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16840"/>
                <wp:effectExtent l="0" t="0" r="0" b="0"/>
                <wp:wrapNone/>
                <wp:docPr id="274" name="Frame2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before="0" w:after="0"/>
        <w:jc w:val="center"/>
        <w:rPr/>
      </w:pPr>
      <w:r>
        <w:rPr/>
      </w:r>
    </w:p>
    <w:p>
      <w:pPr>
        <w:pStyle w:val="TextBody"/>
        <w:bidi w:val="0"/>
        <w:spacing w:before="0" w:after="200"/>
        <w:jc w:val="right"/>
        <w:rPr/>
      </w:pPr>
      <w:r>
        <w:rPr/>
      </w:r>
    </w:p>
    <w:p>
      <w:pPr>
        <w:pStyle w:val="TextBody"/>
        <w:bidi w:val="0"/>
        <w:spacing w:before="0" w:after="0"/>
        <w:jc w:val="left"/>
        <w:rPr/>
      </w:pPr>
      <w:r>
        <w:rPr/>
      </w:r>
    </w:p>
    <w:tbl>
      <w:tblPr>
        <w:tblW w:w="10022" w:type="dxa"/>
        <w:jc w:val="left"/>
        <w:tblInd w:w="0" w:type="dxa"/>
        <w:tblLayout w:type="fixed"/>
        <w:tblCellMar>
          <w:top w:w="28" w:type="dxa"/>
          <w:left w:w="28" w:type="dxa"/>
          <w:bottom w:w="28" w:type="dxa"/>
          <w:right w:w="28" w:type="dxa"/>
        </w:tblCellMar>
      </w:tblPr>
      <w:tblGrid>
        <w:gridCol w:w="519"/>
        <w:gridCol w:w="460"/>
        <w:gridCol w:w="461"/>
        <w:gridCol w:w="207"/>
        <w:gridCol w:w="207"/>
        <w:gridCol w:w="207"/>
        <w:gridCol w:w="2413"/>
        <w:gridCol w:w="2413"/>
        <w:gridCol w:w="2418"/>
        <w:gridCol w:w="207"/>
        <w:gridCol w:w="207"/>
        <w:gridCol w:w="303"/>
      </w:tblGrid>
      <w:tr>
        <w:trPr/>
        <w:tc>
          <w:tcPr>
            <w:tcW w:w="51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Credit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61">
              <w:r>
                <w:rPr>
                  <w:rStyle w:val="InternetLink"/>
                  <w:rFonts w:ascii="Times New Roman;serif" w:hAnsi="Times New Roman;serif"/>
                  <w:b w:val="false"/>
                  <w:strike w:val="false"/>
                  <w:dstrike w:val="false"/>
                  <w:color w:val="000000"/>
                  <w:sz w:val="22"/>
                  <w:u w:val="none"/>
                  <w:effect w:val="none"/>
                </w:rPr>
                <w:t>1</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Defined Terms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61">
              <w:r>
                <w:rPr>
                  <w:rStyle w:val="InternetLink"/>
                  <w:rFonts w:ascii="Times New Roman;serif" w:hAnsi="Times New Roman;serif"/>
                  <w:b w:val="false"/>
                  <w:strike w:val="false"/>
                  <w:dstrike w:val="false"/>
                  <w:color w:val="000000"/>
                  <w:sz w:val="22"/>
                  <w:u w:val="none"/>
                  <w:effect w:val="none"/>
                </w:rPr>
                <w:t>1</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 of Securities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67">
              <w:r>
                <w:rPr>
                  <w:rStyle w:val="InternetLink"/>
                  <w:rFonts w:ascii="Times New Roman;serif" w:hAnsi="Times New Roman;serif"/>
                  <w:b w:val="false"/>
                  <w:strike w:val="false"/>
                  <w:dstrike w:val="false"/>
                  <w:color w:val="000000"/>
                  <w:sz w:val="22"/>
                  <w:u w:val="none"/>
                  <w:effect w:val="none"/>
                </w:rPr>
                <w:t>5</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Delivery of the Pledged Collateral</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70">
              <w:r>
                <w:rPr>
                  <w:rStyle w:val="InternetLink"/>
                  <w:rFonts w:ascii="Times New Roman;serif" w:hAnsi="Times New Roman;serif"/>
                  <w:b w:val="false"/>
                  <w:strike w:val="false"/>
                  <w:dstrike w:val="false"/>
                  <w:color w:val="000000"/>
                  <w:sz w:val="22"/>
                  <w:u w:val="none"/>
                  <w:effect w:val="none"/>
                </w:rPr>
                <w:t>6</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Warranties and Covenants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73">
              <w:r>
                <w:rPr>
                  <w:rStyle w:val="InternetLink"/>
                  <w:rFonts w:ascii="Times New Roman;serif" w:hAnsi="Times New Roman;serif"/>
                  <w:b w:val="false"/>
                  <w:strike w:val="false"/>
                  <w:dstrike w:val="false"/>
                  <w:color w:val="000000"/>
                  <w:sz w:val="22"/>
                  <w:u w:val="none"/>
                  <w:effect w:val="none"/>
                </w:rPr>
                <w:t>7</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Certification of Limited Liability Company and Limited Partnership Interests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76">
              <w:r>
                <w:rPr>
                  <w:rStyle w:val="InternetLink"/>
                  <w:rFonts w:ascii="Times New Roman;serif" w:hAnsi="Times New Roman;serif"/>
                  <w:b w:val="false"/>
                  <w:strike w:val="false"/>
                  <w:dstrike w:val="false"/>
                  <w:color w:val="000000"/>
                  <w:sz w:val="22"/>
                  <w:u w:val="none"/>
                  <w:effect w:val="none"/>
                </w:rPr>
                <w:t>8</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in Nominee Name; Denominations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79">
              <w:r>
                <w:rPr>
                  <w:rStyle w:val="InternetLink"/>
                  <w:rFonts w:ascii="Times New Roman;serif" w:hAnsi="Times New Roman;serif"/>
                  <w:b w:val="false"/>
                  <w:strike w:val="false"/>
                  <w:dstrike w:val="false"/>
                  <w:color w:val="000000"/>
                  <w:sz w:val="22"/>
                  <w:u w:val="none"/>
                  <w:effect w:val="none"/>
                </w:rPr>
                <w:t>8</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Voting Rights; Dividends and Interest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82">
              <w:r>
                <w:rPr>
                  <w:rStyle w:val="InternetLink"/>
                  <w:rFonts w:ascii="Times New Roman;serif" w:hAnsi="Times New Roman;serif"/>
                  <w:b w:val="false"/>
                  <w:strike w:val="false"/>
                  <w:dstrike w:val="false"/>
                  <w:color w:val="000000"/>
                  <w:sz w:val="22"/>
                  <w:u w:val="none"/>
                  <w:effect w:val="none"/>
                </w:rPr>
                <w:t>8</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2.07.</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 Not a Partner or Limited Liability Company Member</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85">
              <w:r>
                <w:rPr>
                  <w:rStyle w:val="InternetLink"/>
                  <w:rFonts w:ascii="Times New Roman;serif" w:hAnsi="Times New Roman;serif"/>
                  <w:b w:val="false"/>
                  <w:strike w:val="false"/>
                  <w:dstrike w:val="false"/>
                  <w:color w:val="000000"/>
                  <w:sz w:val="22"/>
                  <w:u w:val="none"/>
                  <w:effect w:val="none"/>
                </w:rPr>
                <w:t>10</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Interests in Personal Property</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Interest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91">
              <w:r>
                <w:rPr>
                  <w:rStyle w:val="InternetLink"/>
                  <w:rFonts w:ascii="Times New Roman;serif" w:hAnsi="Times New Roman;serif"/>
                  <w:b w:val="false"/>
                  <w:strike w:val="false"/>
                  <w:dstrike w:val="false"/>
                  <w:color w:val="000000"/>
                  <w:sz w:val="22"/>
                  <w:u w:val="none"/>
                  <w:effect w:val="none"/>
                </w:rPr>
                <w:t>10</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94">
              <w:r>
                <w:rPr>
                  <w:rStyle w:val="InternetLink"/>
                  <w:rFonts w:ascii="Times New Roman;serif" w:hAnsi="Times New Roman;serif"/>
                  <w:b w:val="false"/>
                  <w:strike w:val="false"/>
                  <w:dstrike w:val="false"/>
                  <w:color w:val="000000"/>
                  <w:sz w:val="22"/>
                  <w:u w:val="none"/>
                  <w:effect w:val="none"/>
                </w:rPr>
                <w:t>12</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697">
              <w:r>
                <w:rPr>
                  <w:rStyle w:val="InternetLink"/>
                  <w:rFonts w:ascii="Times New Roman;serif" w:hAnsi="Times New Roman;serif"/>
                  <w:b w:val="false"/>
                  <w:strike w:val="false"/>
                  <w:dstrike w:val="false"/>
                  <w:color w:val="000000"/>
                  <w:sz w:val="22"/>
                  <w:u w:val="none"/>
                  <w:effect w:val="none"/>
                </w:rPr>
                <w:t>13</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Actions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00">
              <w:r>
                <w:rPr>
                  <w:rStyle w:val="InternetLink"/>
                  <w:rFonts w:ascii="Times New Roman;serif" w:hAnsi="Times New Roman;serif"/>
                  <w:b w:val="false"/>
                  <w:strike w:val="false"/>
                  <w:dstrike w:val="false"/>
                  <w:color w:val="000000"/>
                  <w:sz w:val="22"/>
                  <w:u w:val="none"/>
                  <w:effect w:val="none"/>
                </w:rPr>
                <w:t>15</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Provisions Concerning Intellectual Property Collateral</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of License to Use Intellectual Property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06">
              <w:r>
                <w:rPr>
                  <w:rStyle w:val="InternetLink"/>
                  <w:rFonts w:ascii="Times New Roman;serif" w:hAnsi="Times New Roman;serif"/>
                  <w:b w:val="false"/>
                  <w:strike w:val="false"/>
                  <w:dstrike w:val="false"/>
                  <w:color w:val="000000"/>
                  <w:sz w:val="22"/>
                  <w:u w:val="none"/>
                  <w:effect w:val="none"/>
                </w:rPr>
                <w:t>16</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Protection of Collateral Agent’s Security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09">
              <w:r>
                <w:rPr>
                  <w:rStyle w:val="InternetLink"/>
                  <w:rFonts w:ascii="Times New Roman;serif" w:hAnsi="Times New Roman;serif"/>
                  <w:b w:val="false"/>
                  <w:strike w:val="false"/>
                  <w:dstrike w:val="false"/>
                  <w:color w:val="000000"/>
                  <w:sz w:val="22"/>
                  <w:u w:val="none"/>
                  <w:effect w:val="none"/>
                </w:rPr>
                <w:t>16</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After-Acquired Property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12">
              <w:r>
                <w:rPr>
                  <w:rStyle w:val="InternetLink"/>
                  <w:rFonts w:ascii="Times New Roman;serif" w:hAnsi="Times New Roman;serif"/>
                  <w:b w:val="false"/>
                  <w:strike w:val="false"/>
                  <w:dstrike w:val="false"/>
                  <w:color w:val="000000"/>
                  <w:sz w:val="22"/>
                  <w:u w:val="none"/>
                  <w:effect w:val="none"/>
                </w:rPr>
                <w:t>17</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 Upon Default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18">
              <w:r>
                <w:rPr>
                  <w:rStyle w:val="InternetLink"/>
                  <w:rFonts w:ascii="Times New Roman;serif" w:hAnsi="Times New Roman;serif"/>
                  <w:b w:val="false"/>
                  <w:strike w:val="false"/>
                  <w:dstrike w:val="false"/>
                  <w:color w:val="000000"/>
                  <w:sz w:val="22"/>
                  <w:u w:val="none"/>
                  <w:effect w:val="none"/>
                </w:rPr>
                <w:t>17</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Proceeds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21">
              <w:r>
                <w:rPr>
                  <w:rStyle w:val="InternetLink"/>
                  <w:rFonts w:ascii="Times New Roman;serif" w:hAnsi="Times New Roman;serif"/>
                  <w:b w:val="false"/>
                  <w:strike w:val="false"/>
                  <w:dstrike w:val="false"/>
                  <w:color w:val="000000"/>
                  <w:sz w:val="22"/>
                  <w:u w:val="none"/>
                  <w:effect w:val="none"/>
                </w:rPr>
                <w:t>19</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Indemnity, Subrogation and Subordination</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Indemnity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27">
              <w:r>
                <w:rPr>
                  <w:rStyle w:val="InternetLink"/>
                  <w:rFonts w:ascii="Times New Roman;serif" w:hAnsi="Times New Roman;serif"/>
                  <w:b w:val="false"/>
                  <w:strike w:val="false"/>
                  <w:dstrike w:val="false"/>
                  <w:color w:val="000000"/>
                  <w:sz w:val="22"/>
                  <w:u w:val="none"/>
                  <w:effect w:val="none"/>
                </w:rPr>
                <w:t>19</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Contribution and Subrogation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30">
              <w:r>
                <w:rPr>
                  <w:rStyle w:val="InternetLink"/>
                  <w:rFonts w:ascii="Times New Roman;serif" w:hAnsi="Times New Roman;serif"/>
                  <w:b w:val="false"/>
                  <w:strike w:val="false"/>
                  <w:dstrike w:val="false"/>
                  <w:color w:val="000000"/>
                  <w:sz w:val="22"/>
                  <w:u w:val="none"/>
                  <w:effect w:val="none"/>
                </w:rPr>
                <w:t>20</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33">
              <w:r>
                <w:rPr>
                  <w:rStyle w:val="InternetLink"/>
                  <w:rFonts w:ascii="Times New Roman;serif" w:hAnsi="Times New Roman;serif"/>
                  <w:b w:val="false"/>
                  <w:strike w:val="false"/>
                  <w:dstrike w:val="false"/>
                  <w:color w:val="000000"/>
                  <w:sz w:val="22"/>
                  <w:u w:val="none"/>
                  <w:effect w:val="none"/>
                </w:rPr>
                <w:t>20</w:t>
              </w:r>
            </w:hyperlink>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39">
              <w:r>
                <w:rPr>
                  <w:rStyle w:val="InternetLink"/>
                  <w:rFonts w:ascii="Times New Roman;serif" w:hAnsi="Times New Roman;serif"/>
                  <w:b w:val="false"/>
                  <w:strike w:val="false"/>
                  <w:dstrike w:val="false"/>
                  <w:color w:val="000000"/>
                  <w:sz w:val="22"/>
                  <w:u w:val="none"/>
                  <w:effect w:val="none"/>
                </w:rPr>
                <w:t>21</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Waivers; Amendment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42">
              <w:r>
                <w:rPr>
                  <w:rStyle w:val="InternetLink"/>
                  <w:rFonts w:ascii="Times New Roman;serif" w:hAnsi="Times New Roman;serif"/>
                  <w:b w:val="false"/>
                  <w:strike w:val="false"/>
                  <w:dstrike w:val="false"/>
                  <w:color w:val="000000"/>
                  <w:sz w:val="22"/>
                  <w:u w:val="none"/>
                  <w:effect w:val="none"/>
                </w:rPr>
                <w:t>21</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Agent’s Fees and Expenses; Indemnification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45">
              <w:r>
                <w:rPr>
                  <w:rStyle w:val="InternetLink"/>
                  <w:rFonts w:ascii="Times New Roman;serif" w:hAnsi="Times New Roman;serif"/>
                  <w:b w:val="false"/>
                  <w:strike w:val="false"/>
                  <w:dstrike w:val="false"/>
                  <w:color w:val="000000"/>
                  <w:sz w:val="22"/>
                  <w:u w:val="none"/>
                  <w:effect w:val="none"/>
                </w:rPr>
                <w:t>21</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48">
              <w:r>
                <w:rPr>
                  <w:rStyle w:val="InternetLink"/>
                  <w:rFonts w:ascii="Times New Roman;serif" w:hAnsi="Times New Roman;serif"/>
                  <w:b w:val="false"/>
                  <w:strike w:val="false"/>
                  <w:dstrike w:val="false"/>
                  <w:color w:val="000000"/>
                  <w:sz w:val="22"/>
                  <w:u w:val="none"/>
                  <w:effect w:val="none"/>
                </w:rPr>
                <w:t>22</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51">
              <w:r>
                <w:rPr>
                  <w:rStyle w:val="InternetLink"/>
                  <w:rFonts w:ascii="Times New Roman;serif" w:hAnsi="Times New Roman;serif"/>
                  <w:b w:val="false"/>
                  <w:strike w:val="false"/>
                  <w:dstrike w:val="false"/>
                  <w:color w:val="000000"/>
                  <w:sz w:val="22"/>
                  <w:u w:val="none"/>
                  <w:effect w:val="none"/>
                </w:rPr>
                <w:t>22</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Counterparts; Effectiveness; Several Agreement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54">
              <w:r>
                <w:rPr>
                  <w:rStyle w:val="InternetLink"/>
                  <w:rFonts w:ascii="Times New Roman;serif" w:hAnsi="Times New Roman;serif"/>
                  <w:b w:val="false"/>
                  <w:strike w:val="false"/>
                  <w:dstrike w:val="false"/>
                  <w:color w:val="000000"/>
                  <w:sz w:val="22"/>
                  <w:u w:val="none"/>
                  <w:effect w:val="none"/>
                </w:rPr>
                <w:t>22</w:t>
              </w:r>
            </w:hyperlink>
          </w:p>
        </w:tc>
      </w:tr>
    </w:tbl>
    <w:p>
      <w:pPr>
        <w:pStyle w:val="TextBody"/>
        <w:bidi w:val="0"/>
        <w:spacing w:before="0" w:after="0"/>
        <w:ind w:left="0" w:right="0" w:hanging="180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45490"/>
                <wp:effectExtent l="0" t="0" r="0" b="0"/>
                <wp:wrapNone/>
                <wp:docPr id="275" name="Frame274"/>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181.8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before="0" w:after="0"/>
        <w:jc w:val="center"/>
        <w:rPr/>
      </w:pPr>
      <w:r>
        <w:rPr/>
      </w:r>
    </w:p>
    <w:p>
      <w:pPr>
        <w:pStyle w:val="TextBody"/>
        <w:bidi w:val="0"/>
        <w:spacing w:before="0" w:after="200"/>
        <w:jc w:val="right"/>
        <w:rPr/>
      </w:pPr>
      <w:r>
        <w:rPr/>
      </w:r>
    </w:p>
    <w:p>
      <w:pPr>
        <w:pStyle w:val="TextBody"/>
        <w:bidi w:val="0"/>
        <w:spacing w:before="0" w:after="0"/>
        <w:jc w:val="left"/>
        <w:rPr/>
      </w:pPr>
      <w:r>
        <w:rPr/>
      </w:r>
    </w:p>
    <w:tbl>
      <w:tblPr>
        <w:tblW w:w="8357" w:type="dxa"/>
        <w:jc w:val="left"/>
        <w:tblInd w:w="0" w:type="dxa"/>
        <w:tblLayout w:type="fixed"/>
        <w:tblCellMar>
          <w:top w:w="28" w:type="dxa"/>
          <w:left w:w="28" w:type="dxa"/>
          <w:bottom w:w="28" w:type="dxa"/>
          <w:right w:w="28" w:type="dxa"/>
        </w:tblCellMar>
      </w:tblPr>
      <w:tblGrid>
        <w:gridCol w:w="488"/>
        <w:gridCol w:w="429"/>
        <w:gridCol w:w="433"/>
        <w:gridCol w:w="207"/>
        <w:gridCol w:w="207"/>
        <w:gridCol w:w="207"/>
        <w:gridCol w:w="1887"/>
        <w:gridCol w:w="1887"/>
        <w:gridCol w:w="1895"/>
        <w:gridCol w:w="207"/>
        <w:gridCol w:w="207"/>
        <w:gridCol w:w="30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83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c>
      </w:tr>
      <w:tr>
        <w:trPr/>
        <w:tc>
          <w:tcPr>
            <w:tcW w:w="83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(continued)</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7.07.</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57">
              <w:r>
                <w:rPr>
                  <w:rStyle w:val="InternetLink"/>
                  <w:rFonts w:ascii="Times New Roman;serif" w:hAnsi="Times New Roman;serif"/>
                  <w:b w:val="false"/>
                  <w:strike w:val="false"/>
                  <w:dstrike w:val="false"/>
                  <w:color w:val="000000"/>
                  <w:sz w:val="22"/>
                  <w:u w:val="none"/>
                  <w:effect w:val="none"/>
                </w:rPr>
                <w:t>23</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7.08.</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Set-Off</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60">
              <w:r>
                <w:rPr>
                  <w:rStyle w:val="InternetLink"/>
                  <w:rFonts w:ascii="Times New Roman;serif" w:hAnsi="Times New Roman;serif"/>
                  <w:b w:val="false"/>
                  <w:strike w:val="false"/>
                  <w:dstrike w:val="false"/>
                  <w:color w:val="000000"/>
                  <w:sz w:val="22"/>
                  <w:u w:val="none"/>
                  <w:effect w:val="none"/>
                </w:rPr>
                <w:t>23</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7.09.</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Consent to Service of Process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63">
              <w:r>
                <w:rPr>
                  <w:rStyle w:val="InternetLink"/>
                  <w:rFonts w:ascii="Times New Roman;serif" w:hAnsi="Times New Roman;serif"/>
                  <w:b w:val="false"/>
                  <w:strike w:val="false"/>
                  <w:dstrike w:val="false"/>
                  <w:color w:val="000000"/>
                  <w:sz w:val="22"/>
                  <w:u w:val="none"/>
                  <w:effect w:val="none"/>
                </w:rPr>
                <w:t>23</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7.10.</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66">
              <w:r>
                <w:rPr>
                  <w:rStyle w:val="InternetLink"/>
                  <w:rFonts w:ascii="Times New Roman;serif" w:hAnsi="Times New Roman;serif"/>
                  <w:b w:val="false"/>
                  <w:strike w:val="false"/>
                  <w:dstrike w:val="false"/>
                  <w:color w:val="000000"/>
                  <w:sz w:val="22"/>
                  <w:u w:val="none"/>
                  <w:effect w:val="none"/>
                </w:rPr>
                <w:t>24</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7.11.</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Headings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69">
              <w:r>
                <w:rPr>
                  <w:rStyle w:val="InternetLink"/>
                  <w:rFonts w:ascii="Times New Roman;serif" w:hAnsi="Times New Roman;serif"/>
                  <w:b w:val="false"/>
                  <w:strike w:val="false"/>
                  <w:dstrike w:val="false"/>
                  <w:color w:val="000000"/>
                  <w:sz w:val="22"/>
                  <w:u w:val="none"/>
                  <w:effect w:val="none"/>
                </w:rPr>
                <w:t>24</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7.12.</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Security Interest Absolute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72">
              <w:r>
                <w:rPr>
                  <w:rStyle w:val="InternetLink"/>
                  <w:rFonts w:ascii="Times New Roman;serif" w:hAnsi="Times New Roman;serif"/>
                  <w:b w:val="false"/>
                  <w:strike w:val="false"/>
                  <w:dstrike w:val="false"/>
                  <w:color w:val="000000"/>
                  <w:sz w:val="22"/>
                  <w:u w:val="none"/>
                  <w:effect w:val="none"/>
                </w:rPr>
                <w:t>24</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7.13.</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or Release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75">
              <w:r>
                <w:rPr>
                  <w:rStyle w:val="InternetLink"/>
                  <w:rFonts w:ascii="Times New Roman;serif" w:hAnsi="Times New Roman;serif"/>
                  <w:b w:val="false"/>
                  <w:strike w:val="false"/>
                  <w:dstrike w:val="false"/>
                  <w:color w:val="000000"/>
                  <w:sz w:val="22"/>
                  <w:u w:val="none"/>
                  <w:effect w:val="none"/>
                </w:rPr>
                <w:t>24</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7.14.</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Subsidiaries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78">
              <w:r>
                <w:rPr>
                  <w:rStyle w:val="InternetLink"/>
                  <w:rFonts w:ascii="Times New Roman;serif" w:hAnsi="Times New Roman;serif"/>
                  <w:b w:val="false"/>
                  <w:strike w:val="false"/>
                  <w:dstrike w:val="false"/>
                  <w:color w:val="000000"/>
                  <w:sz w:val="22"/>
                  <w:u w:val="none"/>
                  <w:effect w:val="none"/>
                </w:rPr>
                <w:t>25</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 Appointed Attorney-in-Fact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81">
              <w:r>
                <w:rPr>
                  <w:rStyle w:val="InternetLink"/>
                  <w:rFonts w:ascii="Times New Roman;serif" w:hAnsi="Times New Roman;serif"/>
                  <w:b w:val="false"/>
                  <w:strike w:val="false"/>
                  <w:dstrike w:val="false"/>
                  <w:color w:val="000000"/>
                  <w:sz w:val="22"/>
                  <w:u w:val="none"/>
                  <w:effect w:val="none"/>
                </w:rPr>
                <w:t>25</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7.16.</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Authority of the Collateral Agent</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84">
              <w:r>
                <w:rPr>
                  <w:rStyle w:val="InternetLink"/>
                  <w:rFonts w:ascii="Times New Roman;serif" w:hAnsi="Times New Roman;serif"/>
                  <w:b w:val="false"/>
                  <w:strike w:val="false"/>
                  <w:dstrike w:val="false"/>
                  <w:color w:val="000000"/>
                  <w:sz w:val="22"/>
                  <w:u w:val="none"/>
                  <w:effect w:val="none"/>
                </w:rPr>
                <w:t>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7.17.</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Mortgages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87">
              <w:r>
                <w:rPr>
                  <w:rStyle w:val="InternetLink"/>
                  <w:rFonts w:ascii="Times New Roman;serif" w:hAnsi="Times New Roman;serif"/>
                  <w:b w:val="false"/>
                  <w:strike w:val="false"/>
                  <w:dstrike w:val="false"/>
                  <w:color w:val="000000"/>
                  <w:sz w:val="22"/>
                  <w:u w:val="none"/>
                  <w:effect w:val="none"/>
                </w:rPr>
                <w:t>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7.18.</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Recourse; Limited Obligations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90">
              <w:r>
                <w:rPr>
                  <w:rStyle w:val="InternetLink"/>
                  <w:rFonts w:ascii="Times New Roman;serif" w:hAnsi="Times New Roman;serif"/>
                  <w:b w:val="false"/>
                  <w:strike w:val="false"/>
                  <w:dstrike w:val="false"/>
                  <w:color w:val="000000"/>
                  <w:sz w:val="22"/>
                  <w:u w:val="none"/>
                  <w:effect w:val="none"/>
                </w:rPr>
                <w:t>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7.19.</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 and Restatement; No Novation</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93">
              <w:r>
                <w:rPr>
                  <w:rStyle w:val="InternetLink"/>
                  <w:rFonts w:ascii="Times New Roman;serif" w:hAnsi="Times New Roman;serif"/>
                  <w:b w:val="false"/>
                  <w:strike w:val="false"/>
                  <w:dstrike w:val="false"/>
                  <w:color w:val="000000"/>
                  <w:sz w:val="22"/>
                  <w:u w:val="none"/>
                  <w:effect w:val="none"/>
                </w:rPr>
                <w:t>26</w:t>
              </w:r>
            </w:hyperlink>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7.20.</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b18b9599514a328bfa5874fc40f42f_796">
              <w:r>
                <w:rPr>
                  <w:rStyle w:val="InternetLink"/>
                  <w:rFonts w:ascii="Times New Roman;serif" w:hAnsi="Times New Roman;serif"/>
                  <w:b w:val="false"/>
                  <w:strike w:val="false"/>
                  <w:dstrike w:val="false"/>
                  <w:color w:val="000000"/>
                  <w:sz w:val="22"/>
                  <w:u w:val="none"/>
                  <w:effect w:val="none"/>
                </w:rPr>
                <w:t>27</w:t>
              </w:r>
            </w:hyperlink>
          </w:p>
        </w:tc>
      </w:tr>
    </w:tbl>
    <w:p>
      <w:pPr>
        <w:pStyle w:val="TextBody"/>
        <w:bidi w:val="0"/>
        <w:spacing w:before="0" w:after="0"/>
        <w:ind w:left="0" w:right="0" w:hanging="1872"/>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45490"/>
                <wp:effectExtent l="0" t="0" r="0" b="0"/>
                <wp:wrapNone/>
                <wp:docPr id="276" name="Frame275"/>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tbl>
      <w:tblPr>
        <w:tblW w:w="5740" w:type="dxa"/>
        <w:jc w:val="left"/>
        <w:tblInd w:w="0" w:type="dxa"/>
        <w:tblLayout w:type="fixed"/>
        <w:tblCellMar>
          <w:top w:w="28" w:type="dxa"/>
          <w:left w:w="28" w:type="dxa"/>
          <w:bottom w:w="28" w:type="dxa"/>
          <w:right w:w="28" w:type="dxa"/>
        </w:tblCellMar>
      </w:tblPr>
      <w:tblGrid>
        <w:gridCol w:w="516"/>
        <w:gridCol w:w="453"/>
        <w:gridCol w:w="455"/>
        <w:gridCol w:w="109"/>
        <w:gridCol w:w="109"/>
        <w:gridCol w:w="109"/>
        <w:gridCol w:w="1167"/>
        <w:gridCol w:w="1167"/>
        <w:gridCol w:w="165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SCHEDULES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05">
              <w:r>
                <w:rPr>
                  <w:rStyle w:val="InternetLink"/>
                  <w:rFonts w:ascii="Times New Roman;serif" w:hAnsi="Times New Roman;serif"/>
                  <w:b w:val="false"/>
                  <w:strike w:val="false"/>
                  <w:dstrike w:val="false"/>
                  <w:color w:val="000000"/>
                  <w:sz w:val="22"/>
                  <w:u w:val="none"/>
                  <w:effect w:val="none"/>
                </w:rPr>
                <w:t>Subsidiary Parties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08">
              <w:r>
                <w:rPr>
                  <w:rStyle w:val="InternetLink"/>
                  <w:rFonts w:ascii="Times New Roman;serif" w:hAnsi="Times New Roman;serif"/>
                  <w:b w:val="false"/>
                  <w:strike w:val="false"/>
                  <w:dstrike w:val="false"/>
                  <w:color w:val="000000"/>
                  <w:sz w:val="22"/>
                  <w:u w:val="none"/>
                  <w:effect w:val="none"/>
                </w:rPr>
                <w:t>Pledged Equity; Pledged Debt</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14">
              <w:r>
                <w:rPr>
                  <w:rStyle w:val="InternetLink"/>
                  <w:rFonts w:ascii="Times New Roman;serif" w:hAnsi="Times New Roman;serif"/>
                  <w:b w:val="false"/>
                  <w:strike w:val="false"/>
                  <w:dstrike w:val="false"/>
                  <w:color w:val="000000"/>
                  <w:sz w:val="22"/>
                  <w:u w:val="none"/>
                  <w:effect w:val="none"/>
                </w:rPr>
                <w:t>Commercial Tort Claims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IV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17">
              <w:r>
                <w:rPr>
                  <w:rStyle w:val="InternetLink"/>
                  <w:rFonts w:ascii="Times New Roman;serif" w:hAnsi="Times New Roman;serif"/>
                  <w:b w:val="false"/>
                  <w:strike w:val="false"/>
                  <w:dstrike w:val="false"/>
                  <w:color w:val="000000"/>
                  <w:sz w:val="22"/>
                  <w:u w:val="none"/>
                  <w:effect w:val="none"/>
                </w:rPr>
                <w:t>Copyrights and Copyright Applications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20">
              <w:r>
                <w:rPr>
                  <w:rStyle w:val="InternetLink"/>
                  <w:rFonts w:ascii="Times New Roman;serif" w:hAnsi="Times New Roman;serif"/>
                  <w:b w:val="false"/>
                  <w:strike w:val="false"/>
                  <w:dstrike w:val="false"/>
                  <w:color w:val="000000"/>
                  <w:sz w:val="22"/>
                  <w:u w:val="none"/>
                  <w:effect w:val="none"/>
                </w:rPr>
                <w:t>Domain Names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VI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23">
              <w:r>
                <w:rPr>
                  <w:rStyle w:val="InternetLink"/>
                  <w:rFonts w:ascii="Times New Roman;serif" w:hAnsi="Times New Roman;serif"/>
                  <w:b w:val="false"/>
                  <w:strike w:val="false"/>
                  <w:dstrike w:val="false"/>
                  <w:color w:val="000000"/>
                  <w:sz w:val="22"/>
                  <w:u w:val="none"/>
                  <w:effect w:val="none"/>
                </w:rPr>
                <w:t>Licenses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VII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26">
              <w:r>
                <w:rPr>
                  <w:rStyle w:val="InternetLink"/>
                  <w:rFonts w:ascii="Times New Roman;serif" w:hAnsi="Times New Roman;serif"/>
                  <w:b w:val="false"/>
                  <w:strike w:val="false"/>
                  <w:dstrike w:val="false"/>
                  <w:color w:val="000000"/>
                  <w:sz w:val="22"/>
                  <w:u w:val="none"/>
                  <w:effect w:val="none"/>
                </w:rPr>
                <w:t>Patents and Patent Applications</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VIII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29">
              <w:r>
                <w:rPr>
                  <w:rStyle w:val="InternetLink"/>
                  <w:rFonts w:ascii="Times New Roman;serif" w:hAnsi="Times New Roman;serif"/>
                  <w:b w:val="false"/>
                  <w:strike w:val="false"/>
                  <w:dstrike w:val="false"/>
                  <w:color w:val="000000"/>
                  <w:sz w:val="22"/>
                  <w:u w:val="none"/>
                  <w:effect w:val="none"/>
                </w:rPr>
                <w:t>Trademarks and Trademark Application</w:t>
              </w:r>
            </w:hyperlink>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32">
              <w:r>
                <w:rPr>
                  <w:rStyle w:val="InternetLink"/>
                  <w:rFonts w:ascii="Times New Roman;serif" w:hAnsi="Times New Roman;serif"/>
                  <w:b w:val="false"/>
                  <w:strike w:val="false"/>
                  <w:dstrike w:val="false"/>
                  <w:color w:val="000000"/>
                  <w:sz w:val="22"/>
                  <w:u w:val="none"/>
                  <w:effect w:val="none"/>
                </w:rPr>
                <w:t>Form of Security Agreement Supplement</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35">
              <w:r>
                <w:rPr>
                  <w:rStyle w:val="InternetLink"/>
                  <w:rFonts w:ascii="Times New Roman;serif" w:hAnsi="Times New Roman;serif"/>
                  <w:b w:val="false"/>
                  <w:strike w:val="false"/>
                  <w:dstrike w:val="false"/>
                  <w:color w:val="000000"/>
                  <w:sz w:val="22"/>
                  <w:u w:val="none"/>
                  <w:effect w:val="none"/>
                </w:rPr>
                <w:t>Form of Copyright Security Agreement</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38">
              <w:r>
                <w:rPr>
                  <w:rStyle w:val="InternetLink"/>
                  <w:rFonts w:ascii="Times New Roman;serif" w:hAnsi="Times New Roman;serif"/>
                  <w:b w:val="false"/>
                  <w:strike w:val="false"/>
                  <w:dstrike w:val="false"/>
                  <w:color w:val="000000"/>
                  <w:sz w:val="22"/>
                  <w:u w:val="none"/>
                  <w:effect w:val="none"/>
                </w:rPr>
                <w:t>Form of Patent Security Agreement</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IV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41">
              <w:r>
                <w:rPr>
                  <w:rStyle w:val="InternetLink"/>
                  <w:rFonts w:ascii="Times New Roman;serif" w:hAnsi="Times New Roman;serif"/>
                  <w:b w:val="false"/>
                  <w:strike w:val="false"/>
                  <w:dstrike w:val="false"/>
                  <w:color w:val="000000"/>
                  <w:sz w:val="22"/>
                  <w:u w:val="none"/>
                  <w:effect w:val="none"/>
                </w:rPr>
                <w:t>Form of Trademark Security Agreement</w:t>
              </w:r>
            </w:hyperlink>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b18b9599514a328bfa5874fc40f42f_844">
              <w:r>
                <w:rPr>
                  <w:rStyle w:val="InternetLink"/>
                  <w:rFonts w:ascii="Times New Roman;serif" w:hAnsi="Times New Roman;serif"/>
                  <w:b w:val="false"/>
                  <w:strike w:val="false"/>
                  <w:dstrike w:val="false"/>
                  <w:color w:val="000000"/>
                  <w:sz w:val="22"/>
                  <w:u w:val="none"/>
                  <w:effect w:val="none"/>
                </w:rPr>
                <w:t>Form of Perfection Certificate</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45490"/>
                <wp:effectExtent l="0" t="0" r="0" b="0"/>
                <wp:wrapNone/>
                <wp:docPr id="277" name="Frame276"/>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FOURTH AMENDED AND RESTATED SECURITY AGREEMENT dated as of September 25, 2026,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other Subsidiaries of the Company identified herein and WELLS FARGO BANK, NATIONAL ASSOCIATION, as Collateral Agent for the Secured Parties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(i) the Fourth Amended and Restated Credit Agreement dated as of September 25, 2026 (as amended, restated, supplemented and/or otherwise modified from time to time, the “</w:t>
      </w:r>
      <w:r>
        <w:rPr>
          <w:rFonts w:ascii="Times New Roman;serif" w:hAnsi="Times New Roman;serif"/>
          <w:b w:val="false"/>
          <w:color w:val="000000"/>
          <w:sz w:val="22"/>
          <w:u w:val="single"/>
        </w:rPr>
        <w:t>Credit Agreemen</w:t>
      </w:r>
      <w:r>
        <w:rPr>
          <w:rFonts w:ascii="Times New Roman;serif" w:hAnsi="Times New Roman;serif"/>
          <w:b w:val="false"/>
          <w:color w:val="000000"/>
          <w:sz w:val="22"/>
        </w:rPr>
        <w:t>t”), among the Borrowers, each Lender (as defined in the Credit Agreement) from time to time party thereto and Wells Fargo Bank, National Association, as Administrative Agent, Collateral Agent, Swing Line Lender and an L/C Issuer, (ii) each Guaranty (as defined in the Credit Agreement), (iii) each Secured Hedge Agreement (as defined in the Credit Agreement) and (iv) the Cash Management Obligations (as defined in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Lenders have agreed to extend credit to the Borrowers subject to the terms and conditions set forth in the Credit Agreement, the Hedge Banks have agreed to enter into and/or maintain one or more Secured Hedge Agreements on the terms and conditions set forth therein and the Cash Management Banks have agreed to provide and/or maintain Cash Management Services on the terms and conditions agreed upon by the Borrowers or the respective Subsidiary and the respective Cash Management Bank. The obligations of the Lenders to extend such credit, the obligation of the Hedge Banks to enter into and/or maintain such Secured Hedge Agreements and the obligation of the Cash Management Bank to provide and/or maintain such Cash Management Services are, in each case, conditioned upon, among other things, the execution and delivery of this Agreement by each Grantor. The Borrowers and the Subsidiary Parties are affiliates of one another, will derive substantial benefits from (i) the extensions of credit to the Borrowers pursuant to the Credit Agreement, (ii) the entering into and/or maintaining by the Hedge Banks of Secured Hedge Agreements with a Borrower and/or one or more of its respective Subsidiaries and (iii) the providing and/or maintaining of Cash Management Services by the Cash Management Banks to a Borrower and/or one or more of its respective Subsidiaries, and are willing to execute and deliver this Agreement in order to induce the Lenders to extend such credit, the Hedge Banks to enter into and maintain such Secured Hedge Agreements and the Cash Management Banks to provide and/or maintain such Cash Management Services. Accordingly, the parties hereto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w: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Definitions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(a) Capitalized terms used in this Agreement and not otherwise defined herein have the meanings specified in the Credit Agreement. All terms defined in the New York UCC (as defined herein) and not defined in this Agreement have the meanings specified therein; the term “instrument” shall have the meaning specified in Article 9 of the New York UCC.</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rules of construction specified in Article I of the Credit Agreement also apply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Other 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 Debtor</w:t>
      </w:r>
      <w:r>
        <w:rPr>
          <w:color w:val="000000"/>
        </w:rPr>
        <w:t xml:space="preserve">” </w:t>
      </w:r>
      <w:r>
        <w:rPr>
          <w:rFonts w:ascii="Times New Roman;serif" w:hAnsi="Times New Roman;serif"/>
          <w:b w:val="false"/>
          <w:color w:val="000000"/>
          <w:sz w:val="22"/>
        </w:rPr>
        <w:t>means any Person who is or who may become obligated to any Grantor under, with respect to or on account of an Account.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After-Acquired Intellectual Property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4.02(d).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27025"/>
                <wp:effectExtent l="0" t="0" r="0" b="0"/>
                <wp:wrapNone/>
                <wp:docPr id="278" name="Frame27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means this Fourth Amended and Restated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Article 9 Collateral</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Event of Default</w:t>
      </w:r>
      <w:r>
        <w:rPr>
          <w:color w:val="000000"/>
        </w:rPr>
        <w:t xml:space="preserve">” </w:t>
      </w:r>
      <w:r>
        <w:rPr>
          <w:rFonts w:ascii="Times New Roman;serif" w:hAnsi="Times New Roman;serif"/>
          <w:b w:val="false"/>
          <w:color w:val="000000"/>
          <w:sz w:val="22"/>
        </w:rPr>
        <w:t>means any Event of Default under Section 8.01(f) of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Collateral Account</w:t>
      </w:r>
      <w:r>
        <w:rPr>
          <w:color w:val="000000"/>
        </w:rPr>
        <w:t xml:space="preserve">” </w:t>
      </w:r>
      <w:r>
        <w:rPr>
          <w:rFonts w:ascii="Times New Roman;serif" w:hAnsi="Times New Roman;serif"/>
          <w:b w:val="false"/>
          <w:color w:val="000000"/>
          <w:sz w:val="22"/>
        </w:rPr>
        <w:t>means a non-interest bearing cash collateral account maintained with, and in the sole dominion and control of, the Collateral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the Article 9 Collateral and the Pledged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means, with respect to any Intellectual Property right, the possession (whether by ownership or license, other than pursuant to this Agreement) by a party of the right to grant to another party an interest as provided herein under such item or right without violating the terms of any agreement or other arrangements with any third party existing before or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 License</w:t>
      </w:r>
      <w:r>
        <w:rPr>
          <w:color w:val="000000"/>
        </w:rPr>
        <w:t xml:space="preserve">” </w:t>
      </w:r>
      <w:r>
        <w:rPr>
          <w:rFonts w:ascii="Times New Roman;serif" w:hAnsi="Times New Roman;serif"/>
          <w:b w:val="false"/>
          <w:color w:val="000000"/>
          <w:sz w:val="22"/>
        </w:rPr>
        <w:t>means any written agreement, now or hereafter in effect, (a) granting to any third party any right under an Owned Copyright or any Copyright that a Grantor otherwise has the right to grant a license under, or (b) granting to any Grantor any right under a Copyright now or hereafter owned by any third party, and all rights of such Grantor under any such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 Security Agreement</w:t>
      </w:r>
      <w:r>
        <w:rPr>
          <w:color w:val="000000"/>
        </w:rPr>
        <w:t xml:space="preserve">” </w:t>
      </w:r>
      <w:r>
        <w:rPr>
          <w:rFonts w:ascii="Times New Roman;serif" w:hAnsi="Times New Roman;serif"/>
          <w:b w:val="false"/>
          <w:color w:val="000000"/>
          <w:sz w:val="22"/>
        </w:rPr>
        <w:t xml:space="preserve">means an agreement substantially in the form of </w:t>
      </w:r>
      <w:r>
        <w:rPr>
          <w:rFonts w:ascii="Times New Roman;serif" w:hAnsi="Times New Roman;serif"/>
          <w:b w:val="false"/>
          <w:color w:val="000000"/>
          <w:sz w:val="22"/>
          <w:u w:val="single"/>
        </w:rPr>
        <w:t>Exhibit II</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 xml:space="preserve">means: (a) all copyright rights in any work subject to the copyright laws of the United States or any other country, whether the holder of such rights is an author, assignee, transferee or otherwise entitled to such rights, whether registered or unregistered and whether published or unpublished; (b) all registrations and applications for registration of any such copyright in the United States or any other country, including registrations, recordings, supplemental registrations and pending applications for registration in the United States Copyright Office, including those listed on </w:t>
      </w:r>
      <w:r>
        <w:rPr>
          <w:rFonts w:ascii="Times New Roman;serif" w:hAnsi="Times New Roman;serif"/>
          <w:b w:val="false"/>
          <w:color w:val="000000"/>
          <w:sz w:val="22"/>
          <w:u w:val="single"/>
        </w:rPr>
        <w:t>Schedule IV</w:t>
      </w:r>
      <w:r>
        <w:rPr>
          <w:rFonts w:ascii="Times New Roman;serif" w:hAnsi="Times New Roman;serif"/>
          <w:b w:val="false"/>
          <w:color w:val="000000"/>
          <w:sz w:val="22"/>
        </w:rPr>
        <w:t>; and (c) all (i) rights and privileges arising under applicable Law with respect to the use of such copyrights, (ii) reissues, renewals, continuations and extensions or restorations thereof and amendments thereto, (iii) income, fees, royalties, damages, claims and payments now or hereafter due and/or payable with respect thereto, including damages and payments for past, present or future infringements thereof, (iv) rights corresponding thereto throughout the world and (v) rights to sue for past, present or future infringements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has the meaning assigned to such term in the preliminary statement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Domain Names</w:t>
      </w:r>
      <w:r>
        <w:rPr>
          <w:color w:val="000000"/>
        </w:rPr>
        <w:t xml:space="preserve">” </w:t>
      </w:r>
      <w:r>
        <w:rPr>
          <w:rFonts w:ascii="Times New Roman;serif" w:hAnsi="Times New Roman;serif"/>
          <w:b w:val="false"/>
          <w:color w:val="000000"/>
          <w:sz w:val="22"/>
        </w:rPr>
        <w:t xml:space="preserve">means all Internet domain names and associated URL addresses in or to which any Grantor now or hereafter has any right, title or interest, including those listed on </w:t>
      </w:r>
      <w:r>
        <w:rPr>
          <w:rFonts w:ascii="Times New Roman;serif" w:hAnsi="Times New Roman;serif"/>
          <w:b w:val="false"/>
          <w:color w:val="000000"/>
          <w:sz w:val="22"/>
          <w:u w:val="single"/>
        </w:rPr>
        <w:t>Schedule 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has the meaning assigned to such term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General Intangibles</w:t>
      </w:r>
      <w:r>
        <w:rPr>
          <w:color w:val="000000"/>
        </w:rPr>
        <w:t xml:space="preserve">” </w:t>
      </w:r>
      <w:r>
        <w:rPr>
          <w:rFonts w:ascii="Times New Roman;serif" w:hAnsi="Times New Roman;serif"/>
          <w:b w:val="false"/>
          <w:color w:val="000000"/>
          <w:sz w:val="22"/>
        </w:rPr>
        <w:t xml:space="preserve">has the meaning provided in Article 9 of the New York UCC and shall in any event include all choses in action and causes of action and all other intangible personal property of every kind and nature now owned or hereafter acquired by any Grantor, as the case may be, including corporate or other business records, indemnification claims, contract rights (including rights under leases, whether entered into as lessor or lessee, Swap Contracts and other agreements), goodwill, registrations, franchises, tax refund claims and any letter of credit, guarantee, claim, security interest or other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27025"/>
                <wp:effectExtent l="0" t="0" r="0" b="0"/>
                <wp:wrapNone/>
                <wp:docPr id="279" name="Frame27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held by or granted to any Grantor, as the case may be, to secure payment by an Account Debtor of any of the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means each Borrower and each Subsidiary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all intellectual and similar property of every kind and nature, including inventions, designs, Patents, Copyrights, Licenses, Trademarks, trade secrets, confidential or proprietary technical and business information, know-how, show-how or other data or information, software, databases, all other proprietary information, including but not limited to Domain Names, and all embodiments or fixations thereof and related documentation, registrations and franchises, and all additions, improvements and accessions to, and books and records describing or used in connection with,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 Collateral</w:t>
      </w:r>
      <w:r>
        <w:rPr>
          <w:color w:val="000000"/>
        </w:rPr>
        <w:t xml:space="preserve">” </w:t>
      </w:r>
      <w:r>
        <w:rPr>
          <w:rFonts w:ascii="Times New Roman;serif" w:hAnsi="Times New Roman;serif"/>
          <w:b w:val="false"/>
          <w:color w:val="000000"/>
          <w:sz w:val="22"/>
        </w:rPr>
        <w:t>means Collateral consisting of Owned Intellectual Property registered under the Laws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 Security Agreement</w:t>
      </w:r>
      <w:r>
        <w:rPr>
          <w:color w:val="000000"/>
        </w:rPr>
        <w:t xml:space="preserve">” </w:t>
      </w:r>
      <w:r>
        <w:rPr>
          <w:rFonts w:ascii="Times New Roman;serif" w:hAnsi="Times New Roman;serif"/>
          <w:b w:val="false"/>
          <w:color w:val="000000"/>
          <w:sz w:val="22"/>
        </w:rPr>
        <w:t xml:space="preserve">means a Copyright Security Agreement, Patent Security Agreement or Trademark Security Agreement, as the context requires.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License</w:t>
      </w:r>
      <w:r>
        <w:rPr>
          <w:color w:val="000000"/>
        </w:rPr>
        <w:t xml:space="preserve">” </w:t>
      </w:r>
      <w:r>
        <w:rPr>
          <w:rFonts w:ascii="Times New Roman;serif" w:hAnsi="Times New Roman;serif"/>
          <w:b w:val="false"/>
          <w:color w:val="000000"/>
          <w:sz w:val="22"/>
        </w:rPr>
        <w:t xml:space="preserve">means any Patent License, Trademark License, Copyright License, or other license or sublicense agreement to which any Grantor is a party, including those listed on </w:t>
      </w:r>
      <w:r>
        <w:rPr>
          <w:rFonts w:ascii="Times New Roman;serif" w:hAnsi="Times New Roman;serif"/>
          <w:b w:val="false"/>
          <w:color w:val="000000"/>
          <w:sz w:val="22"/>
          <w:u w:val="single"/>
        </w:rPr>
        <w:t>Schedule VI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York UCC</w:t>
      </w:r>
      <w:r>
        <w:rPr>
          <w:color w:val="000000"/>
        </w:rPr>
        <w:t xml:space="preserve">” </w:t>
      </w:r>
      <w:r>
        <w:rPr>
          <w:rFonts w:ascii="Times New Roman;serif" w:hAnsi="Times New Roman;serif"/>
          <w:b w:val="false"/>
          <w:color w:val="000000"/>
          <w:sz w:val="22"/>
        </w:rPr>
        <w:t>means the Uniform Commercial Code as from time to time in effect in the State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Owned Copyrights</w:t>
      </w:r>
      <w:r>
        <w:rPr>
          <w:color w:val="000000"/>
        </w:rPr>
        <w:t xml:space="preserve">” </w:t>
      </w:r>
      <w:r>
        <w:rPr>
          <w:rFonts w:ascii="Times New Roman;serif" w:hAnsi="Times New Roman;serif"/>
          <w:b w:val="false"/>
          <w:color w:val="000000"/>
          <w:sz w:val="22"/>
        </w:rPr>
        <w:t xml:space="preserve">means Copyrights now Controlled by, or that hereafter become Controlled by any Grantor, whether by acquisition, assignment, or an exclusive license, including those listed on </w:t>
      </w:r>
      <w:r>
        <w:rPr>
          <w:rFonts w:ascii="Times New Roman;serif" w:hAnsi="Times New Roman;serif"/>
          <w:b w:val="false"/>
          <w:color w:val="000000"/>
          <w:sz w:val="22"/>
          <w:u w:val="single"/>
        </w:rPr>
        <w:t>Schedule IV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Owned Intellectual Property</w:t>
      </w:r>
      <w:r>
        <w:rPr>
          <w:color w:val="000000"/>
        </w:rPr>
        <w:t xml:space="preserve">” </w:t>
      </w:r>
      <w:r>
        <w:rPr>
          <w:rFonts w:ascii="Times New Roman;serif" w:hAnsi="Times New Roman;serif"/>
          <w:b w:val="false"/>
          <w:color w:val="000000"/>
          <w:sz w:val="22"/>
        </w:rPr>
        <w:t xml:space="preserve">means Intellectual Property now Controlled by, or that hereafter becomes Controlled by, any Grantor, whether by acquisition, assignment, or an exclusive license including, but not limited to, all Intellectual Property listed on </w:t>
      </w:r>
      <w:r>
        <w:rPr>
          <w:rFonts w:ascii="Times New Roman;serif" w:hAnsi="Times New Roman;serif"/>
          <w:b w:val="false"/>
          <w:color w:val="000000"/>
          <w:sz w:val="22"/>
          <w:u w:val="single"/>
        </w:rPr>
        <w:t>Schedules 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Owned Patents</w:t>
      </w:r>
      <w:r>
        <w:rPr>
          <w:color w:val="000000"/>
        </w:rPr>
        <w:t xml:space="preserve">” </w:t>
      </w:r>
      <w:r>
        <w:rPr>
          <w:rFonts w:ascii="Times New Roman;serif" w:hAnsi="Times New Roman;serif"/>
          <w:b w:val="false"/>
          <w:color w:val="000000"/>
          <w:sz w:val="22"/>
        </w:rPr>
        <w:t xml:space="preserve">means Patents now Controlled by, or that hereafter become Controlled by, any Grantor whether by acquisition, assignment, or an exclusive license, including those listed on </w:t>
      </w:r>
      <w:r>
        <w:rPr>
          <w:rFonts w:ascii="Times New Roman;serif" w:hAnsi="Times New Roman;serif"/>
          <w:b w:val="false"/>
          <w:color w:val="000000"/>
          <w:sz w:val="22"/>
          <w:u w:val="single"/>
        </w:rPr>
        <w:t>Schedule VII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Owned Trademarks</w:t>
      </w:r>
      <w:r>
        <w:rPr>
          <w:color w:val="000000"/>
        </w:rPr>
        <w:t xml:space="preserve">” </w:t>
      </w:r>
      <w:r>
        <w:rPr>
          <w:rFonts w:ascii="Times New Roman;serif" w:hAnsi="Times New Roman;serif"/>
          <w:b w:val="false"/>
          <w:color w:val="000000"/>
          <w:sz w:val="22"/>
        </w:rPr>
        <w:t xml:space="preserve">means Trademarks now Controlled by, or that hereafter become Controlled by, any Grantor, whether by acquisition, assignment, or an exclusive license, including those listed on </w:t>
      </w:r>
      <w:r>
        <w:rPr>
          <w:rFonts w:ascii="Times New Roman;serif" w:hAnsi="Times New Roman;serif"/>
          <w:b w:val="false"/>
          <w:color w:val="000000"/>
          <w:sz w:val="22"/>
          <w:u w:val="single"/>
        </w:rPr>
        <w:t>Schedule VIII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 License</w:t>
      </w:r>
      <w:r>
        <w:rPr>
          <w:color w:val="000000"/>
        </w:rPr>
        <w:t xml:space="preserve">” </w:t>
      </w:r>
      <w:r>
        <w:rPr>
          <w:rFonts w:ascii="Times New Roman;serif" w:hAnsi="Times New Roman;serif"/>
          <w:b w:val="false"/>
          <w:color w:val="000000"/>
          <w:sz w:val="22"/>
        </w:rPr>
        <w:t>means any written agreement, now or hereafter in effect, (a) granting to any third party any right arising under an Owned Patent or any Patent that a Grantor otherwise has the right to grant a license under, or (b) granting to any Grantor any right arising under a Patent now or hereafter owned by any third party; and all rights of any Grantor under any such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 Security Agreement</w:t>
      </w:r>
      <w:r>
        <w:rPr>
          <w:color w:val="000000"/>
        </w:rPr>
        <w:t xml:space="preserve">” </w:t>
      </w:r>
      <w:r>
        <w:rPr>
          <w:rFonts w:ascii="Times New Roman;serif" w:hAnsi="Times New Roman;serif"/>
          <w:b w:val="false"/>
          <w:color w:val="000000"/>
          <w:sz w:val="22"/>
        </w:rPr>
        <w:t xml:space="preserve">means an agreement substantially in the form of </w:t>
      </w:r>
      <w:r>
        <w:rPr>
          <w:rFonts w:ascii="Times New Roman;serif" w:hAnsi="Times New Roman;serif"/>
          <w:b w:val="false"/>
          <w:color w:val="000000"/>
          <w:sz w:val="22"/>
          <w:u w:val="single"/>
        </w:rPr>
        <w:t>Exhibit III</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Patents</w:t>
      </w:r>
      <w:r>
        <w:rPr>
          <w:color w:val="000000"/>
        </w:rPr>
        <w:t xml:space="preserve">” </w:t>
      </w:r>
      <w:r>
        <w:rPr>
          <w:rFonts w:ascii="Times New Roman;serif" w:hAnsi="Times New Roman;serif"/>
          <w:b w:val="false"/>
          <w:color w:val="000000"/>
          <w:sz w:val="22"/>
        </w:rPr>
        <w:t xml:space="preserve">means: (a) all letters patent of 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similar offices in any other country,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27025"/>
                <wp:effectExtent l="0" t="0" r="0" b="0"/>
                <wp:wrapNone/>
                <wp:docPr id="280" name="Frame27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those listed on </w:t>
      </w:r>
      <w:r>
        <w:rPr>
          <w:rFonts w:ascii="Times New Roman;serif" w:hAnsi="Times New Roman;serif"/>
          <w:b w:val="false"/>
          <w:color w:val="000000"/>
          <w:sz w:val="22"/>
          <w:u w:val="single"/>
        </w:rPr>
        <w:t>Schedule VII</w:t>
      </w:r>
      <w:r>
        <w:rPr>
          <w:rFonts w:ascii="Times New Roman;serif" w:hAnsi="Times New Roman;serif"/>
          <w:b w:val="false"/>
          <w:color w:val="000000"/>
          <w:sz w:val="22"/>
        </w:rPr>
        <w:t>; and (b) (i) rights and privileges arising under applicable Law with respect to the use of any patents, (ii) inventions and improvements described and claimed therein, (iii) reissues, reexaminations, divisions, continuations, renewals, extensions or restorations and continuations-in-part thereof and amendments thereto, (iv) income, fees, royalties, damages, claims and payments now or hereafter due and/or payable thereunder and with respect thereto including damages and payments for past, present or future infringements thereof, (v) rights corresponding thereto throughout the world and (vi) rights to sue for past, present or future infringements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Perfection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V</w:t>
      </w:r>
      <w:r>
        <w:rPr>
          <w:color w:val="000000"/>
        </w:rPr>
        <w:t xml:space="preserve"> </w:t>
      </w:r>
      <w:r>
        <w:rPr>
          <w:rFonts w:ascii="Times New Roman;serif" w:hAnsi="Times New Roman;serif"/>
          <w:b w:val="false"/>
          <w:color w:val="000000"/>
          <w:sz w:val="22"/>
        </w:rPr>
        <w:t>hereto, completed and supplemented with the schedules and attachments contemplated thereby, and duly executed by a Responsible Officer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Pledged Collateral</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Pledged Debt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Pledged Equity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Pledged Securities</w:t>
      </w:r>
      <w:r>
        <w:rPr>
          <w:color w:val="000000"/>
        </w:rPr>
        <w:t xml:space="preserve">” </w:t>
      </w:r>
      <w:r>
        <w:rPr>
          <w:rFonts w:ascii="Times New Roman;serif" w:hAnsi="Times New Roman;serif"/>
          <w:b w:val="false"/>
          <w:color w:val="000000"/>
          <w:sz w:val="22"/>
        </w:rPr>
        <w:t>means any promissory notes, stock certificates or other securities now or hereafter included in the Pledged Collateral, including all Pledged Equity, Pledged Debt and all other certificates, instruments or other documents representing or evidencing any Pledged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Credit Document</w:t>
      </w:r>
      <w:r>
        <w:rPr>
          <w:color w:val="000000"/>
        </w:rPr>
        <w:t xml:space="preserve">” </w:t>
      </w:r>
      <w:r>
        <w:rPr>
          <w:rFonts w:ascii="Times New Roman;serif" w:hAnsi="Times New Roman;serif"/>
          <w:b w:val="false"/>
          <w:color w:val="000000"/>
          <w:sz w:val="22"/>
        </w:rPr>
        <w:t>means each Loan Document, each Secured Hedge Agreement and any agreement evidencing any Cash Management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the “Obligations” as defined in the Credit Agreement; it being acknowledged and agreed that the term “Secured Obligations” as used herein shall include each extension of credit under the Credit Agreement and all obligations (other than any Excluded Swap Obligations) of the Borrowers and/or their respective Subsidiaries under the Secured Hedge Agreements and all Cash Management Obligations, in each case, whether outstanding on the date of this Agreement or extended from time to time after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collectively, the Administrative Agent, the Collateral Agent, the Lenders, each L/C Issuer, the Hedge Banks, the Cash Management Banks, the Supplemental Administrative Agent and each co-agent or sub-agent appointed by the Administrative Agent from time to time pursuant to Section 9.02 of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Agreement Supplement</w:t>
      </w:r>
      <w:r>
        <w:rPr>
          <w:color w:val="000000"/>
        </w:rPr>
        <w:t xml:space="preserve">” </w:t>
      </w:r>
      <w:r>
        <w:rPr>
          <w:rFonts w:ascii="Times New Roman;serif" w:hAnsi="Times New Roman;serif"/>
          <w:b w:val="false"/>
          <w:color w:val="000000"/>
          <w:sz w:val="22"/>
        </w:rPr>
        <w:t xml:space="preserve">means an instrument substantially in the form of </w:t>
      </w:r>
      <w:r>
        <w:rPr>
          <w:rFonts w:ascii="Times New Roman;serif" w:hAnsi="Times New Roman;serif"/>
          <w:b w:val="false"/>
          <w:color w:val="000000"/>
          <w:sz w:val="22"/>
          <w:u w:val="single"/>
        </w:rPr>
        <w:t>Exhibit I</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Interest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 Parties</w:t>
      </w:r>
      <w:r>
        <w:rPr>
          <w:color w:val="000000"/>
        </w:rPr>
        <w:t xml:space="preserve">” </w:t>
      </w:r>
      <w:r>
        <w:rPr>
          <w:rFonts w:ascii="Times New Roman;serif" w:hAnsi="Times New Roman;serif"/>
          <w:b w:val="false"/>
          <w:color w:val="000000"/>
          <w:sz w:val="22"/>
        </w:rPr>
        <w:t xml:space="preserve">means (a) the Subsidiaries identified on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and (b) each other Subsidiary that becomes a party to this Agreement as a Subsidiary Party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 License</w:t>
      </w:r>
      <w:r>
        <w:rPr>
          <w:color w:val="000000"/>
        </w:rPr>
        <w:t xml:space="preserve">” </w:t>
      </w:r>
      <w:r>
        <w:rPr>
          <w:rFonts w:ascii="Times New Roman;serif" w:hAnsi="Times New Roman;serif"/>
          <w:b w:val="false"/>
          <w:color w:val="000000"/>
          <w:sz w:val="22"/>
        </w:rPr>
        <w:t>means any written agreement, now or hereafter in effect, (a) granting to any third party any right to use any Owned Trademark or any Trademark that a Grantor otherwise has the right to grant a license under, or (b) granting to any Grantor any right to use any Trademark now or hereafter owned by any third party, and all rights of any Grantor under any such agreement.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27025"/>
                <wp:effectExtent l="0" t="0" r="0" b="0"/>
                <wp:wrapNone/>
                <wp:docPr id="281" name="Frame28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 Security Agreement</w:t>
      </w:r>
      <w:r>
        <w:rPr>
          <w:color w:val="000000"/>
        </w:rPr>
        <w:t xml:space="preserve">” </w:t>
      </w:r>
      <w:r>
        <w:rPr>
          <w:rFonts w:ascii="Times New Roman;serif" w:hAnsi="Times New Roman;serif"/>
          <w:b w:val="false"/>
          <w:color w:val="000000"/>
          <w:sz w:val="22"/>
        </w:rPr>
        <w:t xml:space="preserve">shall mean an agreement substantially in the form of </w:t>
      </w:r>
      <w:r>
        <w:rPr>
          <w:rFonts w:ascii="Times New Roman;serif" w:hAnsi="Times New Roman;serif"/>
          <w:b w:val="false"/>
          <w:color w:val="000000"/>
          <w:sz w:val="22"/>
          <w:u w:val="single"/>
        </w:rPr>
        <w:t>Exhibit IV</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 xml:space="preserve">means: (a) all trademarks, service marks, trade names, corporate names, company names, business names, fictitious business names, slogans, trade styles, trade dress, logos, other source or business identifiers, designs and general intangibles of like nature, whether registered or unregistered, now existing or hereafter adopted, acquired or assigned to, all registrations and recordings thereof,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extensions or renewals thereof, including those listed on </w:t>
      </w:r>
      <w:r>
        <w:rPr>
          <w:rFonts w:ascii="Times New Roman;serif" w:hAnsi="Times New Roman;serif"/>
          <w:b w:val="false"/>
          <w:color w:val="000000"/>
          <w:sz w:val="22"/>
          <w:u w:val="single"/>
        </w:rPr>
        <w:t>Schedule VIII</w:t>
      </w:r>
      <w:r>
        <w:rPr>
          <w:rFonts w:ascii="Times New Roman;serif" w:hAnsi="Times New Roman;serif"/>
          <w:b w:val="false"/>
          <w:color w:val="000000"/>
          <w:sz w:val="22"/>
        </w:rPr>
        <w:t>, together with (b) any and all (i) rights and privileges arising under applicable Law with respect to the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and future infringements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II</w:t>
        <w:br/>
        <w:br/>
      </w:r>
      <w:r>
        <w:rPr>
          <w:rFonts w:ascii="Times New Roman;serif" w:hAnsi="Times New Roman;serif"/>
          <w:b w:val="false"/>
          <w:color w:val="000000"/>
          <w:sz w:val="22"/>
          <w:u w:val="single"/>
        </w:rPr>
        <w:t>Pledge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Pledge</w:t>
      </w:r>
      <w:r>
        <w:rPr>
          <w:rFonts w:ascii="Times New Roman;serif" w:hAnsi="Times New Roman;serif"/>
          <w:b w:val="false"/>
          <w:color w:val="000000"/>
          <w:sz w:val="22"/>
        </w:rPr>
        <w:t xml:space="preserve">. As security for the payment or performance, as the case may be, in full of the Secured Obligations, including each Guaranty, each Grantor hereby assigns and pledges to the Collateral Agent, its successors and assigns, for the benefit of the Secured Parties, and hereby grants to the Collateral Agent, its successors and assigns, for the benefit of the Secured Parties, a security interest in, all of such Grantor’s right, title and interest in, to and under (i) all Equity Interests of OSI and of each other Domestic Subsidiary directly owned by such Grantor held by it and listed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and any other Equity Interests of Domestic Subsidiaries directly owned in the future by such Grantor and the certificates representing all such Equity Interests (the “</w:t>
      </w:r>
      <w:r>
        <w:rPr>
          <w:rFonts w:ascii="Times New Roman;serif" w:hAnsi="Times New Roman;serif"/>
          <w:b w:val="false"/>
          <w:color w:val="000000"/>
          <w:sz w:val="22"/>
          <w:u w:val="single"/>
        </w:rPr>
        <w:t>Pledged Equity</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Pledged Equity shall not include (A) Equity Interests of any Employment Participation Subsidiary (except to the extent a perfected security interest in such Subsidiary can be obtained by filing of a UCC-1 financing statement), (B) Equity Interests of Foreign Subsidiary Holding Companies, (C) Equity Interests of any Subsidiary of a Foreign Subsidiary, (D) Margin Stock, (E) specifically identified Equity Interests of any Subsidiary with respect to which (i) the Administrative Agent has confirmed in writing to the Company its determination that the costs of providing a pledge of its Equity Interests is excessive in view of the practical benefits to be obtained by the Lenders or (ii) the Borrowers in consultation with the Administrative Agent have reasonably determined that the creation or perfection of pledges of, or security interests in, such Equity Interests would result in material adverse tax consequences to any Borrower or any of its Subsidiaries, (F) Equity Interests of any non-Wholly Owned Subsidiary if (but only to the extent that, and for so long as) (i) the Organization Documents or other agreements with respect to the Equity Interests of such non-Wholly Owned Subsidiary with other equity holders (other than any such agreement where all of the equity holders party thereto are Grantors or Subsidiaries thereof) do not permit or restrict the pledge of such Equity Interests, or (ii) the pledge of such Equity Interests (including any exercise of remedies) would result in a change of control, repurchase obligation or other adverse consequence to any of the Grantors or such Subsidiary (other than the loss of such Equity Interests as a result of any such exercise of remedies), (G) any Equity Interest if (but only to the extent that, and for so long as) the pledge of such Equity Interest hereunder (i) is prohibited by applicable Law other than to the extent such prohibition is rendered ineffective under the UCC or other applicable Laws or (ii) would violate the terms of any written agreement, license, lease or similar arrangement with respect to such Equity Interest or would require consent, approval, license or authorization (in each case, after giving effect to the relevant provisions of the UCC or other applicable Laws) or would give rise to a termination right (in favor of a Person other than any Borrower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27025"/>
                <wp:effectExtent l="0" t="0" r="0" b="0"/>
                <wp:wrapNone/>
                <wp:docPr id="282" name="Frame28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Subsidiary) pursuant to any “change of control” or other similar provision under such written agreement, license or lease (except to the extent such provision is overridden by the UCC or other applicable Laws), in each case, (x) excluding any such written agreement that relates to Credit Agreement Refinancing Indebtedness or Incremental Equivalent Debt and (y) only to the extent that such limitation on such pledge or security interest is otherwise permitted under Section 7.09 of the Credit Agreement, (H) Equity Interests of each Subsidiary set forth in Schedule 1.01A of the Credit Agreement, (I) Equity Interests of Liquor License Subsidiaries and (J) any other Equity Interests that constitute Excluded Assets (any Equity Interests excluded pursuant to clauses (A) through (J) above, the “</w:t>
      </w:r>
      <w:r>
        <w:rPr>
          <w:rFonts w:ascii="Times New Roman;serif" w:hAnsi="Times New Roman;serif"/>
          <w:b w:val="false"/>
          <w:color w:val="000000"/>
          <w:sz w:val="22"/>
          <w:u w:val="single"/>
        </w:rPr>
        <w:t>Excluded Equity Interests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Excluded Equity Interests shall not include any Proceeds, substitutions or replacements of any Excluded Equity Interests referred to in the foregoing clauses (A) through (J) (unless such Proceeds, substitutions or replacements would independently constitute Excluded Equity Interests referred to in the foregoing clauses (A) through (J))); (ii) (A) promissory notes and instruments evidencing indebtedness owned by a Grantor and listed opposite the name of such Grantor on </w:t>
      </w:r>
      <w:r>
        <w:rPr>
          <w:rFonts w:ascii="Times New Roman;serif" w:hAnsi="Times New Roman;serif"/>
          <w:b w:val="false"/>
          <w:color w:val="000000"/>
          <w:sz w:val="22"/>
          <w:u w:val="single"/>
        </w:rPr>
        <w:t>Schedule II</w:t>
      </w:r>
      <w:r>
        <w:rPr>
          <w:rFonts w:ascii="Times New Roman;serif" w:hAnsi="Times New Roman;serif"/>
          <w:b w:val="false"/>
          <w:color w:val="000000"/>
          <w:sz w:val="22"/>
        </w:rPr>
        <w:t>, and (B) any promissory notes and instruments evidencing indebtedness obtained in the future by such Grantor (the “</w:t>
      </w:r>
      <w:r>
        <w:rPr>
          <w:rFonts w:ascii="Times New Roman;serif" w:hAnsi="Times New Roman;serif"/>
          <w:b w:val="false"/>
          <w:color w:val="000000"/>
          <w:sz w:val="22"/>
          <w:u w:val="single"/>
        </w:rPr>
        <w:t>Pledged Deb</w:t>
      </w:r>
      <w:r>
        <w:rPr>
          <w:rFonts w:ascii="Times New Roman;serif" w:hAnsi="Times New Roman;serif"/>
          <w:b w:val="false"/>
          <w:color w:val="000000"/>
          <w:sz w:val="22"/>
        </w:rPr>
        <w:t xml:space="preserve">t”); (iii) all other property that may be delivered to and held by the Collateral Agent pursuant to the terms of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(iv) subject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(i) and (ii) above; (v) subject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all rights and privileges of such Grantor with respect to the securities and other property referred to in clauses (i), (ii), (iii) and (iv) above; and (vi) all Proceeds of, and Security Entitlements in, any of the foregoing (the items referred to in clauses (i) through (vi) above being collectively referred to as the “</w:t>
      </w:r>
      <w:r>
        <w:rPr>
          <w:rFonts w:ascii="Times New Roman;serif" w:hAnsi="Times New Roman;serif"/>
          <w:b w:val="false"/>
          <w:color w:val="000000"/>
          <w:sz w:val="22"/>
          <w:u w:val="single"/>
        </w:rPr>
        <w:t>Pledged Collateral</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Pledged Collateral shall not include any Excluded Assets).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HAVE AND TO HOLD the Pledged Collateral, together with all right, title, interest, powers, privileges and preferences pertaining or incidental thereto, unto the Collateral Agent, its successors and assigns, for the benefit of the applicable Secured Parties, forever; subject, however, to the terms, covenants and conditions hereinafter set forth.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Delivery of the Pledged Collateral</w:t>
      </w:r>
      <w:r>
        <w:rPr>
          <w:rFonts w:ascii="Times New Roman;serif" w:hAnsi="Times New Roman;serif"/>
          <w:b w:val="false"/>
          <w:color w:val="000000"/>
          <w:sz w:val="22"/>
        </w:rPr>
        <w:t xml:space="preserve">. (a) Each Grantor agrees promptly (or, if acquired after the date hereof, within 30 days after receipt thereof by such Grantor (or such longer period as the Collateral Agent may agree in its reasonable discretion)) to deliver or cause to be delivered to the Collateral Agent, for the benefit of the applicable Secured Parties, any and all Pledged Securities (other than any uncertificated securities, but only for so long as such securities remain uncertificated) to the extent such Pledged Securities, in the case of promissory notes and instruments evidencing Indebtedness, are required to be delivered pursuant to paragraph (b) of this </w:t>
      </w:r>
      <w:r>
        <w:rPr>
          <w:rFonts w:ascii="Times New Roman;serif" w:hAnsi="Times New Roman;serif"/>
          <w:b w:val="false"/>
          <w:color w:val="000000"/>
          <w:sz w:val="22"/>
          <w:u w:val="single"/>
        </w:rPr>
        <w:t>Section 2.02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Grantor will cause any Indebtedness for borrowed money having an aggregate principal amount that is in excess of $5,000,000 owed to such Grantor by any Person to be evidenced by a duly executed promissory note to be pledged and delivered to the Collateral Agent, for the benefit of the applicable Secured Parties, pursuant to the terms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Upon delivery to the Collateral Agent, (i) any Pledged Securities shall be accompanied by stock powers duly executed in blank or other instruments of transfer reasonably satisfactory to the Collateral Agent and by such other instruments and documents as the Collateral Agent may reasonably request and (ii) all other property comprising part of the Pledged Collateral shall be accompanied by proper instruments of assignment (if appropriate) duly executed by the applicable Grantor and such other instruments or documents as the Collateral Agent may reasonably request. Each delivery of Pledged Securities shall be accompanied by a schedule describing the securities, which schedule shall be deemed to supplement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and made a part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failure to supplement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hereto shall not affect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27025"/>
                <wp:effectExtent l="0" t="0" r="0" b="0"/>
                <wp:wrapNone/>
                <wp:docPr id="283" name="Frame28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validity of such pledge of such Pledged Securities. Each schedule so delivered shall supplement any prior schedules so delivered.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2.03.    </w:t>
      </w:r>
      <w:r>
        <w:rPr>
          <w:rFonts w:ascii="Times New Roman;serif" w:hAnsi="Times New Roman;serif"/>
          <w:b w:val="false"/>
          <w:color w:val="000000"/>
          <w:sz w:val="22"/>
          <w:u w:val="single"/>
        </w:rPr>
        <w:t>Representations, Warranties and Covenants</w:t>
      </w:r>
      <w:r>
        <w:rPr>
          <w:rFonts w:ascii="Times New Roman;serif" w:hAnsi="Times New Roman;serif"/>
          <w:b w:val="false"/>
          <w:color w:val="000000"/>
          <w:sz w:val="22"/>
        </w:rPr>
        <w:t>. Each Borrower jointly and severally represents, warrants and covenants, as to themselves and the other Grantors, to and with the Collateral Agent, for the benefit of the Secured Parties, that: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 II</w:t>
      </w:r>
      <w:r>
        <w:rPr>
          <w:rFonts w:ascii="Times New Roman;serif" w:hAnsi="Times New Roman;serif"/>
          <w:b w:val="false"/>
          <w:color w:val="000000"/>
          <w:sz w:val="22"/>
        </w:rPr>
        <w:t xml:space="preserve">, or the supplement thereto, as applicable, correctly sets forth, as of the Closing Date and as of each date on which a supplement to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is delivered pursuant to </w:t>
      </w:r>
      <w:r>
        <w:rPr>
          <w:rFonts w:ascii="Times New Roman;serif" w:hAnsi="Times New Roman;serif"/>
          <w:b w:val="false"/>
          <w:color w:val="000000"/>
          <w:sz w:val="22"/>
          <w:u w:val="single"/>
        </w:rPr>
        <w:t>Section 2.02(c)</w:t>
      </w:r>
      <w:r>
        <w:rPr>
          <w:rFonts w:ascii="Times New Roman;serif" w:hAnsi="Times New Roman;serif"/>
          <w:b w:val="false"/>
          <w:color w:val="000000"/>
          <w:sz w:val="22"/>
        </w:rPr>
        <w:t>, the percentage of the issued and outstanding units of each class of the Equity Interests of the issuer thereof represented by the Pledged Equity and includes all Equity Interests required to be pledged and all debt securities and promissory notes required to be pledged and delivered hereunder in order to satisfy the Collateral and Guarantee Requirement;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Pledged Equity issued by OSI or a Subsidiary of the Company and Pledged Debt (solely with respect to Pledged Debt issued by a Person other than the Company or a Subsidiary of the Company, to the best of each Borrower’s knowledge) have been duly and validly authorized and issued by the issuers thereof and (i) in the case of Pledged Equity, are fully paid and nonassessable and (ii) in the case of Pledged Debt (solely with respect to Pledged Debt issued by a Person other than the Company or a Subsidiary of the Company, to the best of each Borrower’s knowledge), are legal, valid and binding obligations of the issuers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except for the security interests granted hereunder, each of the Grantors (i) is and, subject to any transfers made in compliance with the Credit Agreement, will continue to be the direct owner, beneficially and of record, of the Pledged Securities indicated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 xml:space="preserve">as owned by such Grantors, (ii) holds the same free and clear of all Liens, other than (A) Liens created by the Collateral Documents and (B) Liens expressly permitted pursuant to Section 7.01 of the Credit Agreement, (iii) will make no assignment, pledge, hypothecation or transfer of, or create or permit to exist any security interest in or other Lien on, the Pledged Collateral, other than transfers made in accordance with the Credit Agreement and (A) Liens created by the Collateral Documents and (B) Liens expressly permitted pursuant to Section 7.01 of the Credit Agreement, and (iv) will defend its title or interest thereto or therein against any and all Liens (other than the Liens permitted pursuant to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however arising, of all Persons whomsoever;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except for (i) restrictions and limitations imposed by the Loan Documents or securities laws generally, (ii) in the case of Pledged Equity of Persons that are not Subsidiaries, transfer restrictions that exist at the time of acquisition of such Equity Interests and (iii) as described in the Perfection Certificate, the Pledged Collateral is and will continue to be freely transferable and assignable, and none of the Pledged Collateral is or will be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Collateral Agent of rights and remedies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each of the Grantors has the power and authority to pledge the Pledged Collateral pledged by it hereunder in the manner hereby done or contemplated;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 consent or approval of any Governmental Authority, any securities exchange or any other Person was or is necessary to the validity of the pledge effected hereby (other than such as have been obtained and are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27025"/>
                <wp:effectExtent l="0" t="0" r="0" b="0"/>
                <wp:wrapNone/>
                <wp:docPr id="284" name="Frame28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by virtue of the execution and delivery by the Grantors of this Agreement, when any Pledged Securities are delivered to the Collateral Agent in accordance with this Agreement, the Collateral Agent will obtain a legal, valid and first-priority perfected lien upon and security interest in such Pledged Securities as security for the payment and performance of the Secured Obligations, subject only to any Lien permitted pursuant to Section 7.01 of the Credit Agreement;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the pledge effected hereby is effective to vest in the Collateral Agent, for the benefit of the Secured Parties, the rights of the Collateral Agent in the Pledged Collateral as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in this Agreement, to the extent any provision of this Agreement or the Credit Agreement excludes any assets from the scope of the Pledged Collateral, or from any requirement to take any action to perfect any security interest in favor of the Administrative Agent in the Pledged Collateral, the representations, warranties and covenants made by any relevant Grantor in this Agreement with respect to the creation, perfection or priority (as applicable) of the security interest granted in favor of the Administrative Agent (including, without limitation,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shall be deemed not to apply to such excluded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2.04.    </w:t>
      </w:r>
      <w:r>
        <w:rPr>
          <w:rFonts w:ascii="Times New Roman;serif" w:hAnsi="Times New Roman;serif"/>
          <w:b w:val="false"/>
          <w:color w:val="000000"/>
          <w:sz w:val="22"/>
          <w:u w:val="single"/>
        </w:rPr>
        <w:t>Certification of Limited Liability Company and Limited Partnership Interests</w:t>
      </w:r>
      <w:r>
        <w:rPr>
          <w:rFonts w:ascii="Times New Roman;serif" w:hAnsi="Times New Roman;serif"/>
          <w:b w:val="false"/>
          <w:color w:val="000000"/>
          <w:sz w:val="22"/>
        </w:rPr>
        <w:t xml:space="preserve">. No interest in any limited liability company or limited partnership controlled by any Grantor that constitutes Pledged Equity (x) shall be represented by a certificate unless (i) the limited liability company agreement or partnership agreement expressly provides that such interests shall be a “security” within the meaning of Article 8 of the UCC of the applicable jurisdiction, and (ii) such certificate shall be delivered to the Collateral Agent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or (y) shall, in the case of any limited liability company or limited partnership that is a Wholly Owned Subsidiary of any Grantor, be an uncertificated “security” within the meaning of Article 8 of the UCC of the applicable jurisdiction unless a control agreement, in form and substance reasonably satisfactory to the Collateral Agent, has been executed and delivered by the relevant Grantor and the issuer of such interests to the Collateral Agent within 30 days from the date hereof or if such interest is acquired after the date hereof, within 30 days from the date of such acquisition (or such longer period as the Collateral Agent may agree in its reasonable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2.05.    </w:t>
      </w:r>
      <w:r>
        <w:rPr>
          <w:rFonts w:ascii="Times New Roman;serif" w:hAnsi="Times New Roman;serif"/>
          <w:b w:val="false"/>
          <w:color w:val="000000"/>
          <w:sz w:val="22"/>
          <w:u w:val="single"/>
        </w:rPr>
        <w:t>Registration in Nominee Name; Denominations</w:t>
      </w:r>
      <w:r>
        <w:rPr>
          <w:rFonts w:ascii="Times New Roman;serif" w:hAnsi="Times New Roman;serif"/>
          <w:b w:val="false"/>
          <w:color w:val="000000"/>
          <w:sz w:val="22"/>
        </w:rPr>
        <w:t xml:space="preserve">. If an Event of Default shall occur and be continuing and the Collateral Agent shall give the Company notice of its intent to exercise such rights, (a) the Collateral Agent, on behalf of the Secured Parties, shall have the right (in its sole and absolute discretion) to hold the Pledged Securities in its own name as pledgee, the name of its nominee (as pledgee or as sub-agent) or the name of the applicable Grantor, endorsed or assigned in blank or in favor of the Collateral Agent and each Grantor will promptly give to the Collateral Agent copies of any notices or other communications received by it with respect to Pledged Securities registered in the name of such Grantor and (b) the Collateral Agent shall have the right to exchange the certificates representing Pledged Securities for certificates of smaller or larger denominations for any purpose consistent with this Agreement and, in the case of Pledged Securities of persons that are not Subsidiaries, to the extent permitted by the documentation governing such Pledged Securities;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if a Bankruptcy Event of Default shall have occurred and be continuing, the Collateral Agent shall not be required to give the notice referred to above in order to exercise the rights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2.06.    </w:t>
      </w:r>
      <w:r>
        <w:rPr>
          <w:rFonts w:ascii="Times New Roman;serif" w:hAnsi="Times New Roman;serif"/>
          <w:b w:val="false"/>
          <w:color w:val="000000"/>
          <w:sz w:val="22"/>
          <w:u w:val="single"/>
        </w:rPr>
        <w:t>Voting Rights; Dividends and Interest</w:t>
      </w:r>
      <w:r>
        <w:rPr>
          <w:rFonts w:ascii="Times New Roman;serif" w:hAnsi="Times New Roman;serif"/>
          <w:b w:val="false"/>
          <w:color w:val="000000"/>
          <w:sz w:val="22"/>
        </w:rPr>
        <w:t xml:space="preserve">. (a) Unless and until an Event of Default shall have occurred and be continuing and the Collateral Agent shall have notified the Company that the rights of the Grantors under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are being suspended: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27025"/>
                <wp:effectExtent l="0" t="0" r="0" b="0"/>
                <wp:wrapNone/>
                <wp:docPr id="285" name="Frame28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    Each Grantor shall be entitled to exercise any and all voting and/or other consensual rights and powers inuring to an owner of Pledged Securities or any part thereof for any purpose consistent with the terms of this Agreement, the Credit Agreement and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rights and powers shall not be exercised in any manner that could materially and adversely affect the rights inuring to a holder of any Pledged Securities or the rights and remedies of any of the Collateral Agent or the other Secured Parties under this Agreement, the Credit Agreement or any other Secured Credit Document or the ability of the Secured Parties to exercise the same.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Collateral Agent shall promptly (after reasonable advance notice) execute and deliver to each Grantor, or cause to be executed and delivered to such Grantor, all such proxies, powers of attorney and other instruments as such Grantor may reasonably request for the purpose of enabling such Grantor to exercise the voting and/or consensual rights and powers it is entitled to exercise pursuant to subparagraph (i) above.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Credit Agreement, the other Loan Documents and applicable Laws;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noncash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 held in trust for the benefit of the Collateral Agent and the applicable Secured Parties and shall be forthwith delivered to the Collateral Agent in the same form as so received (with any necessary endorsement reasonably requested by the Collateral Agent). So long as no Default or Event of Default has occurred and is continuing, the Collateral Agent shall promptly deliver to each Grantor any Pledged Securities in its possession if requested to be delivered to the issuer thereof in connection with any exchange or redemption of such Pledged Securities in accordance with this </w:t>
      </w:r>
      <w:r>
        <w:rPr>
          <w:rFonts w:ascii="Times New Roman;serif" w:hAnsi="Times New Roman;serif"/>
          <w:b w:val="false"/>
          <w:color w:val="000000"/>
          <w:sz w:val="22"/>
          <w:u w:val="single"/>
        </w:rPr>
        <w:t>Section 2.06(a)(iii)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Upon the occurrence and during the continuance of an Event of Default, after the Collateral Agent shall have notified the Company of the suspension of the rights of the Grantors under paragraph (a)(iii) of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then all rights of any Grantor to dividends, interest, principal or other distributions that such Grantor is authorized to receive pursuant to paragraph (a)(iii) of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 xml:space="preserve">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 xml:space="preserve">shall be held in trust for the benefit of the Collateral Agent, shall be segregated from other property or funds of such Grantor and shall be forthwith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Times New Roman;serif" w:hAnsi="Times New Roman;serif"/>
          <w:b w:val="false"/>
          <w:color w:val="000000"/>
          <w:sz w:val="22"/>
          <w:u w:val="single"/>
        </w:rPr>
        <w:t>Section 5.02</w:t>
      </w:r>
      <w:r>
        <w:rPr>
          <w:rFonts w:ascii="Times New Roman;serif" w:hAnsi="Times New Roman;serif"/>
          <w:b w:val="false"/>
          <w:color w:val="000000"/>
          <w:sz w:val="22"/>
        </w:rPr>
        <w:t xml:space="preserve">. After all Events of Default have been cured or waived, the Collateral Agent shall promptly repay to each Grantor (without interest) all dividends, interest,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27025"/>
                <wp:effectExtent l="0" t="0" r="0" b="0"/>
                <wp:wrapNone/>
                <wp:docPr id="286" name="Frame28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or other distributions that such Grantor would otherwise be permitted to retain pursuant to the terms of paragraph (a)(iii) of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in the absence of an Event of Default and that remain in such account.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Upon the occurrence and during the continuance of an Event of Default, after the Collateral Agent shall have notified the Company of the suspension of the rights of the Grantors under paragraph (a)(i) of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then all rights of any Grantor to exercise the voting and consensual rights and powers it is entitled to exercise pursuant to paragraph (a)(i) of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and the obligations of the Collateral Agent under paragraph (a)(ii) of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shall cease, and all such rights shall thereupon become vested in the Collateral Agent, which shall have the sole and exclusive right and authority to exercise such voting and consensual rights and powers;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otherwise directed by the Required Lenders, the Collateral Agent shall have the right from time to time following and during the continuance of an Event of Default to permit the Grantors to exercise such rights. After all Events of Default have been cured or waived, each Grantor shall have the exclusive right to exercise the voting and/or consensual rights and powers that such Grantor would otherwise be entitled to exercise pursuant to the terms of paragraph (a)(i) above, and the obligations of the Collateral Agent under paragraph (a)(ii) of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shall be reinstated.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Any notice given by the Collateral Agent to the Company suspending the rights of the Grantors under paragraph (a) of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 xml:space="preserve">(i) shall be given in writing, (ii) may be given with respect to one or more of the Grantors at the same or different times and (iii) may suspend the rights of the Grantors under paragraph (a)(i) or paragraph (a)(iii)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Notwithstanding anything to the contrary contained in </w:t>
      </w:r>
      <w:r>
        <w:rPr>
          <w:rFonts w:ascii="Times New Roman;serif" w:hAnsi="Times New Roman;serif"/>
          <w:b w:val="false"/>
          <w:color w:val="000000"/>
          <w:sz w:val="22"/>
          <w:u w:val="single"/>
        </w:rPr>
        <w:t>Section 2.06(a)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if a Bankruptcy Event of Default shall have occurred and be continuing, the Collateral Agent shall not be required to give any notice referred to in said Section in order to exercise any of its rights described in such Section, and the suspension of the rights of each of the Grantors under each such Section shall be automatic upon the occurrence of such Bankruptcy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2.07.    </w:t>
      </w:r>
      <w:r>
        <w:rPr>
          <w:rFonts w:ascii="Times New Roman;serif" w:hAnsi="Times New Roman;serif"/>
          <w:b w:val="false"/>
          <w:color w:val="000000"/>
          <w:sz w:val="22"/>
          <w:u w:val="single"/>
        </w:rPr>
        <w:t>Collateral Agent Not a Partner or Limited Liability Company Member</w:t>
      </w:r>
      <w:r>
        <w:rPr>
          <w:rFonts w:ascii="Times New Roman;serif" w:hAnsi="Times New Roman;serif"/>
          <w:b w:val="false"/>
          <w:color w:val="000000"/>
          <w:sz w:val="22"/>
        </w:rPr>
        <w:t>. Nothing contained in this Agreement shall be construed to make the Collateral Agent or any other Secured Party liable as a member of any limited liability company or as a partner of any partnership and neither the Collateral Agent nor any other Secured Party by virtue of this Agreement or otherwise (except as referred to in the following sentence) shall have any of the duties, obligations or liabilities of a member of any limited liability company or as a partner in any partnership. The parties hereto expressly agree that, unless the Collateral Agent shall become the absolute owner of Pledged Equity consisting of a limited liability company interest or a partnership interest pursuant hereto, this Agreement shall not be construed as creating a partnership or joint venture among the Collateral Agent, any other Secured Party, any Grantor and/or any other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III</w:t>
        <w:br/>
        <w:br/>
      </w:r>
      <w:r>
        <w:rPr>
          <w:rFonts w:ascii="Times New Roman;serif" w:hAnsi="Times New Roman;serif"/>
          <w:b w:val="false"/>
          <w:color w:val="000000"/>
          <w:sz w:val="22"/>
          <w:u w:val="single"/>
        </w:rPr>
        <w:t>Security Interests in Personal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Security Interest</w:t>
      </w:r>
      <w:r>
        <w:rPr>
          <w:rFonts w:ascii="Times New Roman;serif" w:hAnsi="Times New Roman;serif"/>
          <w:b w:val="false"/>
          <w:color w:val="000000"/>
          <w:sz w:val="22"/>
        </w:rPr>
        <w:t>. (a) As security for the payment or performance, as the case may be, in full of the Secured Obligations, including each Guaranty, each Grantor hereby assigns and pledges to the Collateral Agent, its successors and assigns, for the benefit of the Secured Parties, and hereby grants to the Collateral Agent, its successors and assigns, for the benefit of the Secured Parties, a security interest (the “</w:t>
      </w:r>
      <w:r>
        <w:rPr>
          <w:rFonts w:ascii="Times New Roman;serif" w:hAnsi="Times New Roman;serif"/>
          <w:b w:val="false"/>
          <w:color w:val="000000"/>
          <w:sz w:val="22"/>
          <w:u w:val="single"/>
        </w:rPr>
        <w:t>Security Interest</w:t>
      </w:r>
      <w:r>
        <w:rPr>
          <w:color w:val="000000"/>
        </w:rPr>
        <w:t>”</w:t>
      </w:r>
      <w:r>
        <w:rPr>
          <w:rFonts w:ascii="Times New Roman;serif" w:hAnsi="Times New Roman;serif"/>
          <w:b w:val="false"/>
          <w:color w:val="000000"/>
          <w:sz w:val="22"/>
        </w:rPr>
        <w:t>) in, all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Times New Roman;serif" w:hAnsi="Times New Roman;serif"/>
          <w:b w:val="false"/>
          <w:color w:val="000000"/>
          <w:sz w:val="22"/>
          <w:u w:val="single"/>
        </w:rPr>
        <w:t>Article 9 Collateral</w:t>
      </w:r>
      <w:r>
        <w:rPr>
          <w:color w:val="000000"/>
        </w:rPr>
        <w:t>”</w:t>
      </w:r>
      <w:r>
        <w:rPr>
          <w:rFonts w:ascii="Times New Roman;serif" w:hAnsi="Times New Roman;serif"/>
          <w:b w:val="false"/>
          <w:color w:val="000000"/>
          <w:sz w:val="22"/>
        </w:rPr>
        <w: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27025"/>
                <wp:effectExtent l="0" t="0" r="0" b="0"/>
                <wp:wrapNone/>
                <wp:docPr id="287" name="Frame28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(i)all Accounts;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(ii)all Chattel Paper;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(iii)all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(iv)all Equipment;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(v)all General Intangibles;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(vi)all Instruments;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(vii)all Inventory;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(viii)all Intellectual Property Collateral;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(ix)all Investment Property;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(x)all books and records pertaining to the Article 9 Collateral;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(xi)all Goods and Fixtures;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(xii)all Letter-of-Credit Rights;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(xiii)all Commercial Tort Claims described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from time to time;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(xiv)the Cash Collateral Account (and all cash, securities and other investments deposited therein);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(xv)all Supporting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(xvi)all Security Entitlements in any or all of the foregoing;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(xvii)to the extent not otherwise included, all Proceeds and products of any and all of the foregoing and all collateral security and guarantees given by any Person with respect to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to the contrary in this Agreement, Article 9 Collateral shall not include any, and no Security Interest shall be granted in any, Excluded Assets.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Grantor hereby irrevocably authorizes the Collateral Agent for the benefit of the Secured Parties at any time and from time to time to file in any relevant jurisdiction any initial financing statements (including fixture filings) with respect to the Article 9 Collateral or any part thereof and amendments thereto that (i) indicate the Collateral as all assets of such Grantor or words of similar effect as being of an equal or lesser scope or with greater detail, and (ii) contain the information required by Article 9 of the Uniform Commercial Code or the analogous legislation of each applicable jurisdiction for the filing of any financing statement or amendment, including (A) whether such Grantor is an organization, the type of organization and any organizational identification number issued to such Grantor and (B) in the case of a financing statement filed as a fixture filing, a sufficient description of the real property to which such Article 9 Collateral relates. Each Grantor agrees to provide such information to the Collateral Agent promptly upon request.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27025"/>
                <wp:effectExtent l="0" t="0" r="0" b="0"/>
                <wp:wrapNone/>
                <wp:docPr id="288" name="Frame28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Security Interest is granted as security only and shall not subject the Collateral Agent or any other Secured Party to, or in any way alter or modify, any obligation or liability of any Grantor with respect to or arising out of the Article 9 Collateral.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Each Grantor hereby further authorizes the Collateral Agent to file filings with the United States Patent and Trademark Office or United States Copyright Office (or any successor office), including the Trademark Security Agreement, Copyright Security Agreement, and Patent Security Agreement or other documents as may be necessary or advisable for the purpose of perfecting, confirming, continuing, enforcing or protecting the security interest granted by such Grantor hereunder, without the signature of such Grantor, and naming such Grantor, as debtor, and the Collateral Agent, as secured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3.02.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Borrower jointly and severally represents and warrants, as to themselves and the other Grantors, to the Collateral Agent and the Secured Parties 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Subject to Liens permitted by Section 7.01 of the Credit Agreement, each Grantor has good and valid rights in and title to the Article 9 Collateral with respect to which it has purported to grant a Security Interest hereunder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Perfection Certificate has been duly prepared, completed, executed and delivered to the Collateral Agent and the information set forth therein, including the exact legal name of each Grantor, is correct and complete in all material aspects as of the Closing Date. The Uniform Commercial Code financing statements (including fixture filings, as applicable) or other appropriate filings, recordings or registrations prepared by the Collateral Agent based upon the information provided to the Collateral Agent in the Perfection Certificate for filing in each governmental, municipal or other office specified in Schedule 4 to the Perfection Certificate (or specified by notice from the applicable Grantor to the Collateral Agent after the Closing Date in the case of filings, recordings or registrations required by Section 6.11 of the Credit Agreement), are all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(or any political subdivision thereof) and its territories and possessions, and no further or subsequent filing, refiling, recording, rerecording, registration or reregistration is necessary in any such jurisdiction, except as provided under applicable Law with respect to the filing of continuation statements. Each Grantor represents and warrants that fully executed agreements in the form of </w:t>
      </w:r>
      <w:r>
        <w:rPr>
          <w:rFonts w:ascii="Times New Roman;serif" w:hAnsi="Times New Roman;serif"/>
          <w:b w:val="false"/>
          <w:color w:val="000000"/>
          <w:sz w:val="22"/>
          <w:u w:val="single"/>
        </w:rPr>
        <w:t>Exhibit 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Exhibit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IV</w:t>
      </w:r>
      <w:r>
        <w:rPr>
          <w:color w:val="000000"/>
        </w:rPr>
        <w:t xml:space="preserve"> </w:t>
      </w:r>
      <w:r>
        <w:rPr>
          <w:rFonts w:ascii="Times New Roman;serif" w:hAnsi="Times New Roman;serif"/>
          <w:b w:val="false"/>
          <w:color w:val="000000"/>
          <w:sz w:val="22"/>
        </w:rPr>
        <w:t xml:space="preserve">hereof and containing a description of all Collateral consisting of Intellectual Property with respect to United States Patents and United States registered Trademarks (and Trademarks for which United States registration applications are pending) and United States registered Copyrights have been delivered to the Collateral Agent for recording by the United States Patent and Trademark Office and the United States Copyright Office pursuant to 35 U.S.C. § 261, 15 U.S.C. § 1060 or 17 U.S.C. § 205 and the regulations thereunder, as applicable, and otherwise as may be required pursuant to the laws of any other necessary jurisdiction, to protect the validity of and to establish a legal, valid and perfected security interest in favor of the Collateral Agent (for the benefit of the Secured Parties) in respect of all Collateral consisting of Patents, Trademarks and Copyrights in which a security interest may be perfected by filing, recording or registration in the United States (or any political subdivision thereof) and its territories and possessions, and no further or subsequent filing, refiling, recording, rerecording, registration or reregistration is necessary (other than such actions as are necessary to perfect the Security Interest with respect to any Collateral consisting of Patents, Trademarks and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27025"/>
                <wp:effectExtent l="0" t="0" r="0" b="0"/>
                <wp:wrapNone/>
                <wp:docPr id="289" name="Frame28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Copyrights (or registration or application for registration thereof) acquired or developed after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The Security Interest constitutes (i) a legal and valid security interest in all the Article 9 Collateral securing the payment and performance of the Secured Obligations, (ii) subject to the filings described in </w:t>
      </w:r>
      <w:r>
        <w:rPr>
          <w:rFonts w:ascii="Times New Roman;serif" w:hAnsi="Times New Roman;serif"/>
          <w:b w:val="false"/>
          <w:color w:val="000000"/>
          <w:sz w:val="22"/>
          <w:u w:val="single"/>
        </w:rPr>
        <w:t>Section 3.02(b)</w:t>
      </w:r>
      <w:r>
        <w:rPr>
          <w:rFonts w:ascii="Times New Roman;serif" w:hAnsi="Times New Roman;serif"/>
          <w:b w:val="false"/>
          <w:color w:val="000000"/>
          <w:sz w:val="22"/>
        </w:rPr>
        <w:t>,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and (iii) a security interest that shall be perfected in all Collateral in which a security interest may be perfected upon the receipt and recording of this Agreement with the United States Patent and Trademark Office and the United States Copyright Office, as applicable, within the three-month period (commencing as of the date hereof) pursuant to 35 U.S.C. § 261 or 15 U.S.C. § 1060 or the one-month period (commencing as of the date hereof) pursuant to 17 U.S.C. § 205 and otherwise as may be required pursuant to the laws of any other necessary jurisdiction. The Security Interest is and shall be prior to any other Lien on any of the Article 9 Collateral, other than (i) any Lien that is expressly permitted pursuant to Section 7.01 of the Credit Agreement and has priority as a matter of law and (ii) Liens expressly permitted pursuant to Section 7.01 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Article 9 Collateral is owned by the Grantors free and clear of any Lien, except for Liens expressly permitted pursuant to Section 7.01 of the Credit Agreement. None of the Grantors has filed or consented to the filing of (i) any financing statement or analogous document under the Uniform Commercial Code or any other applicable Laws covering any Article 9 Collateral, (ii) any assignment in which any Grantor assigns any Article 9 Collateral or any security agreement or similar instrument covering any Collateral with the United States Patent and Trademark Office or the United States Copyright Office, or (iii) 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Liens expressly permitted pursuant to Section 7.01 of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All Commercial Tort Claims of each Grantor in existence on the date of this Agreement (or on the date upon which such Grantor becomes a party to this Agreement) are described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3.03.    </w:t>
      </w:r>
      <w:r>
        <w:rPr>
          <w:rFonts w:ascii="Times New Roman;serif" w:hAnsi="Times New Roman;serif"/>
          <w:b w:val="false"/>
          <w:color w:val="000000"/>
          <w:sz w:val="22"/>
          <w:u w:val="single"/>
        </w:rPr>
        <w:t>Covenants</w:t>
      </w:r>
      <w:r>
        <w:rPr>
          <w:rFonts w:ascii="Times New Roman;serif" w:hAnsi="Times New Roman;serif"/>
          <w:b w:val="false"/>
          <w:color w:val="000000"/>
          <w:sz w:val="22"/>
        </w:rPr>
        <w:t>. (a) The Borrowers agree to promptly notify the Collateral Agent in writing of any change (i) in the legal name of any Grantor, (ii) in the identity or type of organization or corporate structure of any Grantor, (iii) in the jurisdiction of organization of any Grantor, (iv) in the location of any Grantor (determined in accordance with Section 9-307 of the UCC) or (v) in the organizational identification number of any Grantor. In addition, if any Grantor does not have an organizational identification number on the Closing Date (or the date such Grantor becomes a party to this Agreement) and later obtains one, the Company shall promptly thereafter notify the Collateral Agent of such organizational identification number and shall take all actions reasonably satisfactory to the Collateral Agent to the extent necessary to maintain the security interests (and the priority thereof) of the Collateral Agent in the Collateral intended to be granted hereby fully perfected and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Each Grantor shall, at its own expense, take any and all commercially reasonable actions necessary to defend title to the Article 9 Collateral against all Persons and to defend the Security Interest of the Collateral Agent in the Article 9 Collateral and the priority thereof against any Lien not expressly permitted pursuant to Section 7.01 of the Credit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Agreement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27025"/>
                <wp:effectExtent l="0" t="0" r="0" b="0"/>
                <wp:wrapNone/>
                <wp:docPr id="290" name="Frame28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prevent any Grantor from discontinuing the operation or maintenance of any of its assets or properties if such discontinuance is both (x) determined by such Grantor in good faith to be desirable in the conduct of its business and (y) is permitted by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Each year, at the time of delivery of annual financial statements with respect to the preceding fiscal year pursuant to Section 6.01 of the Credit Agreement, the Company shall deliver to the Collateral Agent a certificate executed by a Responsible Officer of the Company setting forth the information required pursuant to Section 1(a) and 1(c) of the Perfection Certificate or confirming that there has been no change in such information since the date of such certificate or the date of the most recent certificate delivered pursuant to this </w:t>
      </w:r>
      <w:r>
        <w:rPr>
          <w:rFonts w:ascii="Times New Roman;serif" w:hAnsi="Times New Roman;serif"/>
          <w:b w:val="false"/>
          <w:color w:val="000000"/>
          <w:sz w:val="22"/>
          <w:u w:val="single"/>
        </w:rPr>
        <w:t>Section 3.03(c)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Each Borrower agrees, on its own behalf and on behalf of each other Grantor,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If any amount payable under or in connection with any of the Article 9 Collateral that exceeds $5,000,000 shall be or become evidenced by any promissory note or other instrument, such note or instrument shall be promptly pledged and delivered to the Collateral Agent, for the benefit of the Secured Parties, duly endorsed in a manner reasonably satisfactory to the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At its option, the Collateral Agent may discharge past due taxes, assessments, charges, fees, Liens, security interests or other encumbrances at any time levied or placed on the Article 9 Collateral and not permitted pursuant to Section 7.01 of the Credit Agreement, and may pay for the maintenance and preservation of the Article 9 Collateral to the extent any Grantor fails to do so as required by the Credit Agreement or this Agreement and within a reasonable period of time after the Collateral Agent has requested that it do so, and each Grantor jointly and severally agrees to reimburse the Collateral Agent within 10 days after demand for any payment made or any reasonable and documented expense incurred by the Collateral Agent pursuant to the foregoing authorization.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If at any time any Grantor shall take a security interest in any property of an Account Debtor or any other Person the value of which exceeds $5,000,000 to secure payment and performance of an Account, such Grantor shall promptly assign such security interest to the Collateral Agent for the benefit of the applicable Secured Parties. Such assignment need not be filed of public record unless necessary to continue the perfected status of the security interest against creditors of and transferees from the Account Debtor or other Person granting the security interest.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 and each Grantor jointly and severally agrees to indemnify and hold harmless the Collateral Agent and the Secured Parties from and against any and all liability for such performance.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27025"/>
                <wp:effectExtent l="0" t="0" r="0" b="0"/>
                <wp:wrapNone/>
                <wp:docPr id="291" name="Frame29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Notwithstanding any provision of this Agreement to the contrary, no control agreement in respect of cash or cash equivalents, deposit or securities accounts or uncertificated securities of persons other than Wholly Owned Subsidiaries directly owned by any Borrower or any Grantor shall be required, and no actions in any non-U.S. jurisdiction or required by the laws of any non-U.S. jurisdiction shall be required in order to create any security interests in assets located or titled outside of the U.S. or to perfect any security interest in such assets, including any Intellectual Property registered in any non-U.S. jurisdiction (it being understood that there shall be no security agreements or pledge agreements governed under the laws of any non-U.S.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3.04.    </w:t>
      </w:r>
      <w:r>
        <w:rPr>
          <w:rFonts w:ascii="Times New Roman;serif" w:hAnsi="Times New Roman;serif"/>
          <w:b w:val="false"/>
          <w:color w:val="000000"/>
          <w:sz w:val="22"/>
          <w:u w:val="single"/>
        </w:rPr>
        <w:t>Other Actions</w:t>
      </w:r>
      <w:r>
        <w:rPr>
          <w:rFonts w:ascii="Times New Roman;serif" w:hAnsi="Times New Roman;serif"/>
          <w:b w:val="false"/>
          <w:color w:val="000000"/>
          <w:sz w:val="22"/>
        </w:rPr>
        <w:t>. In order to further ensure the attachment, perfection and priority of, and the ability of the Collateral Agent to enforce, the Security Interest, each Grantor agrees, in each case at such Grantor’s own expense, to take the following actions with respect to the following Article 9 Collateral: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Instruments</w:t>
      </w:r>
      <w:r>
        <w:rPr>
          <w:rFonts w:ascii="Times New Roman;serif" w:hAnsi="Times New Roman;serif"/>
          <w:b w:val="false"/>
          <w:color w:val="000000"/>
          <w:sz w:val="22"/>
        </w:rPr>
        <w:t>. If any Grantor shall at any time hold or acquire any Instruments constituting Collateral and evidencing an amount in excess of $5,000,000, such Grantor shall forthwith endorse, assign and deliver the same to the Collateral Agent for the benefit of the applicable Secured Parties, accompanied by such instruments of transfer or assignment duly executed in blank as the Collateral Agent may from time to time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Investment Property</w:t>
      </w:r>
      <w:r>
        <w:rPr>
          <w:rFonts w:ascii="Times New Roman;serif" w:hAnsi="Times New Roman;serif"/>
          <w:b w:val="false"/>
          <w:color w:val="000000"/>
          <w:sz w:val="22"/>
        </w:rPr>
        <w:t xml:space="preserve">. Except to the extent otherwise provided in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if any Grantor shall at any time hold or acquire any certificated securities, such Grantor shall forthwith endorse, assign and deliver the same to the Collateral Agent for the benefit of the applicable Secured Parties, accompanied by such instruments of transfer or assignment duly executed in blank as the Collateral Agent may from time to time reasonably request. If any securities now or hereafter acquired by any Grantor are uncertificated and are issued to such Grantor or its nominee directly by the issuer thereof, upon the Collateral Agent’s request and following the occurrence of an Event of Default such Grantor shall promptly notify the Collateral Agent thereof and, at the Collateral Agent’s reasonable request, pursuant to an agreement in form and substance reasonably satisfactory to the Collateral Agent, either (i) cause the issuer to agree to comply with instructions from the Collateral Agent as to such securities, without further consent of any Grantor or such nominee, or (ii) arrange for the Collateral Agent to become the registered owner of the securities. If any securities, whether certificated or uncertificated, or other investment property are held by any Grantor or its nominee through a securities intermediary or commodity intermediary, upon the Collateral Agent’s request and following the occurrence of an Event of Default, such Grantor shall immediately notify the Collateral Agent thereof and at the Collateral Agent’s request and option, pursuant to an agreement in form and substance reasonably satisfactory to the Collateral Agent shall either (i) cause such securities intermediary or (as the case may be) commodity intermediary to agree to comply with entitlement orders or other instructions from the Collateral Agent to such securities intermediary as to such security entitlements, or (as the case may be) to apply any value distributed on account of any commodity contract as directed by the Collateral Agent to such commodity intermediary, in each case without further consent of any Grantor or such nominee, or (ii) in the case of financial assets or other Investment Property held through a securities intermediary, arrange for the Collateral Agent to become the entitlement holder with respect to such Investment Property, with the Grantor being permitted, only with the consent of the Collateral Agent, to exercise rights to withdraw or otherwise deal with such Investment Property. The Collateral Agent agrees with each of the Grantors that the Collateral Agent shall not give any such entitlement orders or instructions or directions to any such issuer, securities intermediary or commodity intermediary, and shall not withhold its consent to the exercise of any withdrawal or dealing rights by any Grantor, unless an Event of Default has occurred and is continuing. The provisions of this paragraph shall not apply to any financial assets credited to a securities account for which the Collateral Agent is the securities intermediary.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27025"/>
                <wp:effectExtent l="0" t="0" r="0" b="0"/>
                <wp:wrapNone/>
                <wp:docPr id="292" name="Frame29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If any Grantor shall at any time after the date of this Agreement acquire a Commercial Tort Claim in an amount (taking the greater of the aggregate claimed damages thereunder or the reasonably estimated value thereof) of $5,000,000 or more, such Grantor shall promptly notify the Collateral Agent thereof in a writing signed by such Grantor and provide supplements to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describing the details thereof and shall grant to the Collateral Agent a security interest therein and in the proceeds thereof, all upon the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Letter of Credit Rights</w:t>
      </w:r>
      <w:r>
        <w:rPr>
          <w:rFonts w:ascii="Times New Roman;serif" w:hAnsi="Times New Roman;serif"/>
          <w:b w:val="false"/>
          <w:color w:val="000000"/>
          <w:sz w:val="22"/>
        </w:rPr>
        <w:t>. If any Grantor is at any time a beneficiary under a letter of credit with a stated amount of $5,000,000 or more, such Grantor shall promptly notify the Collateral Agent thereof and, at the request of the Collateral Agent, such Grantor shall, pursuant to an agreement in form and substance reasonably satisfactory to the Collateral Agent, use its commercially reasonable efforts to (i) arrange for the issuer and any confirmer of such letter of credit to consent to an assignment to the Collateral Agent of the proceeds of any drawing under such letter of credit or (ii) arrange for the Collateral Agent to become the transferee beneficiary of such letter of credit, with the Collateral Agent agreeing, in each case, that the proceeds of any drawing under the letter of credit are to be applied as provided in this Agreement after the occurrence and during the continuance of an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IV</w:t>
        <w:br/>
        <w:br/>
      </w:r>
      <w:r>
        <w:rPr>
          <w:rFonts w:ascii="Times New Roman;serif" w:hAnsi="Times New Roman;serif"/>
          <w:b w:val="false"/>
          <w:color w:val="000000"/>
          <w:sz w:val="22"/>
          <w:u w:val="single"/>
        </w:rPr>
        <w:t>Certain Provisions Concerning Intellectual Property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Grant of License to Use Intellectual Property</w:t>
      </w:r>
      <w:r>
        <w:rPr>
          <w:rFonts w:ascii="Times New Roman;serif" w:hAnsi="Times New Roman;serif"/>
          <w:b w:val="false"/>
          <w:color w:val="000000"/>
          <w:sz w:val="22"/>
        </w:rPr>
        <w:t xml:space="preserve">. Without limiting the provision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hereof or any other rights of the Collateral Agent as the holder of a Security Interest in any Intellectual Property Collateral, for the purpose of enabling the Collateral Agent to exercise rights and remedies under this Agreement at such time as the Collateral Agent shall be lawfully entitled to exercise such rights and remedies, each Grantor shall, upon request by the Collateral Agent, grant to the Collateral Agent an irrevocable, non-exclusive license (exercisable without payment of royalty or other compensation to the Grantors and exercisable only after the occurrence and during the continuation of an Event of Default) to use, license or sublicense any of the Intellectual Property Collateral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The use of such license by the Collateral Agent may be exercised, at the option of the Collateral Agent, during the continuation of an Event of Default;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license, sublicense or other transaction entered into by the Collateral Agent in accordance herewith shall be binding upon the Grantors notwithstanding any subsequent cure of an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Protection of Collateral Agent’s Security</w:t>
      </w:r>
      <w:r>
        <w:rPr>
          <w:rFonts w:ascii="Times New Roman;serif" w:hAnsi="Times New Roman;serif"/>
          <w:b w:val="false"/>
          <w:color w:val="000000"/>
          <w:sz w:val="22"/>
        </w:rPr>
        <w:t xml:space="preserve">. (a)     Except to the extent failure to act, either individually or in the aggregate, could not reasonably be expected to have a Material Adverse Effect, with respect to registration or pending application of each item of its Intellectual Property Collateral for which such Grantor has standing to do so, each Grantor agrees to take, at its expense, all steps, including, without limitation, in the U.S. Patent and Trademark Office, the U.S. Copyright Office and any other governmental authority located in the United States, to (i) maintain the validity and enforceability of any registered Intellectual Property Collateral and maintain such Intellectual Property Collateral in full force and effect, and (ii) pursue the registration and maintenance of each Patent, Trademark, or Copyright registration or application, now or hereafter included in such Intellectual Property Collateral of such Grantor, including, without limitation, the payment of required fees and taxes, the filing of responses to office actions issued by the U.S. Patent and Trademark Office, the U.S. Copyright Office or other governmental authorities, the filing of applications for renewal or extension, the filing of affidavits under Sections 8 and 15 of the U.S. Trademark Act, the filing of divisional, continuation, continuation-in-part,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27025"/>
                <wp:effectExtent l="0" t="0" r="0" b="0"/>
                <wp:wrapNone/>
                <wp:docPr id="293" name="Frame29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reissue and renewal applications or extensions, the payment of maintenance fees and the participation in interference, reexamination, opposition, cancellation, infringement and misappropriation proceedings.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Except where failure to do so, either individually or in the aggregate, could not reasonably be expected to have a Material Adverse Effect, each Grantor shall take all steps to preserve and protect each item of its Intellectual Property Collateral, including, without limitation, maintaining the quality of any and all products or services used or provided in connection with any of the Trademarks, consistent with the quality of the products and services as of the date hereof, and taking all steps necessary to ensure that all licensed users of any of the Trademarks abide by the applicable license’s terms with respect to the standards of quality.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as could not, either individually or in the aggregate, reasonably be expected to have a Material Adverse Effect, no Grantor shall do or permit any act or knowingly omit to do any act whereby any of its Intellectual Property Collateral may lapse, be terminated, or become invalid or unenforceable or placed in the public domain (or in case of a trade secret, lose its competitive value).</w:t>
      </w:r>
    </w:p>
    <w:p>
      <w:pPr>
        <w:pStyle w:val="TextBody"/>
        <w:bidi w:val="0"/>
        <w:spacing w:lineRule="auto" w:line="288" w:before="0" w:after="240"/>
        <w:ind w:left="0" w:right="0" w:firstLine="720"/>
        <w:jc w:val="both"/>
        <w:rPr/>
      </w:pPr>
      <w:r>
        <w:rPr>
          <w:rFonts w:ascii="Times New Roman;serif" w:hAnsi="Times New Roman;serif"/>
          <w:b w:val="false"/>
          <w:color w:val="000000"/>
          <w:sz w:val="22"/>
        </w:rPr>
        <w:t>(d)    Each Grantor agrees that, should it obtain an ownership or other interest in any Intellectual Property Collateral after the Closing Date (“</w:t>
      </w:r>
      <w:r>
        <w:rPr>
          <w:rFonts w:ascii="Times New Roman;serif" w:hAnsi="Times New Roman;serif"/>
          <w:b w:val="false"/>
          <w:color w:val="000000"/>
          <w:sz w:val="22"/>
          <w:u w:val="single"/>
        </w:rPr>
        <w:t>After-Acquired Intellectual Property</w:t>
      </w:r>
      <w:r>
        <w:rPr>
          <w:color w:val="000000"/>
        </w:rPr>
        <w:t>”</w:t>
      </w:r>
      <w:r>
        <w:rPr>
          <w:rFonts w:ascii="Times New Roman;serif" w:hAnsi="Times New Roman;serif"/>
          <w:b w:val="false"/>
          <w:color w:val="000000"/>
          <w:sz w:val="22"/>
        </w:rPr>
        <w:t>), (i) the provisions of this Agreement shall automatically apply thereto, and (ii) any such After-Acquired Intellectual Property and, in the case of Trademarks, the goodwill symbolized thereby, shall automatically become part of the Intellectual Property Collateral subject to the terms and conditions of this Agreement with respect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Nothing in this Agreement prevents any Grantor from discontinuing the use or maintenance of any of its Intellectual Property Collateral to the extent permitted by the Credit Agreement if such Grantor determines in its reasonable business judgment that such discontinuance is desirable in the conduct of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4.03.    </w:t>
      </w:r>
      <w:r>
        <w:rPr>
          <w:rFonts w:ascii="Times New Roman;serif" w:hAnsi="Times New Roman;serif"/>
          <w:b w:val="false"/>
          <w:color w:val="000000"/>
          <w:sz w:val="22"/>
          <w:u w:val="single"/>
        </w:rPr>
        <w:t>After-Acquired Property</w:t>
      </w:r>
      <w:r>
        <w:rPr>
          <w:rFonts w:ascii="Times New Roman;serif" w:hAnsi="Times New Roman;serif"/>
          <w:b w:val="false"/>
          <w:color w:val="000000"/>
          <w:sz w:val="22"/>
        </w:rPr>
        <w:t>. Once every fiscal quarter of the Company, with respect to (i) issued or registered Patents (or published applications therefore) or Trademarks (or applications therefor), and (ii) to registered Copyrights (in each of cases (i) and (ii), other than Excluded Assets), each Grantor shall sign and deliver to the Collateral Agent an appropriate Intellectual Property Security Agreement with respect to all of its applicable Owned Intellectual Property as of the last day of such period, to the extent that such Intellectual Property is not covered by any previous Intellectual Property Security Agreement so signed and delivered by it. In each case, it will promptly cooperate as reasonably necessary to enable the Collateral Agent to make any necessary or reasonably desirable recordations with the U.S. Copyright Office or the U.S. Patent and Trademark Office,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V</w:t>
        <w:br/>
        <w:br/>
      </w:r>
      <w:r>
        <w:rPr>
          <w:rFonts w:ascii="Times New Roman;serif" w:hAnsi="Times New Roman;serif"/>
          <w:b w:val="false"/>
          <w:color w:val="000000"/>
          <w:sz w:val="22"/>
          <w:u w:val="single"/>
        </w:rPr>
        <w:t>Remedies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5.01.    </w:t>
      </w:r>
      <w:r>
        <w:rPr>
          <w:rFonts w:ascii="Times New Roman;serif" w:hAnsi="Times New Roman;serif"/>
          <w:b w:val="false"/>
          <w:color w:val="000000"/>
          <w:sz w:val="22"/>
          <w:u w:val="single"/>
        </w:rPr>
        <w:t>Remedies Upon Default</w:t>
      </w:r>
      <w:r>
        <w:rPr>
          <w:rFonts w:ascii="Times New Roman;serif" w:hAnsi="Times New Roman;serif"/>
          <w:b w:val="false"/>
          <w:color w:val="000000"/>
          <w:sz w:val="22"/>
        </w:rPr>
        <w:t xml:space="preserve">. Upon the occurrence and during the continuance of an Event of Default, it is agreed that the Collateral Agent shall have the right to exercise any and all rights afforded to a secured party with respect to the Secured Obligations, as applicable, under the Uniform Commercial Code or other applicable Law, and also may (i) require each Grantor to, and each Grantor agrees that it will at its expense and upon request of the Collateral Agent forthwith, assemble all or part of the Collateral as directed by the Collateral Agent and make it available to the Collateral Agent at a place and time to be designated by the Collateral Agent that is reasonably convenient to both parties; (ii) 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27025"/>
                <wp:effectExtent l="0" t="0" r="0" b="0"/>
                <wp:wrapNone/>
                <wp:docPr id="294" name="Frame29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Collateral Agent shall provide the applicable Grantor with notice thereof prior to or promptly after such occupancy; (iii) exercise any and all rights and remedies of any of the Grantors under or in connection with the Collateral, or otherwise in respect of the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Collateral Agent shall provide the applicable Grantor with notice thereof prior to or promptly after such exercise; (iv) withdraw any and all cash or other Collateral from the Cash Collateral Account and to apply such cash and other Collateral to the payment of any and all Secured Obligations in the manner provided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of this Agreement; (v) 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Collateral Agent shall deem appropriate; and (vi) with respect to any Intellectual Property Collateral, on demand, cause the Security Interest to become an assignment, transfer and conveyance of any of or all such Intellectual Property Collateral by the applicable Grantors to the Collateral Agent, or license or sublicense, whether general, special or otherwise, and whether on an exclusive or nonexclusive basis, any such Intellectual Property Collateral throughout the world on such terms and conditions and in such manner as the Collateral Agent shall determine,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that such terms shall include all terms and restrictions that are customarily required to ensure the continuing validity and effectiveness of the Intellectual Property at issue, such as, without limitation, quality control and inure provisions with regard to Trademarks, patent designation provisions with regard to Patents, and copyright notices and restrictions or decompilation and reverse engineering of copyrighted software. The Collateral Agent shall be authorized at any sale of securities (if it deems it advisable to do so) to restrict the prospective bidders or purchasers of such securities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Collateral Agent shall give the applicable Grantors 10 days’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27025"/>
                <wp:effectExtent l="0" t="0" r="0" b="0"/>
                <wp:wrapNone/>
                <wp:docPr id="295" name="Frame29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Secured Obligations paid in full (in which case the applicable Grantors shall be entitled to the proceeds of any such sale pursuant to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hereof).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shall be deemed to conform to the commercially reasonable standards as provided in Section 9-610(b) of the New York UCC or its equivalent in other jurisdictions.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Grantor irrevocably makes, constitutes and appoints the Collateral Agent (and all officers, employees or agents designated by the Collateral Agent) as such Grantor’s true and lawful agent (and attorney-in-fact) during the continuance of an Event of Default and after notice to the Company of its intent to exercise such rights (except in the case of a Bankruptcy Event of Default, in which case no such notice shall be required), for the purpose of (i) making, settling and adjusting claims in respect of Article 9 Collateral under policies of insurance, endorsing the name of such Grantor on any check, draft, instrument or other item of payment for the proceeds of such policies of insurance, (ii) making all determinations and decisions with respect thereto and (iii) obtaining or maintaining the policies of insurance required by Section 6.07 of the Credit Agreement or to pay any premium in whole or in part relating thereto. All sums disbursed by the Collateral Agent in connection with this paragraph, including reasonable attorneys’ fees, court costs, expenses and other charges relating thereto, shall be payable, within 10 days of demand, by the Grantors to the Collateral Agent and shall be additional Secured Obligations secured hereby.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5.02.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The Collateral Agent shall apply the proceeds of any collection or sale of Collateral, including any Collateral consisting of cash, in accordance with the provisions of Section 8.04 of the Credit Agreement.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It is understood and agreed that the Grantors shall remain jointly and severally liable to the extent of any deficiency between the amount of the proceeds of the Collateral and the aggregate amount of the Secured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VI</w:t>
        <w:br/>
        <w:br/>
      </w:r>
      <w:r>
        <w:rPr>
          <w:rFonts w:ascii="Times New Roman;serif" w:hAnsi="Times New Roman;serif"/>
          <w:b w:val="false"/>
          <w:color w:val="000000"/>
          <w:sz w:val="22"/>
          <w:u w:val="single"/>
        </w:rPr>
        <w:t>Indemnity, Subrogation and Subordination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6.01.    </w:t>
      </w:r>
      <w:r>
        <w:rPr>
          <w:rFonts w:ascii="Times New Roman;serif" w:hAnsi="Times New Roman;serif"/>
          <w:b w:val="false"/>
          <w:color w:val="000000"/>
          <w:sz w:val="22"/>
          <w:u w:val="single"/>
        </w:rPr>
        <w:t>Indemnity</w:t>
      </w:r>
      <w:r>
        <w:rPr>
          <w:rFonts w:ascii="Times New Roman;serif" w:hAnsi="Times New Roman;serif"/>
          <w:b w:val="false"/>
          <w:color w:val="000000"/>
          <w:sz w:val="22"/>
        </w:rPr>
        <w:t xml:space="preserve">. In addition to all such rights of indemnity and subrogation as the Grantors may have under applicable Law (but subject to </w:t>
      </w:r>
      <w:r>
        <w:rPr>
          <w:rFonts w:ascii="Times New Roman;serif" w:hAnsi="Times New Roman;serif"/>
          <w:b w:val="false"/>
          <w:color w:val="000000"/>
          <w:sz w:val="22"/>
          <w:u w:val="single"/>
        </w:rPr>
        <w:t>Section 6.03</w:t>
      </w:r>
      <w:r>
        <w:rPr>
          <w:rFonts w:ascii="Times New Roman;serif" w:hAnsi="Times New Roman;serif"/>
          <w:b w:val="false"/>
          <w:color w:val="000000"/>
          <w:sz w:val="22"/>
        </w:rPr>
        <w:t>), each Guaranteed Party (as defined in the Guaranty) agrees that, in the event any assets of any Grantor that is a Subsidiary Party shall be sold pursuant to this Agreement or any other Collateral Document to satisfy in whole or in part an Obligation owing directly by such Guaranteed Party to any Secured Party (</w:t>
      </w:r>
      <w:r>
        <w:rPr>
          <w:rFonts w:ascii="Times New Roman;serif" w:hAnsi="Times New Roman;serif"/>
          <w:b w:val="false"/>
          <w:color w:val="000000"/>
          <w:sz w:val="22"/>
          <w:u w:val="single"/>
        </w:rPr>
        <w:t>i.e.</w:t>
      </w:r>
      <w:r>
        <w:rPr>
          <w:rFonts w:ascii="Times New Roman;serif" w:hAnsi="Times New Roman;serif"/>
          <w:b w:val="false"/>
          <w:color w:val="000000"/>
          <w:sz w:val="22"/>
        </w:rPr>
        <w:t xml:space="preserve">, other than pursuant to its capacity as a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27025"/>
                <wp:effectExtent l="0" t="0" r="0" b="0"/>
                <wp:wrapNone/>
                <wp:docPr id="296" name="Frame29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Guarantor under the Guaranty), such Guaranteed Party shall indemnify such Grantor in an amount equal to the fair market value of the assets so sold.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6.02.    </w:t>
      </w:r>
      <w:r>
        <w:rPr>
          <w:rFonts w:ascii="Times New Roman;serif" w:hAnsi="Times New Roman;serif"/>
          <w:b w:val="false"/>
          <w:color w:val="000000"/>
          <w:sz w:val="22"/>
          <w:u w:val="single"/>
        </w:rPr>
        <w:t>Contribution and Subrogation</w:t>
      </w:r>
      <w:r>
        <w:rPr>
          <w:rFonts w:ascii="Times New Roman;serif" w:hAnsi="Times New Roman;serif"/>
          <w:b w:val="false"/>
          <w:color w:val="000000"/>
          <w:sz w:val="22"/>
        </w:rPr>
        <w:t xml:space="preserve">. At any time a payment by any Subsidiary Party in respect of the Secured Obligations is made under this Agreement or any other Collateral Document as a result of a sale of assets by such Subsidiary Party that shall not have been fully indemnified as provided in </w:t>
      </w:r>
      <w:r>
        <w:rPr>
          <w:rFonts w:ascii="Times New Roman;serif" w:hAnsi="Times New Roman;serif"/>
          <w:b w:val="false"/>
          <w:color w:val="000000"/>
          <w:sz w:val="22"/>
          <w:u w:val="single"/>
        </w:rPr>
        <w:t>Section 6.01</w:t>
      </w:r>
      <w:r>
        <w:rPr>
          <w:rFonts w:ascii="Times New Roman;serif" w:hAnsi="Times New Roman;serif"/>
          <w:b w:val="false"/>
          <w:color w:val="000000"/>
          <w:sz w:val="22"/>
        </w:rPr>
        <w:t>, the right of contribution of each Subsidiary Party against each other Subsidiary Party shall be determined as provided in the immediately succeeding sentence, with the right of contribution of each Subsidiary Party to be revised and restated as of each date on which a payment (a “</w:t>
      </w:r>
      <w:r>
        <w:rPr>
          <w:rFonts w:ascii="Times New Roman;serif" w:hAnsi="Times New Roman;serif"/>
          <w:b w:val="false"/>
          <w:color w:val="000000"/>
          <w:sz w:val="22"/>
          <w:u w:val="single"/>
        </w:rPr>
        <w:t>Relevant Payment</w:t>
      </w:r>
      <w:r>
        <w:rPr>
          <w:color w:val="000000"/>
        </w:rPr>
        <w:t>”</w:t>
      </w:r>
      <w:r>
        <w:rPr>
          <w:rFonts w:ascii="Times New Roman;serif" w:hAnsi="Times New Roman;serif"/>
          <w:b w:val="false"/>
          <w:color w:val="000000"/>
          <w:sz w:val="22"/>
        </w:rPr>
        <w:t xml:space="preserve">) is made on the Secured Obligations under this Agreement and not indemnified pursuant to </w:t>
      </w:r>
      <w:r>
        <w:rPr>
          <w:rFonts w:ascii="Times New Roman;serif" w:hAnsi="Times New Roman;serif"/>
          <w:b w:val="false"/>
          <w:color w:val="000000"/>
          <w:sz w:val="22"/>
          <w:u w:val="single"/>
        </w:rPr>
        <w:t>Section 6.01</w:t>
      </w:r>
      <w:r>
        <w:rPr>
          <w:rFonts w:ascii="Times New Roman;serif" w:hAnsi="Times New Roman;serif"/>
          <w:b w:val="false"/>
          <w:color w:val="000000"/>
          <w:sz w:val="22"/>
        </w:rPr>
        <w:t>. At any time that a Relevant Payment is made by a Subsidiary Party that results in the aggregate payments made by such Subsidiary Party in respect of the Secured Obligations to and including the date of the Relevant Payment exceeding such Subsidiary Party’s Contribution Percentage (as defined below) of the aggregate payments made by all Subsidiary Parties in respect of the Secured Obligations to and including the date of the Relevant Payment (such excess, the “</w:t>
      </w:r>
      <w:r>
        <w:rPr>
          <w:rFonts w:ascii="Times New Roman;serif" w:hAnsi="Times New Roman;serif"/>
          <w:b w:val="false"/>
          <w:color w:val="000000"/>
          <w:sz w:val="22"/>
          <w:u w:val="single"/>
        </w:rPr>
        <w:t>Aggregate Excess Amount</w:t>
      </w:r>
      <w:r>
        <w:rPr>
          <w:color w:val="000000"/>
        </w:rPr>
        <w:t>”</w:t>
      </w:r>
      <w:r>
        <w:rPr>
          <w:rFonts w:ascii="Times New Roman;serif" w:hAnsi="Times New Roman;serif"/>
          <w:b w:val="false"/>
          <w:color w:val="000000"/>
          <w:sz w:val="22"/>
        </w:rPr>
        <w:t>), each such Subsidiary Party shall have a right of contribution against each other Subsidiary Party who has made payments in respect of the Secured Obligations to and including the date of the Relevant Payment in an aggregate amount less than such other Subsidiary Party’s Contribution Percentage of the aggregate payments made to and including the date of the Relevant Payment by all Subsidiary Parties in respect of the Secured Obligations (the aggregate amount of such deficit, the “</w:t>
      </w:r>
      <w:r>
        <w:rPr>
          <w:rFonts w:ascii="Times New Roman;serif" w:hAnsi="Times New Roman;serif"/>
          <w:b w:val="false"/>
          <w:color w:val="000000"/>
          <w:sz w:val="22"/>
          <w:u w:val="single"/>
        </w:rPr>
        <w:t>Aggregate Deficit Amount</w:t>
      </w:r>
      <w:r>
        <w:rPr>
          <w:color w:val="000000"/>
        </w:rPr>
        <w:t>”</w:t>
      </w:r>
      <w:r>
        <w:rPr>
          <w:rFonts w:ascii="Times New Roman;serif" w:hAnsi="Times New Roman;serif"/>
          <w:b w:val="false"/>
          <w:color w:val="000000"/>
          <w:sz w:val="22"/>
        </w:rPr>
        <w:t xml:space="preserve">) in an amount equal to (x) a fraction the numerator of which is the Aggregate Excess Amount of such Subsidiary Party and the denominator of which is the Aggregate Excess Amount of all Subsidiary Parties multiplied by (y) the Aggregate Deficit Amount of such other Subsidiary Party. A Subsidiary Party’s right of contribution pursuant to the preceding sentences shall arise at the time of each computation, subject to adjustment to the time of each computation;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contribution rights of such Subsidiary Party shall be subject to </w:t>
      </w:r>
      <w:r>
        <w:rPr>
          <w:rFonts w:ascii="Times New Roman;serif" w:hAnsi="Times New Roman;serif"/>
          <w:b w:val="false"/>
          <w:color w:val="000000"/>
          <w:sz w:val="22"/>
          <w:u w:val="single"/>
        </w:rPr>
        <w:t>Section 6.03</w:t>
      </w:r>
      <w:r>
        <w:rPr>
          <w:rFonts w:ascii="Times New Roman;serif" w:hAnsi="Times New Roman;serif"/>
          <w:b w:val="false"/>
          <w:color w:val="000000"/>
          <w:sz w:val="22"/>
        </w:rPr>
        <w:t xml:space="preserve">. As used in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(i) each Subsidiary Party’s “</w:t>
      </w:r>
      <w:r>
        <w:rPr>
          <w:rFonts w:ascii="Times New Roman;serif" w:hAnsi="Times New Roman;serif"/>
          <w:b w:val="false"/>
          <w:color w:val="000000"/>
          <w:sz w:val="22"/>
          <w:u w:val="single"/>
        </w:rPr>
        <w:t>Contribution Percentage</w:t>
      </w:r>
      <w:r>
        <w:rPr>
          <w:color w:val="000000"/>
        </w:rPr>
        <w:t xml:space="preserve">” </w:t>
      </w:r>
      <w:r>
        <w:rPr>
          <w:rFonts w:ascii="Times New Roman;serif" w:hAnsi="Times New Roman;serif"/>
          <w:b w:val="false"/>
          <w:color w:val="000000"/>
          <w:sz w:val="22"/>
        </w:rPr>
        <w:t>shall mean the percentage obtained by dividing (x) the Adjusted Net Worth (as defined below) of such Subsidiary Party by (y) the aggregate Adjusted Net Worth of all Subsidiary Parties; (ii) the “</w:t>
      </w:r>
      <w:r>
        <w:rPr>
          <w:rFonts w:ascii="Times New Roman;serif" w:hAnsi="Times New Roman;serif"/>
          <w:b w:val="false"/>
          <w:color w:val="000000"/>
          <w:sz w:val="22"/>
          <w:u w:val="single"/>
        </w:rPr>
        <w:t>Adjusted Net Worth</w:t>
      </w:r>
      <w:r>
        <w:rPr>
          <w:color w:val="000000"/>
        </w:rPr>
        <w:t xml:space="preserve">” </w:t>
      </w:r>
      <w:r>
        <w:rPr>
          <w:rFonts w:ascii="Times New Roman;serif" w:hAnsi="Times New Roman;serif"/>
          <w:b w:val="false"/>
          <w:color w:val="000000"/>
          <w:sz w:val="22"/>
        </w:rPr>
        <w:t>of each Subsidiary Party shall mean the greater of (x) the Net Worth (as defined below) of such Subsidiary Party and (y) zero; and (iii) the “</w:t>
      </w:r>
      <w:r>
        <w:rPr>
          <w:rFonts w:ascii="Times New Roman;serif" w:hAnsi="Times New Roman;serif"/>
          <w:b w:val="false"/>
          <w:color w:val="000000"/>
          <w:sz w:val="22"/>
          <w:u w:val="single"/>
        </w:rPr>
        <w:t>Net Worth</w:t>
      </w:r>
      <w:r>
        <w:rPr>
          <w:color w:val="000000"/>
        </w:rPr>
        <w:t xml:space="preserve">” </w:t>
      </w:r>
      <w:r>
        <w:rPr>
          <w:rFonts w:ascii="Times New Roman;serif" w:hAnsi="Times New Roman;serif"/>
          <w:b w:val="false"/>
          <w:color w:val="000000"/>
          <w:sz w:val="22"/>
        </w:rPr>
        <w:t xml:space="preserve">of each Subsidiary Party shall mean the amount by which the fair saleable value of such Subsidiary Party’s assets on the date of any Relevant Payment exceeds its existing debts and other liabilities (including contingent liabilities, but without giving effect to any Guaranteed Obligations (as defined in and arising under the Guaranty) or any guaranteed obligations arising under any guaranty of any Junior Financing or any Permitted Refinancing thereof) on such date. Notwithstanding anything to the contrary contained above, any Subsidiary Party that is released from this Agreement pursuant to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 xml:space="preserve">hereof shall thereafter have no contribution obligations, or rights, pursuant to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and at the time of any such release, if the released Subsidiary Party had an Aggregate Excess Amount or an Aggregate Deficit Amount, same shall be deemed reduced to $0, and the contribution rights and obligations of the remaining Subsidiary Parties shall be recalculated on the respective date of release (as otherwise provided above) based on the payments made hereunder by the remaining Subsidiary Parties. Each of the Subsidiary Parties recognizes and acknowledges that the rights to contribution arising hereunder shall constitute an asset in favor of the party entitled to such contribution. In this context, each Subsidiary Party has the right to waive its contribution right against any other Subsidiary Party to the extent that after giving effect to such waiver such Subsidiary Party would remain solvent, in the determination of the Required Lenders.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6.03.    </w:t>
      </w:r>
      <w:r>
        <w:rPr>
          <w:rFonts w:ascii="Times New Roman;serif" w:hAnsi="Times New Roman;serif"/>
          <w:b w:val="false"/>
          <w:color w:val="000000"/>
          <w:sz w:val="22"/>
          <w:u w:val="single"/>
        </w:rPr>
        <w:t>Subordination</w:t>
      </w:r>
      <w:r>
        <w:rPr>
          <w:rFonts w:ascii="Times New Roman;serif" w:hAnsi="Times New Roman;serif"/>
          <w:b w:val="false"/>
          <w:color w:val="000000"/>
          <w:sz w:val="22"/>
        </w:rPr>
        <w:t xml:space="preserve">. Notwithstanding any provision of this Agreement to the contrary, all rights of the Grantors under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all other rights of indemnity, contribution or subrogation under applicable Law or otherwise shall be fully subordinated to the indefeasible payment in full in cash of the Secured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amount shall be paid to such Grantor on account of such subrogation rights at any time prior to the irrevocable payment in full in cash of all the Secured Obligations, such amount shall be held in trust for the benefit of the Secured Parties and shall forthwith be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27025"/>
                <wp:effectExtent l="0" t="0" r="0" b="0"/>
                <wp:wrapNone/>
                <wp:docPr id="297" name="Frame29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paid to the Collateral Agent to be credited and applied against the Secured Obligations, whether matured or unmatured, in accordance with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of this Agreement. No failure on the part of any Borrower or any Grantor to make the payments required by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(or any other payments required under applicable Law or otherwise) shall in any respect limit the obligations and liabilities of any Grantor with respect to its obligations hereunder, and each Grantor shall remain liable for the full amount of the obligations of such Grantor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val="false"/>
          <w:color w:val="000000"/>
          <w:sz w:val="22"/>
        </w:rPr>
        <w:t>ARTICLE VII</w:t>
        <w:br/>
        <w:br/>
      </w:r>
      <w:r>
        <w:rPr>
          <w:rFonts w:ascii="Times New Roman;serif" w:hAnsi="Times New Roman;serif"/>
          <w:b w:val="false"/>
          <w:color w:val="000000"/>
          <w:sz w:val="22"/>
          <w:u w:val="single"/>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7.01.    </w:t>
      </w:r>
      <w:r>
        <w:rPr>
          <w:rFonts w:ascii="Times New Roman;serif" w:hAnsi="Times New Roman;serif"/>
          <w:b w:val="false"/>
          <w:color w:val="000000"/>
          <w:sz w:val="22"/>
          <w:u w:val="single"/>
        </w:rPr>
        <w:t>Notices</w:t>
      </w:r>
      <w:r>
        <w:rPr>
          <w:rFonts w:ascii="Times New Roman;serif" w:hAnsi="Times New Roman;serif"/>
          <w:b w:val="false"/>
          <w:color w:val="000000"/>
          <w:sz w:val="22"/>
        </w:rPr>
        <w:t>. All communications and notices hereunder shall (except as otherwise expressly permitted herein) be in writing and given as provided in Section 10.02 of the Credit Agreement. All communications and notices hereunder to any Subsidiary Party shall be given to it in care of the Company as provided in Section 10.02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7.02.    </w:t>
      </w:r>
      <w:r>
        <w:rPr>
          <w:rFonts w:ascii="Times New Roman;serif" w:hAnsi="Times New Roman;serif"/>
          <w:b w:val="false"/>
          <w:color w:val="000000"/>
          <w:sz w:val="22"/>
          <w:u w:val="single"/>
        </w:rPr>
        <w:t>Waivers; Amendment</w:t>
      </w:r>
      <w:r>
        <w:rPr>
          <w:rFonts w:ascii="Times New Roman;serif" w:hAnsi="Times New Roman;serif"/>
          <w:b w:val="false"/>
          <w:color w:val="000000"/>
          <w:sz w:val="22"/>
        </w:rPr>
        <w:t xml:space="preserve">. (a) No failure or delay by the Collateral Agent, any L/C Issuer or any Lender in exercising any right, remedy, power or privilege hereunder or under any other Loan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Collateral Agent, the L/C Issuers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w:t>
      </w:r>
      <w:r>
        <w:rPr>
          <w:rFonts w:ascii="Times New Roman;serif" w:hAnsi="Times New Roman;serif"/>
          <w:b w:val="false"/>
          <w:color w:val="000000"/>
          <w:sz w:val="22"/>
          <w:u w:val="single"/>
        </w:rPr>
        <w:t>Section 7.02</w:t>
      </w:r>
      <w:r>
        <w:rPr>
          <w:rFonts w:ascii="Times New Roman;serif" w:hAnsi="Times New Roman;serif"/>
          <w:b w:val="false"/>
          <w:color w:val="000000"/>
          <w:sz w:val="22"/>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Collateral Agent, any Lender or any L/C Issuer may have had notice or knowledge of such Default at the time. No notice or demand on any Loan Party in any case shall entitle any Loan Party to any other or further notice or demand in similar or other circumstances.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Neither this Agreement nor any provision hereof may be waived, amended or modified except pursuant to an agreement or agreements in writing entered into by the Collateral Agent and the Loan Party or Loan Parties with respect to which such waiver, amendment or modification is to apply, subject to any consent required in accordance with Section 10.01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7.03.    </w:t>
      </w:r>
      <w:r>
        <w:rPr>
          <w:rFonts w:ascii="Times New Roman;serif" w:hAnsi="Times New Roman;serif"/>
          <w:b w:val="false"/>
          <w:color w:val="000000"/>
          <w:sz w:val="22"/>
          <w:u w:val="single"/>
        </w:rPr>
        <w:t>Collateral Agent’s Fees and Expenses; Indemnification</w:t>
      </w:r>
      <w:r>
        <w:rPr>
          <w:rFonts w:ascii="Times New Roman;serif" w:hAnsi="Times New Roman;serif"/>
          <w:b w:val="false"/>
          <w:color w:val="000000"/>
          <w:sz w:val="22"/>
        </w:rPr>
        <w:t>. (a) The parties hereto agree that the Collateral Agent shall be entitled to reimbursement of its expenses incurred hereunder as provided in Section 10.04 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Without limitation of its indemnification obligations under the other Loan Documents, the Grantors jointly and severally agree to indemnify the Collateral Agent and the other Indemnitees (as defined in Section 10.05 of the Credit Agreement) against, and hold each Indemnitee harmless from, any and all losses, claims, damages, liabilities and related expenses, including the reasonable fees, charges and disbursements of any counsel for any Indemnitee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incurred by or asserted against any Indemnitee arising out of, in connection with, or as a result of, the execution,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27025"/>
                <wp:effectExtent l="0" t="0" r="0" b="0"/>
                <wp:wrapNone/>
                <wp:docPr id="298" name="Frame29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performance or enforcement of this Agreement or any claim, litigation, investigation or proceeding relating to any of the foregoing agreement or instrument contemplated hereby, or to the Collateral, whether or not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losses, claims, damages, liabilities or related expenses are determined by a court of competent jurisdiction by a final and non-appealable judgment to have resulted from the gross negligence, bad faith or willful misconduct of, or material breach of the Loan Documents by, such Indemnitee or of any Affiliate, director, officer, employee, counsel, agent, trustee, investment advisor or attorney-in-fact of such Indemnitee.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Any such amounts payable as provided hereunder shall be additional Secured Obligations secured hereby and by the other Collateral Documents. The provisions of this </w:t>
      </w:r>
      <w:r>
        <w:rPr>
          <w:rFonts w:ascii="Times New Roman;serif" w:hAnsi="Times New Roman;serif"/>
          <w:b w:val="false"/>
          <w:color w:val="000000"/>
          <w:sz w:val="22"/>
          <w:u w:val="single"/>
        </w:rPr>
        <w:t xml:space="preserve">Section 7.03 </w:t>
      </w:r>
      <w:r>
        <w:rPr>
          <w:rFonts w:ascii="Times New Roman;serif" w:hAnsi="Times New Roman;serif"/>
          <w:b w:val="false"/>
          <w:color w:val="000000"/>
          <w:sz w:val="22"/>
        </w:rPr>
        <w:t xml:space="preserve">shall remain operative and in full force and effect regardless of the termination of this Agreement or any other Loan Document, the consummation of the transactions contemplated hereby, the repayment of any of the Secured Obligations, the invalidity or unenforceability of any term or provision of this Agreement or any other Loan Document, or any investigation made by or on behalf of the Collateral Agent or any other Secured Party. All amounts due under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shall be payable within 10 days of written demand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7.04.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Whenever in this Agreement any of the parties hereto is referred to, such reference shall be deemed to include the permitted successors and assigns of such party; and all covenants, promises and agreements by or on behalf of any Grantor or the Collateral Agent that are contained in this Agreement shall bind and inure to the benefit of their respective successors and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7.05.    </w:t>
      </w:r>
      <w:r>
        <w:rPr>
          <w:rFonts w:ascii="Times New Roman;serif" w:hAnsi="Times New Roman;serif"/>
          <w:b w:val="false"/>
          <w:color w:val="000000"/>
          <w:sz w:val="22"/>
          <w:u w:val="single"/>
        </w:rPr>
        <w:t>Survival of Agreement</w:t>
      </w:r>
      <w:r>
        <w:rPr>
          <w:rFonts w:ascii="Times New Roman;serif" w:hAnsi="Times New Roman;serif"/>
          <w:b w:val="false"/>
          <w:color w:val="000000"/>
          <w:sz w:val="22"/>
        </w:rPr>
        <w:t>. All covenants, agreements, representations and warranties made by the Loan Parties in the Loan Documents and in the certificates or other instruments prepared or delivered in connection with or pursuant to this Agreement or any other Loan Document shall be considered to have been relied upon by the Lenders and shall survive the execution and delivery of the Loan Documents and the making of any Loans and issuance of any Letters of Credit, regardless of any investigation made by any Lender or on its behalf and notwithstanding that the Collateral Agent, any L/C Issuer or any Lender may have had notice or knowledge of any Default or incorrect representation or warranty at the time any credit is extended under the Credit Agreement, and shall continue in full force and effect as long as the principal of or any accrued interest on any Loan or any fee or any other amount payable under any Loan Document is outstanding and unpaid or any Letter of Credit is outstanding (except if such Letter of Credit is cash collateralized or subject to a backstop letter of credit in each case in an amount and on terms reasonably satisfactory to the Administrative Agent and the L/C Issuer) and so long as the Commitments have not expired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7.06.    </w:t>
      </w:r>
      <w:r>
        <w:rPr>
          <w:rFonts w:ascii="Times New Roman;serif" w:hAnsi="Times New Roman;serif"/>
          <w:b w:val="false"/>
          <w:color w:val="000000"/>
          <w:sz w:val="22"/>
          <w:u w:val="single"/>
        </w:rPr>
        <w:t>Counterparts; Effectiveness; Several Agreement</w:t>
      </w:r>
      <w:r>
        <w:rPr>
          <w:rFonts w:ascii="Times New Roman;serif" w:hAnsi="Times New Roman;serif"/>
          <w:b w:val="false"/>
          <w:color w:val="000000"/>
          <w:sz w:val="22"/>
        </w:rPr>
        <w:t>. This Agreement may be executed in counterparts, each of which shall constitute an original but all of which when taken together shall constitute a single contract. Delivery of an executed signature page to this Agreement by facsimile or electronic (i.e., “tif” or “pdf”) transmission shall be as effective as delivery of a manually signed counterpart of this Agreement. This Agreement shall become effective as to any Loan Party when a counterpart hereof executed on behalf of such Loan Party shall have been delivered to the Collateral Agent and a counterpart hereof shall have been executed on behalf of the Collateral Agent, and thereafter shall be binding upon such Loan Party and the Collateral Agent and their respective permitted successors and assigns, and shall inure to the benefit of such Loan Party, the Collateral Agent and the other Secured Parties and their respective successors and assigns, except that no Loan Party shall have the right to assign or transfer its rights or obligations hereunder or any interest herein or in the Collateral (and any such assignment or transfer shall be void) except as expressly contemplated by this Agreement or the Credit Agreement. This Agreement shall be construed as a separate agreement with respect to each Loan Party and may be amended, modified, supplemented, waived or released with respect to any Loan Party without the approval of any other Loan Party and without affecting the obligations of any other Loan Party hereunder.</w:t>
      </w:r>
    </w:p>
    <w:p>
      <w:pPr>
        <w:pStyle w:val="TextBody"/>
        <w:bidi w:val="0"/>
        <w:spacing w:before="0" w:after="240"/>
        <w:ind w:left="0" w:right="0" w:firstLine="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27025"/>
                <wp:effectExtent l="0" t="0" r="0" b="0"/>
                <wp:wrapNone/>
                <wp:docPr id="299" name="Frame29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7.07.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In addition to any rights and remedies of the Lenders provided by Law, upon the occurrence and during the continuance of any Event of Default, each Lender and its Affiliates is authorized at any time and from time to time, without prior notice to the Borrowers or any other Loan Party, any such notice being waived by the Borrowers and each Loan Party to the fullest extent permitted by applicable Law, to set off and apply any and all deposits (general or special, time or demand, provisional or final) at any time held by, and other Indebtedness at any time owing by, such Lender and its Affiliates to or for the credit or the account of the respective Loan Parties against any and all obligations owing to such Lender and its Affiliates hereunder, now or hereafter existing, irrespective of whether or not such Lender or Affiliate shall have made demand under this Agreement and although such obligations may be contingent or unmatured or denominated in a currency different from that of the applicable deposit or Indebtedness. Each Lender agrees promptly to notify the Company and the Collateral Agent after any such set off and application made by such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failure to give such notice shall not affect the validity of such setoff and application. The rights of each Lender under this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are in addition to other rights and remedies (including other rights of setoff) that such Lender may have.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7.09    </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 (a) This Agreement shall be construed in accordance with and governed by the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of the Loan Parties hereby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Grantor in the courts of any other jurisdiction in connection with the exercise of any rights under this Agreement or the enforcement of any judgment.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Each of the Loan Parties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Times New Roman;serif" w:hAnsi="Times New Roman;serif"/>
          <w:b w:val="false"/>
          <w:color w:val="000000"/>
          <w:sz w:val="22"/>
          <w:u w:val="single"/>
        </w:rPr>
        <w:t>Section 7.09</w:t>
      </w:r>
      <w:r>
        <w:rPr>
          <w:rFonts w:ascii="Times New Roman;serif" w:hAnsi="Times New Roman;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Each party to this Agreement irrevocably consents to service of process in the manner provided for notices in </w:t>
      </w:r>
      <w:r>
        <w:rPr>
          <w:rFonts w:ascii="Times New Roman;serif" w:hAnsi="Times New Roman;serif"/>
          <w:b w:val="false"/>
          <w:color w:val="000000"/>
          <w:sz w:val="22"/>
          <w:u w:val="single"/>
        </w:rPr>
        <w:t>Section 7.01</w:t>
      </w:r>
      <w:r>
        <w:rPr>
          <w:rFonts w:ascii="Times New Roman;serif" w:hAnsi="Times New Roman;serif"/>
          <w:b w:val="false"/>
          <w:color w:val="000000"/>
          <w:sz w:val="22"/>
        </w:rPr>
        <w:t>. Nothing in this Agreement or any other Loan Document will affect the right of any party to this Agreement to serve process in any other manner permitted by law.</w:t>
      </w:r>
    </w:p>
    <w:p>
      <w:pPr>
        <w:pStyle w:val="TextBody"/>
        <w:bidi w:val="0"/>
        <w:spacing w:before="0" w:after="240"/>
        <w:ind w:left="0" w:right="0" w:firstLine="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27025"/>
                <wp:effectExtent l="0" t="0" r="0" b="0"/>
                <wp:wrapNone/>
                <wp:docPr id="300" name="Frame29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7.10.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EXPRESSLY WAIVES ANY RIGHT TO TRIAL BY JURY OF ANY CLAIM, DEMAND, ACTION OR CAUSE OF ACTION ARISING UNDER THIS AGREEMENT OR IN ANY WAY CONNECTED WITH OR RELATED OR INCIDENTAL TO THE DEALINGS OF THE PARTIES HERETO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serif" w:hAnsi="Times New Roman;serif"/>
          <w:b w:val="false"/>
          <w:color w:val="000000"/>
          <w:sz w:val="22"/>
          <w:u w:val="single"/>
        </w:rPr>
        <w:t>SECTION 7.10</w:t>
      </w:r>
      <w:r>
        <w:rPr>
          <w:color w:val="000000"/>
        </w:rPr>
        <w:t xml:space="preserve"> </w:t>
      </w:r>
      <w:r>
        <w:rPr>
          <w:rFonts w:ascii="Times New Roman;serif" w:hAnsi="Times New Roman;serif"/>
          <w:b w:val="false"/>
          <w:color w:val="000000"/>
          <w:sz w:val="22"/>
        </w:rPr>
        <w:t>WITH ANY COURT AS WRITTEN EVIDENCE OF THE CONSENT OF THE SIGNATORIES HERETO TO THE WAIVER OF THEIR RIGHT TO TRIAL BY JURY.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7.11.    </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are not to affect the construction of, or to be taken into consideration in interpreting,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7.12.    </w:t>
      </w:r>
      <w:r>
        <w:rPr>
          <w:rFonts w:ascii="Times New Roman;serif" w:hAnsi="Times New Roman;serif"/>
          <w:b w:val="false"/>
          <w:color w:val="000000"/>
          <w:sz w:val="22"/>
          <w:u w:val="single"/>
        </w:rPr>
        <w:t>Security Interest Absolute</w:t>
      </w:r>
      <w:r>
        <w:rPr>
          <w:rFonts w:ascii="Times New Roman;serif" w:hAnsi="Times New Roman;serif"/>
          <w:b w:val="false"/>
          <w:color w:val="000000"/>
          <w:sz w:val="22"/>
        </w:rPr>
        <w:t>.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the Secured Hedge Agreements,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Credit Agreement, any other Loan Document, the Secured Hedge Agreements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Grantor in respect of the Secured Obligations or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7.13.    </w:t>
      </w:r>
      <w:r>
        <w:rPr>
          <w:rFonts w:ascii="Times New Roman;serif" w:hAnsi="Times New Roman;serif"/>
          <w:b w:val="false"/>
          <w:color w:val="000000"/>
          <w:sz w:val="22"/>
          <w:u w:val="single"/>
        </w:rPr>
        <w:t>Termination or Release</w:t>
      </w:r>
      <w:r>
        <w:rPr>
          <w:rFonts w:ascii="Times New Roman;serif" w:hAnsi="Times New Roman;serif"/>
          <w:b w:val="false"/>
          <w:color w:val="000000"/>
          <w:sz w:val="22"/>
        </w:rPr>
        <w:t>. (a) This Agreement, the Security Interest and all other security interests granted hereby shall terminate when all the outstanding Secured Obligations (other than Secured Obligations in respect of Secured Hedge Agreements and Cash Management Obligations not yet due and payable (to the extent permitted by the terms thereof) and contingent indemnification obligations not yet accrued and payable) have been indefeasibly paid in full and the Lenders have no further commitment to lend under the Credit Agreement, the L/C Obligations have been reduced to zero (except if such Letter of Credit is fully cash collateralized or supported by a backstop letter of credit in each case in an amount and on terms reasonably satisfactory to the Administrative Agent and the L/C Issuer) and the L/C Issuers have no further obligations to issue Letters of Credit under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Subsidiary Party shall automatically be released from its obligations hereunder and the Security Interest in the Collateral of such Subsidiary Party shall be automatically released upon the consummation of any transaction permitted by the Credit Agreement as a result of which such Subsidiary Party ceases to be a Subsidiary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Upon any sale or other transfer by any Grantor of any Collateral that is permitted under the Credit Agreement, or upon the effectiveness of any written consent to the release of the security interest granted hereby in any Collateral pursuant to Section 10.01 of the Credit Agreement, the security interest in such Collateral shall be automatically released.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In connection with any termination or release pursuant to paragraph (a), (b) or (c), the Collateral Agent shall promptly execute and deliver to any Grantor, at such Grantor’s expense, all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27025"/>
                <wp:effectExtent l="0" t="0" r="0" b="0"/>
                <wp:wrapNone/>
                <wp:docPr id="301" name="Frame30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documents (including relevant certificates, securities and other instruments) that such Grantor shall reasonably request to evidence such termination or release. Any execution and delivery of documents pursuant to this </w:t>
      </w:r>
      <w:r>
        <w:rPr>
          <w:rFonts w:ascii="Times New Roman;serif" w:hAnsi="Times New Roman;serif"/>
          <w:b w:val="false"/>
          <w:color w:val="000000"/>
          <w:sz w:val="22"/>
          <w:u w:val="single"/>
        </w:rPr>
        <w:t>Section 7.13</w:t>
      </w:r>
      <w:r>
        <w:rPr>
          <w:color w:val="000000"/>
        </w:rPr>
        <w:t xml:space="preserve"> </w:t>
      </w:r>
      <w:r>
        <w:rPr>
          <w:rFonts w:ascii="Times New Roman;serif" w:hAnsi="Times New Roman;serif"/>
          <w:b w:val="false"/>
          <w:color w:val="000000"/>
          <w:sz w:val="22"/>
        </w:rPr>
        <w:t>shall be without recourse to or warranty by the Collateral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At any time that the respective Grantor desires that the Collateral Agent take any action described in the immediately preceding paragraph (d), it shall, upon request of the Collateral Agent, deliver to the Collateral Agent an officer’s certificate certifying that the release of the respective Collateral is permitted pursuant to paragraph (a), (b) or (c). The Collateral Agent shall have no liability whatsoever to any Secured Party as the result of any release of Collateral by it as permitted (or which the Collateral Agent in good faith believes to be permitted) by this </w:t>
      </w:r>
      <w:r>
        <w:rPr>
          <w:rFonts w:ascii="Times New Roman;serif" w:hAnsi="Times New Roman;serif"/>
          <w:b w:val="false"/>
          <w:color w:val="000000"/>
          <w:sz w:val="22"/>
          <w:u w:val="single"/>
        </w:rPr>
        <w:t>Section 7.13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to the contrary set forth in this Agreement, each Cash Management Bank and each Hedge Bank by the acceptance of the benefits under this Agreement hereby acknowledge and agree that (i) the obligations of the Borrowers or any Subsidiary under any Secured Hedge Agreement and the Cash Management Obligations shall be secured pursuant to this Agreement only to the extent that, and for so long as, the other Secured Obligations are so secured and (ii) any release of Collateral effected in the manner permitted by this Agreement shall not require the consent of any Hedge Bank or Cash Management Bank.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Notwithstanding anything to the contrary in this Agreement or in any other Loan Document, without the consent of the Required Lenders, no Subsidiary Party shall be released from its obligations hereunder if such Subsidiary Party ceases to be a Wholly Owned Subsidiary solely by virtue of a disposition or issuance of Equity Interests, unless such disposition or issuance is a good faith disposition or issuance to a bona-fide unaffiliated third party whose primary purpose is not the release of the Guarantee and obligations of such Subsidiary Party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7.14.    </w:t>
      </w:r>
      <w:r>
        <w:rPr>
          <w:rFonts w:ascii="Times New Roman;serif" w:hAnsi="Times New Roman;serif"/>
          <w:b w:val="false"/>
          <w:color w:val="000000"/>
          <w:sz w:val="22"/>
          <w:u w:val="single"/>
        </w:rPr>
        <w:t>Additional Subsidiaries</w:t>
      </w:r>
      <w:r>
        <w:rPr>
          <w:rFonts w:ascii="Times New Roman;serif" w:hAnsi="Times New Roman;serif"/>
          <w:b w:val="false"/>
          <w:color w:val="000000"/>
          <w:sz w:val="22"/>
        </w:rPr>
        <w:t>. Pursuant to Section 6.11 of the Credit Agreement, certain Subsidiaries of the Loan Parties that were not in existence on the date of the Credit Agreement are required to enter in this Agreement as Grantors upon becoming Subsidiaries. In addition, certain Subsidiaries of the Loan Parties that are not required under the Credit Agreement to enter in this Agreement as Grantors may elect to do so at their option. Upon execution and delivery by the Collateral Agent and a Subsidiary of a Security Agreement Supplement, such Subsidiary shall become a Subsidiary Party hereunder with the same force and effect as if originally named as a Subsidiary Party herein. The execution and delivery of any such instrument shall not require the consent of any other Loan Party hereunder. The rights and obligations of each Loan Party hereunder shall remain in full force and effect notwithstanding the addition of any new Loan Party as a party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7.15.    </w:t>
      </w:r>
      <w:r>
        <w:rPr>
          <w:rFonts w:ascii="Times New Roman;serif" w:hAnsi="Times New Roman;serif"/>
          <w:b w:val="false"/>
          <w:color w:val="000000"/>
          <w:sz w:val="22"/>
          <w:u w:val="single"/>
        </w:rPr>
        <w:t>Collateral Agent Appointed Attorney-in-Fact</w:t>
      </w:r>
      <w:r>
        <w:rPr>
          <w:rFonts w:ascii="Times New Roman;serif" w:hAnsi="Times New Roman;serif"/>
          <w:b w:val="false"/>
          <w:color w:val="000000"/>
          <w:sz w:val="22"/>
        </w:rPr>
        <w:t xml:space="preserve">.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and coupled with an interest. Without limiting the generality of the foregoing, the Collateral Agent shall have the right, upon the occurrence and during the continuance of an Event of Default and (unless a Bankruptcy Event of Default has occurred and is continuing) delivery of notice by the Collateral Agent to the Company of its intent to exercise such rights, with full power of substitution either in the Collateral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to any Account Debtor; (e) to commence and prosecute any and all suits, actions or proceedings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27025"/>
                <wp:effectExtent l="0" t="0" r="0" b="0"/>
                <wp:wrapNone/>
                <wp:docPr id="302" name="Frame30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or the Cash Collateral Account and adjust, settle or compromise the amount of payment of any Account; and (h)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willful misconduct or that of any of their Affiliates, directors, officers, employees, counsel, agents or attorneys-in-fact.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7.16.    </w:t>
      </w:r>
      <w:r>
        <w:rPr>
          <w:rFonts w:ascii="Times New Roman;serif" w:hAnsi="Times New Roman;serif"/>
          <w:b w:val="false"/>
          <w:color w:val="000000"/>
          <w:sz w:val="22"/>
          <w:u w:val="single"/>
        </w:rPr>
        <w:t>General Authority of the Collateral Agent</w:t>
      </w:r>
      <w:r>
        <w:rPr>
          <w:rFonts w:ascii="Times New Roman;serif" w:hAnsi="Times New Roman;serif"/>
          <w:b w:val="false"/>
          <w:color w:val="000000"/>
          <w:sz w:val="22"/>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7.17.    </w:t>
      </w:r>
      <w:r>
        <w:rPr>
          <w:rFonts w:ascii="Times New Roman;serif" w:hAnsi="Times New Roman;serif"/>
          <w:b w:val="false"/>
          <w:color w:val="000000"/>
          <w:sz w:val="22"/>
          <w:u w:val="single"/>
        </w:rPr>
        <w:t>Mortgages</w:t>
      </w:r>
      <w:r>
        <w:rPr>
          <w:rFonts w:ascii="Times New Roman;serif" w:hAnsi="Times New Roman;serif"/>
          <w:b w:val="false"/>
          <w:color w:val="000000"/>
          <w:sz w:val="22"/>
        </w:rPr>
        <w:t>. In the event that any of the Collateral hereunder is also subject to a valid and enforceable Lien under the terms of a Mortgage and the terms thereof are inconsistent with the terms of this Agreement, then with respect to such Collateral, the terms of such Mortgage shall control in the case of Fixtures and real estate leases, letting and licenses of, and contracts and agreements relating to the lease of, real property, and the terms of this Agreement shall control in the case of all other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7.18.    </w:t>
      </w:r>
      <w:r>
        <w:rPr>
          <w:rFonts w:ascii="Times New Roman;serif" w:hAnsi="Times New Roman;serif"/>
          <w:b w:val="false"/>
          <w:color w:val="000000"/>
          <w:sz w:val="22"/>
          <w:u w:val="single"/>
        </w:rPr>
        <w:t>Recourse; Limited Obligations</w:t>
      </w:r>
      <w:r>
        <w:rPr>
          <w:rFonts w:ascii="Times New Roman;serif" w:hAnsi="Times New Roman;serif"/>
          <w:b w:val="false"/>
          <w:color w:val="000000"/>
          <w:sz w:val="22"/>
        </w:rPr>
        <w:t>. This Agreement is made with full recourse to each Grantor and pursuant to and upon all the warranties, representations, covenants and agreements on the part of such Grantor contained herein, in the Loan Documents and the Secured Hedge Agreements and otherwise in writing in connection herewith or therewith. It is the desire and intent of each Grantor and the Secured Parties that this Agreement shall be enforced against each Grantor to the fullest extent permissible under the laws applied in each jurisdiction in which enforcement is sought. Notwithstanding anything to the contrary contained herein, and in furtherance of the foregoing, it is noted that the obligations of each Grantor that is a Subsidiary Party have been limited as expressly provided in the Guaranty and are limited hereunder as and to the same extent provided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7.19.    </w:t>
      </w:r>
      <w:r>
        <w:rPr>
          <w:rFonts w:ascii="Times New Roman;serif" w:hAnsi="Times New Roman;serif"/>
          <w:b w:val="false"/>
          <w:color w:val="000000"/>
          <w:sz w:val="22"/>
          <w:u w:val="single"/>
        </w:rPr>
        <w:t>Amendment and Restatement; No Novation</w:t>
      </w:r>
      <w:r>
        <w:rPr>
          <w:rFonts w:ascii="Times New Roman;serif" w:hAnsi="Times New Roman;serif"/>
          <w:b w:val="false"/>
          <w:color w:val="000000"/>
          <w:sz w:val="22"/>
        </w:rPr>
        <w:t>. This Agreement constitutes an amendment and restatement of that certain Third Amended and Restated Security Agreement dated as of September 19, 2024 (as amended, restated, supplemented, reaffirmed or otherwise modified, the “</w:t>
      </w:r>
      <w:r>
        <w:rPr>
          <w:rFonts w:ascii="Times New Roman;serif" w:hAnsi="Times New Roman;serif"/>
          <w:b w:val="false"/>
          <w:color w:val="000000"/>
          <w:sz w:val="22"/>
          <w:u w:val="single"/>
        </w:rPr>
        <w:t>Existing Security Agreement</w:t>
      </w:r>
      <w:r>
        <w:rPr>
          <w:color w:val="000000"/>
        </w:rPr>
        <w:t>”</w:t>
      </w:r>
      <w:r>
        <w:rPr>
          <w:rFonts w:ascii="Times New Roman;serif" w:hAnsi="Times New Roman;serif"/>
          <w:b w:val="false"/>
          <w:color w:val="000000"/>
          <w:sz w:val="22"/>
        </w:rPr>
        <w:t xml:space="preserve">), effective from and after the Closing Date. The execution and delivery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27025"/>
                <wp:effectExtent l="0" t="0" r="0" b="0"/>
                <wp:wrapNone/>
                <wp:docPr id="303" name="Frame30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Agreement shall not constitute a novation of any indebtedness or other obligations owing to the Lenders or the Collateral Agent under the Existing Credit Agreement or secured by the Existing Security Agreement or release of any Liens securing any such indebtedness or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7.20.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xml:space="preserve">. The provisions contained in </w:t>
      </w:r>
      <w:r>
        <w:rPr>
          <w:rFonts w:ascii="Times New Roman;serif" w:hAnsi="Times New Roman;serif"/>
          <w:b w:val="false"/>
          <w:color w:val="000000"/>
          <w:sz w:val="22"/>
          <w:u w:val="single"/>
        </w:rPr>
        <w:t>Section 10.25</w:t>
      </w:r>
      <w:r>
        <w:rPr>
          <w:color w:val="000000"/>
        </w:rPr>
        <w:t xml:space="preserve"> </w:t>
      </w:r>
      <w:r>
        <w:rPr>
          <w:rFonts w:ascii="Times New Roman;serif" w:hAnsi="Times New Roman;serif"/>
          <w:b w:val="false"/>
          <w:color w:val="000000"/>
          <w:sz w:val="22"/>
        </w:rPr>
        <w:t>of the Credit Agreement shall be applicable to this Agreement and each Security Agreement Supplement and are hereby incorporated by reference as if fully set forth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27025"/>
                <wp:effectExtent l="0" t="0" r="0" b="0"/>
                <wp:wrapNone/>
                <wp:docPr id="304" name="Frame30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226511351_2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their duly authorized officers to execute and deliver this Agreement as of the date first above written.</w:t>
      </w:r>
    </w:p>
    <w:p>
      <w:pPr>
        <w:pStyle w:val="TextBody"/>
        <w:bidi w:val="0"/>
        <w:spacing w:before="0" w:after="240"/>
        <w:ind w:left="0" w:right="0" w:firstLine="1440"/>
        <w:jc w:val="center"/>
        <w:rPr/>
      </w:pPr>
      <w:r>
        <w:rPr/>
      </w:r>
    </w:p>
    <w:p>
      <w:pPr>
        <w:pStyle w:val="TextBody"/>
        <w:bidi w:val="0"/>
        <w:spacing w:lineRule="auto" w:line="288" w:before="0" w:after="0"/>
        <w:jc w:val="right"/>
        <w:rPr>
          <w:color w:val="000000"/>
        </w:rPr>
      </w:pPr>
      <w:r>
        <w:rPr>
          <w:color w:val="000000"/>
        </w:rPr>
        <w:t>                </w:t>
      </w:r>
    </w:p>
    <w:tbl>
      <w:tblPr>
        <w:tblW w:w="4361" w:type="dxa"/>
        <w:jc w:val="right"/>
        <w:tblInd w:w="0" w:type="dxa"/>
        <w:tblLayout w:type="fixed"/>
        <w:tblCellMar>
          <w:top w:w="28" w:type="dxa"/>
          <w:left w:w="28" w:type="dxa"/>
          <w:bottom w:w="28" w:type="dxa"/>
          <w:right w:w="28" w:type="dxa"/>
        </w:tblCellMar>
      </w:tblPr>
      <w:tblGrid>
        <w:gridCol w:w="735"/>
        <w:gridCol w:w="648"/>
        <w:gridCol w:w="648"/>
        <w:gridCol w:w="648"/>
        <w:gridCol w:w="648"/>
        <w:gridCol w:w="662"/>
        <w:gridCol w:w="109"/>
        <w:gridCol w:w="109"/>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GRANTORS: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RESTAURANT PARTNERS,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730" w:type="dxa"/>
        <w:jc w:val="right"/>
        <w:tblInd w:w="0" w:type="dxa"/>
        <w:tblLayout w:type="fixed"/>
        <w:tblCellMar>
          <w:top w:w="28" w:type="dxa"/>
          <w:left w:w="28" w:type="dxa"/>
          <w:bottom w:w="28" w:type="dxa"/>
          <w:right w:w="28" w:type="dxa"/>
        </w:tblCellMar>
      </w:tblPr>
      <w:tblGrid>
        <w:gridCol w:w="537"/>
        <w:gridCol w:w="473"/>
        <w:gridCol w:w="473"/>
        <w:gridCol w:w="623"/>
        <w:gridCol w:w="623"/>
        <w:gridCol w:w="629"/>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hanging="43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02945"/>
                <wp:effectExtent l="0" t="0" r="0" b="0"/>
                <wp:wrapNone/>
                <wp:docPr id="305" name="Frame304"/>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v:textbox>
                <w10:wrap type="none"/>
              </v:rect>
            </w:pict>
          </mc:Fallback>
        </mc:AlternateContent>
      </w:r>
    </w:p>
    <w:p>
      <w:pPr>
        <w:pStyle w:val="TextBody"/>
        <w:bidi w:val="0"/>
        <w:spacing w:before="100" w:after="283"/>
        <w:jc w:val="right"/>
        <w:rPr/>
      </w:pPr>
      <w:r>
        <w:rPr/>
      </w:r>
    </w:p>
    <w:tbl>
      <w:tblPr>
        <w:tblW w:w="5786" w:type="dxa"/>
        <w:jc w:val="right"/>
        <w:tblInd w:w="0" w:type="dxa"/>
        <w:tblLayout w:type="fixed"/>
        <w:tblCellMar>
          <w:top w:w="28" w:type="dxa"/>
          <w:left w:w="28" w:type="dxa"/>
          <w:bottom w:w="28" w:type="dxa"/>
          <w:right w:w="28" w:type="dxa"/>
        </w:tblCellMar>
      </w:tblPr>
      <w:tblGrid>
        <w:gridCol w:w="1001"/>
        <w:gridCol w:w="881"/>
        <w:gridCol w:w="881"/>
        <w:gridCol w:w="881"/>
        <w:gridCol w:w="881"/>
        <w:gridCol w:w="889"/>
        <w:gridCol w:w="109"/>
        <w:gridCol w:w="109"/>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color w:val="000000"/>
                <w:sz w:val="22"/>
              </w:rPr>
            </w:pPr>
            <w:r>
              <w:rPr>
                <w:rFonts w:ascii="Times New Roman;serif" w:hAnsi="Times New Roman;serif"/>
                <w:b/>
                <w:color w:val="000000"/>
                <w:sz w:val="22"/>
              </w:rPr>
              <w:t>BFG NEBRASKA,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BFG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BLOOMIN’ BRANDS GIFT CARD SERVICES,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BEVERAGES,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BRANDYWINE,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DESIGNATED PARTNER, LLC</w:t>
              <w:br/>
              <w:t>BONEFISH GRILL, LLC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HOLDINGS,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 OF BEL AIR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BONEFISH/ASHEVILLE,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BONEFISH/CAROLINAS,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BONEFISH/COLUMBUS-I,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BONEFISH/CRESCENT SPRINGS,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BONEFISH/GREENSBORO, LIMITED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BONEFISH/HYDE PARK,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DESIGNATED PARTNER,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ITALIAN GRILL OF HOWARD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COUNTY,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ITALIAN GRILL,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OF BOWIE,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 OF GERMANTOWN,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CARRABBA’S OF WALDORF,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CARRABBA’S/BIRMINGHAM 280, LIMITED</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CARRABBA’S/DC-I, LIMITED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BEVERAGES OF TEXAS,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HOLDINGS,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righ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100" w:after="283"/>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02945"/>
                <wp:effectExtent l="0" t="0" r="0" b="0"/>
                <wp:wrapNone/>
                <wp:docPr id="306" name="Frame305"/>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v:textbox>
                <w10:wrap type="none"/>
              </v:rect>
            </w:pict>
          </mc:Fallback>
        </mc:AlternateContent>
      </w:r>
    </w:p>
    <w:p>
      <w:pPr>
        <w:pStyle w:val="TextBody"/>
        <w:bidi w:val="0"/>
        <w:spacing w:before="100" w:after="283"/>
        <w:jc w:val="right"/>
        <w:rPr/>
      </w:pPr>
      <w:r>
        <w:rPr/>
      </w:r>
    </w:p>
    <w:p>
      <w:pPr>
        <w:pStyle w:val="TextBody"/>
        <w:bidi w:val="0"/>
        <w:spacing w:before="0" w:after="0"/>
        <w:ind w:left="0" w:right="0" w:firstLine="720"/>
        <w:jc w:val="left"/>
        <w:rPr/>
      </w:pPr>
      <w:r>
        <w:rPr/>
      </w:r>
    </w:p>
    <w:tbl>
      <w:tblPr>
        <w:tblW w:w="5817" w:type="dxa"/>
        <w:jc w:val="right"/>
        <w:tblInd w:w="0" w:type="dxa"/>
        <w:tblLayout w:type="fixed"/>
        <w:tblCellMar>
          <w:top w:w="28" w:type="dxa"/>
          <w:left w:w="28" w:type="dxa"/>
          <w:bottom w:w="28" w:type="dxa"/>
          <w:right w:w="28" w:type="dxa"/>
        </w:tblCellMar>
      </w:tblPr>
      <w:tblGrid>
        <w:gridCol w:w="1008"/>
        <w:gridCol w:w="887"/>
        <w:gridCol w:w="887"/>
        <w:gridCol w:w="887"/>
        <w:gridCol w:w="887"/>
        <w:gridCol w:w="889"/>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CIGI/BFG OF EAST BRUNSWICK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CIG OMAHA,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DOORSIDE,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FREDERICK OUTBACK,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PRIVATE RESTAURANT PROPERTIES,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OBTEX HOLDINGS, LLC</w:t>
              <w:br/>
              <w:t>OS MANAGEMENT,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 REALTY,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 RESTAURANT SERVICES,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OSF NEBRASKA,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 OKLAHOMA,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OSF/BFG OF DEPTFORD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OSF/BFG OF LAWRENCEVILLE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OSF/CIGI OF EVESHAM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HOLDCO,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OSI HOLDCO I, INC.</w:t>
              <w:br/>
              <w:t>OSI HOLDCO II,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ALABAMA,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BEVERAGES OF TEXAS,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DESIGNATED PARTNER,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KANSAS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OF ASPEN HILL,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OF LAUREL,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 OF SILVER SPRING, INC.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STEAKHOUSE OF FLORIDA, LLC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 STEAKHOUSE WEST VIRGINIA,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OUTBACK/CARRABBA’S PARTNERSHIP </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OUTBACK/STONE-II, LIMITED PARTNERSHIP</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PRIVATE RESTAURANT MASTER LESSEE,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Jamieson Bump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0"/>
        <w:jc w:val="left"/>
        <w:rPr/>
      </w:pPr>
      <w:r>
        <w:rPr/>
      </w:r>
    </w:p>
    <w:p>
      <w:pPr>
        <w:pStyle w:val="TextBody"/>
        <w:bidi w:val="0"/>
        <w:spacing w:before="100" w:after="283"/>
        <w:jc w:val="right"/>
        <w:rPr/>
      </w:pPr>
      <w:r>
        <w:rPr/>
      </w:r>
    </w:p>
    <w:p>
      <w:pPr>
        <w:pStyle w:val="TextBody"/>
        <w:bidi w:val="0"/>
        <w:spacing w:before="1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02945"/>
                <wp:effectExtent l="0" t="0" r="0" b="0"/>
                <wp:wrapNone/>
                <wp:docPr id="307" name="Frame306"/>
                <a:graphic xmlns:a="http://schemas.openxmlformats.org/drawingml/2006/main">
                  <a:graphicData uri="http://schemas.microsoft.com/office/word/2010/wordprocessingShape">
                    <wps:wsp>
                      <wps:cNvSpPr txBox="1"/>
                      <wps:spPr>
                        <a:xfrm>
                          <a:off x="0" y="0"/>
                          <a:ext cx="6480175" cy="7029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Bloomin’ Brands,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Fourth Amended and Restated Security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p>
                      <w:pPr>
                        <w:pStyle w:val="TextBody"/>
                        <w:bidi w:val="0"/>
                        <w:spacing w:before="0" w:after="0"/>
                        <w:jc w:val="left"/>
                        <w:rPr/>
                      </w:pPr>
                      <w:r>
                        <w:rPr/>
                      </w:r>
                    </w:p>
                  </w:txbxContent>
                </v:textbox>
                <w10:wrap type="none"/>
              </v:rect>
            </w:pict>
          </mc:Fallback>
        </mc:AlternateContent>
      </w:r>
    </w:p>
    <w:tbl>
      <w:tblPr>
        <w:tblW w:w="8276" w:type="dxa"/>
        <w:jc w:val="right"/>
        <w:tblInd w:w="0" w:type="dxa"/>
        <w:tblLayout w:type="fixed"/>
        <w:tblCellMar>
          <w:top w:w="28" w:type="dxa"/>
          <w:left w:w="28" w:type="dxa"/>
          <w:bottom w:w="28" w:type="dxa"/>
          <w:right w:w="28" w:type="dxa"/>
        </w:tblCellMar>
      </w:tblPr>
      <w:tblGrid>
        <w:gridCol w:w="1460"/>
        <w:gridCol w:w="1287"/>
        <w:gridCol w:w="1287"/>
        <w:gridCol w:w="1287"/>
        <w:gridCol w:w="1287"/>
        <w:gridCol w:w="1296"/>
        <w:gridCol w:w="109"/>
        <w:gridCol w:w="109"/>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0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 xml:space="preserve">WELLS FARGO BANK, NATIONAL ASSOCIATION, </w:t>
            </w:r>
            <w:r>
              <w:rPr>
                <w:rFonts w:ascii="Times New Roman;serif" w:hAnsi="Times New Roman;serif"/>
                <w:b w:val="false"/>
                <w:color w:val="000000"/>
                <w:sz w:val="22"/>
              </w:rPr>
              <w:t>as Administrative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Anne Shroyer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6"/>
            <w:tcBorders/>
            <w:tcMar>
              <w:top w:w="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 Anne Shroyer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 </w:t>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8"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SUBSIDIARY PARTIES</w:t>
      </w:r>
    </w:p>
    <w:tbl>
      <w:tblPr>
        <w:tblW w:w="10205" w:type="dxa"/>
        <w:jc w:val="left"/>
        <w:tblInd w:w="0" w:type="dxa"/>
        <w:tblLayout w:type="fixed"/>
        <w:tblCellMar>
          <w:top w:w="28" w:type="dxa"/>
          <w:left w:w="28" w:type="dxa"/>
          <w:bottom w:w="28" w:type="dxa"/>
          <w:right w:w="28" w:type="dxa"/>
        </w:tblCellMar>
      </w:tblPr>
      <w:tblGrid>
        <w:gridCol w:w="145"/>
        <w:gridCol w:w="129"/>
        <w:gridCol w:w="130"/>
        <w:gridCol w:w="1782"/>
        <w:gridCol w:w="1672"/>
        <w:gridCol w:w="1675"/>
        <w:gridCol w:w="129"/>
        <w:gridCol w:w="129"/>
        <w:gridCol w:w="130"/>
        <w:gridCol w:w="1362"/>
        <w:gridCol w:w="1204"/>
        <w:gridCol w:w="1718"/>
      </w:tblGrid>
      <w:tr>
        <w:trPr/>
        <w:tc>
          <w:tcPr>
            <w:tcW w:w="1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BFG NEBRASKA,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CIGI/BFG of East Brunswick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BFG OKLAHOMA,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DOORSIDE,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Gift Card Services,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FREDERICK OUTBACK,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Beverages,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Private Restaurant Properties,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Brandywine,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OBTEX HOLDINGS,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Designated Partner,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 MANAGEMENT,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 Realty,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Holdings,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 RESTAURANT SERVICES,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KANSAS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38.</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OSF NEBRASKA,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of Bel Air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39.</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OSF OKLAHOMA,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BONEFISH/ASHEVILLE,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OSF/BFG of Deptford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BONEFISH/CAROLINAS,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OSF/BFG of Lawrenceville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BONEFISH/COLUMBUS-I,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OSF/CIGI of Evesham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14.</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BONEFISH/CRESCENT SPRINGS,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HoldCo,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BONEFISH/GREENSBORO,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HoldCo I,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16.</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BONEFISH/HYDE PARK,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HoldCo II,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Designated Partner,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Alabama,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47.</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BEVERAGES OF TEXAS,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OF HOWARD COUNTY,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Designated Partner,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KANSAS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49.</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KANSAS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OF BOWIE,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of Aspen Hill,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OF GERMANTOWN,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of Laurel,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OF WALDORF,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of Silver Spring,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CARRABBA’S/BIRMINGHAM 280,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25.</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CARRABBA’S/DC-I, LIMITED PARTNERSHIP</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54.</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WEST VIRGINIA, INC.</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26.</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CIGI BEVERAGES OF TEXAS,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55.</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Outback/Carrabba’s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27.</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CIG Omaha, Inc.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56.</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OUTBACK/STONE-II, LIMITED PARTNERSHIP</w:t>
            </w:r>
          </w:p>
        </w:tc>
      </w:tr>
      <w:tr>
        <w:trPr/>
        <w:tc>
          <w:tcPr>
            <w:tcW w:w="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w:t>
            </w:r>
          </w:p>
        </w:tc>
        <w:tc>
          <w:tcPr>
            <w:tcW w:w="5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CIGI HOLDINGS, LLC</w:t>
            </w:r>
          </w:p>
        </w:tc>
        <w:tc>
          <w:tcPr>
            <w:tcW w:w="3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57.</w:t>
            </w:r>
          </w:p>
        </w:tc>
        <w:tc>
          <w:tcPr>
            <w:tcW w:w="42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Private Restaurant Master Lessee, LLC</w:t>
            </w:r>
          </w:p>
        </w:tc>
      </w:tr>
      <w:tr>
        <w:trPr/>
        <w:tc>
          <w:tcPr>
            <w:tcW w:w="4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29.</w:t>
            </w:r>
          </w:p>
        </w:tc>
        <w:tc>
          <w:tcPr>
            <w:tcW w:w="51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CIGI OKLAHOMA, INC.</w:t>
            </w:r>
          </w:p>
        </w:tc>
        <w:tc>
          <w:tcPr>
            <w:tcW w:w="38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9"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PLEDGED EQUITY</w:t>
      </w:r>
    </w:p>
    <w:tbl>
      <w:tblPr>
        <w:tblW w:w="10205" w:type="dxa"/>
        <w:jc w:val="left"/>
        <w:tblInd w:w="0" w:type="dxa"/>
        <w:tblLayout w:type="fixed"/>
        <w:tblCellMar>
          <w:top w:w="28" w:type="dxa"/>
          <w:left w:w="28" w:type="dxa"/>
          <w:bottom w:w="28" w:type="dxa"/>
          <w:right w:w="28" w:type="dxa"/>
        </w:tblCellMar>
      </w:tblPr>
      <w:tblGrid>
        <w:gridCol w:w="126"/>
        <w:gridCol w:w="111"/>
        <w:gridCol w:w="111"/>
        <w:gridCol w:w="648"/>
        <w:gridCol w:w="495"/>
        <w:gridCol w:w="502"/>
        <w:gridCol w:w="355"/>
        <w:gridCol w:w="355"/>
        <w:gridCol w:w="356"/>
        <w:gridCol w:w="384"/>
        <w:gridCol w:w="384"/>
        <w:gridCol w:w="385"/>
        <w:gridCol w:w="523"/>
        <w:gridCol w:w="475"/>
        <w:gridCol w:w="477"/>
        <w:gridCol w:w="625"/>
        <w:gridCol w:w="625"/>
        <w:gridCol w:w="627"/>
        <w:gridCol w:w="476"/>
        <w:gridCol w:w="476"/>
        <w:gridCol w:w="478"/>
        <w:gridCol w:w="351"/>
        <w:gridCol w:w="351"/>
        <w:gridCol w:w="50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bottom w:val="single" w:sz="4" w:space="0" w:color="000000"/>
            </w:tcBorders>
            <w:shd w:fill="BFBFBF" w:val="clear"/>
            <w:tcMar>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3"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75"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77"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0" w:type="dxa"/>
            <w:gridSpan w:val="3"/>
            <w:tcBorders>
              <w:top w:val="single" w:sz="4" w:space="0" w:color="000000"/>
              <w:left w:val="single" w:sz="4" w:space="0" w:color="000000"/>
              <w:bottom w:val="single" w:sz="4" w:space="0" w:color="000000"/>
            </w:tcBorders>
            <w:shd w:fill="BFBFBF"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1" w:type="dxa"/>
            <w:gridSpan w:val="3"/>
            <w:tcBorders>
              <w:top w:val="single" w:sz="4" w:space="0" w:color="000000"/>
              <w:left w:val="single" w:sz="4" w:space="0" w:color="000000"/>
              <w:bottom w:val="single" w:sz="4" w:space="0" w:color="000000"/>
              <w:right w:val="single" w:sz="4" w:space="0" w:color="000000"/>
            </w:tcBorders>
            <w:shd w:fill="BFBFBF"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Annapolis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99.98%</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99.98%</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 Air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common stock, no par value</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 Nebraska,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$.01 par value</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 Oklahoma,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$.01 par value</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BFG/FPS of Marlton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Brands Gift Card Services,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Baltimore County,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Units</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Beverages,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Holdings,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Unit</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164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Brandywine,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64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7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0"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646"/>
        <w:gridCol w:w="505"/>
        <w:gridCol w:w="512"/>
        <w:gridCol w:w="355"/>
        <w:gridCol w:w="355"/>
        <w:gridCol w:w="356"/>
        <w:gridCol w:w="385"/>
        <w:gridCol w:w="385"/>
        <w:gridCol w:w="386"/>
        <w:gridCol w:w="499"/>
        <w:gridCol w:w="464"/>
        <w:gridCol w:w="465"/>
        <w:gridCol w:w="630"/>
        <w:gridCol w:w="630"/>
        <w:gridCol w:w="631"/>
        <w:gridCol w:w="479"/>
        <w:gridCol w:w="479"/>
        <w:gridCol w:w="480"/>
        <w:gridCol w:w="353"/>
        <w:gridCol w:w="353"/>
        <w:gridCol w:w="50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2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91"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5"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Holdings,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Unit</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Kansas,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of Bel Air,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Bonefish/Anne Arundel,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 units</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Bonefish/Asheville,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Bonefish/Carolinas,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Bonefish/Columbus- I,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1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Bonefish/Crescent Springs,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166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Bonefish/Glen Burnie,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42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5090 units</w:t>
            </w:r>
          </w:p>
        </w:tc>
        <w:tc>
          <w:tcPr>
            <w:tcW w:w="143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99.78%</w:t>
            </w:r>
          </w:p>
        </w:tc>
        <w:tc>
          <w:tcPr>
            <w:tcW w:w="121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99.78%</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1"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561"/>
        <w:gridCol w:w="561"/>
        <w:gridCol w:w="568"/>
        <w:gridCol w:w="355"/>
        <w:gridCol w:w="355"/>
        <w:gridCol w:w="356"/>
        <w:gridCol w:w="384"/>
        <w:gridCol w:w="384"/>
        <w:gridCol w:w="386"/>
        <w:gridCol w:w="497"/>
        <w:gridCol w:w="462"/>
        <w:gridCol w:w="463"/>
        <w:gridCol w:w="626"/>
        <w:gridCol w:w="626"/>
        <w:gridCol w:w="628"/>
        <w:gridCol w:w="477"/>
        <w:gridCol w:w="477"/>
        <w:gridCol w:w="478"/>
        <w:gridCol w:w="352"/>
        <w:gridCol w:w="352"/>
        <w:gridCol w:w="50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4"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2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8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3"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Bonefish/Greensboro,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Designated Partner, LLC</w:t>
            </w:r>
          </w:p>
        </w:tc>
        <w:tc>
          <w:tcPr>
            <w:tcW w:w="18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Bonefish/Hyde Park,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of Overlea,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common stock, no par value</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97.826%</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97.826%</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of Howard County,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4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10 shares of Class B common stock, no par value</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142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90 shares of Class A common stock, no par value</w:t>
            </w:r>
          </w:p>
        </w:tc>
        <w:tc>
          <w:tcPr>
            <w:tcW w:w="143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w:t>
            </w:r>
          </w:p>
        </w:tc>
        <w:tc>
          <w:tcPr>
            <w:tcW w:w="1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w:t>
            </w:r>
          </w:p>
        </w:tc>
        <w:tc>
          <w:tcPr>
            <w:tcW w:w="16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Kansas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5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2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8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2"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614"/>
        <w:gridCol w:w="455"/>
        <w:gridCol w:w="461"/>
        <w:gridCol w:w="355"/>
        <w:gridCol w:w="355"/>
        <w:gridCol w:w="356"/>
        <w:gridCol w:w="393"/>
        <w:gridCol w:w="393"/>
        <w:gridCol w:w="394"/>
        <w:gridCol w:w="443"/>
        <w:gridCol w:w="443"/>
        <w:gridCol w:w="445"/>
        <w:gridCol w:w="664"/>
        <w:gridCol w:w="664"/>
        <w:gridCol w:w="666"/>
        <w:gridCol w:w="498"/>
        <w:gridCol w:w="498"/>
        <w:gridCol w:w="500"/>
        <w:gridCol w:w="366"/>
        <w:gridCol w:w="366"/>
        <w:gridCol w:w="528"/>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8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331"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94"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9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60"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w:t>
            </w:r>
          </w:p>
        </w:tc>
        <w:tc>
          <w:tcPr>
            <w:tcW w:w="15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Bowie,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c>
          <w:tcPr>
            <w:tcW w:w="15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Germantown,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3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810 shares of common stock, $1.00 par value</w:t>
            </w:r>
          </w:p>
        </w:tc>
        <w:tc>
          <w:tcPr>
            <w:tcW w:w="1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90 shares of common stock, $1.00 par value</w:t>
            </w:r>
          </w:p>
        </w:tc>
        <w:tc>
          <w:tcPr>
            <w:tcW w:w="149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w:t>
            </w:r>
          </w:p>
        </w:tc>
        <w:tc>
          <w:tcPr>
            <w:tcW w:w="15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Ocean City,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w:t>
            </w:r>
          </w:p>
          <w:p>
            <w:pPr>
              <w:pStyle w:val="TableContents"/>
              <w:bidi w:val="0"/>
              <w:spacing w:before="0" w:after="240"/>
              <w:jc w:val="left"/>
              <w:rPr/>
            </w:pPr>
            <w:r>
              <w:rPr/>
            </w:r>
          </w:p>
          <w:p>
            <w:pPr>
              <w:pStyle w:val="TableContents"/>
              <w:bidi w:val="0"/>
              <w:spacing w:before="0" w:after="240"/>
              <w:jc w:val="left"/>
              <w:rPr/>
            </w:pPr>
            <w:r>
              <w:rPr/>
            </w:r>
          </w:p>
        </w:tc>
        <w:tc>
          <w:tcPr>
            <w:tcW w:w="13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 shares of common stock, no par value</w:t>
            </w:r>
          </w:p>
        </w:tc>
        <w:tc>
          <w:tcPr>
            <w:tcW w:w="1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98%</w:t>
            </w:r>
          </w:p>
        </w:tc>
        <w:tc>
          <w:tcPr>
            <w:tcW w:w="12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98%</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5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Pasadena,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2000 shares of common stock, no par value</w:t>
            </w:r>
          </w:p>
        </w:tc>
        <w:tc>
          <w:tcPr>
            <w:tcW w:w="1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w:t>
            </w:r>
          </w:p>
        </w:tc>
        <w:tc>
          <w:tcPr>
            <w:tcW w:w="12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15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of Waldorf,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9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600 shares of common stock, no par value</w:t>
            </w:r>
          </w:p>
        </w:tc>
        <w:tc>
          <w:tcPr>
            <w:tcW w:w="1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3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400 shares of common stock, no par value</w:t>
            </w:r>
          </w:p>
        </w:tc>
        <w:tc>
          <w:tcPr>
            <w:tcW w:w="149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3"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580"/>
        <w:gridCol w:w="580"/>
        <w:gridCol w:w="587"/>
        <w:gridCol w:w="355"/>
        <w:gridCol w:w="355"/>
        <w:gridCol w:w="356"/>
        <w:gridCol w:w="382"/>
        <w:gridCol w:w="382"/>
        <w:gridCol w:w="383"/>
        <w:gridCol w:w="502"/>
        <w:gridCol w:w="466"/>
        <w:gridCol w:w="468"/>
        <w:gridCol w:w="616"/>
        <w:gridCol w:w="616"/>
        <w:gridCol w:w="618"/>
        <w:gridCol w:w="471"/>
        <w:gridCol w:w="471"/>
        <w:gridCol w:w="472"/>
        <w:gridCol w:w="348"/>
        <w:gridCol w:w="348"/>
        <w:gridCol w:w="501"/>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47"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3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5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14"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197"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Carrabba’s/Birmingham 280,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Carrabba’s/DC-I,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Designated Partner,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 Omaha,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Beverages of Texas,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Holdings,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Holdings,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 Oklahoma,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8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17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CIGI/BFG of East Brunswick Partnership</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97"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4"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632"/>
        <w:gridCol w:w="403"/>
        <w:gridCol w:w="408"/>
        <w:gridCol w:w="355"/>
        <w:gridCol w:w="355"/>
        <w:gridCol w:w="356"/>
        <w:gridCol w:w="390"/>
        <w:gridCol w:w="390"/>
        <w:gridCol w:w="391"/>
        <w:gridCol w:w="534"/>
        <w:gridCol w:w="488"/>
        <w:gridCol w:w="490"/>
        <w:gridCol w:w="650"/>
        <w:gridCol w:w="650"/>
        <w:gridCol w:w="652"/>
        <w:gridCol w:w="490"/>
        <w:gridCol w:w="490"/>
        <w:gridCol w:w="492"/>
        <w:gridCol w:w="361"/>
        <w:gridCol w:w="361"/>
        <w:gridCol w:w="51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71"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1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5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7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41"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DoorSide,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Frederick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 stock, $1.00 par value</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Hagerstown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OBTex Holdings,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Ocean City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 shares of common stock, no par value</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Management,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shares of common stock, $0.01 par value</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14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Prime,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144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Realty,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7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5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7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5"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709"/>
        <w:gridCol w:w="484"/>
        <w:gridCol w:w="490"/>
        <w:gridCol w:w="355"/>
        <w:gridCol w:w="355"/>
        <w:gridCol w:w="356"/>
        <w:gridCol w:w="383"/>
        <w:gridCol w:w="383"/>
        <w:gridCol w:w="384"/>
        <w:gridCol w:w="520"/>
        <w:gridCol w:w="473"/>
        <w:gridCol w:w="474"/>
        <w:gridCol w:w="621"/>
        <w:gridCol w:w="621"/>
        <w:gridCol w:w="622"/>
        <w:gridCol w:w="474"/>
        <w:gridCol w:w="474"/>
        <w:gridCol w:w="475"/>
        <w:gridCol w:w="350"/>
        <w:gridCol w:w="350"/>
        <w:gridCol w:w="504"/>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67"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64"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2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04"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 Restaurant Services,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 Nebraska,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 Oklahoma,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6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OSF/BFG of Deptford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OSF/BFG of Lawrenceville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Bonefish Grill,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c>
          <w:tcPr>
            <w:tcW w:w="16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OSF/CIGI of Evesham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16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Inc.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6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 Inc.</w:t>
            </w:r>
          </w:p>
        </w:tc>
        <w:tc>
          <w:tcPr>
            <w:tcW w:w="18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2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0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6"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620"/>
        <w:gridCol w:w="413"/>
        <w:gridCol w:w="420"/>
        <w:gridCol w:w="355"/>
        <w:gridCol w:w="355"/>
        <w:gridCol w:w="356"/>
        <w:gridCol w:w="389"/>
        <w:gridCol w:w="389"/>
        <w:gridCol w:w="391"/>
        <w:gridCol w:w="534"/>
        <w:gridCol w:w="488"/>
        <w:gridCol w:w="489"/>
        <w:gridCol w:w="648"/>
        <w:gridCol w:w="648"/>
        <w:gridCol w:w="650"/>
        <w:gridCol w:w="489"/>
        <w:gridCol w:w="489"/>
        <w:gridCol w:w="491"/>
        <w:gridCol w:w="360"/>
        <w:gridCol w:w="360"/>
        <w:gridCol w:w="523"/>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6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11"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4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6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43"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II, Inc.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II,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Brands, Inc.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HoldCo, Inc.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Alabama,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shares of common stock, $0.01 par value</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Beverages of Texas,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OBTex Holdings,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Designated Partner,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Kansas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KS</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Aspen Hill,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1000 shares of common stock, no par value</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145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Calvert County,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common shares, no par value</w:t>
            </w:r>
          </w:p>
        </w:tc>
        <w:tc>
          <w:tcPr>
            <w:tcW w:w="14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89.87 %</w:t>
            </w:r>
          </w:p>
        </w:tc>
        <w:tc>
          <w:tcPr>
            <w:tcW w:w="124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89.87 %</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145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Laurel,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4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4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7"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662"/>
        <w:gridCol w:w="474"/>
        <w:gridCol w:w="482"/>
        <w:gridCol w:w="355"/>
        <w:gridCol w:w="355"/>
        <w:gridCol w:w="356"/>
        <w:gridCol w:w="385"/>
        <w:gridCol w:w="385"/>
        <w:gridCol w:w="386"/>
        <w:gridCol w:w="524"/>
        <w:gridCol w:w="477"/>
        <w:gridCol w:w="479"/>
        <w:gridCol w:w="629"/>
        <w:gridCol w:w="629"/>
        <w:gridCol w:w="630"/>
        <w:gridCol w:w="478"/>
        <w:gridCol w:w="478"/>
        <w:gridCol w:w="480"/>
        <w:gridCol w:w="353"/>
        <w:gridCol w:w="353"/>
        <w:gridCol w:w="507"/>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5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48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88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3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13"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c>
          <w:tcPr>
            <w:tcW w:w="16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La Plata,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shares of common stock, no par value</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48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 shares of common stock, no par value</w:t>
            </w:r>
          </w:p>
        </w:tc>
        <w:tc>
          <w:tcPr>
            <w:tcW w:w="14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c>
          <w:tcPr>
            <w:tcW w:w="16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Silver Spring,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1000 shares of common stock, no par value </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c>
          <w:tcPr>
            <w:tcW w:w="16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of Waldorf,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800 shares of common stock, no par value </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480"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shares of common stock, no par value</w:t>
            </w:r>
          </w:p>
        </w:tc>
        <w:tc>
          <w:tcPr>
            <w:tcW w:w="14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c>
          <w:tcPr>
            <w:tcW w:w="16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Canton,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4000 shares of common stock, no par value</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99.95%</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c>
          <w:tcPr>
            <w:tcW w:w="16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88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Units</w:t>
            </w:r>
          </w:p>
        </w:tc>
        <w:tc>
          <w:tcPr>
            <w:tcW w:w="14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1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w:t>
            </w:r>
          </w:p>
        </w:tc>
        <w:tc>
          <w:tcPr>
            <w:tcW w:w="161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Howard County, Inc.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48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88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shares of Class A Common Stock, no par value</w:t>
            </w:r>
          </w:p>
        </w:tc>
        <w:tc>
          <w:tcPr>
            <w:tcW w:w="143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c>
          <w:tcPr>
            <w:tcW w:w="121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8"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0"/>
        <w:gridCol w:w="110"/>
        <w:gridCol w:w="1079"/>
        <w:gridCol w:w="509"/>
        <w:gridCol w:w="515"/>
        <w:gridCol w:w="355"/>
        <w:gridCol w:w="355"/>
        <w:gridCol w:w="356"/>
        <w:gridCol w:w="372"/>
        <w:gridCol w:w="372"/>
        <w:gridCol w:w="373"/>
        <w:gridCol w:w="496"/>
        <w:gridCol w:w="446"/>
        <w:gridCol w:w="448"/>
        <w:gridCol w:w="570"/>
        <w:gridCol w:w="570"/>
        <w:gridCol w:w="572"/>
        <w:gridCol w:w="445"/>
        <w:gridCol w:w="445"/>
        <w:gridCol w:w="446"/>
        <w:gridCol w:w="330"/>
        <w:gridCol w:w="330"/>
        <w:gridCol w:w="475"/>
      </w:tblGrid>
      <w:tr>
        <w:trPr/>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17"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39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71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33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135"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21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St. Mary’s County,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3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 shares of common stock, no par value</w:t>
            </w:r>
          </w:p>
        </w:tc>
        <w:tc>
          <w:tcPr>
            <w:tcW w:w="13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c>
          <w:tcPr>
            <w:tcW w:w="11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w:t>
            </w:r>
          </w:p>
        </w:tc>
        <w:tc>
          <w:tcPr>
            <w:tcW w:w="21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West Virginia,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WV</w:t>
            </w:r>
          </w:p>
        </w:tc>
        <w:tc>
          <w:tcPr>
            <w:tcW w:w="11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3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shares of common stock, $1.00 par value</w:t>
            </w:r>
          </w:p>
        </w:tc>
        <w:tc>
          <w:tcPr>
            <w:tcW w:w="13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c>
          <w:tcPr>
            <w:tcW w:w="21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Outback/Carrabba’s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7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c>
          <w:tcPr>
            <w:tcW w:w="21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Outback/Stone-II, Limited Partnership</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11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Designated Partner, LLC</w:t>
            </w:r>
          </w:p>
        </w:tc>
        <w:tc>
          <w:tcPr>
            <w:tcW w:w="17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3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1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1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Outback-Carrabba’s of Hunt Valley,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49 shares of common stock, no par value </w:t>
            </w:r>
          </w:p>
        </w:tc>
        <w:tc>
          <w:tcPr>
            <w:tcW w:w="13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98.98%</w:t>
            </w:r>
          </w:p>
        </w:tc>
        <w:tc>
          <w:tcPr>
            <w:tcW w:w="11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98.98%</w:t>
            </w:r>
          </w:p>
        </w:tc>
      </w:tr>
      <w:tr>
        <w:trPr/>
        <w:tc>
          <w:tcPr>
            <w:tcW w:w="34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9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Carrabba’s Italian Grill, LLC</w:t>
            </w:r>
          </w:p>
        </w:tc>
        <w:tc>
          <w:tcPr>
            <w:tcW w:w="1712"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 shares of common stock, no par value</w:t>
            </w:r>
          </w:p>
        </w:tc>
        <w:tc>
          <w:tcPr>
            <w:tcW w:w="133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w:t>
            </w:r>
          </w:p>
        </w:tc>
        <w:tc>
          <w:tcPr>
            <w:tcW w:w="210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Owings Mills Incorporated</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1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13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71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 shares of common stock, no par value</w:t>
            </w:r>
          </w:p>
        </w:tc>
        <w:tc>
          <w:tcPr>
            <w:tcW w:w="133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49.49%</w:t>
            </w:r>
          </w:p>
        </w:tc>
        <w:tc>
          <w:tcPr>
            <w:tcW w:w="113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49.49%</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9"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6"/>
        <w:gridCol w:w="111"/>
        <w:gridCol w:w="111"/>
        <w:gridCol w:w="570"/>
        <w:gridCol w:w="466"/>
        <w:gridCol w:w="472"/>
        <w:gridCol w:w="355"/>
        <w:gridCol w:w="355"/>
        <w:gridCol w:w="356"/>
        <w:gridCol w:w="388"/>
        <w:gridCol w:w="388"/>
        <w:gridCol w:w="389"/>
        <w:gridCol w:w="530"/>
        <w:gridCol w:w="484"/>
        <w:gridCol w:w="486"/>
        <w:gridCol w:w="642"/>
        <w:gridCol w:w="642"/>
        <w:gridCol w:w="644"/>
        <w:gridCol w:w="486"/>
        <w:gridCol w:w="486"/>
        <w:gridCol w:w="487"/>
        <w:gridCol w:w="358"/>
        <w:gridCol w:w="358"/>
        <w:gridCol w:w="515"/>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1066"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w:t>
            </w:r>
          </w:p>
        </w:tc>
        <w:tc>
          <w:tcPr>
            <w:tcW w:w="1165"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Certificate</w:t>
            </w:r>
          </w:p>
        </w:tc>
        <w:tc>
          <w:tcPr>
            <w:tcW w:w="1500"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Owner(s)</w:t>
            </w:r>
          </w:p>
        </w:tc>
        <w:tc>
          <w:tcPr>
            <w:tcW w:w="1928"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and Class (if applicable) of Equity Interests Pledged</w:t>
            </w:r>
          </w:p>
        </w:tc>
        <w:tc>
          <w:tcPr>
            <w:tcW w:w="145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Equity Interests Held, Directly or</w:t>
              <w:br/>
              <w:t>Indirectly,</w:t>
              <w:br/>
              <w:t>by a Borrower or</w:t>
              <w:br/>
              <w:t>a Guarantor</w:t>
            </w:r>
          </w:p>
        </w:tc>
        <w:tc>
          <w:tcPr>
            <w:tcW w:w="1231" w:type="dxa"/>
            <w:gridSpan w:val="3"/>
            <w:tcBorders>
              <w:top w:val="single" w:sz="4" w:space="0" w:color="000000"/>
              <w:left w:val="single" w:sz="4" w:space="0" w:color="000000"/>
              <w:right w:val="single" w:sz="4" w:space="0" w:color="000000"/>
            </w:tcBorders>
            <w:shd w:fill="BFBFBF"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w:t>
              <w:br/>
              <w:t>Total Issued Interests Pledged</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w:t>
            </w:r>
          </w:p>
        </w:tc>
        <w:tc>
          <w:tcPr>
            <w:tcW w:w="15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Perry Hall Outback, Inc.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w:t>
            </w:r>
          </w:p>
        </w:tc>
        <w:tc>
          <w:tcPr>
            <w:tcW w:w="11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5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of Florida, LLC</w:t>
            </w:r>
          </w:p>
        </w:tc>
        <w:tc>
          <w:tcPr>
            <w:tcW w:w="19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4,950 shares of common stock, no par value</w:t>
            </w:r>
          </w:p>
        </w:tc>
        <w:tc>
          <w:tcPr>
            <w:tcW w:w="1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3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w:t>
            </w:r>
          </w:p>
        </w:tc>
        <w:tc>
          <w:tcPr>
            <w:tcW w:w="15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Restaurant Master Lessee, LLC</w:t>
            </w:r>
          </w:p>
        </w:tc>
        <w:tc>
          <w:tcPr>
            <w:tcW w:w="10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2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c>
          <w:tcPr>
            <w:tcW w:w="150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Private Restaurant Properties, LLC</w:t>
            </w:r>
          </w:p>
        </w:tc>
        <w:tc>
          <w:tcPr>
            <w:tcW w:w="10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116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50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OSI Restaurant Partners, LLC</w:t>
            </w:r>
          </w:p>
        </w:tc>
        <w:tc>
          <w:tcPr>
            <w:tcW w:w="192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14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123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 </w:t>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0"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5.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PLEDGED DEBT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III </w:t>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1"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COMMERCIAL TORT CLAIMS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IV </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2"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COPYRIGHTS AND COPYRIGHT APPLICATIONS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U.S. Copyright Registrations</w:t>
      </w:r>
    </w:p>
    <w:tbl>
      <w:tblPr>
        <w:tblW w:w="10205" w:type="dxa"/>
        <w:jc w:val="left"/>
        <w:tblInd w:w="0" w:type="dxa"/>
        <w:tblLayout w:type="fixed"/>
        <w:tblCellMar>
          <w:top w:w="28" w:type="dxa"/>
          <w:left w:w="28" w:type="dxa"/>
          <w:bottom w:w="28" w:type="dxa"/>
          <w:right w:w="28" w:type="dxa"/>
        </w:tblCellMar>
      </w:tblPr>
      <w:tblGrid>
        <w:gridCol w:w="207"/>
        <w:gridCol w:w="181"/>
        <w:gridCol w:w="183"/>
        <w:gridCol w:w="895"/>
        <w:gridCol w:w="865"/>
        <w:gridCol w:w="873"/>
        <w:gridCol w:w="996"/>
        <w:gridCol w:w="915"/>
        <w:gridCol w:w="918"/>
        <w:gridCol w:w="364"/>
        <w:gridCol w:w="364"/>
        <w:gridCol w:w="368"/>
        <w:gridCol w:w="610"/>
        <w:gridCol w:w="405"/>
        <w:gridCol w:w="372"/>
        <w:gridCol w:w="514"/>
        <w:gridCol w:w="514"/>
        <w:gridCol w:w="661"/>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Grantor</w:t>
            </w:r>
          </w:p>
        </w:tc>
        <w:tc>
          <w:tcPr>
            <w:tcW w:w="282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Copyrights</w:t>
            </w:r>
          </w:p>
        </w:tc>
        <w:tc>
          <w:tcPr>
            <w:tcW w:w="1096"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Status</w:t>
            </w:r>
          </w:p>
        </w:tc>
        <w:tc>
          <w:tcPr>
            <w:tcW w:w="138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Filing Date</w:t>
            </w:r>
          </w:p>
        </w:tc>
        <w:tc>
          <w:tcPr>
            <w:tcW w:w="168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Registration or</w:t>
              <w:br/>
              <w:t>Application No.</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w:t>
              <w:br/>
              <w:t>Grill</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28, 1996</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TX-4-503-649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19, 1992</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TX-3-347-187</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Home of the bloomin’</w:t>
              <w:br/>
              <w:t>onion: Outback</w:t>
              <w:br/>
              <w:t>Steakhouse : menu.</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21, 1992</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TX-3-415-206</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prime.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1, 1998</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TX-4-759-763</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rules, just right</w:t>
              <w:br/>
              <w:t>lunch.</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1, 1998</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TX-4-759-764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1, 1998</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TX-4-770-377</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This way to the tucker</w:t>
              <w:br/>
              <w:t>: Down under catering</w:t>
              <w:br/>
              <w:t>by Outback.</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1, 1998</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TX-4-772-772</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Dreamtime II.</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8, 1996</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VA-801-859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Dreamtime.</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8, 1996</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VA-810-194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Dreamtime II.</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8, 1996</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VA-810-195</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w:t>
              <w:br/>
              <w:t>restaurant plans.</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March 15, 1993</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VAu-246-431</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t>
              <w:br/>
              <w:t>proto no. 2L.</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26, 1997</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VAu-415-018</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t>
              <w:br/>
              <w:t>proto no. 1.</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26, 1997</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VAu-415-019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Inc.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t>
              <w:br/>
              <w:t>no. IL.</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26, 1997</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VAu-415-020</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 Carrabba’s Italian Grill, LLC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w:t>
              <w:br/>
              <w:t>Grill Menu</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April 8, 2011</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TX-7-543-335</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28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Recipes from Around our Family Table- Book</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27, 2012</w:t>
            </w:r>
          </w:p>
        </w:tc>
        <w:tc>
          <w:tcPr>
            <w:tcW w:w="1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TX0007482106</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28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Recipes from Around our Family Table (Supplement) – Book</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w:t>
            </w:r>
          </w:p>
        </w:tc>
        <w:tc>
          <w:tcPr>
            <w:tcW w:w="13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13, 2014</w:t>
            </w:r>
          </w:p>
        </w:tc>
        <w:tc>
          <w:tcPr>
            <w:tcW w:w="16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TX0006686542</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Pending U.S. Copyright Applications for Registration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SCHEDULE IV to the</w:t>
        <w:br/>
        <w:t>Fourth Amended and Restated Security Agreement</w:t>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3"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Unregistered Copyrights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4"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DOMAIN NAMES</w:t>
      </w:r>
    </w:p>
    <w:tbl>
      <w:tblPr>
        <w:tblW w:w="9771" w:type="dxa"/>
        <w:jc w:val="left"/>
        <w:tblInd w:w="0" w:type="dxa"/>
        <w:tblLayout w:type="fixed"/>
        <w:tblCellMar>
          <w:top w:w="28" w:type="dxa"/>
          <w:left w:w="28" w:type="dxa"/>
          <w:bottom w:w="28" w:type="dxa"/>
          <w:right w:w="28" w:type="dxa"/>
        </w:tblCellMar>
      </w:tblPr>
      <w:tblGrid>
        <w:gridCol w:w="988"/>
        <w:gridCol w:w="867"/>
        <w:gridCol w:w="876"/>
        <w:gridCol w:w="1178"/>
        <w:gridCol w:w="1178"/>
        <w:gridCol w:w="1183"/>
        <w:gridCol w:w="509"/>
        <w:gridCol w:w="509"/>
        <w:gridCol w:w="511"/>
        <w:gridCol w:w="569"/>
        <w:gridCol w:w="569"/>
        <w:gridCol w:w="571"/>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Domain Name</w:t>
            </w:r>
          </w:p>
        </w:tc>
        <w:tc>
          <w:tcPr>
            <w:tcW w:w="353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 Organization</w:t>
            </w:r>
          </w:p>
        </w:tc>
        <w:tc>
          <w:tcPr>
            <w:tcW w:w="152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Date</w:t>
            </w:r>
          </w:p>
        </w:tc>
        <w:tc>
          <w:tcPr>
            <w:tcW w:w="1709"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2011-05-10</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2007-09-19</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1999-12-13</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2018-05-24</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2019-05-12</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2018-05-24</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2019-07-10</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2018-05-15</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2020-05-13</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2018-12-26</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2020-05-13</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2019-07-25</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5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7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52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70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5"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6"/>
        <w:gridCol w:w="863"/>
        <w:gridCol w:w="882"/>
        <w:gridCol w:w="1179"/>
        <w:gridCol w:w="1179"/>
        <w:gridCol w:w="1182"/>
        <w:gridCol w:w="573"/>
        <w:gridCol w:w="573"/>
        <w:gridCol w:w="579"/>
        <w:gridCol w:w="639"/>
        <w:gridCol w:w="639"/>
        <w:gridCol w:w="642"/>
        <w:gridCol w:w="109"/>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2018-12-27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6"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68"/>
        <w:gridCol w:w="874"/>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2019-07-12</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69"/>
        <w:gridCol w:w="873"/>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2018-12-28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2007-09-22</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8752" w:type="dxa"/>
        <w:jc w:val="left"/>
        <w:tblInd w:w="0" w:type="dxa"/>
        <w:tblLayout w:type="fixed"/>
        <w:tblCellMar>
          <w:top w:w="28" w:type="dxa"/>
          <w:left w:w="28" w:type="dxa"/>
          <w:bottom w:w="28" w:type="dxa"/>
          <w:right w:w="28" w:type="dxa"/>
        </w:tblCellMar>
      </w:tblPr>
      <w:tblGrid>
        <w:gridCol w:w="911"/>
        <w:gridCol w:w="800"/>
        <w:gridCol w:w="810"/>
        <w:gridCol w:w="1179"/>
        <w:gridCol w:w="1179"/>
        <w:gridCol w:w="1182"/>
        <w:gridCol w:w="404"/>
        <w:gridCol w:w="404"/>
        <w:gridCol w:w="406"/>
        <w:gridCol w:w="404"/>
        <w:gridCol w:w="404"/>
        <w:gridCol w:w="406"/>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2018-05-19</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2019-05-15</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2018-05-9</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2018-12-29</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2019-07-28</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21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9"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69"/>
        <w:gridCol w:w="873"/>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0"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8"/>
        <w:gridCol w:w="869"/>
        <w:gridCol w:w="874"/>
        <w:gridCol w:w="1179"/>
        <w:gridCol w:w="1179"/>
        <w:gridCol w:w="1182"/>
        <w:gridCol w:w="573"/>
        <w:gridCol w:w="573"/>
        <w:gridCol w:w="579"/>
        <w:gridCol w:w="639"/>
        <w:gridCol w:w="639"/>
        <w:gridCol w:w="642"/>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1"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70"/>
        <w:gridCol w:w="872"/>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1999-12-19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2018-05-30</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2"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68"/>
        <w:gridCol w:w="874"/>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2020-05-19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3"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8796" w:type="dxa"/>
        <w:jc w:val="left"/>
        <w:tblInd w:w="0" w:type="dxa"/>
        <w:tblLayout w:type="fixed"/>
        <w:tblCellMar>
          <w:top w:w="28" w:type="dxa"/>
          <w:left w:w="28" w:type="dxa"/>
          <w:bottom w:w="28" w:type="dxa"/>
          <w:right w:w="28" w:type="dxa"/>
        </w:tblCellMar>
      </w:tblPr>
      <w:tblGrid>
        <w:gridCol w:w="930"/>
        <w:gridCol w:w="817"/>
        <w:gridCol w:w="819"/>
        <w:gridCol w:w="1179"/>
        <w:gridCol w:w="1179"/>
        <w:gridCol w:w="1181"/>
        <w:gridCol w:w="404"/>
        <w:gridCol w:w="404"/>
        <w:gridCol w:w="406"/>
        <w:gridCol w:w="404"/>
        <w:gridCol w:w="404"/>
        <w:gridCol w:w="406"/>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2018-05-31</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2019-05-19</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2018-05-31</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3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3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21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4"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7"/>
        <w:gridCol w:w="869"/>
        <w:gridCol w:w="875"/>
        <w:gridCol w:w="1179"/>
        <w:gridCol w:w="1179"/>
        <w:gridCol w:w="1182"/>
        <w:gridCol w:w="573"/>
        <w:gridCol w:w="573"/>
        <w:gridCol w:w="579"/>
        <w:gridCol w:w="639"/>
        <w:gridCol w:w="639"/>
        <w:gridCol w:w="642"/>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5"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9"/>
        <w:gridCol w:w="868"/>
        <w:gridCol w:w="874"/>
        <w:gridCol w:w="1179"/>
        <w:gridCol w:w="1179"/>
        <w:gridCol w:w="1182"/>
        <w:gridCol w:w="573"/>
        <w:gridCol w:w="573"/>
        <w:gridCol w:w="579"/>
        <w:gridCol w:w="639"/>
        <w:gridCol w:w="639"/>
        <w:gridCol w:w="642"/>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2011-05-19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2019-07-19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2018-12-35</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6"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8"/>
        <w:gridCol w:w="870"/>
        <w:gridCol w:w="873"/>
        <w:gridCol w:w="1179"/>
        <w:gridCol w:w="1179"/>
        <w:gridCol w:w="1182"/>
        <w:gridCol w:w="573"/>
        <w:gridCol w:w="573"/>
        <w:gridCol w:w="579"/>
        <w:gridCol w:w="639"/>
        <w:gridCol w:w="639"/>
        <w:gridCol w:w="642"/>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2007-09-29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2019-05-22</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7"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7"/>
        <w:gridCol w:w="868"/>
        <w:gridCol w:w="876"/>
        <w:gridCol w:w="1179"/>
        <w:gridCol w:w="1179"/>
        <w:gridCol w:w="1182"/>
        <w:gridCol w:w="573"/>
        <w:gridCol w:w="573"/>
        <w:gridCol w:w="579"/>
        <w:gridCol w:w="639"/>
        <w:gridCol w:w="639"/>
        <w:gridCol w:w="642"/>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2011-05-21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8"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8797" w:type="dxa"/>
        <w:jc w:val="left"/>
        <w:tblInd w:w="0" w:type="dxa"/>
        <w:tblLayout w:type="fixed"/>
        <w:tblCellMar>
          <w:top w:w="28" w:type="dxa"/>
          <w:left w:w="28" w:type="dxa"/>
          <w:bottom w:w="28" w:type="dxa"/>
          <w:right w:w="28" w:type="dxa"/>
        </w:tblCellMar>
      </w:tblPr>
      <w:tblGrid>
        <w:gridCol w:w="929"/>
        <w:gridCol w:w="816"/>
        <w:gridCol w:w="821"/>
        <w:gridCol w:w="1179"/>
        <w:gridCol w:w="1179"/>
        <w:gridCol w:w="1182"/>
        <w:gridCol w:w="404"/>
        <w:gridCol w:w="404"/>
        <w:gridCol w:w="406"/>
        <w:gridCol w:w="404"/>
        <w:gridCol w:w="404"/>
        <w:gridCol w:w="406"/>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2007-09-30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2018-05-35</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2018-05-35</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2019-07-21</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2018-12-37</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2020-05-24</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2019-07-36</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21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21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21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21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9"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7"/>
        <w:gridCol w:w="867"/>
        <w:gridCol w:w="877"/>
        <w:gridCol w:w="1179"/>
        <w:gridCol w:w="1179"/>
        <w:gridCol w:w="1182"/>
        <w:gridCol w:w="573"/>
        <w:gridCol w:w="573"/>
        <w:gridCol w:w="579"/>
        <w:gridCol w:w="639"/>
        <w:gridCol w:w="639"/>
        <w:gridCol w:w="642"/>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2007-09-31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40"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9" w:type="dxa"/>
        <w:jc w:val="left"/>
        <w:tblInd w:w="0" w:type="dxa"/>
        <w:tblLayout w:type="fixed"/>
        <w:tblCellMar>
          <w:top w:w="28" w:type="dxa"/>
          <w:left w:w="28" w:type="dxa"/>
          <w:bottom w:w="28" w:type="dxa"/>
          <w:right w:w="28" w:type="dxa"/>
        </w:tblCellMar>
      </w:tblPr>
      <w:tblGrid>
        <w:gridCol w:w="987"/>
        <w:gridCol w:w="868"/>
        <w:gridCol w:w="876"/>
        <w:gridCol w:w="1179"/>
        <w:gridCol w:w="1179"/>
        <w:gridCol w:w="1182"/>
        <w:gridCol w:w="573"/>
        <w:gridCol w:w="573"/>
        <w:gridCol w:w="579"/>
        <w:gridCol w:w="639"/>
        <w:gridCol w:w="639"/>
        <w:gridCol w:w="642"/>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2011-05-23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amiciclubatcarrabbas.com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2007-09-32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2027-09-32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2018-05-29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1999-12-26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aussiegrill.com.sa</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2019-05-25</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aussiegrill.mx</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2018-05-37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aussiegrillarmenia.com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aussiegrillbyoutback.com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2018-05-11</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aussiegrillespana.com</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2020-05-26</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 </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1"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178" w:type="dxa"/>
        <w:jc w:val="left"/>
        <w:tblInd w:w="0" w:type="dxa"/>
        <w:tblLayout w:type="fixed"/>
        <w:tblCellMar>
          <w:top w:w="28" w:type="dxa"/>
          <w:left w:w="28" w:type="dxa"/>
          <w:bottom w:w="28" w:type="dxa"/>
          <w:right w:w="28" w:type="dxa"/>
        </w:tblCellMar>
      </w:tblPr>
      <w:tblGrid>
        <w:gridCol w:w="988"/>
        <w:gridCol w:w="867"/>
        <w:gridCol w:w="876"/>
        <w:gridCol w:w="1179"/>
        <w:gridCol w:w="1179"/>
        <w:gridCol w:w="1182"/>
        <w:gridCol w:w="626"/>
        <w:gridCol w:w="548"/>
        <w:gridCol w:w="550"/>
        <w:gridCol w:w="639"/>
        <w:gridCol w:w="639"/>
        <w:gridCol w:w="642"/>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aussiegrillksa.com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2018-12-39</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aussiegrillpanama.com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aussiegrillparaguay.com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2019-07-22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aussiegrillspain.com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2020-05-26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2027-05-26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aussiegrilluruguay.com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2019-07-38</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2027-07-38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aussie-oke.com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2008-03-13</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bangbangshrimp.biz</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bangbangshrimp.info</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bangbangshrimp.net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Bonefish Grill, LLC </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2009-12-10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2026-12-10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bbibrasil.com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bbibrazil.com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2017-03-20</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2027-03-20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2013-11-14</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2026-11-14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bbicontest.net</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41592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46340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bbicontest.org</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41596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46344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bbicontests.com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41592</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46340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Domain Name</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 Organization</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Registration Date</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Registry 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1millionfreesteaks.com</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of Florida,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40687</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46517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abbracciocucinaitaliana.app</w:t>
            </w:r>
          </w:p>
        </w:tc>
        <w:tc>
          <w:tcPr>
            <w:tcW w:w="35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43236</w:t>
            </w:r>
          </w:p>
        </w:tc>
        <w:tc>
          <w:tcPr>
            <w:tcW w:w="192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abbracio.app</w:t>
            </w:r>
          </w:p>
        </w:tc>
        <w:tc>
          <w:tcPr>
            <w:tcW w:w="35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c>
          <w:tcPr>
            <w:tcW w:w="17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43236</w:t>
            </w:r>
          </w:p>
        </w:tc>
        <w:tc>
          <w:tcPr>
            <w:tcW w:w="192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 </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2"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LICENSES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U.S. Copyright License Rights’ Owned by Borrower and Subsidiary Parties</w:t>
      </w:r>
    </w:p>
    <w:p>
      <w:pPr>
        <w:pStyle w:val="TextBody"/>
        <w:bidi w:val="0"/>
        <w:spacing w:lineRule="auto" w:line="288" w:before="0" w:after="240"/>
        <w:jc w:val="center"/>
        <w:rPr/>
      </w:pPr>
      <w:r>
        <w:rPr>
          <w:rFonts w:ascii="Times New Roman;serif" w:hAnsi="Times New Roman;serif"/>
          <w:b w:val="false"/>
          <w:color w:val="000000"/>
          <w:sz w:val="22"/>
        </w:rPr>
        <w:t>None</w:t>
      </w:r>
      <w:r>
        <w:rPr>
          <w:rFonts w:ascii="Times New Roman;serif" w:hAnsi="Times New Roman;serif"/>
          <w:b w:val="false"/>
          <w:i/>
          <w:color w:val="000000"/>
          <w:sz w:val="22"/>
        </w:rPr>
        <w:t>.</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Patent License Rights Owned by Borrower and Subsidiary Parties</w:t>
      </w:r>
    </w:p>
    <w:p>
      <w:pPr>
        <w:pStyle w:val="TextBody"/>
        <w:bidi w:val="0"/>
        <w:spacing w:lineRule="auto" w:line="288" w:before="0" w:after="240"/>
        <w:jc w:val="center"/>
        <w:rPr/>
      </w:pPr>
      <w:r>
        <w:rPr>
          <w:rFonts w:ascii="Times New Roman;serif" w:hAnsi="Times New Roman;serif"/>
          <w:b w:val="false"/>
          <w:color w:val="000000"/>
          <w:sz w:val="22"/>
        </w:rPr>
        <w:t>None</w:t>
      </w:r>
      <w:r>
        <w:rPr>
          <w:rFonts w:ascii="Times New Roman;serif" w:hAnsi="Times New Roman;serif"/>
          <w:b w:val="false"/>
          <w:i/>
          <w:color w:val="000000"/>
          <w:sz w:val="22"/>
        </w:rPr>
        <w: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Intercompany Trademark Licenses involving Outback Steakhouse of Florida, LLC</w:t>
      </w:r>
    </w:p>
    <w:p>
      <w:pPr>
        <w:pStyle w:val="TextBody"/>
        <w:bidi w:val="0"/>
        <w:spacing w:lineRule="auto" w:line="268" w:before="0" w:after="24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2"/>
        </w:rPr>
        <w:t>License Agreement between OSF and OSII dated May 1, 1995, by and between Outback Steakhouse of Florida, LLC, as successor in interest to Outback Steakhouse of Florida, Inc., and Outback Steakhouse International, LLC, as successor in interest to Outback Steakhouse International, Inc.</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2.Sublicense Agreement between OSII and OSI, LP dated May 1, 1995, by and between Outback Steakhouse International, LLC, as successor in interest to Outback Steakhouse International, Inc., and Outback Steakhouse International, L.P.</w:t>
      </w:r>
    </w:p>
    <w:p>
      <w:pPr>
        <w:pStyle w:val="TextBody"/>
        <w:bidi w:val="0"/>
        <w:spacing w:before="0" w:after="0"/>
        <w:ind w:left="0" w:right="0" w:hanging="720"/>
        <w:jc w:val="both"/>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Intercompany and Founder Trademark Licenses involving Carrabba’s Italian Grill, LLC</w:t>
      </w:r>
    </w:p>
    <w:p>
      <w:pPr>
        <w:pStyle w:val="TextBody"/>
        <w:bidi w:val="0"/>
        <w:spacing w:lineRule="auto" w:line="26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1.Purchase and Sale of Royalty Payment Stream and Termination of Royalty Agreement dated August 2, 2021 by and between Carrabba’s Italian Grill, LLC (as successor in interest to Carrabba’s Italian Grill, Inc.), OSI Restaurant Partners, LLC (formerly OSI Restaurant Partners, Inc., formerly Outback Steakhouse, Inc.), Mangia Beve, Inc., Mangia Beve II Inc., Original, Inc. (formerly Carrabba, Inc.), Voss, Inc. (formerly Carrabba Woodway, Inc.), John C. Carrabba, III, Damian C. Mandola and John C. Carrabba, Jr.</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Trademarks Licenses involving Third Parties</w:t>
      </w:r>
    </w:p>
    <w:p>
      <w:pPr>
        <w:pStyle w:val="TextBody"/>
        <w:bidi w:val="0"/>
        <w:spacing w:lineRule="auto" w:line="268" w:before="0" w:after="20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2"/>
        </w:rPr>
        <w:t xml:space="preserve">Amended and Restated Blackhawk Network Gift Card Agreement effective April 30, 2015, between Blackhawk Network, Inc. and Bloomin’ Brands Gift Card Services, LLC fka OSI Gift Card Services, LLC, as amended March 10, 2017, June 29, 2018, November 13, 2019, August 21, 2020, November 20, 2025, March 19, 2026, May 28, 2026, and July 20, 2026, under which Outback grants Blackhawk rights to use its marks to promote, sell and distribute Outback gift cards. </w:t>
      </w:r>
    </w:p>
    <w:p>
      <w:pPr>
        <w:pStyle w:val="TextBody"/>
        <w:bidi w:val="0"/>
        <w:spacing w:lineRule="auto" w:line="26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2.Trademark License Agreement dated August 20, 2013, as amended on December 4, 2018, by and between Bonefish Grill, LLC, as licensor, and Zenrin USA, Inc., as licensee.</w:t>
      </w:r>
    </w:p>
    <w:p>
      <w:pPr>
        <w:pStyle w:val="TextBody"/>
        <w:bidi w:val="0"/>
        <w:spacing w:lineRule="auto" w:line="268" w:before="0" w:after="20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3.Trademark License Agreement dated August 20, 2013, as amended on December 4, 2018 by and between Carrabba’s Italian Grill, LLC, as licensor, and Zenrin USA, Inc., as licensee.</w:t>
      </w:r>
    </w:p>
    <w:p>
      <w:pPr>
        <w:pStyle w:val="TextBody"/>
        <w:bidi w:val="0"/>
        <w:spacing w:lineRule="auto" w:line="268" w:before="0" w:after="20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2"/>
        </w:rPr>
        <w:t>Trademark License Agreement dated August 20, 2013, as amended on December 4, 2018 by and between Outback Steakhouse of Florida, LLC, as licensor, and Zenrin USA, Inc., as licensee.</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5.Coexistence Agreement entered into in September 2013, between Outback Steakhouse of Florida, LLC, as Licensor, and Payless ShoeSource Worldwide, Inc., as Licensee, related to the Rugged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 </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3"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68" w:before="0" w:after="240"/>
        <w:jc w:val="both"/>
        <w:rPr>
          <w:rFonts w:ascii="Times New Roman;serif" w:hAnsi="Times New Roman;serif"/>
          <w:b w:val="false"/>
          <w:color w:val="000000"/>
          <w:sz w:val="22"/>
        </w:rPr>
      </w:pPr>
      <w:r>
        <w:rPr>
          <w:rFonts w:ascii="Times New Roman;serif" w:hAnsi="Times New Roman;serif"/>
          <w:b w:val="false"/>
          <w:color w:val="000000"/>
          <w:sz w:val="22"/>
        </w:rPr>
        <w:t>Outback® trademark application in South Korea made in connection with the sale of footwear products.</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6.Trademark License Agreement dated March 31, 2014, by and between Heaven Hills Distilleries, as licensor, and Outback Steakhouse of Florida, LLC, as licensee, related to the Georgia Moon® trademark.</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7.Trademark License Agreement dated April 4, 2014, between Sazerac Company, Inc, as licensor, and Outback Steakhouse of Florida, LLC, as licensee, involving the use of the trademark Fireball Cinnamon Whisky®.</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8.Non-Exclusive License Agreement between Cathy Kline, as Licensor, and Bonefish Grill, LLC, as Licensee relating to the License of “Behind the Bar” artwork.</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9.Trademark License Agreement dated May 6, 2014, by and between Ole Smoky Moonshine, as licensor, and Outback Steakhouse of Florida, LLC, as licensee, related to the Ole Smoky Blackberry Moonshine® trademark.</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10.Sponsorship Agreement dated June 22, 2026, between Buccaneers Team LLC and OSI Restaurant Partners, LLC, with a term expiring March 31, 2031. </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11.Stadium Asset Advertising Agreement dated June 22, 2026, between Buccaneers Team LLC and OSI Restaurant Partners, LLC, with a term expiring March 31, 2031.</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12.Corporate Sponsorship Agreement dated August 18, 2023, between Bloomin’ Brands, Inc. And Lowry Park Zoological Society of Tampa, Inc.</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13.Sponsorship Agreement dated January 5, 2026, between VSG Enterprises LLC and OSI Restaurant Partners, LLC, effective July 1, 2025, through June 30, 2029. </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14.Trademark License Agreement dated May 2, 2018, between Outback Steakhouse of Florida, LLC and Anheuser-Busch, LLC involving the use of the Bloomin’ Blonde trademark. </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15.License Agreement effective February 21, 2024, between Outback Steakhouse of Florida, LLC, as licensor, and Outback Steakhouse Restaurantes Brasil, S.A., as licensee, concerning certain Outback trademarks in Brazil.</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16.Trademark License Agreement dated July 28, 2026, between Outback Steakhouse of Florida, LLC, as licensor, and Blanche Dodd Elementary School, as licensee, relating to use of Outback marks on rearview-mirror parking tags for student pickup and drop-off operations.</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17.Cause Marketing Agreement between Bonefish Grill, LLC and Special Olympics of North Carolina, executed August 2026, and continuing through October 31, 2026, under which each party grants limited rights to use the other party's trademarks and logos in connection with the program.</w:t>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18.Amended and Restated Cause Marketing Agreement between Bonefish Grill, LLC and Robert Irvine Foundation, effective August 2026, under which each party grants limited rights to use the other party's trademarks and logos in connection with the fundraising program.</w:t>
      </w:r>
    </w:p>
    <w:p>
      <w:pPr>
        <w:pStyle w:val="TextBody"/>
        <w:bidi w:val="0"/>
        <w:spacing w:before="0" w:after="24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 </w:t>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4"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6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19.Carrabba’s Italian Grill, LLC, Outback Steakhouse of Florida, LLC and Bonefish Grill, LLC are all party to franchise agreements. These franchise agreements give the franchisee a limited license, subject to the terms of the franchise agreement, to use the trademarks and intellectual property of Carrabba’s Italian Grill, Bonefish Grill or Outback Steakhouse,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 </w:t>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5"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PATENTS AND PATENT APPLICATIONS</w:t>
      </w:r>
    </w:p>
    <w:p>
      <w:pPr>
        <w:pStyle w:val="TextBody"/>
        <w:bidi w:val="0"/>
        <w:spacing w:lineRule="auto" w:line="288" w:before="0" w:after="240"/>
        <w:jc w:val="center"/>
        <w:rPr/>
      </w:pPr>
      <w:r>
        <w:rPr>
          <w:rFonts w:ascii="Times New Roman;serif" w:hAnsi="Times New Roman;serif"/>
          <w:b w:val="false"/>
          <w:color w:val="000000"/>
          <w:sz w:val="22"/>
        </w:rPr>
        <w:t>None</w:t>
      </w:r>
      <w:r>
        <w:rPr>
          <w:rFonts w:ascii="Times New Roman;serif" w:hAnsi="Times New Roman;serif"/>
          <w:b w:val="false"/>
          <w:i/>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VIII </w:t>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6"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TRADEMARKS AND TRADEMARK APPLICATIONS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Trademark/Trade Names Owned by Carrabba’s Italian Grill, Inc.</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U.S. Marks</w:t>
      </w:r>
    </w:p>
    <w:tbl>
      <w:tblPr>
        <w:tblW w:w="10205" w:type="dxa"/>
        <w:jc w:val="left"/>
        <w:tblInd w:w="0" w:type="dxa"/>
        <w:tblLayout w:type="fixed"/>
        <w:tblCellMar>
          <w:top w:w="28" w:type="dxa"/>
          <w:left w:w="28" w:type="dxa"/>
          <w:bottom w:w="28" w:type="dxa"/>
          <w:right w:w="28" w:type="dxa"/>
        </w:tblCellMar>
      </w:tblPr>
      <w:tblGrid>
        <w:gridCol w:w="438"/>
        <w:gridCol w:w="385"/>
        <w:gridCol w:w="369"/>
        <w:gridCol w:w="1168"/>
        <w:gridCol w:w="1121"/>
        <w:gridCol w:w="1123"/>
        <w:gridCol w:w="495"/>
        <w:gridCol w:w="365"/>
        <w:gridCol w:w="304"/>
        <w:gridCol w:w="514"/>
        <w:gridCol w:w="466"/>
        <w:gridCol w:w="471"/>
        <w:gridCol w:w="500"/>
        <w:gridCol w:w="500"/>
        <w:gridCol w:w="501"/>
        <w:gridCol w:w="432"/>
        <w:gridCol w:w="432"/>
        <w:gridCol w:w="621"/>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768" w:type="dxa"/>
            <w:gridSpan w:val="9"/>
            <w:tcBorders>
              <w:top w:val="single" w:sz="4" w:space="0" w:color="000000"/>
              <w:left w:val="single" w:sz="4" w:space="0" w:color="000000"/>
            </w:tcBorders>
            <w:shd w:fill="B6B6B6"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BLOOMIN’ BRANDS, INC.</w:t>
            </w:r>
          </w:p>
        </w:tc>
        <w:tc>
          <w:tcPr>
            <w:tcW w:w="1451"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left w:val="single" w:sz="4" w:space="0" w:color="000000"/>
              <w:right w:val="single" w:sz="4" w:space="0" w:color="000000"/>
            </w:tcBorders>
            <w:shd w:fill="B6B6B6" w:val="clear"/>
            <w:tcMar>
              <w:bottom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Grantor/ Country</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Trademark</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Serial Number</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Status</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Date</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 (words)</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85577339</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4384983</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8/13/2013</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 (horizontal logo)</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85651871</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4518401</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4/22/2014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 (vertical logo)</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85638476</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4534115</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5/20/2014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International (logo)</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86542715</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4835501</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10/20/2015</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International (words)</w:t>
            </w:r>
          </w:p>
        </w:tc>
        <w:tc>
          <w:tcPr>
            <w:tcW w:w="11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86542748</w:t>
            </w:r>
          </w:p>
        </w:tc>
        <w:tc>
          <w:tcPr>
            <w:tcW w:w="14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4835503</w:t>
            </w:r>
          </w:p>
        </w:tc>
        <w:tc>
          <w:tcPr>
            <w:tcW w:w="14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10/20/2015</w:t>
            </w:r>
          </w:p>
        </w:tc>
      </w:tr>
      <w:tr>
        <w:trPr/>
        <w:tc>
          <w:tcPr>
            <w:tcW w:w="10205" w:type="dxa"/>
            <w:gridSpan w:val="18"/>
            <w:tcBorders>
              <w:top w:val="single" w:sz="4" w:space="0" w:color="000000"/>
              <w:left w:val="single" w:sz="4" w:space="0" w:color="000000"/>
              <w:right w:val="single" w:sz="4" w:space="0" w:color="000000"/>
            </w:tcBorders>
            <w:shd w:fill="B6B6B6"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BONEFISH GRILL, LLC</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Grantor/ Country</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Trademark</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Serial Number</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Status</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Date</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Bang Bang Shrimp (words only)</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78670221</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3356095</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12/18/2007</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Polished Casual (words only)</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86069706</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w:t>
              <w:br/>
              <w:t>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4603420</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9/9/2014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Lily’s Chicken</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85044973</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3903731</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1/11/2011</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Gift Cards</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86636039</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4892131</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1/26/2016</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(words and dark fish)</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76068923</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2772900</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10/14/2003</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(words and lighter fish) - main mark</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78077187</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2806557</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1/20/2004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(typed drawing)</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78077406</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2836310</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4/27/2004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Curbside Catch</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78298413</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2910790</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12/14/2004</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Design w stylized fish in quadrilateral</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78698061</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3057896</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2/7/2006</w:t>
            </w:r>
          </w:p>
        </w:tc>
      </w:tr>
      <w:tr>
        <w:trPr/>
        <w:tc>
          <w:tcPr>
            <w:tcW w:w="1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 (and design of stylized skeleton of a fish with the word ‘Bonefish’ above it and the word ‘grill’ below it)</w:t>
            </w:r>
          </w:p>
        </w:tc>
        <w:tc>
          <w:tcPr>
            <w:tcW w:w="1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78556308</w:t>
            </w:r>
          </w:p>
        </w:tc>
        <w:tc>
          <w:tcPr>
            <w:tcW w:w="14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3111453</w:t>
            </w:r>
          </w:p>
        </w:tc>
        <w:tc>
          <w:tcPr>
            <w:tcW w:w="14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7/4/2006</w:t>
            </w:r>
          </w:p>
        </w:tc>
      </w:tr>
      <w:tr>
        <w:trPr/>
        <w:tc>
          <w:tcPr>
            <w:tcW w:w="11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4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 Get Fish. You Get Fresh.</w:t>
            </w:r>
          </w:p>
        </w:tc>
        <w:tc>
          <w:tcPr>
            <w:tcW w:w="11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78670242</w:t>
            </w:r>
          </w:p>
        </w:tc>
        <w:tc>
          <w:tcPr>
            <w:tcW w:w="14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3129259</w:t>
            </w:r>
          </w:p>
        </w:tc>
        <w:tc>
          <w:tcPr>
            <w:tcW w:w="14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8/15/2006</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VIII </w:t>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7"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439"/>
        <w:gridCol w:w="383"/>
        <w:gridCol w:w="391"/>
        <w:gridCol w:w="1212"/>
        <w:gridCol w:w="1052"/>
        <w:gridCol w:w="1056"/>
        <w:gridCol w:w="391"/>
        <w:gridCol w:w="391"/>
        <w:gridCol w:w="392"/>
        <w:gridCol w:w="524"/>
        <w:gridCol w:w="478"/>
        <w:gridCol w:w="480"/>
        <w:gridCol w:w="505"/>
        <w:gridCol w:w="505"/>
        <w:gridCol w:w="510"/>
        <w:gridCol w:w="433"/>
        <w:gridCol w:w="433"/>
        <w:gridCol w:w="630"/>
      </w:tblGrid>
      <w:tr>
        <w:trPr/>
        <w:tc>
          <w:tcPr>
            <w:tcW w:w="4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Mussels</w:t>
              <w:br/>
              <w:t>Josephine</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78748420</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3148723</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9/26/2006</w:t>
            </w:r>
          </w:p>
        </w:tc>
      </w:tr>
      <w:tr>
        <w:trPr/>
        <w:tc>
          <w:tcPr>
            <w:tcW w:w="12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Bonefish Grill</w:t>
            </w:r>
          </w:p>
        </w:tc>
        <w:tc>
          <w:tcPr>
            <w:tcW w:w="1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77281900</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3529931</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11/11/2008</w:t>
            </w:r>
          </w:p>
        </w:tc>
      </w:tr>
      <w:tr>
        <w:trPr/>
        <w:tc>
          <w:tcPr>
            <w:tcW w:w="5707" w:type="dxa"/>
            <w:gridSpan w:val="9"/>
            <w:tcBorders>
              <w:left w:val="single" w:sz="4" w:space="0" w:color="000000"/>
            </w:tcBorders>
            <w:shd w:fill="B6B6B6"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CARRABBA’S ITALIAN GRILL, LLC</w:t>
            </w:r>
          </w:p>
        </w:tc>
        <w:tc>
          <w:tcPr>
            <w:tcW w:w="1482"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left w:val="single" w:sz="4" w:space="0" w:color="000000"/>
              <w:right w:val="single" w:sz="4" w:space="0" w:color="000000"/>
            </w:tcBorders>
            <w:shd w:fill="B6B6B6" w:val="clear"/>
            <w:tcMar>
              <w:bottom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Grantor/ Country</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Trademark</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Serial Number</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Status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Date</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74357605</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1795108</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9/28/1993</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75170269</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2086036</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8/5/1997</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75155486</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2091159</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8/26/1997</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78223913</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2817361</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2/24/2004</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(words in arc form)</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77562040</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3634328</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6/9/2009</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(Carrabba’s in shadowbox style in the form of an arc above the words Italian Grill)</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77562381</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3642497</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6/23/2009</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w:t>
              <w:br/>
              <w:t>Catering</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85610070</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4263872</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12/25/2012</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Carrabba’s Italian Grill - GIFT CARDS/COUPONS</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86636005</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4859812</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11/24/2015</w:t>
            </w:r>
          </w:p>
        </w:tc>
      </w:tr>
      <w:tr>
        <w:trPr/>
        <w:tc>
          <w:tcPr>
            <w:tcW w:w="12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Tender Shack Dang Good Chicken (logo)</w:t>
            </w:r>
          </w:p>
        </w:tc>
        <w:tc>
          <w:tcPr>
            <w:tcW w:w="1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90292920</w:t>
            </w:r>
          </w:p>
        </w:tc>
        <w:tc>
          <w:tcPr>
            <w:tcW w:w="14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6662573</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03/08/2022</w:t>
            </w:r>
          </w:p>
        </w:tc>
      </w:tr>
      <w:tr>
        <w:trPr/>
        <w:tc>
          <w:tcPr>
            <w:tcW w:w="7189" w:type="dxa"/>
            <w:gridSpan w:val="12"/>
            <w:tcBorders>
              <w:left w:val="single" w:sz="4" w:space="0" w:color="000000"/>
            </w:tcBorders>
            <w:shd w:fill="B6B6B6"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OUTBACK STEAKHOUSE OF FLORIDA, LLC</w:t>
            </w:r>
          </w:p>
        </w:tc>
        <w:tc>
          <w:tcPr>
            <w:tcW w:w="1520" w:type="dxa"/>
            <w:gridSpan w:val="3"/>
            <w:tcBorders>
              <w:top w:val="single" w:sz="4" w:space="0" w:color="000000"/>
              <w:left w:val="single" w:sz="4" w:space="0" w:color="000000"/>
            </w:tcBorders>
            <w:shd w:fill="B6B6B6" w:val="clear"/>
            <w:tcMar>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4" w:space="0" w:color="000000"/>
              <w:left w:val="single" w:sz="4" w:space="0" w:color="000000"/>
              <w:right w:val="single" w:sz="4" w:space="0" w:color="000000"/>
            </w:tcBorders>
            <w:shd w:fill="B6B6B6" w:val="clear"/>
            <w:tcMar>
              <w:bottom w:w="0" w:type="dxa"/>
            </w:tcMar>
            <w:vAlign w:val="center"/>
          </w:tcPr>
          <w:p>
            <w:pPr>
              <w:pStyle w:val="TableContents"/>
              <w:bidi w:val="0"/>
              <w:spacing w:before="0" w:after="283"/>
              <w:jc w:val="left"/>
              <w:rPr>
                <w:sz w:val="4"/>
                <w:szCs w:val="4"/>
              </w:rPr>
            </w:pPr>
            <w:r>
              <w:rPr>
                <w:sz w:val="4"/>
                <w:szCs w:val="4"/>
              </w:rPr>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Grantor/ Country</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Trademark</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Serial Number</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Status</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Date</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Kookaburra Wings</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74183461</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1716098</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9/15/1992</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w:t>
              <w:br/>
              <w:t>Tampa Bay</w:t>
              <w:br/>
              <w:t>(boomerang</w:t>
              <w:br/>
              <w:t>design)</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85134361</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4030979</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9/27/2011</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Outpost</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77246239</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3391703</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3/4/2008</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Wallaby</w:t>
              <w:br/>
              <w:t>Darned</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75402781</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2196073</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10/13/1998</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Outback Steakhouse (just words)</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73720810</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Renewed on 3/2/2018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1523949</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2/7/1989</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Onion</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73731891</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Registered And Renewed </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1532205</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3/28/1989</w:t>
            </w:r>
          </w:p>
        </w:tc>
      </w:tr>
      <w:tr>
        <w:trPr/>
        <w:tc>
          <w:tcPr>
            <w:tcW w:w="1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33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Bloomin’ Burger</w:t>
            </w:r>
          </w:p>
        </w:tc>
        <w:tc>
          <w:tcPr>
            <w:tcW w:w="1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77555558</w:t>
            </w:r>
          </w:p>
        </w:tc>
        <w:tc>
          <w:tcPr>
            <w:tcW w:w="14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Registered And Renewed</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3605557</w:t>
            </w:r>
          </w:p>
        </w:tc>
        <w:tc>
          <w:tcPr>
            <w:tcW w:w="14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4/14/2009</w:t>
            </w:r>
          </w:p>
        </w:tc>
      </w:tr>
      <w:tr>
        <w:trPr/>
        <w:tc>
          <w:tcPr>
            <w:tcW w:w="12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33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Alice Springs</w:t>
              <w:br/>
              <w:t>Chicken</w:t>
              <w:br/>
              <w:t>Quesadillas</w:t>
            </w:r>
          </w:p>
        </w:tc>
        <w:tc>
          <w:tcPr>
            <w:tcW w:w="1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77562426</w:t>
            </w:r>
          </w:p>
        </w:tc>
        <w:tc>
          <w:tcPr>
            <w:tcW w:w="14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Registered And Renewed</w:t>
            </w:r>
          </w:p>
        </w:tc>
        <w:tc>
          <w:tcPr>
            <w:tcW w:w="15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3608558</w:t>
            </w:r>
          </w:p>
        </w:tc>
        <w:tc>
          <w:tcPr>
            <w:tcW w:w="14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4/21/2009</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VIII </w:t>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8"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07"/>
        <w:gridCol w:w="181"/>
        <w:gridCol w:w="183"/>
        <w:gridCol w:w="1559"/>
        <w:gridCol w:w="1495"/>
        <w:gridCol w:w="1498"/>
        <w:gridCol w:w="355"/>
        <w:gridCol w:w="355"/>
        <w:gridCol w:w="356"/>
        <w:gridCol w:w="683"/>
        <w:gridCol w:w="683"/>
        <w:gridCol w:w="685"/>
        <w:gridCol w:w="315"/>
        <w:gridCol w:w="315"/>
        <w:gridCol w:w="316"/>
        <w:gridCol w:w="295"/>
        <w:gridCol w:w="295"/>
        <w:gridCol w:w="42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(mountain logo on totes, bags and umbrellas)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77574622</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3626268</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5/26/2009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(horizon logo on watch and jewelry items)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77574537</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3626267</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5/26/2009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(with mountain horizon logo)</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77574642</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3626269</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5/26/2009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(horizon logo on various apparel items)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77574459</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3650040</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Aussie-Tizer</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77555634</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3649989</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Military Mates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85803299</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4372396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7/23/2013</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(design with “steakhouse” in oblong shape)</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77741160</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3701729</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10/27/2009</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Mountain logo (picture only - no words)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77575315</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3735016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1/5/2010</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Curbside Take- Away</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75778509</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2422975</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1/23/2001</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Worries Wednesday</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86635694</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4904246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2/23/2016</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 GIFT CARDS/COUPONS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86635969</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4918032</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3/15/2016</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Alice Springs Chicken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74183457</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1720493</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9/29/1992</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w:t>
              <w:br/>
              <w:t>Steakhouse</w:t>
              <w:br/>
              <w:t>(Kangaroo</w:t>
              <w:br/>
              <w:t>Diamond logo)</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73796663</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1780666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7/6/1993</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Chocolate</w:t>
              <w:br/>
              <w:t>Thunder from</w:t>
              <w:br/>
              <w:t>Down Under</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74183460</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1789557</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8/24/1993</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Outback</w:t>
              <w:br/>
              <w:t>Special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74183455</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1819091</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2/1/1994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Victoria’s Filet</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74183456</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1822985</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2/22/1994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Walkabout Soup</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74183454</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1826479</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3/15/1994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(just words)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78194486</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2864856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7/20/2004</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Rules. Just Right.</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74281177</w:t>
            </w:r>
          </w:p>
        </w:tc>
        <w:tc>
          <w:tcPr>
            <w:tcW w:w="20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1857996</w:t>
            </w:r>
          </w:p>
        </w:tc>
        <w:tc>
          <w:tcPr>
            <w:tcW w:w="10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10/11/1994</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45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(Kangaroo Diamond logo)</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74419664</w:t>
            </w:r>
          </w:p>
        </w:tc>
        <w:tc>
          <w:tcPr>
            <w:tcW w:w="20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1895164</w:t>
            </w:r>
          </w:p>
        </w:tc>
        <w:tc>
          <w:tcPr>
            <w:tcW w:w="10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5/23/1995</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VIII </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9"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491"/>
        <w:gridCol w:w="429"/>
        <w:gridCol w:w="437"/>
        <w:gridCol w:w="967"/>
        <w:gridCol w:w="841"/>
        <w:gridCol w:w="843"/>
        <w:gridCol w:w="416"/>
        <w:gridCol w:w="416"/>
        <w:gridCol w:w="417"/>
        <w:gridCol w:w="569"/>
        <w:gridCol w:w="569"/>
        <w:gridCol w:w="571"/>
        <w:gridCol w:w="552"/>
        <w:gridCol w:w="552"/>
        <w:gridCol w:w="556"/>
        <w:gridCol w:w="458"/>
        <w:gridCol w:w="458"/>
        <w:gridCol w:w="663"/>
      </w:tblGrid>
      <w:tr>
        <w:trPr/>
        <w:tc>
          <w:tcPr>
            <w:tcW w:w="4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Pro Am</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78505046</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3023598</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12/6/2005</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Sydney’s Sinful Sundae</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74693814</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1987047</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7/16/1996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(words)</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74643659</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1992707</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8/13/1996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(Kangaroo Diamond logo)</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75053509</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2017991</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11/19/1996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Steakhouse (just words)</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75053510</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2017992</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11/19/1996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Aussie-Tizers</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74693812</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2018859</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11/26/1996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 (words only)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74663485</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2044690</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 (words only)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74663494</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2044694</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 (words only)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74663488</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2044693</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 (words only)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74663487</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2044692</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 (words only)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74663486</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2044691</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75099947</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2052618</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4/15/1997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74663490</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2058048</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4/29/1997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Outback Bowl</w:t>
              <w:br/>
              <w:t>Tampa Bay</w:t>
              <w:br/>
              <w:t>(boomerang</w:t>
              <w:br/>
              <w:t>design)</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85164478</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3970712</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5/31/2011</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Coconut Shrimp Girl</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86731053</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LIVE. Registered.</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4979926</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6/14/2016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Down Under ‘Rita</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75128167</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2075577</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7/1/1997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Monday</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86604558</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5131088</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1/31/2017</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Onion Man</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87298418</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5572921</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10/2/2018</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 Grill by Outback</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87916255</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5915757</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11/19/2019</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USA </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 Grill</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87916271</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5915758</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11/19/2019</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Aussie Grill by Outback (mountain logo)</w:t>
            </w:r>
          </w:p>
        </w:tc>
        <w:tc>
          <w:tcPr>
            <w:tcW w:w="1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88056867</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16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6008724</w:t>
            </w:r>
          </w:p>
        </w:tc>
        <w:tc>
          <w:tcPr>
            <w:tcW w:w="15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3/10/2020</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6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GOLD COAST 'RITA</w:t>
            </w:r>
          </w:p>
        </w:tc>
        <w:tc>
          <w:tcPr>
            <w:tcW w:w="1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75128166</w:t>
            </w:r>
          </w:p>
        </w:tc>
        <w:tc>
          <w:tcPr>
            <w:tcW w:w="17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Registered And Renewed</w:t>
            </w:r>
          </w:p>
        </w:tc>
        <w:tc>
          <w:tcPr>
            <w:tcW w:w="16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2071750</w:t>
            </w:r>
          </w:p>
        </w:tc>
        <w:tc>
          <w:tcPr>
            <w:tcW w:w="15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6/17/1997</w:t>
            </w:r>
          </w:p>
        </w:tc>
      </w:tr>
      <w:tr>
        <w:trPr/>
        <w:tc>
          <w:tcPr>
            <w:tcW w:w="10205" w:type="dxa"/>
            <w:gridSpan w:val="18"/>
            <w:tcBorders>
              <w:top w:val="single" w:sz="4" w:space="0" w:color="000000"/>
              <w:left w:val="single" w:sz="4" w:space="0" w:color="000000"/>
              <w:right w:val="single" w:sz="4" w:space="0" w:color="000000"/>
            </w:tcBorders>
            <w:shd w:fill="B6B6B6"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 MANAGEMENT, INC.</w:t>
            </w:r>
          </w:p>
        </w:tc>
      </w:tr>
      <w:tr>
        <w:trPr/>
        <w:tc>
          <w:tcPr>
            <w:tcW w:w="13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Grantor/ Country</w:t>
            </w:r>
          </w:p>
        </w:tc>
        <w:tc>
          <w:tcPr>
            <w:tcW w:w="26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Trademark</w:t>
            </w:r>
          </w:p>
        </w:tc>
        <w:tc>
          <w:tcPr>
            <w:tcW w:w="1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Serial Number</w:t>
            </w:r>
          </w:p>
        </w:tc>
        <w:tc>
          <w:tcPr>
            <w:tcW w:w="17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Status</w:t>
            </w:r>
          </w:p>
        </w:tc>
        <w:tc>
          <w:tcPr>
            <w:tcW w:w="16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15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Registration Date</w:t>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 xml:space="preserve">SCHEDULE VIII </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0"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to the</w:t>
        <w:br/>
        <w:t>Fourth Amended and Restated Security Agreement</w:t>
      </w:r>
    </w:p>
    <w:p>
      <w:pPr>
        <w:pStyle w:val="TextBody"/>
        <w:bidi w:val="0"/>
        <w:spacing w:before="0" w:after="0"/>
        <w:jc w:val="right"/>
        <w:rPr/>
      </w:pPr>
      <w:r>
        <w:rPr/>
      </w:r>
    </w:p>
    <w:tbl>
      <w:tblPr>
        <w:tblW w:w="8670" w:type="dxa"/>
        <w:jc w:val="left"/>
        <w:tblInd w:w="0" w:type="dxa"/>
        <w:tblLayout w:type="fixed"/>
        <w:tblCellMar>
          <w:top w:w="28" w:type="dxa"/>
          <w:left w:w="28" w:type="dxa"/>
          <w:bottom w:w="28" w:type="dxa"/>
          <w:right w:w="28" w:type="dxa"/>
        </w:tblCellMar>
      </w:tblPr>
      <w:tblGrid>
        <w:gridCol w:w="207"/>
        <w:gridCol w:w="181"/>
        <w:gridCol w:w="183"/>
        <w:gridCol w:w="749"/>
        <w:gridCol w:w="749"/>
        <w:gridCol w:w="751"/>
        <w:gridCol w:w="355"/>
        <w:gridCol w:w="355"/>
        <w:gridCol w:w="356"/>
        <w:gridCol w:w="869"/>
        <w:gridCol w:w="869"/>
        <w:gridCol w:w="871"/>
        <w:gridCol w:w="315"/>
        <w:gridCol w:w="315"/>
        <w:gridCol w:w="316"/>
        <w:gridCol w:w="358"/>
        <w:gridCol w:w="358"/>
        <w:gridCol w:w="513"/>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Click Thru Seating</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86511273</w:t>
            </w:r>
          </w:p>
        </w:tc>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And Renewed </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4843141</w:t>
            </w:r>
          </w:p>
        </w:tc>
        <w:tc>
          <w:tcPr>
            <w:tcW w:w="12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10/27/2015</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Dine Rewards (words)</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86938570</w:t>
            </w:r>
          </w:p>
        </w:tc>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5224832</w:t>
            </w:r>
          </w:p>
        </w:tc>
        <w:tc>
          <w:tcPr>
            <w:tcW w:w="12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6/13/2017</w:t>
            </w:r>
          </w:p>
        </w:tc>
      </w:tr>
      <w:tr>
        <w:trPr/>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Dine Rewards (design)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86938591</w:t>
            </w:r>
          </w:p>
        </w:tc>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5177962</w:t>
            </w:r>
          </w:p>
        </w:tc>
        <w:tc>
          <w:tcPr>
            <w:tcW w:w="12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4/4/2017</w:t>
            </w:r>
          </w:p>
        </w:tc>
      </w:tr>
      <w:tr>
        <w:trPr/>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w:t>
            </w:r>
          </w:p>
        </w:tc>
        <w:tc>
          <w:tcPr>
            <w:tcW w:w="2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Front Produce</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85934852</w:t>
            </w:r>
          </w:p>
        </w:tc>
        <w:tc>
          <w:tcPr>
            <w:tcW w:w="26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Registered And Renewed</w:t>
            </w:r>
          </w:p>
        </w:tc>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4569568</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7/15/2014</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I to the</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1"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20"/>
        <w:ind w:left="0" w:right="0" w:firstLine="720"/>
        <w:jc w:val="both"/>
        <w:rPr/>
      </w:pPr>
      <w:r>
        <w:rPr>
          <w:rFonts w:ascii="Times New Roman;serif" w:hAnsi="Times New Roman;serif"/>
          <w:b w:val="false"/>
          <w:color w:val="000000"/>
          <w:sz w:val="22"/>
        </w:rPr>
        <w:t>SUPPLEMENT NO. __ dated as of [●], to the Fourth Amended and Restated Security Agreement dated as of September 25, 2026 (as amended, restated, supplemented or otherwise modified from time to time, the “</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Subsidiaries of the Company identified therein and WELLS FARGO BANK, NATIONAL ASSOCIATION, as Collateral Agent for the Secured Parties (as defined below).</w:t>
      </w:r>
    </w:p>
    <w:p>
      <w:pPr>
        <w:pStyle w:val="TextBody"/>
        <w:bidi w:val="0"/>
        <w:spacing w:lineRule="auto" w:line="288" w:before="0" w:after="220"/>
        <w:ind w:left="0" w:right="0" w:firstLine="720"/>
        <w:jc w:val="both"/>
        <w:rPr/>
      </w:pPr>
      <w:r>
        <w:rPr>
          <w:rFonts w:ascii="Times New Roman;serif" w:hAnsi="Times New Roman;serif"/>
          <w:b w:val="false"/>
          <w:color w:val="000000"/>
          <w:sz w:val="22"/>
        </w:rPr>
        <w:t>A.    Reference is made to (i) the Fourth Amended and Restated Credit Agreement dated as of September 25, 2026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Borrowers, each Lender from time to time party thereto and Wells Fargo Bank, National Association, as Administrative Agent, Collateral Agent, Swing Line Lender and an L/C Issuer, (ii) the Guaranty (as defined in the Credit Agreement), (iii) each Secured Hedge Agreement (as defined in the Credit Agreement) and (iv) the Cash Management Obligations (as defined in the Credit Agreement).</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Capitalized terms used herein and not otherwise defined herein shall have the meanings assigned to such terms in the Credit Agreement and the Security Agreement referred to therein.</w:t>
      </w:r>
    </w:p>
    <w:p>
      <w:pPr>
        <w:pStyle w:val="TextBody"/>
        <w:bidi w:val="0"/>
        <w:spacing w:lineRule="auto" w:line="288" w:before="0" w:after="220"/>
        <w:ind w:left="0" w:right="0" w:firstLine="720"/>
        <w:jc w:val="both"/>
        <w:rPr/>
      </w:pPr>
      <w:r>
        <w:rPr>
          <w:rFonts w:ascii="Times New Roman;serif" w:hAnsi="Times New Roman;serif"/>
          <w:b w:val="false"/>
          <w:color w:val="000000"/>
          <w:sz w:val="22"/>
        </w:rPr>
        <w:t>C.    The Grantors have entered into the Security Agreement in order to induce (x) the Lenders to make Loans and the L/C Issuers to issue Letters of Credit, (y) the Hedge Banks to enter into and/or maintain Secured Hedge Agreements and (z) the Cash Management Bank to provide Cash Management Services. Section 7.14 of the Security Agreement provides that additional Subsidiaries of the Company may become Subsidiary Parties under the Security Agreement by execution and delivery of an instrument substantially in the form of this Supplement. The undersigned Subsidiary (the “</w:t>
      </w:r>
      <w:r>
        <w:rPr>
          <w:rFonts w:ascii="Times New Roman;serif" w:hAnsi="Times New Roman;serif"/>
          <w:b w:val="false"/>
          <w:color w:val="000000"/>
          <w:sz w:val="22"/>
          <w:u w:val="single"/>
        </w:rPr>
        <w:t>New Subsidiary</w:t>
      </w:r>
      <w:r>
        <w:rPr>
          <w:color w:val="000000"/>
        </w:rPr>
        <w:t>”</w:t>
      </w:r>
      <w:r>
        <w:rPr>
          <w:rFonts w:ascii="Times New Roman;serif" w:hAnsi="Times New Roman;serif"/>
          <w:b w:val="false"/>
          <w:color w:val="000000"/>
          <w:sz w:val="22"/>
        </w:rPr>
        <w:t>) is executing this Supplement in accordance with the requirements of the Credit Agreement to become a Subsidiary Party under the Security Agreement in order to induce the Lenders to make additional Loans and the L/C Issuers to issue additional Letters of Credit and as consideration for Loans previously made and Letters of Credit previously issued.</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the Collateral Agent and the New Subsidiary agree as follows:</w:t>
      </w:r>
    </w:p>
    <w:p>
      <w:pPr>
        <w:pStyle w:val="TextBody"/>
        <w:bidi w:val="0"/>
        <w:spacing w:lineRule="auto" w:line="288" w:before="0" w:after="220"/>
        <w:ind w:left="0" w:right="0" w:firstLine="720"/>
        <w:jc w:val="both"/>
        <w:rPr/>
      </w:pPr>
      <w:r>
        <w:rPr>
          <w:rFonts w:ascii="Times New Roman;serif" w:hAnsi="Times New Roman;serif"/>
          <w:b w:val="false"/>
          <w:color w:val="000000"/>
          <w:sz w:val="22"/>
          <w:u w:val="single"/>
        </w:rPr>
        <w:t>Section 1</w:t>
      </w:r>
      <w:r>
        <w:rPr>
          <w:rFonts w:ascii="Times New Roman;serif" w:hAnsi="Times New Roman;serif"/>
          <w:b w:val="false"/>
          <w:color w:val="000000"/>
          <w:sz w:val="22"/>
        </w:rPr>
        <w:t>. In accordance with Section 7.14 of the Security Agreement, the New Subsidiary by its signature below becomes a Subsidiary Party (and accordingly, becomes a Grantor) and Grantor under the Security Agreement with the same force and effect as if originally named therein as a Subsidiary Party and the New Subsidiary hereby (a) agrees to all the terms and provisions of the Security Agreement applicable to it as a Subsidiary Party and Grantor thereunder and (b) represents and warrants that the representations and warranties made by it as a Grantor thereunder are true and correct on and as of the date hereof. In furtherance of the foregoing, the New Subsidiary, as security for the payment and performance in full of the Secured Obligations does hereby create and grant to the Collateral Agent, its successors and assigns, for the benefit of the Secured Parties, their successors and assigns, a security interest in and lien on all of the New Subsidiary’s right, title and interest in and to the Collateral (as defined in the Security Agreement) of the New Subsidiary. Each reference to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in the Security Agreement shall be deemed to include the New Subsidiary. The Security Agreement is hereby incorporated herein by reference.</w:t>
      </w:r>
    </w:p>
    <w:p>
      <w:pPr>
        <w:pStyle w:val="TextBody"/>
        <w:bidi w:val="0"/>
        <w:spacing w:lineRule="auto" w:line="288" w:before="0" w:after="220"/>
        <w:ind w:left="0" w:right="0" w:firstLine="720"/>
        <w:jc w:val="both"/>
        <w:rPr/>
      </w:pPr>
      <w:r>
        <w:rPr>
          <w:rFonts w:ascii="Times New Roman;serif" w:hAnsi="Times New Roman;serif"/>
          <w:b w:val="false"/>
          <w:color w:val="000000"/>
          <w:sz w:val="22"/>
          <w:u w:val="single"/>
        </w:rPr>
        <w:t>Section 2</w:t>
      </w:r>
      <w:r>
        <w:rPr>
          <w:rFonts w:ascii="Times New Roman;serif" w:hAnsi="Times New Roman;serif"/>
          <w:b w:val="false"/>
          <w:color w:val="000000"/>
          <w:sz w:val="22"/>
        </w:rPr>
        <w:t>. The New Subsidiary represents and warrants to the Collateral Agent and the other Secured Parties that (i) it has the power and authority to enter into this Supplement and (ii) this Supplement has been duly authorized, executed and delivered by it and constitutes its legal, valid and binding obligation, enforceable against it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16840"/>
                <wp:effectExtent l="0" t="0" r="0" b="0"/>
                <wp:wrapNone/>
                <wp:docPr id="352" name="Frame3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before="0" w:after="22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3</w:t>
      </w:r>
      <w:r>
        <w:rPr>
          <w:rFonts w:ascii="Times New Roman;serif" w:hAnsi="Times New Roman;serif"/>
          <w:b w:val="false"/>
          <w:color w:val="000000"/>
          <w:sz w:val="22"/>
        </w:rPr>
        <w:t>.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the New Subsidiary and the Collateral Agent has executed a counterpart hereof. Delivery of an executed signature page to this Supplement by facsimile or electronic (i.e., “tif” or “pdf”) transmission shall be as effective as delivery of a manually signed counterpart of this Supplement.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4</w:t>
      </w:r>
      <w:r>
        <w:rPr>
          <w:rFonts w:ascii="Times New Roman;serif" w:hAnsi="Times New Roman;serif"/>
          <w:b w:val="false"/>
          <w:color w:val="000000"/>
          <w:sz w:val="22"/>
        </w:rPr>
        <w:t>. The New Subsidiary hereby represents and warrants that (a) set forth on Schedule I attached hereto is a true and correct schedule of the location of any and all Collateral of the New Subsidiary and (b) set forth under its signature hereto is the true and correct legal name of the New Subsidiary, its jurisdiction of formation and the location of its chief executive office.</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5</w:t>
      </w:r>
      <w:r>
        <w:rPr>
          <w:rFonts w:ascii="Times New Roman;serif" w:hAnsi="Times New Roman;serif"/>
          <w:b w:val="false"/>
          <w:color w:val="000000"/>
          <w:sz w:val="22"/>
        </w:rPr>
        <w:t>. Except as expressly supplemented hereby, the Security Agreement 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6</w:t>
      </w:r>
      <w:r>
        <w:rPr>
          <w:rFonts w:ascii="Times New Roman;serif" w:hAnsi="Times New Roman;serif"/>
          <w:b w:val="false"/>
          <w:color w:val="000000"/>
          <w:sz w:val="22"/>
        </w:rPr>
        <w:t>. THIS SUPPLEMENT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7</w:t>
      </w:r>
      <w:r>
        <w:rPr>
          <w:rFonts w:ascii="Times New Roman;serif" w:hAnsi="Times New Roman;serif"/>
          <w:b w:val="false"/>
          <w:color w:val="000000"/>
          <w:sz w:val="22"/>
        </w:rPr>
        <w:t>.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8</w:t>
      </w:r>
      <w:r>
        <w:rPr>
          <w:rFonts w:ascii="Times New Roman;serif" w:hAnsi="Times New Roman;serif"/>
          <w:b w:val="false"/>
          <w:color w:val="000000"/>
          <w:sz w:val="22"/>
        </w:rPr>
        <w:t>. All communications and notices hereunder shall be in writing and given as provided in Section 7.01 of the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Section 9</w:t>
      </w:r>
      <w:r>
        <w:rPr>
          <w:rFonts w:ascii="Times New Roman;serif" w:hAnsi="Times New Roman;serif"/>
          <w:b w:val="false"/>
          <w:color w:val="000000"/>
          <w:sz w:val="22"/>
        </w:rPr>
        <w:t>. The New Subsidiary agrees to reimburse the Collateral Agent for its reasonable out-of-pocket expenses in connection with this Supplement, including the reasonable fees, other charges and disbursements of counsel for the Collateral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16840"/>
                <wp:effectExtent l="0" t="0" r="0" b="0"/>
                <wp:wrapNone/>
                <wp:docPr id="353" name="Frame3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New Subsidiary and the Collateral Agent have duly executed this Supplement to the Security Agreement as of the day and year first above written.</w:t>
      </w:r>
    </w:p>
    <w:tbl>
      <w:tblPr>
        <w:tblW w:w="5481" w:type="dxa"/>
        <w:jc w:val="right"/>
        <w:tblInd w:w="0" w:type="dxa"/>
        <w:tblLayout w:type="fixed"/>
        <w:tblCellMar>
          <w:top w:w="28" w:type="dxa"/>
          <w:left w:w="28" w:type="dxa"/>
          <w:bottom w:w="28" w:type="dxa"/>
          <w:right w:w="28" w:type="dxa"/>
        </w:tblCellMar>
      </w:tblPr>
      <w:tblGrid>
        <w:gridCol w:w="602"/>
        <w:gridCol w:w="529"/>
        <w:gridCol w:w="529"/>
        <w:gridCol w:w="1144"/>
        <w:gridCol w:w="1144"/>
        <w:gridCol w:w="1161"/>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9" w:type="dxa"/>
            <w:gridSpan w:val="6"/>
            <w:tcBorders/>
            <w:tcMar>
              <w:top w:w="0" w:type="dxa"/>
              <w:left w:w="0" w:type="dxa"/>
              <w:bottom w:w="0" w:type="dxa"/>
              <w:right w:w="0" w:type="dxa"/>
            </w:tcMar>
            <w:vAlign w:val="center"/>
          </w:tcPr>
          <w:p>
            <w:pPr>
              <w:pStyle w:val="TableContents"/>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[NAME OF NEW SUBSIDIARY]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Jurisdiction of 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Location of Chief Executive Office: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09" w:type="dxa"/>
        <w:jc w:val="right"/>
        <w:tblInd w:w="0" w:type="dxa"/>
        <w:tblLayout w:type="fixed"/>
        <w:tblCellMar>
          <w:top w:w="28" w:type="dxa"/>
          <w:left w:w="28" w:type="dxa"/>
          <w:bottom w:w="28" w:type="dxa"/>
          <w:right w:w="28" w:type="dxa"/>
        </w:tblCellMar>
      </w:tblPr>
      <w:tblGrid>
        <w:gridCol w:w="1321"/>
        <w:gridCol w:w="1159"/>
        <w:gridCol w:w="1159"/>
        <w:gridCol w:w="1159"/>
        <w:gridCol w:w="1159"/>
        <w:gridCol w:w="1180"/>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6"/>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 as Collateral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16840"/>
                <wp:effectExtent l="0" t="0" r="0" b="0"/>
                <wp:wrapNone/>
                <wp:docPr id="354" name="Frame3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LOCATION OF COLLATERAL</w:t>
      </w:r>
    </w:p>
    <w:tbl>
      <w:tblPr>
        <w:tblW w:w="2177" w:type="dxa"/>
        <w:jc w:val="left"/>
        <w:tblInd w:w="0" w:type="dxa"/>
        <w:tblLayout w:type="fixed"/>
        <w:tblCellMar>
          <w:top w:w="28" w:type="dxa"/>
          <w:left w:w="28" w:type="dxa"/>
          <w:bottom w:w="28" w:type="dxa"/>
          <w:right w:w="28" w:type="dxa"/>
        </w:tblCellMar>
      </w:tblPr>
      <w:tblGrid>
        <w:gridCol w:w="435"/>
        <w:gridCol w:w="382"/>
        <w:gridCol w:w="384"/>
        <w:gridCol w:w="285"/>
        <w:gridCol w:w="285"/>
        <w:gridCol w:w="406"/>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Location</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EQUITY INTERESTS</w:t>
      </w:r>
    </w:p>
    <w:tbl>
      <w:tblPr>
        <w:tblW w:w="7402"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355"/>
        <w:gridCol w:w="355"/>
        <w:gridCol w:w="356"/>
        <w:gridCol w:w="109"/>
        <w:gridCol w:w="109"/>
        <w:gridCol w:w="109"/>
        <w:gridCol w:w="384"/>
        <w:gridCol w:w="384"/>
        <w:gridCol w:w="386"/>
        <w:gridCol w:w="109"/>
        <w:gridCol w:w="109"/>
        <w:gridCol w:w="109"/>
        <w:gridCol w:w="489"/>
        <w:gridCol w:w="489"/>
        <w:gridCol w:w="491"/>
        <w:gridCol w:w="150"/>
        <w:gridCol w:w="150"/>
        <w:gridCol w:w="151"/>
        <w:gridCol w:w="470"/>
        <w:gridCol w:w="470"/>
        <w:gridCol w:w="665"/>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 xml:space="preserve">Number </w:t>
              <w:br/>
            </w:r>
            <w:r>
              <w:rPr>
                <w:rFonts w:ascii="Times New Roman;serif" w:hAnsi="Times New Roman;serif"/>
                <w:b w:val="false"/>
                <w:color w:val="000000"/>
                <w:sz w:val="22"/>
                <w:u w:val="single"/>
              </w:rPr>
              <w:t>Certificate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w:t>
            </w:r>
          </w:p>
          <w:p>
            <w:pPr>
              <w:pStyle w:val="TableContents"/>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 xml:space="preserve">Number </w:t>
              <w:br/>
              <w:t xml:space="preserve">Class </w:t>
              <w:br/>
            </w:r>
            <w:r>
              <w:rPr>
                <w:rFonts w:ascii="Times New Roman;serif" w:hAnsi="Times New Roman;serif"/>
                <w:b w:val="false"/>
                <w:color w:val="000000"/>
                <w:sz w:val="22"/>
                <w:u w:val="single"/>
              </w:rPr>
              <w:t>Equity Interest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w:t>
              <w:br/>
              <w:t>of</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Percentage of</w:t>
              <w:br/>
            </w:r>
            <w:r>
              <w:rPr>
                <w:rFonts w:ascii="Times New Roman;serif" w:hAnsi="Times New Roman;serif"/>
                <w:b w:val="false"/>
                <w:color w:val="000000"/>
                <w:sz w:val="22"/>
                <w:u w:val="single"/>
              </w:rPr>
              <w:t>Equity Interests</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1440"/>
        <w:jc w:val="both"/>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DEBT SECURITIES</w:t>
      </w:r>
    </w:p>
    <w:tbl>
      <w:tblPr>
        <w:tblW w:w="5331"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310"/>
        <w:gridCol w:w="310"/>
        <w:gridCol w:w="311"/>
        <w:gridCol w:w="109"/>
        <w:gridCol w:w="109"/>
        <w:gridCol w:w="109"/>
        <w:gridCol w:w="434"/>
        <w:gridCol w:w="434"/>
        <w:gridCol w:w="436"/>
        <w:gridCol w:w="109"/>
        <w:gridCol w:w="109"/>
        <w:gridCol w:w="109"/>
        <w:gridCol w:w="421"/>
        <w:gridCol w:w="421"/>
        <w:gridCol w:w="59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2"/>
              </w:rPr>
              <w:t>Principal</w:t>
              <w:br/>
            </w:r>
            <w:r>
              <w:rPr>
                <w:rFonts w:ascii="Times New Roman;serif" w:hAnsi="Times New Roman;serif"/>
                <w:b w:val="false"/>
                <w:color w:val="000000"/>
                <w:sz w:val="22"/>
                <w:u w:val="single"/>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Date of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Maturity Date</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II to the</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16840"/>
                <wp:effectExtent l="0" t="0" r="0" b="0"/>
                <wp:wrapNone/>
                <wp:docPr id="355" name="Frame3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00.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COPYRIGHT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COPYRIGHT SECURITY AGREEMENT, dated as of [_____________], 20[___], made by [_____________________], a [___________] (the “</w:t>
      </w:r>
      <w:r>
        <w:rPr>
          <w:rFonts w:ascii="Times New Roman;serif" w:hAnsi="Times New Roman;serif"/>
          <w:b w:val="false"/>
          <w:color w:val="000000"/>
          <w:sz w:val="22"/>
          <w:u w:val="single"/>
        </w:rPr>
        <w:t>Grantor</w:t>
      </w:r>
      <w:r>
        <w:rPr>
          <w:color w:val="000000"/>
        </w:rPr>
        <w:t>”</w:t>
      </w:r>
      <w:r>
        <w:rPr>
          <w:rFonts w:ascii="Times New Roman;serif" w:hAnsi="Times New Roman;serif"/>
          <w:b w:val="false"/>
          <w:color w:val="000000"/>
          <w:sz w:val="22"/>
        </w:rPr>
        <w:t>), having its chief executive office at [__________________], in favor of WELLS FARGO BANK, NATIONAL ASSOCIATION, as collateral agent (together with its successors in such capacity, the “</w:t>
      </w:r>
      <w:r>
        <w:rPr>
          <w:rFonts w:ascii="Times New Roman;serif" w:hAnsi="Times New Roman;serif"/>
          <w:b w:val="false"/>
          <w:color w:val="000000"/>
          <w:sz w:val="22"/>
          <w:u w:val="single"/>
        </w:rPr>
        <w:t>Grantee</w:t>
      </w:r>
      <w:r>
        <w:rPr>
          <w:color w:val="000000"/>
        </w:rPr>
        <w:t>”</w:t>
      </w:r>
      <w:r>
        <w:rPr>
          <w:rFonts w:ascii="Times New Roman;serif" w:hAnsi="Times New Roman;serif"/>
          <w:b w:val="false"/>
          <w:color w:val="000000"/>
          <w:sz w:val="22"/>
        </w:rPr>
        <w:t>), with offices at 1525 West W.T. Harris Blvd., MAC D1109-019, Charlotte, North Carolina, 28262, for the Secured Parties referred to in the Fourth Amended and Restated Credit Agreement, dated as of September 25, 2026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a Delaware limited liability company, Bloomin’ Brands, Inc., a Delaware corporation, each Lender (as defined in the Credit Agreement) from time to time party thereto and the Grantee, as Administrative Agent, Collateral Agent, Swing Line Lender and an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Grantor is party to a Fourth Amended and Restated Security Agreement, dated as of September 25, 2026 (as amended, restated, supplemented or otherwise modified from time to time, the “</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in favor of the Grantee pursuant to which the Grantor is required to execute and deliver this Copyright Security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Unless otherwise defined herein, capitalized terms used herein and not defined have the meaning given to them in the Security Agreement, or if not defined therein, in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val="false"/>
          <w:color w:val="000000"/>
          <w:sz w:val="22"/>
          <w:u w:val="single"/>
        </w:rPr>
        <w:t>Grant of Security Interest in Copyrights</w:t>
      </w:r>
      <w:r>
        <w:rPr>
          <w:rFonts w:ascii="Times New Roman;serif" w:hAnsi="Times New Roman;serif"/>
          <w:b w:val="false"/>
          <w:color w:val="000000"/>
          <w:sz w:val="22"/>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Times New Roman;serif" w:hAnsi="Times New Roman;serif"/>
          <w:b w:val="false"/>
          <w:color w:val="000000"/>
          <w:sz w:val="22"/>
          <w:u w:val="single"/>
        </w:rPr>
        <w:t>Security Interest</w:t>
      </w:r>
      <w:r>
        <w:rPr>
          <w:color w:val="000000"/>
        </w:rPr>
        <w:t>”</w:t>
      </w:r>
      <w:r>
        <w:rPr>
          <w:rFonts w:ascii="Times New Roman;serif" w:hAnsi="Times New Roman;serif"/>
          <w:b w:val="false"/>
          <w:color w:val="000000"/>
          <w:sz w:val="22"/>
        </w:rPr>
        <w:t>) in, to, or under all right, title or interest in or to any and all of the Owned Copyrights, including those listed on Schedule I hereto, and all proceeds of the Owned Copyrights (in each case, other than Excluded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val="false"/>
          <w:color w:val="000000"/>
          <w:sz w:val="22"/>
          <w:u w:val="single"/>
        </w:rPr>
        <w:t>Security Agreement</w:t>
      </w:r>
      <w:r>
        <w:rPr>
          <w:rFonts w:ascii="Times New Roman;serif" w:hAnsi="Times New Roman;serif"/>
          <w:b w:val="false"/>
          <w:color w:val="000000"/>
          <w:sz w:val="22"/>
        </w:rPr>
        <w:t>. The Security Interest granted pursuant to this Copyright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Copyrights made and granted hereby are more fully set forth in the Security Agreement, the terms and provisions of which are incorporated by reference herein as if fully set forth herein. In the event that any provision of this Copyright Security Agreement is deemed to conflict with the Security Agreement, the provisions of the Security Agreement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Copyright Security Agreement may be executed in any number of counterparts, all of which shall constitute one and the same instrument, and any party hereto may execute this Copyright Security Agreement by signing and delivering one or more counterparts.</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16840"/>
                <wp:effectExtent l="0" t="0" r="0" b="0"/>
                <wp:wrapNone/>
                <wp:docPr id="356" name="Frame3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val="false"/>
          <w:color w:val="000000"/>
          <w:sz w:val="22"/>
          <w:u w:val="single"/>
        </w:rPr>
        <w:t>Recordation</w:t>
      </w:r>
      <w:r>
        <w:rPr>
          <w:rFonts w:ascii="Times New Roman;serif" w:hAnsi="Times New Roman;serif"/>
          <w:b w:val="false"/>
          <w:color w:val="000000"/>
          <w:sz w:val="22"/>
        </w:rPr>
        <w:t>. The Grantor authorizes and requests that the United States Copyright Office record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6.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Copyright Security Agreement shall be governed by and construed in accordance with the laws of the State of New York.</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16840"/>
                <wp:effectExtent l="0" t="0" r="0" b="0"/>
                <wp:wrapNone/>
                <wp:docPr id="357" name="Frame3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Grantor has caused this Copyright Security Agreement to be executed and delivered by its duly authorized officer as of the date first set forth above.</w:t>
      </w:r>
    </w:p>
    <w:tbl>
      <w:tblPr>
        <w:tblW w:w="4853" w:type="dxa"/>
        <w:jc w:val="right"/>
        <w:tblInd w:w="0" w:type="dxa"/>
        <w:tblLayout w:type="fixed"/>
        <w:tblCellMar>
          <w:top w:w="28" w:type="dxa"/>
          <w:left w:w="28" w:type="dxa"/>
          <w:bottom w:w="28" w:type="dxa"/>
          <w:right w:w="28" w:type="dxa"/>
        </w:tblCellMar>
      </w:tblPr>
      <w:tblGrid>
        <w:gridCol w:w="830"/>
        <w:gridCol w:w="729"/>
        <w:gridCol w:w="729"/>
        <w:gridCol w:w="729"/>
        <w:gridCol w:w="729"/>
        <w:gridCol w:w="735"/>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1"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[__________________________], as Grantor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16840"/>
                <wp:effectExtent l="0" t="0" r="0" b="0"/>
                <wp:wrapNone/>
                <wp:docPr id="358" name="Frame3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Accepted and Agreed:</w:t>
      </w:r>
    </w:p>
    <w:tbl>
      <w:tblPr>
        <w:tblW w:w="5723" w:type="dxa"/>
        <w:jc w:val="left"/>
        <w:tblInd w:w="0" w:type="dxa"/>
        <w:tblLayout w:type="fixed"/>
        <w:tblCellMar>
          <w:top w:w="28" w:type="dxa"/>
          <w:left w:w="28" w:type="dxa"/>
          <w:bottom w:w="28" w:type="dxa"/>
          <w:right w:w="28" w:type="dxa"/>
        </w:tblCellMar>
      </w:tblPr>
      <w:tblGrid>
        <w:gridCol w:w="990"/>
        <w:gridCol w:w="869"/>
        <w:gridCol w:w="869"/>
        <w:gridCol w:w="869"/>
        <w:gridCol w:w="869"/>
        <w:gridCol w:w="885"/>
        <w:gridCol w:w="109"/>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w:t>
              <w:br/>
              <w:t>as Collateral Agent and Grantee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240"/>
        <w:jc w:val="both"/>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16840"/>
                <wp:effectExtent l="0" t="0" r="0" b="0"/>
                <wp:wrapNone/>
                <wp:docPr id="359" name="Frame3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COPYRIGHT SECURITY AGREEMENT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COPYRIGHT REGISTRATIONS AND COPYRIGHT APPLICATIONS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UNITED STATES COPYRIGHTS:</w:t>
      </w:r>
    </w:p>
    <w:p>
      <w:pPr>
        <w:pStyle w:val="TextBody"/>
        <w:bidi w:val="0"/>
        <w:spacing w:before="0" w:after="240"/>
        <w:ind w:left="0" w:right="0" w:firstLine="1440"/>
        <w:jc w:val="both"/>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U.S. Copyright Registrations</w:t>
      </w:r>
    </w:p>
    <w:tbl>
      <w:tblPr>
        <w:tblW w:w="2296" w:type="dxa"/>
        <w:jc w:val="left"/>
        <w:tblInd w:w="0" w:type="dxa"/>
        <w:tblLayout w:type="fixed"/>
        <w:tblCellMar>
          <w:top w:w="28" w:type="dxa"/>
          <w:left w:w="28" w:type="dxa"/>
          <w:bottom w:w="28" w:type="dxa"/>
          <w:right w:w="28" w:type="dxa"/>
        </w:tblCellMar>
      </w:tblPr>
      <w:tblGrid>
        <w:gridCol w:w="196"/>
        <w:gridCol w:w="172"/>
        <w:gridCol w:w="173"/>
        <w:gridCol w:w="314"/>
        <w:gridCol w:w="314"/>
        <w:gridCol w:w="316"/>
        <w:gridCol w:w="237"/>
        <w:gridCol w:w="237"/>
        <w:gridCol w:w="33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Title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Reg. No.</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Author</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Pending U.S. Copyright Applications for Registration</w:t>
      </w:r>
    </w:p>
    <w:tbl>
      <w:tblPr>
        <w:tblW w:w="2416" w:type="dxa"/>
        <w:jc w:val="left"/>
        <w:tblInd w:w="0" w:type="dxa"/>
        <w:tblLayout w:type="fixed"/>
        <w:tblCellMar>
          <w:top w:w="28" w:type="dxa"/>
          <w:left w:w="28" w:type="dxa"/>
          <w:bottom w:w="28" w:type="dxa"/>
          <w:right w:w="28" w:type="dxa"/>
        </w:tblCellMar>
      </w:tblPr>
      <w:tblGrid>
        <w:gridCol w:w="196"/>
        <w:gridCol w:w="172"/>
        <w:gridCol w:w="173"/>
        <w:gridCol w:w="255"/>
        <w:gridCol w:w="255"/>
        <w:gridCol w:w="256"/>
        <w:gridCol w:w="324"/>
        <w:gridCol w:w="324"/>
        <w:gridCol w:w="46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Title</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Author</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Date Filed</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III to the</w:t>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16840"/>
                <wp:effectExtent l="0" t="0" r="0" b="0"/>
                <wp:wrapNone/>
                <wp:docPr id="360" name="Frame3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96.7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PATENT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PATENT SECURITY AGREEMENT, dated as of [______________], 20[____], made by [________________________], a [______________] (the “</w:t>
      </w:r>
      <w:r>
        <w:rPr>
          <w:rFonts w:ascii="Times New Roman;serif" w:hAnsi="Times New Roman;serif"/>
          <w:b w:val="false"/>
          <w:color w:val="000000"/>
          <w:sz w:val="22"/>
          <w:u w:val="single"/>
        </w:rPr>
        <w:t>Grantor</w:t>
      </w:r>
      <w:r>
        <w:rPr>
          <w:color w:val="000000"/>
        </w:rPr>
        <w:t>”</w:t>
      </w:r>
      <w:r>
        <w:rPr>
          <w:rFonts w:ascii="Times New Roman;serif" w:hAnsi="Times New Roman;serif"/>
          <w:b w:val="false"/>
          <w:color w:val="000000"/>
          <w:sz w:val="22"/>
        </w:rPr>
        <w:t>), having its chief executive office at [__________________], in favor of WELLS FARGO BANK, NATIONAL ASSOCIATION, as collateral agent (together with its successors in such capacity, the “</w:t>
      </w:r>
      <w:r>
        <w:rPr>
          <w:rFonts w:ascii="Times New Roman;serif" w:hAnsi="Times New Roman;serif"/>
          <w:b w:val="false"/>
          <w:color w:val="000000"/>
          <w:sz w:val="22"/>
          <w:u w:val="single"/>
        </w:rPr>
        <w:t>Grantee</w:t>
      </w:r>
      <w:r>
        <w:rPr>
          <w:color w:val="000000"/>
        </w:rPr>
        <w:t>”</w:t>
      </w:r>
      <w:r>
        <w:rPr>
          <w:rFonts w:ascii="Times New Roman;serif" w:hAnsi="Times New Roman;serif"/>
          <w:b w:val="false"/>
          <w:color w:val="000000"/>
          <w:sz w:val="22"/>
        </w:rPr>
        <w:t>), with offices at 1525 West W.T. Harris Blvd., MAC D1109-019, Charlotte, North Carolina, 28262, for the Secured Parties referred to in the Fourth Amended and Restated Credit Agreement, dated as of September 25, 2026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a Delaware limited liability company, Bloomin’ Brands, Inc., a Delaware corporation, each Lender (as defined in the Credit Agreement) from time to time party thereto and the Grantee, as Administrative Agent, Collateral Agent, Swing Line Lender and an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Grantor is party to a Fourth Amended and Restated Security Agreement, dated as of September 25, 2026 (as amended, restated, supplemented or otherwise modified from time to time, the “</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in favor of the Grantee pursuant to which the Grantor is required to execute and deliver this Patent Security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Unless otherwise defined herein, capitalized terms used herein and not defined have the meaning given to them in the Security Agreement, or if not defined therein, in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val="false"/>
          <w:color w:val="000000"/>
          <w:sz w:val="22"/>
          <w:u w:val="single"/>
        </w:rPr>
        <w:t>Grant of Security Interest in Patents</w:t>
      </w:r>
      <w:r>
        <w:rPr>
          <w:rFonts w:ascii="Times New Roman;serif" w:hAnsi="Times New Roman;serif"/>
          <w:b w:val="false"/>
          <w:color w:val="000000"/>
          <w:sz w:val="22"/>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Times New Roman;serif" w:hAnsi="Times New Roman;serif"/>
          <w:b w:val="false"/>
          <w:color w:val="000000"/>
          <w:sz w:val="22"/>
          <w:u w:val="single"/>
        </w:rPr>
        <w:t>Security Interest</w:t>
      </w:r>
      <w:r>
        <w:rPr>
          <w:color w:val="000000"/>
        </w:rPr>
        <w:t>”</w:t>
      </w:r>
      <w:r>
        <w:rPr>
          <w:rFonts w:ascii="Times New Roman;serif" w:hAnsi="Times New Roman;serif"/>
          <w:b w:val="false"/>
          <w:color w:val="000000"/>
          <w:sz w:val="22"/>
        </w:rPr>
        <w:t>) in, to, or under all right, title or interest in or to any and all Owned Patents, including those listed on Schedule I hereto, and all proceeds and products of the Owned Patents and all causes of action arising prior to or after the date hereof for infringement or competition regarding the same of any of the Owned Patents (in each case, other than Excluded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val="false"/>
          <w:color w:val="000000"/>
          <w:sz w:val="22"/>
          <w:u w:val="single"/>
        </w:rPr>
        <w:t>Security Agreement</w:t>
      </w:r>
      <w:r>
        <w:rPr>
          <w:rFonts w:ascii="Times New Roman;serif" w:hAnsi="Times New Roman;serif"/>
          <w:b w:val="false"/>
          <w:color w:val="000000"/>
          <w:sz w:val="22"/>
        </w:rPr>
        <w:t>. The Security Interest granted pursuant to this Patent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Patents made and granted hereby are more fully set forth in the Security Agreement, the terms and provisions of which are incorporated by reference herein as if fully set forth herein. In the event that any provision of this Patent Security Agreement is deemed to conflict with the Security Agreement, the provisions of the Security Agreement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Patent Security Agreement may be executed in any number of counterparts, all of which shall constitute one and the same instrument, and any party hereto may execute this Patent Security Agreement by signing and delivering one or more counterparts.</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16840"/>
                <wp:effectExtent l="0" t="0" r="0" b="0"/>
                <wp:wrapNone/>
                <wp:docPr id="361" name="Frame3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val="false"/>
          <w:color w:val="000000"/>
          <w:sz w:val="22"/>
          <w:u w:val="single"/>
        </w:rPr>
        <w:t>Recordation</w:t>
      </w:r>
      <w:r>
        <w:rPr>
          <w:rFonts w:ascii="Times New Roman;serif" w:hAnsi="Times New Roman;serif"/>
          <w:b w:val="false"/>
          <w:color w:val="000000"/>
          <w:sz w:val="22"/>
        </w:rPr>
        <w:t>. The Grantor authorizes and requests that the Commissioner of Patents and Trademarks record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6.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Patent Security Agreement shall be governed by and construed in accordance with the laws of the State of New York.</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16840"/>
                <wp:effectExtent l="0" t="0" r="0" b="0"/>
                <wp:wrapNone/>
                <wp:docPr id="362" name="Frame3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Grantor has caused this Patent Security Agreement to be executed and delivered by its duly authorized officer as of the date first set forth above.</w:t>
      </w:r>
    </w:p>
    <w:tbl>
      <w:tblPr>
        <w:tblW w:w="3879" w:type="dxa"/>
        <w:jc w:val="right"/>
        <w:tblInd w:w="0" w:type="dxa"/>
        <w:tblLayout w:type="fixed"/>
        <w:tblCellMar>
          <w:top w:w="28" w:type="dxa"/>
          <w:left w:w="28" w:type="dxa"/>
          <w:bottom w:w="28" w:type="dxa"/>
          <w:right w:w="28" w:type="dxa"/>
        </w:tblCellMar>
      </w:tblPr>
      <w:tblGrid>
        <w:gridCol w:w="647"/>
        <w:gridCol w:w="571"/>
        <w:gridCol w:w="571"/>
        <w:gridCol w:w="571"/>
        <w:gridCol w:w="571"/>
        <w:gridCol w:w="576"/>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7"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[__________________________],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Grantor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16840"/>
                <wp:effectExtent l="0" t="0" r="0" b="0"/>
                <wp:wrapNone/>
                <wp:docPr id="363" name="Frame3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Accepted and Agreed:</w:t>
      </w:r>
    </w:p>
    <w:tbl>
      <w:tblPr>
        <w:tblW w:w="5723" w:type="dxa"/>
        <w:jc w:val="left"/>
        <w:tblInd w:w="0" w:type="dxa"/>
        <w:tblLayout w:type="fixed"/>
        <w:tblCellMar>
          <w:top w:w="28" w:type="dxa"/>
          <w:left w:w="28" w:type="dxa"/>
          <w:bottom w:w="28" w:type="dxa"/>
          <w:right w:w="28" w:type="dxa"/>
        </w:tblCellMar>
      </w:tblPr>
      <w:tblGrid>
        <w:gridCol w:w="990"/>
        <w:gridCol w:w="869"/>
        <w:gridCol w:w="869"/>
        <w:gridCol w:w="869"/>
        <w:gridCol w:w="869"/>
        <w:gridCol w:w="885"/>
        <w:gridCol w:w="109"/>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w:t>
              <w:br/>
              <w:t>as Collateral Agent and Grantee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16840"/>
                <wp:effectExtent l="0" t="0" r="0" b="0"/>
                <wp:wrapNone/>
                <wp:docPr id="364" name="Frame3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PATENT SECURITY AGREEMENT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PATENT REGISTRATIONS AND PATENT APPLICATIONS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UNITED STATES PATENTS:</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U.S. Patent Registrations</w:t>
      </w:r>
    </w:p>
    <w:tbl>
      <w:tblPr>
        <w:tblW w:w="2729" w:type="dxa"/>
        <w:jc w:val="left"/>
        <w:tblInd w:w="0" w:type="dxa"/>
        <w:tblLayout w:type="fixed"/>
        <w:tblCellMar>
          <w:top w:w="28" w:type="dxa"/>
          <w:left w:w="28" w:type="dxa"/>
          <w:bottom w:w="28" w:type="dxa"/>
          <w:right w:w="28" w:type="dxa"/>
        </w:tblCellMar>
      </w:tblPr>
      <w:tblGrid>
        <w:gridCol w:w="580"/>
        <w:gridCol w:w="511"/>
        <w:gridCol w:w="513"/>
        <w:gridCol w:w="328"/>
        <w:gridCol w:w="328"/>
        <w:gridCol w:w="46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Patent Numbers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Issue Date</w:t>
            </w:r>
          </w:p>
        </w:tc>
      </w:tr>
    </w:tbl>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U.S. Patent Applications</w:t>
      </w:r>
    </w:p>
    <w:tbl>
      <w:tblPr>
        <w:tblW w:w="3434" w:type="dxa"/>
        <w:jc w:val="left"/>
        <w:tblInd w:w="0" w:type="dxa"/>
        <w:tblLayout w:type="fixed"/>
        <w:tblCellMar>
          <w:top w:w="28" w:type="dxa"/>
          <w:left w:w="28" w:type="dxa"/>
          <w:bottom w:w="28" w:type="dxa"/>
          <w:right w:w="28" w:type="dxa"/>
        </w:tblCellMar>
      </w:tblPr>
      <w:tblGrid>
        <w:gridCol w:w="814"/>
        <w:gridCol w:w="716"/>
        <w:gridCol w:w="720"/>
        <w:gridCol w:w="346"/>
        <w:gridCol w:w="346"/>
        <w:gridCol w:w="492"/>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Patent Application No.</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Filing Date</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IV to the</w:t>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16840"/>
                <wp:effectExtent l="0" t="0" r="0" b="0"/>
                <wp:wrapNone/>
                <wp:docPr id="365" name="Frame3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96.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TRADEMARK SECURITY AGREEMENT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TRADEMARK SECURITY AGREEMENT, dated as of [___________], 20[____] made by [_________________________], a [________________] (the “</w:t>
      </w:r>
      <w:r>
        <w:rPr>
          <w:rFonts w:ascii="Times New Roman;serif" w:hAnsi="Times New Roman;serif"/>
          <w:b w:val="false"/>
          <w:color w:val="000000"/>
          <w:sz w:val="22"/>
          <w:u w:val="single"/>
        </w:rPr>
        <w:t>Grantor</w:t>
      </w:r>
      <w:r>
        <w:rPr>
          <w:color w:val="000000"/>
        </w:rPr>
        <w:t>”</w:t>
      </w:r>
      <w:r>
        <w:rPr>
          <w:rFonts w:ascii="Times New Roman;serif" w:hAnsi="Times New Roman;serif"/>
          <w:b w:val="false"/>
          <w:color w:val="000000"/>
          <w:sz w:val="22"/>
        </w:rPr>
        <w:t>), having its chief executive office at [__________________], in favor of WELLS FARGO BANK, NATIONAL ASSOCIATION, as collateral agent (together with its successors in such capacity, the “</w:t>
      </w:r>
      <w:r>
        <w:rPr>
          <w:rFonts w:ascii="Times New Roman;serif" w:hAnsi="Times New Roman;serif"/>
          <w:b w:val="false"/>
          <w:color w:val="000000"/>
          <w:sz w:val="22"/>
          <w:u w:val="single"/>
        </w:rPr>
        <w:t>Grantee</w:t>
      </w:r>
      <w:r>
        <w:rPr>
          <w:color w:val="000000"/>
        </w:rPr>
        <w:t>”</w:t>
      </w:r>
      <w:r>
        <w:rPr>
          <w:rFonts w:ascii="Times New Roman;serif" w:hAnsi="Times New Roman;serif"/>
          <w:b w:val="false"/>
          <w:color w:val="000000"/>
          <w:sz w:val="22"/>
        </w:rPr>
        <w:t>), with offices at 1525 West W.T. Harris Blvd., MAC D1109-019, Charlotte, North Carolina, 28262, for the Secured Parties referred to in the Fourth Amended and Restated Credit Agreement, dated as of September 25, 2026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a Delaware limited liability company, Bloomin’ Brands, Inc., a Delaware corporation, each Lender (as defined in the Credit Agreement) from time to time party thereto and the Grantee, as Administrative Agent, Collateral Agent, Swing Line Lender and an L/C Issuer.</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Grantor is party to a Fourth Amended and Restated Security Agreement, dated as of September 25, 2026 (as amended, restated, supplemented or otherwise modified from time to time, the “</w:t>
      </w:r>
      <w:r>
        <w:rPr>
          <w:rFonts w:ascii="Times New Roman;serif" w:hAnsi="Times New Roman;serif"/>
          <w:b w:val="false"/>
          <w:color w:val="000000"/>
          <w:sz w:val="22"/>
          <w:u w:val="single"/>
        </w:rPr>
        <w:t>Security Agreement</w:t>
      </w:r>
      <w:r>
        <w:rPr>
          <w:color w:val="000000"/>
        </w:rPr>
        <w:t>”</w:t>
      </w:r>
      <w:r>
        <w:rPr>
          <w:rFonts w:ascii="Times New Roman;serif" w:hAnsi="Times New Roman;serif"/>
          <w:b w:val="false"/>
          <w:color w:val="000000"/>
          <w:sz w:val="22"/>
        </w:rPr>
        <w:t>), in favor of the Grantee pursuant to which the Grantor is required to execute and deliver this Trademark Security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Unless otherwise defined herein, capitalized terms used herein and not defined have the meaning given to them in the Security Agreement, or if not defined therein, in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2. </w:t>
      </w:r>
      <w:r>
        <w:rPr>
          <w:rFonts w:ascii="Times New Roman;serif" w:hAnsi="Times New Roman;serif"/>
          <w:b w:val="false"/>
          <w:color w:val="000000"/>
          <w:sz w:val="22"/>
          <w:u w:val="single"/>
        </w:rPr>
        <w:t>Grant of Security Interest in Trademarks</w:t>
      </w:r>
      <w:r>
        <w:rPr>
          <w:rFonts w:ascii="Times New Roman;serif" w:hAnsi="Times New Roman;serif"/>
          <w:b w:val="false"/>
          <w:color w:val="000000"/>
          <w:sz w:val="22"/>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Times New Roman;serif" w:hAnsi="Times New Roman;serif"/>
          <w:b w:val="false"/>
          <w:color w:val="000000"/>
          <w:sz w:val="22"/>
          <w:u w:val="single"/>
        </w:rPr>
        <w:t>Security Interest</w:t>
      </w:r>
      <w:r>
        <w:rPr>
          <w:color w:val="000000"/>
        </w:rPr>
        <w:t>”</w:t>
      </w:r>
      <w:r>
        <w:rPr>
          <w:rFonts w:ascii="Times New Roman;serif" w:hAnsi="Times New Roman;serif"/>
          <w:b w:val="false"/>
          <w:color w:val="000000"/>
          <w:sz w:val="22"/>
        </w:rPr>
        <w:t>) in, to, or under all right, title or interest in or to any and all of the Owned Trademarks, including those listed on Schedule I hereto, and all proceeds of the Owned Trademarks, the goodwill of the businesses with which the Owned Trademarks are associated, and all causes of action arising prior to or after the date hereof for infringement of any of the Owned Trademarks or unfair competition regarding the same (in each case, other than Excluded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3. </w:t>
      </w:r>
      <w:r>
        <w:rPr>
          <w:rFonts w:ascii="Times New Roman;serif" w:hAnsi="Times New Roman;serif"/>
          <w:b w:val="false"/>
          <w:color w:val="000000"/>
          <w:sz w:val="22"/>
          <w:u w:val="single"/>
        </w:rPr>
        <w:t>Security Agreement</w:t>
      </w:r>
      <w:r>
        <w:rPr>
          <w:rFonts w:ascii="Times New Roman;serif" w:hAnsi="Times New Roman;serif"/>
          <w:b w:val="false"/>
          <w:color w:val="000000"/>
          <w:sz w:val="22"/>
        </w:rPr>
        <w:t>. The Security Interest granted pursuant to this Trademark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Trademark made and granted hereby are more fully set forth in the Security Agreement, the terms and provisions of which are incorporated by reference herein as if fully set forth herein. In the event that any provision of this Trademark Security Agreement is deemed to conflict with the Security Agreement, the provisions of the Security Agreement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4.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Trademark Security Agreement may be executed in any number of counterparts, all of which shall constitute one and the same instrument, and any party hereto may execute this Trademark Security Agreement by signing and delivering one or more counterparts.</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16840"/>
                <wp:effectExtent l="0" t="0" r="0" b="0"/>
                <wp:wrapNone/>
                <wp:docPr id="366" name="Frame3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5. </w:t>
      </w:r>
      <w:r>
        <w:rPr>
          <w:rFonts w:ascii="Times New Roman;serif" w:hAnsi="Times New Roman;serif"/>
          <w:b w:val="false"/>
          <w:color w:val="000000"/>
          <w:sz w:val="22"/>
          <w:u w:val="single"/>
        </w:rPr>
        <w:t>Recordation</w:t>
      </w:r>
      <w:r>
        <w:rPr>
          <w:rFonts w:ascii="Times New Roman;serif" w:hAnsi="Times New Roman;serif"/>
          <w:b w:val="false"/>
          <w:color w:val="000000"/>
          <w:sz w:val="22"/>
        </w:rPr>
        <w:t>. The Grantor authorizes and requests that the Commissioner of Patents and Trademarks record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6.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Trademark Security Agreement shall be governed by and construed in accordance with the laws of the State of New York.</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16840"/>
                <wp:effectExtent l="0" t="0" r="0" b="0"/>
                <wp:wrapNone/>
                <wp:docPr id="367" name="Frame3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Grantor has caused this Trademark Security Agreement to be executed and delivered by its duly authorized officer as of the date first set forth above.</w:t>
      </w:r>
    </w:p>
    <w:tbl>
      <w:tblPr>
        <w:tblW w:w="4853" w:type="dxa"/>
        <w:jc w:val="right"/>
        <w:tblInd w:w="0" w:type="dxa"/>
        <w:tblLayout w:type="fixed"/>
        <w:tblCellMar>
          <w:top w:w="28" w:type="dxa"/>
          <w:left w:w="28" w:type="dxa"/>
          <w:bottom w:w="28" w:type="dxa"/>
          <w:right w:w="28" w:type="dxa"/>
        </w:tblCellMar>
      </w:tblPr>
      <w:tblGrid>
        <w:gridCol w:w="830"/>
        <w:gridCol w:w="729"/>
        <w:gridCol w:w="729"/>
        <w:gridCol w:w="729"/>
        <w:gridCol w:w="729"/>
        <w:gridCol w:w="735"/>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1"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[__________________________], as Grantor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16840"/>
                <wp:effectExtent l="0" t="0" r="0" b="0"/>
                <wp:wrapNone/>
                <wp:docPr id="368" name="Frame3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tbl>
      <w:tblPr>
        <w:tblW w:w="5723" w:type="dxa"/>
        <w:jc w:val="left"/>
        <w:tblInd w:w="0" w:type="dxa"/>
        <w:tblLayout w:type="fixed"/>
        <w:tblCellMar>
          <w:top w:w="28" w:type="dxa"/>
          <w:left w:w="28" w:type="dxa"/>
          <w:bottom w:w="28" w:type="dxa"/>
          <w:right w:w="28" w:type="dxa"/>
        </w:tblCellMar>
      </w:tblPr>
      <w:tblGrid>
        <w:gridCol w:w="990"/>
        <w:gridCol w:w="869"/>
        <w:gridCol w:w="869"/>
        <w:gridCol w:w="869"/>
        <w:gridCol w:w="869"/>
        <w:gridCol w:w="885"/>
        <w:gridCol w:w="109"/>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w:t>
              <w:br/>
              <w:t>as Collateral Agent and Grantee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16840"/>
                <wp:effectExtent l="0" t="0" r="0" b="0"/>
                <wp:wrapNone/>
                <wp:docPr id="369" name="Frame3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TRADEMARK SECURITY AGREEMENT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TRADEMARK REGISTRATIONS AND TRADEMARK APPLICATIONS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UNITED STATES TRADEMARKS:</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U.S. Trademark Registrations</w:t>
      </w:r>
    </w:p>
    <w:tbl>
      <w:tblPr>
        <w:tblW w:w="2579" w:type="dxa"/>
        <w:jc w:val="left"/>
        <w:tblInd w:w="0" w:type="dxa"/>
        <w:tblLayout w:type="fixed"/>
        <w:tblCellMar>
          <w:top w:w="28" w:type="dxa"/>
          <w:left w:w="28" w:type="dxa"/>
          <w:bottom w:w="28" w:type="dxa"/>
          <w:right w:w="28" w:type="dxa"/>
        </w:tblCellMar>
      </w:tblPr>
      <w:tblGrid>
        <w:gridCol w:w="223"/>
        <w:gridCol w:w="196"/>
        <w:gridCol w:w="197"/>
        <w:gridCol w:w="344"/>
        <w:gridCol w:w="344"/>
        <w:gridCol w:w="346"/>
        <w:gridCol w:w="271"/>
        <w:gridCol w:w="271"/>
        <w:gridCol w:w="38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Mark</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Reg. Date</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Reg. No</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U.S. Trademark Applications</w:t>
      </w:r>
    </w:p>
    <w:tbl>
      <w:tblPr>
        <w:tblW w:w="3404" w:type="dxa"/>
        <w:jc w:val="left"/>
        <w:tblInd w:w="0" w:type="dxa"/>
        <w:tblLayout w:type="fixed"/>
        <w:tblCellMar>
          <w:top w:w="28" w:type="dxa"/>
          <w:left w:w="28" w:type="dxa"/>
          <w:bottom w:w="28" w:type="dxa"/>
          <w:right w:w="28" w:type="dxa"/>
        </w:tblCellMar>
      </w:tblPr>
      <w:tblGrid>
        <w:gridCol w:w="223"/>
        <w:gridCol w:w="196"/>
        <w:gridCol w:w="197"/>
        <w:gridCol w:w="379"/>
        <w:gridCol w:w="379"/>
        <w:gridCol w:w="381"/>
        <w:gridCol w:w="483"/>
        <w:gridCol w:w="483"/>
        <w:gridCol w:w="683"/>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Mark</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Filing Date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Application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V to the</w:t>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16840"/>
                <wp:effectExtent l="0" t="0" r="0" b="0"/>
                <wp:wrapNone/>
                <wp:docPr id="370" name="Frame3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99.8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PERFECTION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amended,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each Lender (as defined in the Credit Agreement) from time to time party thereto and Wells Fargo Bank, National Association, as Administrative Agent, Collateral Agent, Swing Line Lender and an L/C Issuer. Capitalized terms used but not defined herein have the meanings assigned in the Credit Agreement or the Security Agreement or Guaranty referred to therein, as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 Responsible Officer of the Company, hereby certifies to the Administrative Agent and each other Secured Party as follows:</w:t>
      </w:r>
    </w:p>
    <w:p>
      <w:pPr>
        <w:pStyle w:val="TextBody"/>
        <w:bidi w:val="0"/>
        <w:spacing w:lineRule="auto" w:line="268" w:before="0" w:after="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Names, Jurisdictions and Organizational and Federal Taxpayer Identification Numbers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exact legal name of each Guarantor, as such name appears in its respective certificate of incorporation or formation, jurisdiction of organization, Organizational Identification Number, if any, issued by the jurisdiction of organization, and Federal Taxpayer Identification Number of each Guarantor are as follows:</w:t>
      </w:r>
    </w:p>
    <w:p>
      <w:pPr>
        <w:pStyle w:val="TextBody"/>
        <w:bidi w:val="0"/>
        <w:spacing w:before="0" w:after="0"/>
        <w:jc w:val="left"/>
        <w:rPr/>
      </w:pPr>
      <w:r>
        <w:rPr/>
      </w:r>
    </w:p>
    <w:p>
      <w:pPr>
        <w:pStyle w:val="TextBody"/>
        <w:bidi w:val="0"/>
        <w:spacing w:lineRule="auto" w:line="268" w:before="0" w:after="240"/>
        <w:ind w:left="0" w:right="0" w:firstLine="72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Set forth below is each other legal name each Guarantor has had in the past five years, together with the date of the relevant change: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Except as set forth in Schedule 1 hereto, to our knowledge, no Guarantor has changed its identity or corporate structure in any way within the past five years. Changes in identity or corporate structure would include mergers, consolidations and acquisitions, as well as any change in the form, nature or jurisdiction of organization. If any such change has occurred, include in Schedule 1 the information required by Sections 1 and 2 of this certificate as to each acquiree or constituent party to a merger or consolidation to the extent such information is available to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To our knowledge, the following is a list of all other names (including trade names or similar appellations) used by each Guarantor or any of its divisions or other business units in connection with the conduct of its business or the ownership of its properties at any time during the past five years: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Current Locations</w:t>
      </w:r>
      <w:r>
        <w:rPr>
          <w:rFonts w:ascii="Times New Roman;serif" w:hAnsi="Times New Roman;serif"/>
          <w:b w:val="false"/>
          <w:color w:val="000000"/>
          <w:sz w:val="22"/>
        </w:rPr>
        <w:t>. (a) The chief executive office of each Guarantor is located at the address set forth opposite its name below:</w:t>
      </w:r>
    </w:p>
    <w:tbl>
      <w:tblPr>
        <w:tblW w:w="4112" w:type="dxa"/>
        <w:jc w:val="left"/>
        <w:tblInd w:w="0" w:type="dxa"/>
        <w:tblLayout w:type="fixed"/>
        <w:tblCellMar>
          <w:top w:w="28" w:type="dxa"/>
          <w:left w:w="28" w:type="dxa"/>
          <w:bottom w:w="28" w:type="dxa"/>
          <w:right w:w="28" w:type="dxa"/>
        </w:tblCellMar>
      </w:tblPr>
      <w:tblGrid>
        <w:gridCol w:w="386"/>
        <w:gridCol w:w="339"/>
        <w:gridCol w:w="341"/>
        <w:gridCol w:w="549"/>
        <w:gridCol w:w="549"/>
        <w:gridCol w:w="551"/>
        <w:gridCol w:w="265"/>
        <w:gridCol w:w="265"/>
        <w:gridCol w:w="266"/>
        <w:gridCol w:w="176"/>
        <w:gridCol w:w="176"/>
        <w:gridCol w:w="2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Guarantor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Mailing Address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County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State</w:t>
            </w:r>
          </w:p>
        </w:tc>
      </w:tr>
    </w:tbl>
    <w:p>
      <w:pPr>
        <w:pStyle w:val="TextBody"/>
        <w:bidi w:val="0"/>
        <w:spacing w:before="0" w:after="240"/>
        <w:jc w:val="both"/>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16840"/>
                <wp:effectExtent l="0" t="0" r="0" b="0"/>
                <wp:wrapNone/>
                <wp:docPr id="371" name="Frame3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Set forth below opposite the name of each Guarantor are the names and addresses of all Persons other than such Guarantor that have possession of any material Collateral of such Guarantor:</w:t>
      </w:r>
    </w:p>
    <w:tbl>
      <w:tblPr>
        <w:tblW w:w="5716" w:type="dxa"/>
        <w:jc w:val="left"/>
        <w:tblInd w:w="0" w:type="dxa"/>
        <w:tblLayout w:type="fixed"/>
        <w:tblCellMar>
          <w:top w:w="28" w:type="dxa"/>
          <w:left w:w="28" w:type="dxa"/>
          <w:bottom w:w="28" w:type="dxa"/>
          <w:right w:w="28" w:type="dxa"/>
        </w:tblCellMar>
      </w:tblPr>
      <w:tblGrid>
        <w:gridCol w:w="386"/>
        <w:gridCol w:w="339"/>
        <w:gridCol w:w="341"/>
        <w:gridCol w:w="534"/>
        <w:gridCol w:w="534"/>
        <w:gridCol w:w="536"/>
        <w:gridCol w:w="549"/>
        <w:gridCol w:w="549"/>
        <w:gridCol w:w="551"/>
        <w:gridCol w:w="265"/>
        <w:gridCol w:w="265"/>
        <w:gridCol w:w="266"/>
        <w:gridCol w:w="176"/>
        <w:gridCol w:w="176"/>
        <w:gridCol w:w="2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Guarantor</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Name of Person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Mailing Address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County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State</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Set forth below is a list of all real property held by each Guarantor, with detail as to (i) whether owned or leased, (ii) the name of the Guarantor that owns or leases such real property, and (iii) the fair market value of any such owned or leased real property, to the extent an appraisal exists, with respect to any such owned or leased real property, or, in the absence of any such appraisal, the book value of any such owned real property or the current annual rent with respect to any such leased real property;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real property that is Excluded Real Property shall be included in such list to provide only the information required by clause (i) and (ii) above:</w:t>
      </w:r>
    </w:p>
    <w:tbl>
      <w:tblPr>
        <w:tblW w:w="6406" w:type="dxa"/>
        <w:jc w:val="left"/>
        <w:tblInd w:w="0" w:type="dxa"/>
        <w:tblLayout w:type="fixed"/>
        <w:tblCellMar>
          <w:top w:w="28" w:type="dxa"/>
          <w:left w:w="28" w:type="dxa"/>
          <w:bottom w:w="28" w:type="dxa"/>
          <w:right w:w="28" w:type="dxa"/>
        </w:tblCellMar>
      </w:tblPr>
      <w:tblGrid>
        <w:gridCol w:w="321"/>
        <w:gridCol w:w="282"/>
        <w:gridCol w:w="283"/>
        <w:gridCol w:w="499"/>
        <w:gridCol w:w="499"/>
        <w:gridCol w:w="501"/>
        <w:gridCol w:w="350"/>
        <w:gridCol w:w="350"/>
        <w:gridCol w:w="351"/>
        <w:gridCol w:w="870"/>
        <w:gridCol w:w="870"/>
        <w:gridCol w:w="123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Address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Owned/Leased</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Guarantor</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Book, Market or Rental Value</w:t>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Set forth below opposite the name of each Guarantor are all the locations where such Guarantor maintains any material Collateral and all the places of business where such Guarantor conducts any material business that are not identified above:</w:t>
      </w:r>
    </w:p>
    <w:tbl>
      <w:tblPr>
        <w:tblW w:w="4112" w:type="dxa"/>
        <w:jc w:val="left"/>
        <w:tblInd w:w="0" w:type="dxa"/>
        <w:tblLayout w:type="fixed"/>
        <w:tblCellMar>
          <w:top w:w="28" w:type="dxa"/>
          <w:left w:w="28" w:type="dxa"/>
          <w:bottom w:w="28" w:type="dxa"/>
          <w:right w:w="28" w:type="dxa"/>
        </w:tblCellMar>
      </w:tblPr>
      <w:tblGrid>
        <w:gridCol w:w="386"/>
        <w:gridCol w:w="339"/>
        <w:gridCol w:w="341"/>
        <w:gridCol w:w="549"/>
        <w:gridCol w:w="549"/>
        <w:gridCol w:w="551"/>
        <w:gridCol w:w="265"/>
        <w:gridCol w:w="265"/>
        <w:gridCol w:w="266"/>
        <w:gridCol w:w="176"/>
        <w:gridCol w:w="176"/>
        <w:gridCol w:w="2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Guarantor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Mailing Address</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County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State</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Unusual Transactions</w:t>
      </w:r>
      <w:r>
        <w:rPr>
          <w:rFonts w:ascii="Times New Roman;serif" w:hAnsi="Times New Roman;serif"/>
          <w:b w:val="false"/>
          <w:color w:val="000000"/>
          <w:sz w:val="22"/>
        </w:rPr>
        <w:t>. All Accounts have been originated by the Guarantors and all Inventory has been acquired by the Guarantors in the ordinary course of business (other than Accounts acquired in connection with a business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Schedule of Filings</w:t>
      </w:r>
      <w:r>
        <w:rPr>
          <w:rFonts w:ascii="Times New Roman;serif" w:hAnsi="Times New Roman;serif"/>
          <w:b w:val="false"/>
          <w:color w:val="000000"/>
          <w:sz w:val="22"/>
        </w:rPr>
        <w:t>. Attached hereto as Schedule 4 is a schedule setting forth the proper Uniform Commercial Code filing office in the jurisdiction in which each Guarantor is located (as determined pursuant to Section 9-307 of the UCC) and, to the extent any of the Collateral is comprised of fixtures, in the proper local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Stock Ownership and other Equity Interests</w:t>
      </w:r>
      <w:r>
        <w:rPr>
          <w:rFonts w:ascii="Times New Roman;serif" w:hAnsi="Times New Roman;serif"/>
          <w:b w:val="false"/>
          <w:color w:val="000000"/>
          <w:sz w:val="22"/>
        </w:rPr>
        <w:t>. Attached hereto as Schedule 5 is a true and correct list of all the issued and outstanding Equity Interests of the Company and each Subsidiary and the record and beneficial owners of such Equity Interests. Also set forth on Schedule 5 is each Investment of the Company or any Subsidiary that represents 50% or less of the Equity Interests of the Person in which such Investment was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Debt Instruments</w:t>
      </w:r>
      <w:r>
        <w:rPr>
          <w:rFonts w:ascii="Times New Roman;serif" w:hAnsi="Times New Roman;serif"/>
          <w:b w:val="false"/>
          <w:color w:val="000000"/>
          <w:sz w:val="22"/>
        </w:rPr>
        <w:t>. Attached hereto as Schedule 6 is a true and correct list of all promissory notes and other evidence of Indebtedness held by the Company and each other loan party having a principal amount in excess of $5,000,000 that are required to be pledged under the Security Agreement, including all intercompany notes between Loan Parties.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Mortgage Filings</w:t>
      </w:r>
      <w:r>
        <w:rPr>
          <w:rFonts w:ascii="Times New Roman;serif" w:hAnsi="Times New Roman;serif"/>
          <w:b w:val="false"/>
          <w:color w:val="000000"/>
          <w:sz w:val="22"/>
        </w:rPr>
        <w:t>. Attached hereto as Schedule 7 is a schedule setting forth, with respect to each Mortgaged Property, (a) the exact name of the Person that owns such property as such name appears in its certificate of incorporation or other organizational document, (b) if different from the name identified pursuant to clause (a), the exact name of the current mortgagor/grantor of such property reflected in the records of the filing office for such property identified pursuant to the following clause and (c) the filing office in which a Mortgage with respect to such property must be filed or recorded in order for the Administrative Agent to obtain a perfected security interest therein.</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16840"/>
                <wp:effectExtent l="0" t="0" r="0" b="0"/>
                <wp:wrapNone/>
                <wp:docPr id="372" name="Frame3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(a) Attached hereto as Schedule 8(a) in proper form for filing with the United States Patent and Trademark Office is a schedule setting forth all of each Guarantor’s: (i) Patents and Patent applications, including the name of the registered owner, type, registration or application number and the expiration date (if already registered) of each Patent and Patent application owned by any Guarantor; and (ii) Trademarks and Trademark applications, including the name of the registered owner, the registration or application number and the expiration date (if already registered) of each Trademark and Trademark application owned by any Guarantor.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Attached hereto as Schedule 8(b) in proper form for filing with the United States Copyright Office is a schedule setting forth all of each Guarantor’s Copyrights and Copyright applications, including the name of the registered owner, title, the registration number or application number and the expiration date (if already registered) of each Copyright or Copyright application owned by any Guarantor.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Attached hereto as Schedule 8(c) is a list of any Domain Names registered to any Guarantor and the expiry date of each Domain Name.</w:t>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16840"/>
                <wp:effectExtent l="0" t="0" r="0" b="0"/>
                <wp:wrapNone/>
                <wp:docPr id="373" name="Frame3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226511351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duly executed this certificate on this [_____] day of [_____________], 20[__].</w:t>
      </w:r>
    </w:p>
    <w:tbl>
      <w:tblPr>
        <w:tblW w:w="3220" w:type="dxa"/>
        <w:jc w:val="left"/>
        <w:tblInd w:w="0" w:type="dxa"/>
        <w:tblLayout w:type="fixed"/>
        <w:tblCellMar>
          <w:top w:w="28" w:type="dxa"/>
          <w:left w:w="28" w:type="dxa"/>
          <w:bottom w:w="28" w:type="dxa"/>
          <w:right w:w="28" w:type="dxa"/>
        </w:tblCellMar>
      </w:tblPr>
      <w:tblGrid>
        <w:gridCol w:w="526"/>
        <w:gridCol w:w="464"/>
        <w:gridCol w:w="464"/>
        <w:gridCol w:w="464"/>
        <w:gridCol w:w="464"/>
        <w:gridCol w:w="466"/>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8" w:type="dxa"/>
            <w:gridSpan w:val="6"/>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BLOOMIN’ BRANDS,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4"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H</w:t>
      </w:r>
    </w:p>
    <w:p>
      <w:pPr>
        <w:pStyle w:val="TextBody"/>
        <w:bidi w:val="0"/>
        <w:spacing w:lineRule="auto" w:line="288" w:before="0" w:after="240"/>
        <w:jc w:val="center"/>
        <w:rPr/>
      </w:pPr>
      <w:r>
        <w:rPr>
          <w:rFonts w:ascii="Times New Roman;serif" w:hAnsi="Times New Roman;serif"/>
          <w:b/>
          <w:color w:val="000000"/>
          <w:sz w:val="22"/>
        </w:rPr>
        <w:t>[FORM OF]</w:t>
        <w:br/>
        <w:br/>
      </w:r>
      <w:r>
        <w:rPr>
          <w:rFonts w:ascii="Times New Roman;serif" w:hAnsi="Times New Roman;serif"/>
          <w:b/>
          <w:color w:val="000000"/>
          <w:sz w:val="22"/>
          <w:u w:val="single"/>
        </w:rPr>
        <w:t>INTERCOMPANY NOTE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New York, New York</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[___], 20[_]</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VALUE RECEIVED, each of the undersigned, to the extent a borrower from time to time from any other entity listed on the signature page hereto (each, in such capacity, a “</w:t>
      </w:r>
      <w:r>
        <w:rPr>
          <w:rFonts w:ascii="Times New Roman;serif" w:hAnsi="Times New Roman;serif"/>
          <w:b w:val="false"/>
          <w:color w:val="000000"/>
          <w:sz w:val="22"/>
          <w:u w:val="single"/>
        </w:rPr>
        <w:t>Payor</w:t>
      </w:r>
      <w:r>
        <w:rPr>
          <w:color w:val="000000"/>
        </w:rPr>
        <w:t>”</w:t>
      </w:r>
      <w:r>
        <w:rPr>
          <w:rFonts w:ascii="Times New Roman;serif" w:hAnsi="Times New Roman;serif"/>
          <w:b w:val="false"/>
          <w:color w:val="000000"/>
          <w:sz w:val="22"/>
        </w:rPr>
        <w:t>), hereby promises to pay on demand to the order of such other entity listed below (each, in such capacity, a “</w:t>
      </w:r>
      <w:r>
        <w:rPr>
          <w:rFonts w:ascii="Times New Roman;serif" w:hAnsi="Times New Roman;serif"/>
          <w:b w:val="false"/>
          <w:color w:val="000000"/>
          <w:sz w:val="22"/>
          <w:u w:val="single"/>
        </w:rPr>
        <w:t>Payee</w:t>
      </w:r>
      <w:r>
        <w:rPr>
          <w:color w:val="000000"/>
        </w:rPr>
        <w:t>”</w:t>
      </w:r>
      <w:r>
        <w:rPr>
          <w:rFonts w:ascii="Times New Roman;serif" w:hAnsi="Times New Roman;serif"/>
          <w:b w:val="false"/>
          <w:color w:val="000000"/>
          <w:sz w:val="22"/>
        </w:rPr>
        <w:t>), in lawful money of the United States of America in immediately available funds, at such location in the United States of America as a Payee shall from time to time designate, the unpaid principal amount of all loans and advances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note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is the Intercompany Note referred to in the Fourth Amended and Restated Credit Agreement dated as of September 25, 2026 (as amended, supplemented, restated and/or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OSI Restaurant Partners, LLC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lenders from time to time party thereto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and Wells Fargo Bank, National Association, as Administrative Agent (in such capacity,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Unless otherwise specified, capitalized terms used but not defined herein shall have the meanings assigned to such terms in the Credit Agreement. Each Payee hereby acknowledges and agrees that the Administrative Agent and the Collateral Agent may exercise all rights provided in the Credit Agreement and the Collateral Documents with respect to this Note.</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Anything in this Note to the contrary notwithstanding, the indebtedness evidenced by this Note owed by any Payor that is (i) a Guarantor to any Payee (other than a Loan Party) or (ii) the Borrowers to any Payee, shall, in each case, be subordinate and junior in right of payment, to the extent and in the manner hereinafter set forth, to all Obligations, including, without limitation, where applicable, under such Payor’s guarantee of the Guaranteed Obligations under (and as defined in) the Guaranty (such Obligations and other indebtedness and obligations in connection with any renewal, refunding, restructuring or refinancing thereof, including interest thereon accruing after the commencement of any proceedings referred to in clause (i) below at the rate provided for in the respective documentation for such Obligations, whether or not such interest is an allowed claim in such proceeding, being hereinafter collectively referred to as “</w:t>
      </w:r>
      <w:r>
        <w:rPr>
          <w:rFonts w:ascii="Times New Roman;serif" w:hAnsi="Times New Roman;serif"/>
          <w:b w:val="false"/>
          <w:color w:val="000000"/>
          <w:sz w:val="22"/>
          <w:u w:val="single"/>
        </w:rPr>
        <w:t>Senior Indebtedness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 the event of any insolvency or bankruptcy proceedings, and any receivership, liquidation, reorganization or other similar proceedings in connection therewith, relative to any Payor or to its creditors, as such, or to its property, and in the event of any proceedings for voluntary liquidation, dissolution or other winding up of such Payor, whether or not involving insolvency or bankruptcy, then (x) the holders of Senior Indebtedness shall be paid in full in cash in respect of all amounts constituting Senior Indebtedness before any Payee is entitled to receive (whether directly or indirectly), or make any demands for, any payment or distribution of any kind or character on account of this Note (whether in cash, property, securities or otherwise) and (y) until the holders of Senior Indebtedness are paid in full in cash in respect of all amounts constituting Senior</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H</w:t>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16840"/>
                <wp:effectExtent l="0" t="0" r="0" b="0"/>
                <wp:wrapNone/>
                <wp:docPr id="375" name="Frame3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Indebtedness, any payment or distribution of any kind or character to which such Payee would otherwise be entitled shall be made to the holders of Senior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In the event that any Event of Default then exists or would result therefrom, no payment by any Payor, or demand by any Payee, shall be made on account of any amount owing in respect of the Note (including, without limitation, any payment pursuant to </w:t>
      </w:r>
      <w:r>
        <w:rPr>
          <w:rFonts w:ascii="Times New Roman;serif" w:hAnsi="Times New Roman;serif"/>
          <w:b w:val="false"/>
          <w:color w:val="000000"/>
          <w:sz w:val="22"/>
          <w:u w:val="single"/>
        </w:rPr>
        <w:t>Section 7.12(a)</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If any payment or distribution of any kind or character (whether in cash, securities or other property) in respect of this Note shall (despite these subordination provisions) be received by any Payee in violation of clause (i) or (ii) above before all Senior Indebtedness shall have been paid in full in cash, such payment or distribution shall be held in trust for the benefit of, and shall be paid over or delivered to, the holders of Senior Indebtedness (or their representatives), ratably according to the respective aggregate amounts remaining unpaid thereon, to the extent necessary to pay all Senior Indebtedness of the relevant Payor in full in cash.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fullest extent permitted by law, no present or future holder of Senior Indebtedness shall be prejudiced in its right to enforce the subordination of this Note by any act or failure to act on the part of any Payor or by any act or failure to act on the part of such holder or any trustee or agent for such holder. Each Payee and each Payor hereby agrees that the subordination of this Note is for the benefit of the Collateral Agent and the other Secured Parties, the Collateral Agent and the other Secured Parties are obligees under this Note to the same extent as if their names were written herein as such and the Administrative Agent and/or the Collateral Agent may, on behalf of itself and the other Secured Parties, proceed to enforce the subordination provisions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Payee does not file a proper claim or proof of debt in the form required in any proceeding or other action referred to in clause (i) of the second preceding paragraph prior to 30 days before the expiration of the time to file such claim or claims, then any of the holders of the Senior Indebtedness (or their representative) is hereby authorized to file an appropriate claim for and on behalf of such Payee.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prior payment in full in cash of all Senior Indebtedness, each Payee shall be subrogated to the rights of the holders of Senior Indebtedness to receive payments or distributions of assets of the respective Payor applicable to the Senior Indebtedness until all amounts owing on the Note shall be paid in full, and for the purpose of such subrogation no payments or distributions to the holders of the Senior Indebtedness by or on behalf of a Payor or by or on behalf of the holder of the Note which otherwise would have been made to the holder of the Note shall, as between such Payor, its creditors other than the holders of Senior Indebtedness, and the holder of the Note, be deemed to be payment by such Payor to or on account of the Senior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of the Senior Indebtedness may, without in any way affecting the obligations of any Payee with respect thereto, at any time or from time to time and in their absolute discretion, change the manner, place or terms of payment of, change or extend the time of payment of, or renew or alter, any Senior Indebtedness, or amend, modify or supplement any agreement or instrument governing or evidencing such Senior Indebtedness or any other document referred to therein, or exercise or refrain from exercising any other of their rights under the Senior Indebtedness including, without limitation, the waiver of default thereunder and the release of any collateral securing such Senior Indebtedness, all without notice to or assent from any Payee.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any Payee shall acquire by indemnification, subrogation or otherwise, any lien, estate, right or other interest in any of the assets or properties of any Payor, that lien, estate, right or other interest shall be subordinate in right of payment to the Senior Indebtedness and the lien of the Senior Indebtedness as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H</w:t>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314960"/>
                <wp:effectExtent l="0" t="0" r="0" b="0"/>
                <wp:wrapNone/>
                <wp:docPr id="376" name="Frame37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provided herein, and each Payee hereby waives any and all rights it may acquire by subrogation or otherwise to any lien of the Senior Indebtedness or any portion thereof until such time as all Senior Indebtedness has been indefeasibly repaid in full in cash.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all or part of any payment with respect to Senior Indebtedness theretofore made (whether by any other Loan Party or any other Person or enforcement of any right of setoff or otherwise) is rescinded or must otherwise be returned by the holders of Senior Indebtedness for any reason whatsoever (including, without limitation, the insolvency, bankruptcy or reorganization of any other Loan Party or such other Persons), the subordination provisions set forth herein shall continue to be effective or be reinstated, as the case may be, all as though such payment had not been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indebtedness evidenced by this Note owed by any Payor that is neither a Guarantor nor a Borrower shall not be subordinated to, and shall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in right of payment with, any other obligation of such Payor.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Payee is hereby authorized (but not required) to record all loans and advances made by it to any Payor (all of which shall be evidenced by this Note), and all repayments or prepayments thereof, in its books and records, such books and records constituting </w:t>
      </w:r>
      <w:r>
        <w:rPr>
          <w:rFonts w:ascii="Times New Roman;serif" w:hAnsi="Times New Roman;serif"/>
          <w:b w:val="false"/>
          <w:i/>
          <w:color w:val="000000"/>
          <w:sz w:val="22"/>
        </w:rPr>
        <w:t>prima facie</w:t>
      </w:r>
      <w:r>
        <w:rPr>
          <w:color w:val="000000"/>
        </w:rPr>
        <w:t xml:space="preserve"> </w:t>
      </w:r>
      <w:r>
        <w:rPr>
          <w:rFonts w:ascii="Times New Roman;serif" w:hAnsi="Times New Roman;serif"/>
          <w:b w:val="false"/>
          <w:color w:val="000000"/>
          <w:sz w:val="22"/>
        </w:rPr>
        <w:t>evidence of the accuracy of the information contained therein.</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Payor hereby waives presentment, demand, protest or notice of any kind in connection with this Note. All payments under this Note shall be made without offset, counterclaim or deduction of any kind.</w: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H</w:t>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314960"/>
                <wp:effectExtent l="0" t="0" r="0" b="0"/>
                <wp:wrapNone/>
                <wp:docPr id="377" name="Frame37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38.9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NOTE SHALL BE GOVERNED BY, AND CONSTRUED IN ACCORDANCE WITH, THE LAW OF THE STATE OF NEW YORK.</w:t>
      </w:r>
    </w:p>
    <w:p>
      <w:pPr>
        <w:pStyle w:val="TextBody"/>
        <w:bidi w:val="0"/>
        <w:spacing w:before="0" w:after="0"/>
        <w:jc w:val="both"/>
        <w:rPr/>
      </w:pPr>
      <w:r>
        <w:rPr/>
      </w:r>
    </w:p>
    <w:tbl>
      <w:tblPr>
        <w:tblW w:w="2759" w:type="dxa"/>
        <w:jc w:val="right"/>
        <w:tblInd w:w="0" w:type="dxa"/>
        <w:tblLayout w:type="fixed"/>
        <w:tblCellMar>
          <w:top w:w="28" w:type="dxa"/>
          <w:left w:w="28" w:type="dxa"/>
          <w:bottom w:w="28" w:type="dxa"/>
          <w:right w:w="28" w:type="dxa"/>
        </w:tblCellMar>
      </w:tblPr>
      <w:tblGrid>
        <w:gridCol w:w="328"/>
        <w:gridCol w:w="289"/>
        <w:gridCol w:w="289"/>
        <w:gridCol w:w="289"/>
        <w:gridCol w:w="289"/>
        <w:gridCol w:w="289"/>
        <w:gridCol w:w="289"/>
        <w:gridCol w:w="289"/>
        <w:gridCol w:w="408"/>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of each Loan Party],</w:t>
            </w:r>
          </w:p>
        </w:tc>
      </w:tr>
      <w:tr>
        <w:trPr/>
        <w:tc>
          <w:tcPr>
            <w:tcW w:w="17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Payee</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694" w:type="dxa"/>
        <w:jc w:val="left"/>
        <w:tblInd w:w="0" w:type="dxa"/>
        <w:tblLayout w:type="fixed"/>
        <w:tblCellMar>
          <w:top w:w="28" w:type="dxa"/>
          <w:left w:w="28" w:type="dxa"/>
          <w:bottom w:w="28" w:type="dxa"/>
          <w:right w:w="28" w:type="dxa"/>
        </w:tblCellMar>
      </w:tblPr>
      <w:tblGrid>
        <w:gridCol w:w="321"/>
        <w:gridCol w:w="282"/>
        <w:gridCol w:w="282"/>
        <w:gridCol w:w="282"/>
        <w:gridCol w:w="282"/>
        <w:gridCol w:w="282"/>
        <w:gridCol w:w="282"/>
        <w:gridCol w:w="282"/>
        <w:gridCol w:w="39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of each Loan Party]</w:t>
            </w:r>
          </w:p>
        </w:tc>
      </w:tr>
      <w:tr>
        <w:trPr/>
        <w:tc>
          <w:tcPr>
            <w:tcW w:w="17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Payor</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314960"/>
                <wp:effectExtent l="0" t="0" r="0" b="0"/>
                <wp:wrapNone/>
                <wp:docPr id="378" name="Frame37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I</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w:t>
        <w:br/>
        <w:t>FIRST LIEN INTERCREDITOR AGREEMENT</w:t>
        <w:br/>
        <w:br/>
        <w:br/>
        <w:t xml:space="preserve">among </w:t>
        <w:br/>
        <w:br/>
        <w:br/>
        <w:t xml:space="preserve">OSI RESTAURANT PARTNERS, LLC, </w:t>
        <w:b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BLOOMIN’ BRANDS,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as Borrowers, </w:t>
        <w:br/>
        <w:br/>
        <w:t>THE OTHER GRANTORS PARTY HERETO,</w:t>
        <w:br/>
        <w:br/>
        <w:t xml:space="preserve">WELLS FARGO BANK, NATIONAL ASSOCIATION, </w:t>
        <w:br/>
        <w:t>as Credit Agreement Collateral Agent for the Credit Agreement Secured Parties,</w:t>
        <w:br/>
        <w:br/>
        <w:t xml:space="preserve">WELLS FARGO BANK, NATIONAL ASSOCIATION, </w:t>
        <w:br/>
        <w:t>as Authorized Representative for the Credit Agreement Secured Parties,</w:t>
        <w:br/>
        <w:br/>
        <w:t>[_________________________],</w:t>
        <w:br/>
        <w:t>as the Initial Additional Authorized Representative,</w:t>
        <w:br/>
        <w:br/>
        <w:t>and</w:t>
        <w:br/>
        <w:br/>
        <w:t>each additional Authorized Representative from time to time party hereto</w:t>
        <w:br/>
        <w:br/>
        <w:br/>
        <w:br/>
        <w:br/>
        <w:br/>
        <w:br/>
        <w:br/>
        <w:t>dated as of [_______________], 202[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16840"/>
                <wp:effectExtent l="0" t="0" r="0" b="0"/>
                <wp:wrapNone/>
                <wp:docPr id="379" name="Frame3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FIRST LIEN INTERCREDITOR AGREEMENT, dated as of [____________], 202[</w:t>
      </w:r>
      <w:r>
        <w:rPr>
          <w:color w:val="000000"/>
          <w:u w:val="single"/>
        </w:rPr>
        <w:t>  </w:t>
      </w:r>
      <w:r>
        <w:rPr>
          <w:rFonts w:ascii="Times New Roman;serif" w:hAnsi="Times New Roman;serif"/>
          <w:b w:val="false"/>
          <w:color w:val="000000"/>
          <w:sz w:val="22"/>
        </w:rPr>
        <w:t>] (as amended, restated, amended and restated, extended, supplemented or otherwise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other Grantors (as defined below) from time to time party hereto, WELLS FARGO BANK, NATIONAL ASSOCIATION, as administrative agent for the Credit Agreement Secured Parties (as defined below) (in such capacity and together with its successors in such capacity, the “</w:t>
      </w:r>
      <w:r>
        <w:rPr>
          <w:rFonts w:ascii="Times New Roman;serif" w:hAnsi="Times New Roman;serif"/>
          <w:b w:val="false"/>
          <w:color w:val="000000"/>
          <w:sz w:val="22"/>
          <w:u w:val="single"/>
        </w:rPr>
        <w:t>Credit Agreement Collateral Agent</w:t>
      </w:r>
      <w:r>
        <w:rPr>
          <w:color w:val="000000"/>
        </w:rPr>
        <w:t>”</w:t>
      </w:r>
      <w:r>
        <w:rPr>
          <w:rFonts w:ascii="Times New Roman;serif" w:hAnsi="Times New Roman;serif"/>
          <w:b w:val="false"/>
          <w:color w:val="000000"/>
          <w:sz w:val="22"/>
        </w:rPr>
        <w:t>), WELLS FARGO BANK, NATIONAL ASSOCIATION, as Authorized Representative for the Credit Agreement Secured Parties (as each such term is defined below), the Additional Collateral Agent (as defined below), the Authorized Representative for the Initial Additional First-Lien Secured Parties (as defined below) (in such capacity and together with its successors in such capacity, the “</w:t>
      </w:r>
      <w:r>
        <w:rPr>
          <w:rFonts w:ascii="Times New Roman;serif" w:hAnsi="Times New Roman;serif"/>
          <w:b w:val="false"/>
          <w:color w:val="000000"/>
          <w:sz w:val="22"/>
          <w:u w:val="single"/>
        </w:rPr>
        <w:t>Initial Additional Authorized Representative</w:t>
      </w:r>
      <w:r>
        <w:rPr>
          <w:color w:val="000000"/>
        </w:rPr>
        <w:t>”</w:t>
      </w:r>
      <w:r>
        <w:rPr>
          <w:rFonts w:ascii="Times New Roman;serif" w:hAnsi="Times New Roman;serif"/>
          <w:b w:val="false"/>
          <w:color w:val="000000"/>
          <w:sz w:val="22"/>
        </w:rPr>
        <w:t>) and each additional Authorized Representative from time to time party hereto for the other Additional First-Lien Secured Parties of the Series (as defined below) with respect to which it is acting in such capacity.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agreements herein contained and other good and valuable consideration, the receipt and sufficiency of which are hereby acknowledged, the Administrative Agent, the Credit Agreement Collateral Agent (for itself and on behalf of the Credit Agreement Secured Parties), the Initial Additional Authorized Representative (for itself and on behalf of the Initial Additional First-Lien Secured Parties) and each additional Authorized Representative (for itself and on behalf of the Additional First-Lien Secured Parties of the applicable Series)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w:t>
        <w:br/>
        <w:b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Certain Defined Terms</w:t>
      </w:r>
      <w:r>
        <w:rPr>
          <w:rFonts w:ascii="Times New Roman;serif" w:hAnsi="Times New Roman;serif"/>
          <w:b w:val="false"/>
          <w:color w:val="000000"/>
          <w:sz w:val="22"/>
        </w:rPr>
        <w:t>. Capitalized terms used but not otherwise defined herein have the meanings set forth in the Credit Agreement or, if defined in the New York UCC, the meanings specified therein. As used in this Agreement, the following terms have the meanings specified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Additional Administrative Agent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Collateral Agent</w:t>
      </w:r>
      <w:r>
        <w:rPr>
          <w:color w:val="000000"/>
        </w:rPr>
        <w:t xml:space="preserve">” </w:t>
      </w:r>
      <w:r>
        <w:rPr>
          <w:rFonts w:ascii="Times New Roman;serif" w:hAnsi="Times New Roman;serif"/>
          <w:b w:val="false"/>
          <w:color w:val="000000"/>
          <w:sz w:val="22"/>
        </w:rPr>
        <w:t>means (a) prior to the Discharge of the Initial Additional First-Lien Obligations, [                   ] and (b) after the Discharge of the Initial Additional First-Lien Obligations, the Authorized Representative for the Series of Additional First-Lien Obligations that constitutes the largest outstanding principal amount of any then outstanding Series of Additional First-Lien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First-Lien Documents</w:t>
      </w:r>
      <w:r>
        <w:rPr>
          <w:color w:val="000000"/>
        </w:rPr>
        <w:t xml:space="preserve">” </w:t>
      </w:r>
      <w:r>
        <w:rPr>
          <w:rFonts w:ascii="Times New Roman;serif" w:hAnsi="Times New Roman;serif"/>
          <w:b w:val="false"/>
          <w:color w:val="000000"/>
          <w:sz w:val="22"/>
        </w:rPr>
        <w:t>means, with respect to the Initial Additional First-Lien Obligations or any other Additional First-Lien Obligations, the credit agreements, notes, indentures, security documents or other operative agreements evidencing or governing such Indebtedness and the Liens securing such Indebtedness, including the Initial Additional First-Lien Documents and the Additional First-Lien Security Documents and each other agreement entered into for the purpose of securing the Initial Additional First-Lien Obligations or any other Additional First-Lien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First-Lien Obligations</w:t>
      </w:r>
      <w:r>
        <w:rPr>
          <w:color w:val="000000"/>
        </w:rPr>
        <w:t xml:space="preserve">” </w:t>
      </w:r>
      <w:r>
        <w:rPr>
          <w:rFonts w:ascii="Times New Roman;serif" w:hAnsi="Times New Roman;serif"/>
          <w:b w:val="false"/>
          <w:color w:val="000000"/>
          <w:sz w:val="22"/>
        </w:rPr>
        <w:t xml:space="preserve">means collectively (1) the Initial Additional First-Lien Obligations and (2) all amounts owing pursuant to the terms of any Series of Additional Senior Class Debt designated as Additional First-Lien Obligations pursuant to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 xml:space="preserve">hereof after the date hereof, including, without limitation, the obligation (including guarantee obligations) to pay principal, interest (including interest that accrues after the commencement of a Bankruptcy Case, regardless of whether such interest is an allowed claim under such Bankruptcy Case), letter of credit commissions, reimbursement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16840"/>
                <wp:effectExtent l="0" t="0" r="0" b="0"/>
                <wp:wrapNone/>
                <wp:docPr id="380" name="Frame3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charges, expenses, fees, attorneys costs, indemnities and other amounts payable by a Grantor under any Additional First-Lien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First-Lien Secured Party</w:t>
      </w:r>
      <w:r>
        <w:rPr>
          <w:color w:val="000000"/>
        </w:rPr>
        <w:t xml:space="preserve">” </w:t>
      </w:r>
      <w:r>
        <w:rPr>
          <w:rFonts w:ascii="Times New Roman;serif" w:hAnsi="Times New Roman;serif"/>
          <w:b w:val="false"/>
          <w:color w:val="000000"/>
          <w:sz w:val="22"/>
        </w:rPr>
        <w:t>means the holders of any Additional First-Lien Obligations and any Authorized Representative with respect thereto, and shall include the Initial Additional First-Lien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First-Lien Security Document</w:t>
      </w:r>
      <w:r>
        <w:rPr>
          <w:color w:val="000000"/>
        </w:rPr>
        <w:t xml:space="preserve">” </w:t>
      </w:r>
      <w:r>
        <w:rPr>
          <w:rFonts w:ascii="Times New Roman;serif" w:hAnsi="Times New Roman;serif"/>
          <w:b w:val="false"/>
          <w:color w:val="000000"/>
          <w:sz w:val="22"/>
        </w:rPr>
        <w:t>means any collateral agreement, security agreement or any other document now existing or entered into after the date hereof that creates Liens on any assets or properties of any Grantor to secure the Additional First-Lien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Senior Class Debt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“Additional Senior Class Debt Parties” has the meaning assigned to such term in </w:t>
      </w:r>
      <w:r>
        <w:rPr>
          <w:rFonts w:ascii="Times New Roman;serif" w:hAnsi="Times New Roman;serif"/>
          <w:b w:val="false"/>
          <w:color w:val="000000"/>
          <w:sz w:val="22"/>
          <w:u w:val="single"/>
        </w:rPr>
        <w:t>Section 5.13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Additional Senior Class Debt Representative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 xml:space="preserve">has the meaning assigned to such term in the definition of “Credit Agreement” and shall include any successor administrative agent (including as a result of any Refinancing or other modification of the Credit Agreement permitted by </w:t>
      </w:r>
      <w:r>
        <w:rPr>
          <w:rFonts w:ascii="Times New Roman;serif" w:hAnsi="Times New Roman;serif"/>
          <w:b w:val="false"/>
          <w:color w:val="000000"/>
          <w:sz w:val="22"/>
          <w:u w:val="single"/>
        </w:rPr>
        <w:t>Section 2.07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assigned to such term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Authorized Representative</w:t>
      </w:r>
      <w:r>
        <w:rPr>
          <w:color w:val="000000"/>
        </w:rPr>
        <w:t xml:space="preserve">” </w:t>
      </w:r>
      <w:r>
        <w:rPr>
          <w:rFonts w:ascii="Times New Roman;serif" w:hAnsi="Times New Roman;serif"/>
          <w:b w:val="false"/>
          <w:color w:val="000000"/>
          <w:sz w:val="22"/>
        </w:rPr>
        <w:t>means, with respect to any Shared Collateral, (i) until the earlier of (x) the Discharge of Credit Agreement Obligations and (y) the Non-Controlling Authorized Representative Enforcement Date, the Administrative Agent, and (ii) from and after the earlier of (x) the Discharge of Credit Agreement Obligations and (y) the Non-Controlling Authorized Representative Enforcement Date, the Major Non-Controlling Authorized Representative.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Authorized Representative</w:t>
      </w:r>
      <w:r>
        <w:rPr>
          <w:color w:val="000000"/>
        </w:rPr>
        <w:t xml:space="preserve">” </w:t>
      </w:r>
      <w:r>
        <w:rPr>
          <w:rFonts w:ascii="Times New Roman;serif" w:hAnsi="Times New Roman;serif"/>
          <w:b w:val="false"/>
          <w:color w:val="000000"/>
          <w:sz w:val="22"/>
        </w:rPr>
        <w:t>means, at any time, (i) in the case of any Credit Agreement Obligations or the Credit Agreement Secured Parties, the Administrative Agent, (ii) in the case of the Initial Additional First-Lien Obligations or the Initial Additional First-Lien Secured Parties, the Initial Additional Authorized Representative, and (iii) in the case of any other Series of Additional First-Lien Obligations or Additional First-Lien Secured Parties that become subject to this Agreement after the date hereof, the collateral agent named as authorized representative for such Series in the applicable Joinder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Case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as amended,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Law</w:t>
      </w:r>
      <w:r>
        <w:rPr>
          <w:color w:val="000000"/>
        </w:rPr>
        <w:t xml:space="preserve">” </w:t>
      </w:r>
      <w:r>
        <w:rPr>
          <w:rFonts w:ascii="Times New Roman;serif" w:hAnsi="Times New Roman;serif"/>
          <w:b w:val="false"/>
          <w:color w:val="000000"/>
          <w:sz w:val="22"/>
        </w:rPr>
        <w:t>means the Bankruptcy Code and any similar federal, state or foreign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Borrowers</w:t>
      </w:r>
      <w:r>
        <w:rPr>
          <w:color w:val="000000"/>
        </w:rPr>
        <w:t xml:space="preserve">” </w:t>
      </w:r>
      <w:r>
        <w:rPr>
          <w:rFonts w:ascii="Times New Roman;serif" w:hAnsi="Times New Roman;serif"/>
          <w:b w:val="false"/>
          <w:color w:val="000000"/>
          <w:sz w:val="22"/>
        </w:rPr>
        <w:t>has the meaning assigned to such term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all assets and properties subject to Liens created pursuant to any First-Lien Security Document to secure one or more Series of First-Lien Obligations.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525145"/>
                <wp:effectExtent l="0" t="0" r="0" b="0"/>
                <wp:wrapNone/>
                <wp:docPr id="381" name="Frame38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means (i) in the case of any Credit Agreement Obligations, the Credit Agreement Collateral Agent, (ii) in the case of the Initial Additional First-Lien Obligations, the Additional Collateral Agent and (iii) in the case of any other Series of Additional First-Lien Obligations, the collateral agent named as Authorized Representative for such Series in the applicable Joinder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Controlling Collateral Agent</w:t>
      </w:r>
      <w:r>
        <w:rPr>
          <w:color w:val="000000"/>
        </w:rPr>
        <w:t xml:space="preserve">” </w:t>
      </w:r>
      <w:r>
        <w:rPr>
          <w:rFonts w:ascii="Times New Roman;serif" w:hAnsi="Times New Roman;serif"/>
          <w:b w:val="false"/>
          <w:color w:val="000000"/>
          <w:sz w:val="22"/>
        </w:rPr>
        <w:t>means (i) until the earlier of (x) the Discharge of Credit Agreement Obligations and (y) the Non-Controlling Authorized Representative Enforcement Date, the Credit Agreement Collateral Agent and (ii) from and after the earlier of (x) the Discharge of Credit Agreement Obligations and (y) the Non-Controlling Authorized Representative Enforcement Date, the Additional Collateral Agent (acting on the instructions of the Applicable Authorized Representative).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Controlling Secured Parties</w:t>
      </w:r>
      <w:r>
        <w:rPr>
          <w:color w:val="000000"/>
        </w:rPr>
        <w:t xml:space="preserve">” </w:t>
      </w:r>
      <w:r>
        <w:rPr>
          <w:rFonts w:ascii="Times New Roman;serif" w:hAnsi="Times New Roman;serif"/>
          <w:b w:val="false"/>
          <w:color w:val="000000"/>
          <w:sz w:val="22"/>
        </w:rPr>
        <w:t>means, with respect to any Shared Collateral, (i) at any time when the Credit Agreement Collateral Agent is the Controlling Collateral Agent, the Credit Agreement Secured Parties and (ii) at any other time, the Series of First-Lien Secured Parties whose Authorized Representative is the Applicable Authorized Representative for such Shared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means that certain Fourth Amended and Restated Credit Agreement, dated as of September 25, 2026, among the Borrowers, the lenders from time to time party thereto and Wells Fargo Bank, National Association, as administrative agent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Collateral Agent, Swing Line Lender and an L/C Issuer, as amended, restated, amended and restated, extended,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 Collateral Agent</w:t>
      </w:r>
      <w:r>
        <w:rPr>
          <w:color w:val="000000"/>
        </w:rPr>
        <w:t xml:space="preserve">” </w:t>
      </w:r>
      <w:r>
        <w:rPr>
          <w:rFonts w:ascii="Times New Roman;serif" w:hAnsi="Times New Roman;serif"/>
          <w:b w:val="false"/>
          <w:color w:val="000000"/>
          <w:sz w:val="22"/>
        </w:rPr>
        <w:t>has the meaning assigned to such term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 Collateral Documents</w:t>
      </w:r>
      <w:r>
        <w:rPr>
          <w:color w:val="000000"/>
        </w:rPr>
        <w:t xml:space="preserve">” </w:t>
      </w:r>
      <w:r>
        <w:rPr>
          <w:rFonts w:ascii="Times New Roman;serif" w:hAnsi="Times New Roman;serif"/>
          <w:b w:val="false"/>
          <w:color w:val="000000"/>
          <w:sz w:val="22"/>
        </w:rPr>
        <w:t>means the Security Agreement, the other Collateral Documents (as defined in the Credit Agreement) and each other agreement entered into in favor of the Credit Agreement Collateral Agent for the purpose of securing any Credit Agreement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 Obligations</w:t>
      </w:r>
      <w:r>
        <w:rPr>
          <w:color w:val="000000"/>
        </w:rPr>
        <w:t xml:space="preserve">” </w:t>
      </w:r>
      <w:r>
        <w:rPr>
          <w:rFonts w:ascii="Times New Roman;serif" w:hAnsi="Times New Roman;serif"/>
          <w:b w:val="false"/>
          <w:color w:val="000000"/>
          <w:sz w:val="22"/>
        </w:rPr>
        <w:t>means all “Obligations” as defined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Agreement Secured Parties</w:t>
      </w:r>
      <w:r>
        <w:rPr>
          <w:color w:val="000000"/>
        </w:rPr>
        <w:t xml:space="preserve">” </w:t>
      </w:r>
      <w:r>
        <w:rPr>
          <w:rFonts w:ascii="Times New Roman;serif" w:hAnsi="Times New Roman;serif"/>
          <w:b w:val="false"/>
          <w:color w:val="000000"/>
          <w:sz w:val="22"/>
        </w:rPr>
        <w:t>means the “Secured Parties” as defined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DIP Financing</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DIP Financing Liens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DIP Lenders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Discharge</w:t>
      </w:r>
      <w:r>
        <w:rPr>
          <w:color w:val="000000"/>
        </w:rPr>
        <w:t xml:space="preserve">” </w:t>
      </w:r>
      <w:r>
        <w:rPr>
          <w:rFonts w:ascii="Times New Roman;serif" w:hAnsi="Times New Roman;serif"/>
          <w:b w:val="false"/>
          <w:color w:val="000000"/>
          <w:sz w:val="22"/>
        </w:rPr>
        <w:t>means, with respect to any Shared Collateral and any Series of First-Lien Obligations, the date on which such Series of First-Lien Obligations is no longer secured by such Shared Collateral. The term “</w:t>
      </w:r>
      <w:r>
        <w:rPr>
          <w:rFonts w:ascii="Times New Roman;serif" w:hAnsi="Times New Roman;serif"/>
          <w:b w:val="false"/>
          <w:color w:val="000000"/>
          <w:sz w:val="22"/>
          <w:u w:val="single"/>
        </w:rPr>
        <w:t>Discharged</w:t>
      </w:r>
      <w:r>
        <w:rPr>
          <w:color w:val="000000"/>
        </w:rPr>
        <w:t xml:space="preserve">” </w:t>
      </w:r>
      <w:r>
        <w:rPr>
          <w:rFonts w:ascii="Times New Roman;serif" w:hAnsi="Times New Roman;serif"/>
          <w:b w:val="false"/>
          <w:color w:val="000000"/>
          <w:sz w:val="22"/>
        </w:rPr>
        <w:t>shall have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Discharge of Credit Agreement Obligations</w:t>
      </w:r>
      <w:r>
        <w:rPr>
          <w:color w:val="000000"/>
        </w:rPr>
        <w:t xml:space="preserve">” </w:t>
      </w:r>
      <w:r>
        <w:rPr>
          <w:rFonts w:ascii="Times New Roman;serif" w:hAnsi="Times New Roman;serif"/>
          <w:b w:val="false"/>
          <w:color w:val="000000"/>
          <w:sz w:val="22"/>
        </w:rPr>
        <w:t xml:space="preserve">means, with respect to any Shared Collateral, the Discharge of the Credit Agreement Obligations with respect to such Shared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Discharge of Credit Agreement Obligations shall not be deemed to have occurred in connection with a Refinancing of such Credit Agreement Obligations with additional First-Lien Obligations secured by such Shared Collateral under an Additional First-Lien Document which has been designated in writing by the Administrative Agent (under the Credit Agreement so Refinanced) to the Additional Collateral Agent and each other Authorized Representative as the “Credit Agreement”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525145"/>
                <wp:effectExtent l="0" t="0" r="0" b="0"/>
                <wp:wrapNone/>
                <wp:docPr id="382" name="Frame38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means an “Event of Default” (or similarly defined term) as defined in any Secured Credit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 Lien L/C Issuer</w:t>
      </w:r>
      <w:r>
        <w:rPr>
          <w:color w:val="000000"/>
        </w:rPr>
        <w:t xml:space="preserve">” </w:t>
      </w:r>
      <w:r>
        <w:rPr>
          <w:rFonts w:ascii="Times New Roman;serif" w:hAnsi="Times New Roman;serif"/>
          <w:b w:val="false"/>
          <w:color w:val="000000"/>
          <w:sz w:val="22"/>
        </w:rPr>
        <w:t>means (i) each L/C Issuer (as defined in the Credit Agreement with respect to each Letter of Credit issued thereunder) and (ii) each other issuing bank in respect of a First Lien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 Lien Letter of Credit</w:t>
      </w:r>
      <w:r>
        <w:rPr>
          <w:color w:val="000000"/>
        </w:rPr>
        <w:t xml:space="preserve">” </w:t>
      </w:r>
      <w:r>
        <w:rPr>
          <w:rFonts w:ascii="Times New Roman;serif" w:hAnsi="Times New Roman;serif"/>
          <w:b w:val="false"/>
          <w:color w:val="000000"/>
          <w:sz w:val="22"/>
        </w:rPr>
        <w:t>means any letter of credit issued under the Credit Agreement or any Additional First Lien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First-Lien Obligations</w:t>
      </w:r>
      <w:r>
        <w:rPr>
          <w:color w:val="000000"/>
        </w:rPr>
        <w:t xml:space="preserve">” </w:t>
      </w:r>
      <w:r>
        <w:rPr>
          <w:rFonts w:ascii="Times New Roman;serif" w:hAnsi="Times New Roman;serif"/>
          <w:b w:val="false"/>
          <w:color w:val="000000"/>
          <w:sz w:val="22"/>
        </w:rPr>
        <w:t>means, collectively, (i) the Credit Agreement Obligations and (ii) each Series of Additional First-Lien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First-Lien Secured Parties</w:t>
      </w:r>
      <w:r>
        <w:rPr>
          <w:color w:val="000000"/>
        </w:rPr>
        <w:t xml:space="preserve">” </w:t>
      </w:r>
      <w:r>
        <w:rPr>
          <w:rFonts w:ascii="Times New Roman;serif" w:hAnsi="Times New Roman;serif"/>
          <w:b w:val="false"/>
          <w:color w:val="000000"/>
          <w:sz w:val="22"/>
        </w:rPr>
        <w:t>means (i) the Credit Agreement Secured Parties and (ii) the Additional First-Lien Secured Parties with respect to each Series of Additional First-Lien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First-Lien Security Documents</w:t>
      </w:r>
      <w:r>
        <w:rPr>
          <w:color w:val="000000"/>
        </w:rPr>
        <w:t xml:space="preserve">” </w:t>
      </w:r>
      <w:r>
        <w:rPr>
          <w:rFonts w:ascii="Times New Roman;serif" w:hAnsi="Times New Roman;serif"/>
          <w:b w:val="false"/>
          <w:color w:val="000000"/>
          <w:sz w:val="22"/>
        </w:rPr>
        <w:t>means, collectively, (i) the Credit Agreement Collateral Documents and (ii) the Additional First-Lien Security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Grantors</w:t>
      </w:r>
      <w:r>
        <w:rPr>
          <w:color w:val="000000"/>
        </w:rPr>
        <w:t xml:space="preserve">” </w:t>
      </w:r>
      <w:r>
        <w:rPr>
          <w:rFonts w:ascii="Times New Roman;serif" w:hAnsi="Times New Roman;serif"/>
          <w:b w:val="false"/>
          <w:color w:val="000000"/>
          <w:sz w:val="22"/>
        </w:rPr>
        <w:t xml:space="preserve">means the Borrowers and each of the Guarantors (as defined in the Credit Agreement) which has granted a security interest pursuant to any First-Lien Security Document to secure any Series of First-Lien Obligations. The Grantors existing on the date hereof are set forth in </w:t>
      </w:r>
      <w:r>
        <w:rPr>
          <w:rFonts w:ascii="Times New Roman;serif" w:hAnsi="Times New Roman;serif"/>
          <w:b w:val="false"/>
          <w:color w:val="000000"/>
          <w:sz w:val="22"/>
          <w:u w:val="single"/>
        </w:rPr>
        <w:t>Annex I</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Impairment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Authorized Representative</w:t>
      </w:r>
      <w:r>
        <w:rPr>
          <w:color w:val="000000"/>
        </w:rPr>
        <w:t xml:space="preserve">” </w:t>
      </w:r>
      <w:r>
        <w:rPr>
          <w:rFonts w:ascii="Times New Roman;serif" w:hAnsi="Times New Roman;serif"/>
          <w:b w:val="false"/>
          <w:color w:val="000000"/>
          <w:sz w:val="22"/>
        </w:rPr>
        <w:t>has the meaning assigned to such term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First-Lien Agreement</w:t>
      </w:r>
      <w:r>
        <w:rPr>
          <w:color w:val="000000"/>
        </w:rPr>
        <w:t xml:space="preserve">” </w:t>
      </w:r>
      <w:r>
        <w:rPr>
          <w:rFonts w:ascii="Times New Roman;serif" w:hAnsi="Times New Roman;serif"/>
          <w:b w:val="false"/>
          <w:color w:val="000000"/>
          <w:sz w:val="22"/>
        </w:rPr>
        <w:t>mean that certain [Credit Agreement] [Indenture] [Other Agreement], dated as of [_______________], among the Borrowers, [the Guarantors identified therein,] and [_______________], as [administrative agent] [trustee], as amended, restated, amended and restated, extended,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First-Lien Documents</w:t>
      </w:r>
      <w:r>
        <w:rPr>
          <w:color w:val="000000"/>
        </w:rPr>
        <w:t xml:space="preserve">” </w:t>
      </w:r>
      <w:r>
        <w:rPr>
          <w:rFonts w:ascii="Times New Roman;serif" w:hAnsi="Times New Roman;serif"/>
          <w:b w:val="false"/>
          <w:color w:val="000000"/>
          <w:sz w:val="22"/>
        </w:rPr>
        <w:t>means the Initial Additional First-Lien Agreement, the [loans made] [debt securities issued] thereunder, the Initial Additional First-Lien Security Agreement and any security documents and other operative agreements evidencing or governing the Indebtedness thereunder, and the Liens securing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First-Lien Obligations</w:t>
      </w:r>
      <w:r>
        <w:rPr>
          <w:color w:val="000000"/>
        </w:rPr>
        <w:t xml:space="preserve">” </w:t>
      </w:r>
      <w:r>
        <w:rPr>
          <w:rFonts w:ascii="Times New Roman;serif" w:hAnsi="Times New Roman;serif"/>
          <w:b w:val="false"/>
          <w:color w:val="000000"/>
          <w:sz w:val="22"/>
        </w:rPr>
        <w:t>means the [Obligations] as such term is defined in the Initial Additional First-Lien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First-Lien Secured Parties</w:t>
      </w:r>
      <w:r>
        <w:rPr>
          <w:color w:val="000000"/>
        </w:rPr>
        <w:t xml:space="preserve">” </w:t>
      </w:r>
      <w:r>
        <w:rPr>
          <w:rFonts w:ascii="Times New Roman;serif" w:hAnsi="Times New Roman;serif"/>
          <w:b w:val="false"/>
          <w:color w:val="000000"/>
          <w:sz w:val="22"/>
        </w:rPr>
        <w:t>means the Additional Collateral Agent, the Initial Additional Authorized Representative and the holders of the Initial Additional First-Lien Obligations issued pursuant to the Initial Additional First-Lien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Additional First-Lien Security Agreement</w:t>
      </w:r>
      <w:r>
        <w:rPr>
          <w:color w:val="000000"/>
        </w:rPr>
        <w:t xml:space="preserve">” </w:t>
      </w:r>
      <w:r>
        <w:rPr>
          <w:rFonts w:ascii="Times New Roman;serif" w:hAnsi="Times New Roman;serif"/>
          <w:b w:val="false"/>
          <w:color w:val="000000"/>
          <w:sz w:val="22"/>
        </w:rPr>
        <w:t>means the security agreement, dated as of the date hereof, among the Borrowers, the Additional Collateral Agent and the other parties thereto, as amended, restated, amended and restated, extended,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Insolvency or Liquidation Proceeding</w:t>
      </w:r>
      <w:r>
        <w:rPr>
          <w:color w:val="000000"/>
        </w:rPr>
        <w:t xml:space="preserve">” </w:t>
      </w:r>
      <w:r>
        <w:rPr>
          <w:rFonts w:ascii="Times New Roman;serif" w:hAnsi="Times New Roman;serif"/>
          <w:b w:val="false"/>
          <w:color w:val="000000"/>
          <w:sz w:val="22"/>
        </w:rPr>
        <w:t>means:</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525145"/>
                <wp:effectExtent l="0" t="0" r="0" b="0"/>
                <wp:wrapNone/>
                <wp:docPr id="383" name="Frame38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any case commenced by or against any Borrower or any other Grantor under any Bankruptcy Law, any other proceeding for the reorganization, recapitalization or adjustment or marshalling of the assets or liabilities of any Borrower or any other Grantor, any receivership or assignment for the benefit of creditors relating to any Borrower or any other Grantor or any similar case or proceeding relative to any Borrower or any other Grantor or its creditors, as such, in each case whether or not voluntary;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any liquidation, dissolution, marshalling of assets or liabilities or other winding up of or relating to any Borrower or any other Grantor, in each case whether or not voluntary and whether or not involving bankruptcy or insolvency;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any other proceeding of any type or nature in which substantially all claims of creditors of any Borrower or any other Grantor are determined and any payment or distribution is or may be made on account of such claims.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Intervening Creditor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Joinder Agreement</w:t>
      </w:r>
      <w:r>
        <w:rPr>
          <w:color w:val="000000"/>
        </w:rPr>
        <w:t xml:space="preserve">” </w:t>
      </w:r>
      <w:r>
        <w:rPr>
          <w:rFonts w:ascii="Times New Roman;serif" w:hAnsi="Times New Roman;serif"/>
          <w:b w:val="false"/>
          <w:color w:val="000000"/>
          <w:sz w:val="22"/>
        </w:rPr>
        <w:t xml:space="preserve">means a joinder to this Agreement substantially in the form of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 operating lease in and of itself be deemed a Lien.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Major Non-Controlling Authorized Representative</w:t>
      </w:r>
      <w:r>
        <w:rPr>
          <w:color w:val="000000"/>
        </w:rPr>
        <w:t xml:space="preserve">” </w:t>
      </w:r>
      <w:r>
        <w:rPr>
          <w:rFonts w:ascii="Times New Roman;serif" w:hAnsi="Times New Roman;serif"/>
          <w:b w:val="false"/>
          <w:color w:val="000000"/>
          <w:sz w:val="22"/>
        </w:rPr>
        <w:t>means, with respect to any Shared Collateral, (i) at any time when the Credit Agreement Collateral Agent is the Controlling Collateral Agent, the Authorized Representative of the Series of Additional First-Lien Obligations, if any, that constitutes the largest outstanding principal amount of any then outstanding Series of First-Lien Obligations (including the Credit Agreement Obligations) and (ii) at any time when the Additional Collateral Agent is the Controlling Collateral Agent, the Authorized Representative of the Series of Additional First-Lien Obligations that constitutes the largest outstanding principal amount of any then outstanding Series of First-Lien Obligations (other than Credit Agreement Obligations) with respect to such Shared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York UCC</w:t>
      </w:r>
      <w:r>
        <w:rPr>
          <w:color w:val="000000"/>
        </w:rPr>
        <w:t xml:space="preserve">” </w:t>
      </w:r>
      <w:r>
        <w:rPr>
          <w:rFonts w:ascii="Times New Roman;serif" w:hAnsi="Times New Roman;serif"/>
          <w:b w:val="false"/>
          <w:color w:val="000000"/>
          <w:sz w:val="22"/>
        </w:rPr>
        <w:t>means the Uniform Commercial Code as from time to time in effect in the State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Non-Controlling Authorized Representative</w:t>
      </w:r>
      <w:r>
        <w:rPr>
          <w:color w:val="000000"/>
        </w:rPr>
        <w:t xml:space="preserve">” </w:t>
      </w:r>
      <w:r>
        <w:rPr>
          <w:rFonts w:ascii="Times New Roman;serif" w:hAnsi="Times New Roman;serif"/>
          <w:b w:val="false"/>
          <w:color w:val="000000"/>
          <w:sz w:val="22"/>
        </w:rPr>
        <w:t>means, at any time with respect to any Shared Collateral, any Authorized Representative that is not the Applicable Authorized Representative at such time with respect to such Shared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Non-Controlling Authorized Representative Enforcement Date</w:t>
      </w:r>
      <w:r>
        <w:rPr>
          <w:color w:val="000000"/>
        </w:rPr>
        <w:t xml:space="preserve">” </w:t>
      </w:r>
      <w:r>
        <w:rPr>
          <w:rFonts w:ascii="Times New Roman;serif" w:hAnsi="Times New Roman;serif"/>
          <w:b w:val="false"/>
          <w:color w:val="000000"/>
          <w:sz w:val="22"/>
        </w:rPr>
        <w:t xml:space="preserve">means, with respect to any Non-Controlling Authorized Representative, the date which is 180 days (throughout which 180 day period such Non-Controlling Authorized Representative was the Major Non-Controlling Authorized Representative) after the occurrence of both (i) an Event of Default (under and as defined in the Additional First-Lien Document under which such Non-Controlling Authorized Representative is the Authorized Representative) and (ii) each Collateral Agent’s and each other Authorized Representative’s receipt of written notice from such Non-Controlling Authorized Representative certifying that (x) such Non-Controlling Authorized Representative is the Major Non-Controlling Authorized Representative and that an Event of Default (under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525145"/>
                <wp:effectExtent l="0" t="0" r="0" b="0"/>
                <wp:wrapNone/>
                <wp:docPr id="384" name="Frame38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as defined in the Additional First-Lien Document under which such Non-Controlling Authorized Representative is the Authorized Representative) has occurred and is continuing and (y) the Additional First-Lien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First-Lien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Non-Controlling Authorized Representative Enforcement Date shall be stayed and shall not occur and shall be deemed not to have occurred with respect to any Shared Collateral (1) at any time the Administrative Agent or the Credit Agreement Collateral Agent has commenced and is diligently pursuing any enforcement action with respect to such Shared Collateral or (2) at any time the Grantor which has granted a security interest in such Shared Collateral is then a debtor under or with respect to (or otherwise subject to) any Insolvency or Liquidation Proceeding.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Non-Controlling Secured Parties</w:t>
      </w:r>
      <w:r>
        <w:rPr>
          <w:color w:val="000000"/>
        </w:rPr>
        <w:t xml:space="preserve">” </w:t>
      </w:r>
      <w:r>
        <w:rPr>
          <w:rFonts w:ascii="Times New Roman;serif" w:hAnsi="Times New Roman;serif"/>
          <w:b w:val="false"/>
          <w:color w:val="000000"/>
          <w:sz w:val="22"/>
        </w:rPr>
        <w:t>means, with respect to any Shared Collateral, the First-Lien Secured Parties which are not Controlling Secured Parties with respect to such Shared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Possessory Collateral</w:t>
      </w:r>
      <w:r>
        <w:rPr>
          <w:color w:val="000000"/>
        </w:rPr>
        <w:t xml:space="preserve">” </w:t>
      </w:r>
      <w:r>
        <w:rPr>
          <w:rFonts w:ascii="Times New Roman;serif" w:hAnsi="Times New Roman;serif"/>
          <w:b w:val="false"/>
          <w:color w:val="000000"/>
          <w:sz w:val="22"/>
        </w:rPr>
        <w:t>means any Shared Collateral in the possession of a Collateral Agent (or its agents or bailees), to the extent that possession thereof perfects a Lien thereon under the Uniform Commercial Code of any jurisdiction. Possessory Collateral includes, without limitation, any Certificated Securities, Promissory Notes, Instruments, and Chattel Paper, in each case, delivered to or in the possession of the Collateral Agent under the terms of the First-Lien Security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Proceeds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Refinance</w:t>
      </w:r>
      <w:r>
        <w:rPr>
          <w:color w:val="000000"/>
        </w:rPr>
        <w:t xml:space="preserve">” </w:t>
      </w:r>
      <w:r>
        <w:rPr>
          <w:rFonts w:ascii="Times New Roman;serif" w:hAnsi="Times New Roman;serif"/>
          <w:b w:val="false"/>
          <w:color w:val="000000"/>
          <w:sz w:val="22"/>
        </w:rPr>
        <w:t>means, in respect of any indebtedness, to refinance, extend, renew, defease, amend, increase, modify, supplement, restructure, refund, replace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Times New Roman;serif" w:hAnsi="Times New Roman;serif"/>
          <w:b w:val="false"/>
          <w:color w:val="000000"/>
          <w:sz w:val="22"/>
          <w:u w:val="single"/>
        </w:rPr>
        <w:t>Refinanced</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have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Credit Document</w:t>
      </w:r>
      <w:r>
        <w:rPr>
          <w:color w:val="000000"/>
        </w:rPr>
        <w:t xml:space="preserve">” </w:t>
      </w:r>
      <w:r>
        <w:rPr>
          <w:rFonts w:ascii="Times New Roman;serif" w:hAnsi="Times New Roman;serif"/>
          <w:b w:val="false"/>
          <w:color w:val="000000"/>
          <w:sz w:val="22"/>
        </w:rPr>
        <w:t>means (i) the Credit Agreement and each Loan Document (as defined in the Credit Agreement), (ii) each Initial Additional First-Lien Document, and (iii) each Additional First-Lien Document for Additional First-Lien Obligations incurred after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“Fourth Amended and Restated Security Agreement,” dated as of September 25, 2026, among the Borrowers, the other Grantors party thereto and the Administrative Agent, as amended, restated, amended and restated, extended,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w:t>
      </w:r>
      <w:r>
        <w:rPr>
          <w:color w:val="000000"/>
        </w:rPr>
        <w:t xml:space="preserve">” </w:t>
      </w:r>
      <w:r>
        <w:rPr>
          <w:rFonts w:ascii="Times New Roman;serif" w:hAnsi="Times New Roman;serif"/>
          <w:b w:val="false"/>
          <w:color w:val="000000"/>
          <w:sz w:val="22"/>
        </w:rPr>
        <w:t>means (a) with respect to the First-Lien Secured Parties, each of (i) the Credit Agreement Secured Parties (in their capacities as such), (ii) the Initial Additional First-Lien Secured Parties (in their capacities as such), and (iii) the Additional First-Lien Secured Parties (in their capacities as such) that become subject to this Agreement after the date hereof that are represented by a common Authorized Representative (in its capacity as such for such Additional First-Lien Secured Parties) and (b) with respect to any First-Lien Obligations, each of (i) the Credit Agreement Obligations, (ii) the Initial Additional First-Lien Obligations, and (iii) the Additional First-Lien Obligations incurred after the date hereof pursuant to any Additional First-Lien Document, which pursuant to any Joinder Agreement, are to be represented hereunder by a common Authorized Representative (in its capacity as such for such Additional First-Lien Obligations).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525145"/>
                <wp:effectExtent l="0" t="0" r="0" b="0"/>
                <wp:wrapNone/>
                <wp:docPr id="385" name="Frame38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Shared Collateral</w:t>
      </w:r>
      <w:r>
        <w:rPr>
          <w:color w:val="000000"/>
        </w:rPr>
        <w:t xml:space="preserve">” </w:t>
      </w:r>
      <w:r>
        <w:rPr>
          <w:rFonts w:ascii="Times New Roman;serif" w:hAnsi="Times New Roman;serif"/>
          <w:b w:val="false"/>
          <w:color w:val="000000"/>
          <w:sz w:val="22"/>
        </w:rPr>
        <w:t>means, at any time, Collateral in which the holders of two or more Series of First-Lien Obligations hold a valid and perfected security interest at such time. If more than two Series of First-Lien Obligations are outstanding at any time and the holders of less than all Series of First-Lien Obligations hold a valid and perfected security interest in any Collateral at such time, then such Collateral shall constitute Shared Collateral for those Series of First-Lien Obligations that hold a valid and perfected security interest in such Collateral at such time and shall not constitute Shared Collateral for any Series which does not have a valid and perfected security interest in such Collateral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Trustee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5.17</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1.03    </w:t>
      </w:r>
      <w:r>
        <w:rPr>
          <w:rFonts w:ascii="Times New Roman;serif" w:hAnsi="Times New Roman;serif"/>
          <w:b w:val="false"/>
          <w:color w:val="000000"/>
          <w:sz w:val="22"/>
          <w:u w:val="single"/>
        </w:rPr>
        <w:t>Impairments</w:t>
      </w:r>
      <w:r>
        <w:rPr>
          <w:rFonts w:ascii="Times New Roman;serif" w:hAnsi="Times New Roman;serif"/>
          <w:b w:val="false"/>
          <w:color w:val="000000"/>
          <w:sz w:val="22"/>
        </w:rPr>
        <w:t>. It is the intention of the First-Lien Secured Parties of each Series that the holders of First-Lien Obligations of such Series (and not the First-Lien Secured Parties of any other Series) bear the risk of (i) any determination by a court of competent jurisdiction that (x) any of the First-Lien Obligations of such Series are unenforceable under applicable law or are subordinated to any other obligations (other than another Series of First-Lien Obligations), (y) any of the First-Lien Obligations of such Series do not have an enforceable security interest in any of the Collateral securing any other Series of First-Lien Obligations and/or (z) any intervening security interest exists securing any other obligations (other than another Series of First-Lien Obligations) on a basis ranking prior to the security interest of such Series of First-Lien Obligations but junior to the security interest of any other Series of First-Lien Obligations or (ii) the existence of any Collateral for any other Series of First-Lien Obligations that is not Shared Collateral (any such condition referred to in the foregoing clauses (i) or (ii) with respect to any Series of First-Lien Obligations, an “</w:t>
      </w:r>
      <w:r>
        <w:rPr>
          <w:rFonts w:ascii="Times New Roman;serif" w:hAnsi="Times New Roman;serif"/>
          <w:b w:val="false"/>
          <w:color w:val="000000"/>
          <w:sz w:val="22"/>
          <w:u w:val="single"/>
        </w:rPr>
        <w:t>Impairment</w:t>
      </w:r>
      <w:r>
        <w:rPr>
          <w:color w:val="000000"/>
        </w:rPr>
        <w:t xml:space="preserve">” </w:t>
      </w:r>
      <w:r>
        <w:rPr>
          <w:rFonts w:ascii="Times New Roman;serif" w:hAnsi="Times New Roman;serif"/>
          <w:b w:val="false"/>
          <w:color w:val="000000"/>
          <w:sz w:val="22"/>
        </w:rPr>
        <w:t xml:space="preserve">of such Series);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existence of a maximum claim with respect to any Material Real Property (as defined in the Credit Agreement) subject to a mortgage that applies to all First-Lien Obligations shall not be deemed to be an Impairment of any Series of First-Lien Obligations. In the event of any Impairment with respect to any Series of First-Lien Obligations, the results of such Impairment shall be borne solely by the holders of such Series of First-Lien Obligations, and the rights of the holders of such Series of First-Lien Obligations (including, without limitation, the right to receive distributions in respect of such Series of First-Lien Obligations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set forth herein shall be modified to the extent necessary so that the effects of such Impairment are borne solely by the holders of the Series of such First-Lien Obligations subject to such Impairment. Additionally, in the event the First-Lien Obligations of any Series are modified pursuant to applicable law (including, without limitation, pursuant to Section 1129 of the Bankruptcy Code), any reference to such First-Lien Obligations or the First-Lien Security Documents governing such First-Lien Obligations shall refer to such obligations or such documents as so modified.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525145"/>
                <wp:effectExtent l="0" t="0" r="0" b="0"/>
                <wp:wrapNone/>
                <wp:docPr id="386" name="Frame38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II</w:t>
        <w:br/>
        <w:br/>
        <w:t>Priorities and Agreements with Respect to Shared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Priority of Claims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Anything contained herein or in any of the Secured Credit Documents to the contrary notwithstanding (but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 if an Event of Default has occurred and is continuing, and the Controlling Collateral Agent or any First-Lien Secured Party is taking action to enforce rights in respect of any Shared Collateral, or any distribution is made in respect of any Shared Collateral in any Bankruptcy Case of any Borrower or any other Grantor or any First-Lien Secured Party receives any payment pursuant to any intercreditor agreement (other than this Agreement) with respect to any Shared Collateral, the proceeds of any sale, collection or other liquidation of any such Collateral by the Controlling Collateral Agent or any First-Lien Secured Party on account of such enforcement of rights or remedies or received by the Controlling Collateral Agent or any First-Lien Secured Party pursuant to any such intercreditor agreement with respect to such Shared Collateral and proceeds of any such distribution (subject, in the case of any such distribution, to the sentence immediately following) to which the First-Lien Obligations are entitled under any intercreditor agreement (other than this Agreement) (all proceeds of any sale, collection or other liquidation of any Collateral and all proceeds of any such distribution being collectively referred to as “</w:t>
      </w:r>
      <w:r>
        <w:rPr>
          <w:rFonts w:ascii="Times New Roman;serif" w:hAnsi="Times New Roman;serif"/>
          <w:b w:val="false"/>
          <w:color w:val="000000"/>
          <w:sz w:val="22"/>
          <w:u w:val="single"/>
        </w:rPr>
        <w:t>Proceeds</w:t>
      </w:r>
      <w:r>
        <w:rPr>
          <w:color w:val="000000"/>
        </w:rPr>
        <w:t>”</w:t>
      </w:r>
      <w:r>
        <w:rPr>
          <w:rFonts w:ascii="Times New Roman;serif" w:hAnsi="Times New Roman;serif"/>
          <w:b w:val="false"/>
          <w:color w:val="000000"/>
          <w:sz w:val="22"/>
        </w:rPr>
        <w:t xml:space="preserve">), shall be applied (i) FIRST, to the payment of all amounts owing to each Collateral Agent (in its capacity as such) pursuant to the terms of any Secured Credit Document, (ii) SECOND,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 to the payment in full of the First-Lien Obligations of each Series on a ratable basis, with such Proceeds to be applied to the First-Lien Obligations of a given Series in accordance with the terms of the applicable Secured Credit Documents and (iii) THIRD, after (A) payment in full of all First-Lien Obligations, (B) cancellation of, or entry into arrangements reasonably satisfactory to the relevant First Lien L/C Issuer with respect to, all First Lien Letters of Credit and (C) termination or expiration of all commitments to lend and all obligations to issue letters of credit under the Credit Agreement and any Additional First Lien Documents, to the Borrowers and the other Grantors or their successors or assigns, as their interests may appear, or to whomsoever may be lawfully entitled to receive the same, or as a court of competent jurisdiction may direct. Notwithstanding the foregoing, with respect to any Shared Collateral for which a third party (other than a First-Lien Secured Party) has a lien or security interest that is junior in priority to the security interest of any Series of First-Lien Obligations but senior (as determined by appropriate legal proceedings in the case of any dispute) to the security interest of any other Series of First-Lien Obligations (such third party, an “</w:t>
      </w:r>
      <w:r>
        <w:rPr>
          <w:rFonts w:ascii="Times New Roman;serif" w:hAnsi="Times New Roman;serif"/>
          <w:b w:val="false"/>
          <w:color w:val="000000"/>
          <w:sz w:val="22"/>
          <w:u w:val="single"/>
        </w:rPr>
        <w:t>Intervening Creditor</w:t>
      </w:r>
      <w:r>
        <w:rPr>
          <w:color w:val="000000"/>
        </w:rPr>
        <w:t>”</w:t>
      </w:r>
      <w:r>
        <w:rPr>
          <w:rFonts w:ascii="Times New Roman;serif" w:hAnsi="Times New Roman;serif"/>
          <w:b w:val="false"/>
          <w:color w:val="000000"/>
          <w:sz w:val="22"/>
        </w:rPr>
        <w:t>), the value of any Shared Collateral or Proceeds allocated to such Intervening Creditor shall be deducted on a ratable basis solely from the Shared Collateral or Proceeds to be distributed in respect of the Series of First-Lien Obligations with respect to which such Impairment exists.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Notwithstanding the date, time, method, manner or order of grant, attachment or perfection of any Liens securing any Series of First-Lien Obligations granted on the Shared Collateral and notwithstanding any provision of the Uniform Commercial Code of any jurisdiction, or any other applicable law or the Secured Credit Documents or any defect or deficiencies in the Liens securing the First-Lien Obligations of any Series or any other circumstance whatsoever (but, in each case, subject to </w:t>
      </w:r>
      <w:r>
        <w:rPr>
          <w:rFonts w:ascii="Times New Roman;serif" w:hAnsi="Times New Roman;serif"/>
          <w:b w:val="false"/>
          <w:color w:val="000000"/>
          <w:sz w:val="22"/>
          <w:u w:val="single"/>
        </w:rPr>
        <w:t>Section 1.03</w:t>
      </w:r>
      <w:r>
        <w:rPr>
          <w:rFonts w:ascii="Times New Roman;serif" w:hAnsi="Times New Roman;serif"/>
          <w:b w:val="false"/>
          <w:color w:val="000000"/>
          <w:sz w:val="22"/>
        </w:rPr>
        <w:t>), each First-Lien Secured Party hereby agrees that the Liens securing each Series of First-Lien Obligations on any Shared Collateral shall be of equal priority.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Notwithstanding anything in this Agreement or any other First-Lien Security Documents to the contrary, Collateral consisting of cash and cash equivalents pledged to secure Credit Agreement Obligations consisting of reimbursement obligations in respect of Letters of Credit or otherwise held by the Credit Agreement Collateral Agent pursuant to </w:t>
      </w:r>
      <w:r>
        <w:rPr>
          <w:rFonts w:ascii="Times New Roman;serif" w:hAnsi="Times New Roman;serif"/>
          <w:b w:val="false"/>
          <w:color w:val="000000"/>
          <w:sz w:val="22"/>
          <w:u w:val="single"/>
        </w:rPr>
        <w:t>Section 2.03(g)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2.05(b)(iv)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of the </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525145"/>
                <wp:effectExtent l="0" t="0" r="0" b="0"/>
                <wp:wrapNone/>
                <wp:docPr id="387" name="Frame38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Credit Agreement (or any equivalent successor provision) shall be applied as specified in the Credit Agreement and will not constitute Shared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Actions with Respect to Shared Collateral; Prohibition on Contesting Liens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Only the Controlling Collateral Agent shall act or refrain from acting with respect to any Shared Collateral (including with respect to any intercreditor agreement with respect to any Shared Collateral). At any time when the Credit Agreement Collateral Agent is the Controlling Collateral Agent, no Additional First-Lien Secured Party shall or shall instruct any Collateral Agent to, and neither the Additional Collateral Agent nor any other Collateral Agent that is not the Controlling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First-Lien Security Document, applicable law or otherwise, it being agreed that only the Credit Agreement Collateral Agent, acting in accordance with the Credit Agreement Collateral Documents, shall be entitled to take any such actions or exercise any such remedies with respect to Shared Collateral at such time.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With respect to any Shared Collateral at any time when the Additional Collateral Agent is the Controlling Collateral Agent, (i) the Controlling Collateral Agent shall act only on the instructions of the Applicable Authorized Representative, (ii) the Controlling Collateral Agent shall not follow any instructions with respect to such Shared Collateral (including with respect to any intercreditor agreement with respect to any Shared Collateral) from any Non-Controlling Authorized Representative (or any other First-Lien Secured Party other than the Applicable Authorized Representative) and (iii) no Non-Controlling Authorized Representative or other First-Lien Secured Party (other than the Applicable Authorized Representative) shall or shall instruct the Controlling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First-Lien Security Document, applicable law or otherwise, it being agreed that only the Controlling Collateral Agent, acting on the instructions of the Applicable Authorized Representative and in accordance with the applicable Additional First-Lien Security Documents, shall be entitled to take any such actions or exercise any such remedies with respect to Shared Collateral.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Notwithstanding the equal priority of the Liens securing each Series of First-Lien Obligations, the Controlling Collateral Agent may deal with the Shared Collateral as if such Controlling Collateral Agent had a senior Lien on such Collateral. No Non-Controlling Authorized Representative or Non-Controlling Secured Party will contest, protest or object (or support the challenge of any other Person) to any foreclosure proceeding or action brought by the Controlling Collateral Agent, the Applicable Authorized Representative or the Controlling Secured Party or any other exercise by the Controlling Collateral Agent, the Applicable Authorized Representative or the Controlling Secured Party of any rights and remedies relating to the Shared Collateral, or to cause the Controlling Collateral Agent to do so. The foregoing shall not be construed to limit the rights and priorities of any First-Lien Secured Party, the Controlling Collateral Agent or any Authorized Representative with respect to any Collateral not constituting Shared Collateral.</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525145"/>
                <wp:effectExtent l="0" t="0" r="0" b="0"/>
                <wp:wrapNone/>
                <wp:docPr id="388" name="Frame38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Each of the First-Lien Secured Parties (and each Authorized Representative) agrees that it will not (and hereby waives any right to) question or contest or support any other Person in contesting, in any proceeding (including any Insolvency or Liquidation Proceeding), the perfection, priority, validity, attachment or enforceability of a Lien held by or on behalf of any of the First-Lien Secured Parties in all or any part of the Collateral, or the provisions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Agreement shall be construed to prevent or impair the rights of any Collateral Agent or any Authorized Representative to enforce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Each of the Authorized Representatives agrees that it will not accept any Lien on any collateral for the benefit of any Series of First-Lien Obligations (other than funds deposited for the discharge or defeasance of any Additional First-Lien Document, to the extent permitted by the applicable Secured Credit Documents) other than pursuant to the First-Lien Security Documents to which it is a party and pursuant to </w:t>
      </w:r>
      <w:r>
        <w:rPr>
          <w:rFonts w:ascii="Times New Roman;serif" w:hAnsi="Times New Roman;serif"/>
          <w:b w:val="false"/>
          <w:color w:val="000000"/>
          <w:sz w:val="22"/>
          <w:u w:val="single"/>
        </w:rPr>
        <w:t>Section 2.03(g)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2.05(b)(iv)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(or other similar provisions) of the Credit Agreement, and by executing this Agreement (or a Joinder Agreement), each Authorized Representative and the Series of First-Lien Secured Parties for which it is acting hereunder agree to be bound by the provisions of this Agreement and the other First-Lien Security Documents applicable to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2.03    </w:t>
      </w:r>
      <w:r>
        <w:rPr>
          <w:rFonts w:ascii="Times New Roman;serif" w:hAnsi="Times New Roman;serif"/>
          <w:b w:val="false"/>
          <w:color w:val="000000"/>
          <w:sz w:val="22"/>
          <w:u w:val="single"/>
        </w:rPr>
        <w:t>No Interference; Payment Over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Each First-Lien Secured Party agrees that (i) it will not challenge or question in any proceeding the validity or enforceability of any First-Lien Obligations of any Series or any First-Lien Security Document or the validity, attachment, perfection or priority of any Lien under any First-Lien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Controlling Collateral Agent, (iii) except as provided in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it shall have no right to (A) direct the Controlling Collateral Agent or any other First-Lien Secured Party to exercise, and shall not exercise, any right, remedy or power with respect to any Shared Collateral (including pursuant to any intercreditor agreement) or (B) consent to the exercise by the Controlling Collateral Agent or any other First-Lien Secured Party of any right, remedy or power with respect to any Shared Collateral, (iv) it will not institute any suit or assert in any suit, bankruptcy, insolvency or other proceeding any claim against the Controlling Collateral Agent or any other First-Lien Secured Party seeking damages from or other relief by way of specific performance, instructions or otherwise with respect to any Shared Collateral, and none of the Controlling Collateral Agent, any Applicable Authorized Representative or any other First-Lien Secured Party shall be liable for any action taken or omitted to be taken by the Controlling Collateral Agent, such Applicable Authorized Representative or other First-Lien Secured Party with respect to any Shared Collateral in accordance with the provisions of this Agreement, (v) it will not seek, and hereby waives any right, to have any Shared Collateral or any part thereof marshaled upon any foreclosure or other disposition of such Collateral and (vi) it will not attempt, directly or indirectly, whether by judicial proceedings or otherwise, to challenge the enforceability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Agreement shall be construed to prevent or impair the rights of any of the Controlling Collateral Agent or any other First-Lien Secured Party to enforce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Each First-Lien Secured Party hereby agrees that if it shall obtain possession of any Shared Collateral or shall realize any proceeds or payment in respect of any such Shared Collateral, pursuant to any First-Lien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First-Lien Obligations, then it shall hold such Shared Collateral, proceeds or payment in trust for the other First-Lien Secured Parties and promptly transfer such Shared Collateral, proceeds or payment, as the case may be, to the Controlling </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525145"/>
                <wp:effectExtent l="0" t="0" r="0" b="0"/>
                <wp:wrapNone/>
                <wp:docPr id="389" name="Frame38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Collateral Agent in the same form as received, with any necessary endorsements or as a court of competent jurisdiction may otherwise direct, to be distributed in accordance with the provisions of </w:t>
      </w:r>
      <w:r>
        <w:rPr>
          <w:rFonts w:ascii="Times New Roman;serif" w:hAnsi="Times New Roman;serif"/>
          <w:b w:val="false"/>
          <w:color w:val="000000"/>
          <w:sz w:val="22"/>
          <w:u w:val="single"/>
        </w:rPr>
        <w:t>Section 2.01</w:t>
      </w:r>
      <w:r>
        <w:rPr>
          <w:color w:val="000000"/>
        </w:rPr>
        <w:t xml:space="preserve"> </w:t>
      </w:r>
      <w:r>
        <w:rPr>
          <w:rFonts w:ascii="Times New Roman;serif" w:hAnsi="Times New Roman;serif"/>
          <w:b w:val="false"/>
          <w:color w:val="000000"/>
          <w:sz w:val="22"/>
        </w:rPr>
        <w: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2.04    </w:t>
      </w:r>
      <w:r>
        <w:rPr>
          <w:rFonts w:ascii="Times New Roman;serif" w:hAnsi="Times New Roman;serif"/>
          <w:b w:val="false"/>
          <w:color w:val="000000"/>
          <w:sz w:val="22"/>
          <w:u w:val="single"/>
        </w:rPr>
        <w:t>Automatic Release of Liens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If, at any time the Controlling Collateral Agent forecloses upon or otherwise exercises remedies against any Shared Collateral resulting in a sale or disposition thereof, then (whether or not any Insolvency or Liquidation Proceeding is pending at the time) the Liens in favor of each other Collateral Agent for the benefit of each Series of First-Lien Secured Parties upon such Shared Collateral will automatically, unconditionally and simultaneously be released and discharged as and when, but only to the extent, such Liens of the Controlling Collateral Agent on such Shared Collateral are released and discharged;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proceeds of any Shared Collateral realized therefrom shall be applied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Collateral Agent and Authorized Representative agrees to execute and deliver all such authorizations and other instruments as shall reasonably be requested by the Controlling Collateral Agent to evidence and confirm any release of Shared Collateral provided for 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2.05    </w:t>
      </w:r>
      <w:r>
        <w:rPr>
          <w:rFonts w:ascii="Times New Roman;serif" w:hAnsi="Times New Roman;serif"/>
          <w:b w:val="false"/>
          <w:color w:val="000000"/>
          <w:sz w:val="22"/>
          <w:u w:val="single"/>
        </w:rPr>
        <w:t>Certain Agreements with Respect to Bankruptcy or Insolvency Proceedings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This Agreement shall continue in full force and effect notwithstanding the commencement of any Insolvency or Liquidation Proceeding. The parties hereto acknowledge that the provisions of this Agreement are intended to be enforceable as contemplated by Section 510(a) of the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2"/>
        </w:rPr>
        <w:t>(b)    If any Borrower and/or any other Grantor shall become subject to a case (a “</w:t>
      </w:r>
      <w:r>
        <w:rPr>
          <w:rFonts w:ascii="Times New Roman;serif" w:hAnsi="Times New Roman;serif"/>
          <w:b w:val="false"/>
          <w:color w:val="000000"/>
          <w:sz w:val="22"/>
          <w:u w:val="single"/>
        </w:rPr>
        <w:t>Bankruptcy Case</w:t>
      </w:r>
      <w:r>
        <w:rPr>
          <w:color w:val="000000"/>
        </w:rPr>
        <w:t>”</w:t>
      </w:r>
      <w:r>
        <w:rPr>
          <w:rFonts w:ascii="Times New Roman;serif" w:hAnsi="Times New Roman;serif"/>
          <w:b w:val="false"/>
          <w:color w:val="000000"/>
          <w:sz w:val="22"/>
        </w:rPr>
        <w:t>) under the Bankruptcy Code and shall, as debtor(s)-in-possession, move for approval of financing (“</w:t>
      </w:r>
      <w:r>
        <w:rPr>
          <w:rFonts w:ascii="Times New Roman;serif" w:hAnsi="Times New Roman;serif"/>
          <w:b w:val="false"/>
          <w:color w:val="000000"/>
          <w:sz w:val="22"/>
          <w:u w:val="single"/>
        </w:rPr>
        <w:t>DIP Financing</w:t>
      </w:r>
      <w:r>
        <w:rPr>
          <w:color w:val="000000"/>
        </w:rPr>
        <w:t>”</w:t>
      </w:r>
      <w:r>
        <w:rPr>
          <w:rFonts w:ascii="Times New Roman;serif" w:hAnsi="Times New Roman;serif"/>
          <w:b w:val="false"/>
          <w:color w:val="000000"/>
          <w:sz w:val="22"/>
        </w:rPr>
        <w:t>) to be provided by one or more lenders (the “</w:t>
      </w:r>
      <w:r>
        <w:rPr>
          <w:rFonts w:ascii="Times New Roman;serif" w:hAnsi="Times New Roman;serif"/>
          <w:b w:val="false"/>
          <w:color w:val="000000"/>
          <w:sz w:val="22"/>
          <w:u w:val="single"/>
        </w:rPr>
        <w:t>DIP Lenders</w:t>
      </w:r>
      <w:r>
        <w:rPr>
          <w:color w:val="000000"/>
        </w:rPr>
        <w:t>”</w:t>
      </w:r>
      <w:r>
        <w:rPr>
          <w:rFonts w:ascii="Times New Roman;serif" w:hAnsi="Times New Roman;serif"/>
          <w:b w:val="false"/>
          <w:color w:val="000000"/>
          <w:sz w:val="22"/>
        </w:rPr>
        <w:t>) under Section 364 of the Bankruptcy Code or any equivalent provision of any other Bankruptcy Law or the use of cash collateral under Section 363 of the Bankruptcy Code or any equivalent provision of any other Bankruptcy Law, each First-Lien Secured Party (other than any Controlling Secured Party or the Authorized Representative of any Controlling Secured Party) agrees that it will raise no objection to any such financing or to the Liens on the Shared Collateral securing the same (“</w:t>
      </w:r>
      <w:r>
        <w:rPr>
          <w:rFonts w:ascii="Times New Roman;serif" w:hAnsi="Times New Roman;serif"/>
          <w:b w:val="false"/>
          <w:color w:val="000000"/>
          <w:sz w:val="22"/>
          <w:u w:val="single"/>
        </w:rPr>
        <w:t>DIP Financing Liens</w:t>
      </w:r>
      <w:r>
        <w:rPr>
          <w:color w:val="000000"/>
        </w:rPr>
        <w:t>”</w:t>
      </w:r>
      <w:r>
        <w:rPr>
          <w:rFonts w:ascii="Times New Roman;serif" w:hAnsi="Times New Roman;serif"/>
          <w:b w:val="false"/>
          <w:color w:val="000000"/>
          <w:sz w:val="22"/>
        </w:rPr>
        <w:t xml:space="preserve">) or to any use of cash collateral that constitutes Shared Collateral, unless the Controlling Collateral Agent (in the case of the Additional Collateral Agent, acting on the instructions of the Applicable Authorized Representative) shall then oppose or object to such DIP Financing or 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First-Lien Secured Parties constituting DIP Financing Liens) are subordinated thereto, and (ii) to the extent that such DIP Financing Liens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Liens on any such Shared Collateral granted to secure the First-Lien Obligations of the Controlling Secured Parties, each Non-Controlling Secured Party will confirm the priorities with respect to such Shared Collateral as set forth herein), in each case so long as (A) the First-Lien Secured Parties of each Series retain the benefit of their Liens on all such Shared Collateral pledged to the DIP Lenders, including proceeds thereof arising after the commencement of such proceeding, with the same priority vis-à-vis all the other First-Lien Secured Parties (other than any Liens of the First-Lien Secured Parties constituting DIP Financing Liens) as existed prior to the commencement of the Bankruptcy Case, (B) the First-Lien Secured Parties of each Series are granted Liens on any additional collateral pledged to any First-Lien Secured Parties as adequate protection or otherwise in connection with such DIP Financing or use of cash collateral, with the same priority vis-à-vis the First-Lien Secured Parties as set forth in this Agreement, (C) if any amount of such DIP Financing or cash collateral is applied to repay any of the First-Lien Obligations, such amount is applied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and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525145"/>
                <wp:effectExtent l="0" t="0" r="0" b="0"/>
                <wp:wrapNone/>
                <wp:docPr id="390" name="Frame38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 if any First-Lien Secured Parties are granted adequate protection, including in the form of periodic payments, in connection with such DIP Financing or use of cash collateral, the proceeds of such adequate protection are applied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Agreement shall not limit the right of the First-Lien Secured Parties of each Series to object to the grant of a Lien to secure the DIP Financing over any Collateral subject to Liens in favor of the First-Lien Secured Parties of such Series or its Authorized Representative that shall not constitute Shared Collateral;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First-Lien Secured Parties receiving adequate protection shall not object to any other First-Lien Secured Party receiving adequate protection comparable to any adequate protection granted to such First-Lien Secured Parties in connection with a DIP Financing or use of cash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2.06    </w:t>
      </w:r>
      <w:r>
        <w:rPr>
          <w:rFonts w:ascii="Times New Roman;serif" w:hAnsi="Times New Roman;serif"/>
          <w:b w:val="false"/>
          <w:color w:val="000000"/>
          <w:sz w:val="22"/>
          <w:u w:val="single"/>
        </w:rPr>
        <w:t>Reinstatement</w:t>
      </w:r>
      <w:r>
        <w:rPr>
          <w:rFonts w:ascii="Times New Roman;serif" w:hAnsi="Times New Roman;serif"/>
          <w:b w:val="false"/>
          <w:color w:val="000000"/>
          <w:sz w:val="22"/>
        </w:rPr>
        <w:t xml:space="preserve">. In the event that any of the First-Lien Obligations shall be paid in full and such payment or any part thereof shall subsequently, for whatever reason (including an order or judgment for disgorgement of a preference under the Bankruptcy Code, or any similar law, or the settlement of any claim in respect thereof), be required to be returned or repaid, the terms and conditions of this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shall be fully applicable thereto until all such First-Lien Obligations shall again have been paid in full in cash.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shall survive the termination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2.07    </w:t>
      </w:r>
      <w:r>
        <w:rPr>
          <w:rFonts w:ascii="Times New Roman;serif" w:hAnsi="Times New Roman;serif"/>
          <w:b w:val="false"/>
          <w:color w:val="000000"/>
          <w:sz w:val="22"/>
          <w:u w:val="single"/>
        </w:rPr>
        <w:t>Insurance</w:t>
      </w:r>
      <w:r>
        <w:rPr>
          <w:rFonts w:ascii="Times New Roman;serif" w:hAnsi="Times New Roman;serif"/>
          <w:b w:val="false"/>
          <w:color w:val="000000"/>
          <w:sz w:val="22"/>
        </w:rPr>
        <w:t>. As between the First-Lien Secured Parties, the Controlling Collateral Agent shall have the right to adjust or settle any insurance policy or claim covering or constituting Shared Collateral in the event of any loss thereunder and to approve any award granted in any condemnation or similar proceeding affecting the Shared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2.08    </w:t>
      </w:r>
      <w:r>
        <w:rPr>
          <w:rFonts w:ascii="Times New Roman;serif" w:hAnsi="Times New Roman;serif"/>
          <w:b w:val="false"/>
          <w:color w:val="000000"/>
          <w:sz w:val="22"/>
          <w:u w:val="single"/>
        </w:rPr>
        <w:t>Refinancings, etc</w:t>
      </w:r>
      <w:r>
        <w:rPr>
          <w:rFonts w:ascii="Times New Roman;serif" w:hAnsi="Times New Roman;serif"/>
          <w:b w:val="false"/>
          <w:color w:val="000000"/>
          <w:sz w:val="22"/>
        </w:rPr>
        <w:t xml:space="preserve">. The First-Lien Obligations of any Series may, subject to the limitations set forth in the then extant Secured Credit Documents, be increased, extended, renewed, replaced, restated, supplemented, restructured, repaid, refunded, Refinanced (in whole or in part) or otherwise amended or modified from time to time, in each case, without notice to, or the consent (except to the extent a consent is otherwise required to permit the Refinancing transaction under any Secured Credit Document) of any First-Lien Secured Party of any other Series, all without affecting the priorities provided for herein or the other provisions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Authorized Representative of the holders of any such Refinancing indebtedness shall have executed a Joinder Agreement on behalf of the holders of such Refinancing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2.09    </w:t>
      </w:r>
      <w:r>
        <w:rPr>
          <w:rFonts w:ascii="Times New Roman;serif" w:hAnsi="Times New Roman;serif"/>
          <w:b w:val="false"/>
          <w:color w:val="000000"/>
          <w:sz w:val="22"/>
          <w:u w:val="single"/>
        </w:rPr>
        <w:t>Possessory Collateral Agent as Gratuitous Bailee for Perfection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The Possessory Collateral shall be delivered to the Credit Agreement Collateral Agent and the Credit Agreement Collateral Agent agrees to hold (and, pending delivery of the Possessory Collateral to the Credit Agreement Collateral Agent, each other Collateral Agent agrees to hold) any Shared Collateral constituting Possessory Collateral that is part of the Collateral in its possession or control (or in the possession or control of its agents or bailees) as gratuitous bailee for the benefit of each other First-Lien Secured Party and any assignee solely for the purpose of perfecting the security interest granted in such Possessory Collateral, if any, pursuant to the applicable First-Lien Security Documents, in each case, subject to the terms and conditions of this </w:t>
      </w:r>
      <w:r>
        <w:rPr>
          <w:rFonts w:ascii="Times New Roman;serif" w:hAnsi="Times New Roman;serif"/>
          <w:b w:val="false"/>
          <w:color w:val="000000"/>
          <w:sz w:val="22"/>
          <w:u w:val="single"/>
        </w:rPr>
        <w:t>Section 2.09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any time the Credit Agreement Collateral Agent is not the Controlling Collateral Agent, the Credit Agreement Collateral Agent shall, at the request of the Additional Collateral Agent, promptly deliver all Possessory Collateral to the Additional Collateral Agent together with any necessary endorsements (or otherwise allow the Additional Collateral Agent to obtain control of such Possessory Collateral). The Borrowers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gross negligence or bad faith (as determined by a court of competent jurisdiction in a final, non-appealable judgment).</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525145"/>
                <wp:effectExtent l="0" t="0" r="0" b="0"/>
                <wp:wrapNone/>
                <wp:docPr id="391" name="Frame39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Pending delivery of the Possessory Collateral to the Additional Collateral Agent, the Controlling Collateral Agent agrees to hold any Shared Collateral constituting Possessory Collateral, from time to time in its possession, as gratuitous bailee for the benefit of each other First-Lien Secured Party and any assignee, solely for the purpose of perfecting the security interest granted in such Possessory Collateral, if any, pursuant to the applicable First-Lien Security Documents, in each case, subject to the terms and conditions of this </w:t>
      </w:r>
      <w:r>
        <w:rPr>
          <w:rFonts w:ascii="Times New Roman;serif" w:hAnsi="Times New Roman;serif"/>
          <w:b w:val="false"/>
          <w:color w:val="000000"/>
          <w:sz w:val="22"/>
          <w:u w:val="single"/>
        </w:rPr>
        <w:t>Section 2.09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The duties or responsibilities of each Collateral Agent under this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shall be limited solely to holding any Shared Collateral constituting Possessory Collateral as gratuitous bailee for the benefit of each other First-Lien Secured Party for purposes of perfecting the Lien held by such First-Lien Secured Parties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2.10    </w:t>
      </w:r>
      <w:r>
        <w:rPr>
          <w:rFonts w:ascii="Times New Roman;serif" w:hAnsi="Times New Roman;serif"/>
          <w:b w:val="false"/>
          <w:color w:val="000000"/>
          <w:sz w:val="22"/>
          <w:u w:val="single"/>
        </w:rPr>
        <w:t>Amendments to Security Documents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Without the prior written consent of the Credit Agreement Collateral Agent, each Additional First-Lien Secured Party agrees that no Additional First-Lien Security Document may be amended, supplemented or otherwise modified or entered into to the extent such amendment, supplement or modification, or the terms of any new Additional First-Lien Security Document would be prohibited by, or would require any Grantor to act or refrain from acting in a manner that would violate, any of the terms of this Agreement or any Secured Credit Document.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Without the prior written consent of the Additional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 or any Secured Credit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In making determinations required by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each Collateral Agent may conclusively rely on a certificate of an authorized officer of the Company stating that such amendment is permitted by </w:t>
      </w:r>
      <w:r>
        <w:rPr>
          <w:rFonts w:ascii="Times New Roman;serif" w:hAnsi="Times New Roman;serif"/>
          <w:b w:val="false"/>
          <w:color w:val="000000"/>
          <w:sz w:val="22"/>
          <w:u w:val="single"/>
        </w:rPr>
        <w:t>Section 2.10(a)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III</w:t>
        <w:br/>
        <w:br/>
        <w:t>Existence and Amounts of Liens and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Determinations with Respect to Amounts of Liens and Obligations</w:t>
      </w:r>
      <w:r>
        <w:rPr>
          <w:rFonts w:ascii="Times New Roman;serif" w:hAnsi="Times New Roman;serif"/>
          <w:b w:val="false"/>
          <w:color w:val="000000"/>
          <w:sz w:val="22"/>
        </w:rPr>
        <w:t xml:space="preserve">. Whenever a Collateral Agent or any Authorized Representative shall be required, in connection with the exercise of its rights or the performance of its obligations hereunder, to determine the existence or amount of any First-Lien Obligations of any Series, or the Shared Collateral subject to any Lien securing the First-Lien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First-Lien Secured Party or any other person as a result of such determination.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525145"/>
                <wp:effectExtent l="0" t="0" r="0" b="0"/>
                <wp:wrapNone/>
                <wp:docPr id="392" name="Frame39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ARTICLE IV</w:t>
        <w:br/>
        <w:br/>
        <w:t>The Controlling Collateral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Authority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In furtherance of the foregoing, each Non-Controlling Secured Party acknowledges and agrees that the Controlling Collateral Agent shall be entitled, for the benefit of the First-Lien Secured Parties, to sell, transfer or otherwise dispose of or deal with any Shared Collateral as provided herein and in the First-Lien Security Documents, as applicable, pursuant to which the Controlling Collateral Agent is the collateral agent for such Shared Collateral, without regard to any rights to which the Non-Controlling Secured Parties would otherwise be entitled as a result of the First-Lien Obligations held by such Non-Controlling Secured Parties. Without limiting the foregoing, each Non-Controlling Secured Party agrees that none of the Controlling Collateral Agent, the Applicable Authorized Representative or any other First-Lien Secured Party shall have any duty or obligation first to marshal or realize upon any type of Shared Collateral (or any other Collateral securing any of the First-Lien Obligations), or to sell, dispose of or otherwise liquidate all or any portion of such Shared Collateral (or any other Collateral securing any First-Lien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Except with respect to any actions expressly prohibited or required to be taken by this Agreement, each of the First-Lien Secured Parties waives any claim it may now or hereafter have against any Collateral Agent or the Authorized Representative of any other Series of First-Lien Obligations or any other First-Lien Secured Party of any other Series arising out of (i) any actions which any Collateral Agent, Authorized Representative or the First-Lien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First-Lien Obligations from any account debtor, guarantor or any other party) in accordance with the First-Lien Security Documents or any other agreement related thereto or to the collection of the First-Lien Obligations or the valuation, use, protection or release of any security for the First-Lien Obligations, (ii) any election by any Applicable Authorized Representative or any holders of First-Lien Obligations, in any proceeding instituted under the Bankruptcy Code, of the application of Section 1111(b) of the Bankruptcy Code or (iii) subject to </w:t>
      </w:r>
      <w:r>
        <w:rPr>
          <w:rFonts w:ascii="Times New Roman;serif" w:hAnsi="Times New Roman;serif"/>
          <w:b w:val="false"/>
          <w:color w:val="000000"/>
          <w:sz w:val="22"/>
          <w:u w:val="single"/>
        </w:rPr>
        <w:t>Section 2.05</w:t>
      </w:r>
      <w:r>
        <w:rPr>
          <w:rFonts w:ascii="Times New Roman;serif" w:hAnsi="Times New Roman;serif"/>
          <w:b w:val="false"/>
          <w:color w:val="000000"/>
          <w:sz w:val="22"/>
        </w:rPr>
        <w:t>, any borrowing by, or grant of a security interest or administrative expense priority under Section 364 of the Bankruptcy Code or any equivalent provision of any other Bankruptcy Law, by any Borrower or any of its Subsidiaries, as debtor-in-possession. Notwithstanding any other provision of this Agreement, the Controlling Collateral Agent shall not accept any Shared Collateral in full or partial satisfaction of any First-Lien Obligations pursuant to Section 9-620 of the Uniform Commercial Code of any jurisdiction, without the consent of each Authorized Representative representing holders of First-Lien Obligations for whom such Collateral constitutes Shared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Rights as a First-Lien Secured Party</w:t>
      </w:r>
      <w:r>
        <w:rPr>
          <w:rFonts w:ascii="Times New Roman;serif" w:hAnsi="Times New Roman;serif"/>
          <w:b w:val="false"/>
          <w:color w:val="000000"/>
          <w:sz w:val="22"/>
        </w:rPr>
        <w:t xml:space="preserve">. (a) The Person serving as the Controlling Collateral Agent hereunder shall have the same rights and powers in its capacity as a First-Lien Secured Party under any Series of First-Lien Obligations that it holds as any other First-Lien Secured Party of such Series and may exercise the same as though it were not the Collateral Agent and the term “First-Lien Secured Party” or “First-Lien Secured Parties” or (as applicable) “Credit Agreement Secured Party”, “Credit Agreement Secured Parties”, “Additional First-Lien Secured Party”, “Additional First-Lien Secured Parties”, “Initial Additional First-Lien Secured Party” or “Initial Additional First-Lien Secured Parties” shall, unless otherwise expressly indicated or unless the context otherwise requires, include the Person serving as the Controlling Collateral Agent hereunder in its individual capacity. Such Person and its Affiliates may accept deposits from, lend money to, act as the financial advisor or in any other advisory </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525145"/>
                <wp:effectExtent l="0" t="0" r="0" b="0"/>
                <wp:wrapNone/>
                <wp:docPr id="393" name="Frame39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capacity for and generally engage in any kind of business with any Borrower or any Subsidiary or other Affiliate thereof as if such Person were not the Controlling Collateral Agent hereunder and without any duty to account therefor to any other First-Lien Secured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4.03    </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(a) The Controlling Collateral Agent shall not have any duties or obligations except those expressly set forth herein and in the other First-Lien Security Documents. Without limiting the generality of the foregoing, the Controlling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shall not be subject to any fiduciary or other implied duties of any kind or nature to any Person, regardless of whether an Event of Default has occurred and is continuing;</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shall not have any duty to take any discretionary action or exercise any discretionary powers, except discretionary rights and powers expressly contemplated hereby or by the other First-Lien Security Documents that the Controlling Collateral Agent is required to exercise as directed in writing by the Applicable Authorized 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Controlling Collateral Agent shall not be required to take any action that, in its opinion or the opinion of its counsel, may expose the Collateral Agent to liability or that is contrary to any First-Lien Security Document or applicable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shall not, except as expressly set forth herein and in the other First-Lien Security Documents, have any duty to disclose, and shall not be liable for the failure to disclose, any information relating to the Company or any of its Affiliates that is communicated to or obtained by the Person serving as the Controlling Collateral Agent or any of its Affiliates in any capacity;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shall not be liable for any action taken or not taken by it (i) with the consent or at the request of the Applicable Authorized Representative or (ii) in the absence of its own gross negligence, willful misconduct or bad faith (as determined by a court of competent jurisdiction in a final, non-appealable judgment) or (iii) in reliance on a certificate of an authorized officer of the Company stating that such action is permitted by the terms of this Agreement (it being understood and agreed that the Controlling Collateral Agent shall be deemed not to have knowledge of any Event of Default under any Series of First-Lien Obligations unless and until notice describing such Event Default is given to the Controlling Collateral Agent by the Authorized Representative of such First-Lien Obligations or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shall not be responsible for or have any duty to ascertain or inquire into (i) any statement, warranty or representation made in or in connection with this Agreement or any other First-Lien Security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First-Lien Security Document or any other agreement, instrument or document, or the creation, perfection or priority of any Lien purported to be created by the First-Lien Security Documents, (v) the value or the sufficiency of any Collateral for any Series of First-Lien Obligations, or (vi) the satisfaction of any condition set forth in any Secured Credit Document, other than to confirm receipt of items expressly required to be delivered to the Controlling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shall not have any fiduciary duties of any kind or nature under any Additional First-Lien Document (but shall be entitled to all protections provided to the Collateral Agent therein);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525145"/>
                <wp:effectExtent l="0" t="0" r="0" b="0"/>
                <wp:wrapNone/>
                <wp:docPr id="394" name="Frame39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with respect to the Credit Agreement or any Additional First-Lien Document, may conclusively assume that the Grantors have complied with all of their obligations thereunder unless advised in writing by the Authorized Representative thereunder to the contrary specifically setting forth the alleged violation;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(viii)    may conclusively rely on any certificate of an officer of the Company provided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Each First-Lien Secured Party acknowledges that, in addition to acting as the initial Controlling Collateral Agent, Wells Fargo Bank, National Association also serves as Administrative Agent and Collateral Agent (under, and as defined in, the Credit Agreement), and each First-Lien Secured Party hereby waives any right to make any objection or claim against Wells Fargo Bank, National Association (or any successor Controlling Collateral Agent or any of their respective counsel) based on any alleged conflict of interest or breach of duties arising from the Controlling Collateral Agent also serving as the Administrative Agent and Collateral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4.04    </w:t>
      </w:r>
      <w:r>
        <w:rPr>
          <w:rFonts w:ascii="Times New Roman;serif" w:hAnsi="Times New Roman;serif"/>
          <w:b w:val="false"/>
          <w:color w:val="000000"/>
          <w:sz w:val="22"/>
          <w:u w:val="single"/>
        </w:rPr>
        <w:t>Reliance by Controlling Collateral Agent</w:t>
      </w:r>
      <w:r>
        <w:rPr>
          <w:rFonts w:ascii="Times New Roman;serif" w:hAnsi="Times New Roman;serif"/>
          <w:b w:val="false"/>
          <w:color w:val="000000"/>
          <w:sz w:val="22"/>
        </w:rPr>
        <w:t>. The Controlling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Controlling Collateral Agent also may rely upon any statement made to it orally or by telephone and believed by it to have been made by the proper Person, and shall not incur any liability for relying thereon. The Controlling Collateral Agent may consult with legal counsel (who may include, but shall not be limited to, counsel for the Borrowers or counsel for the Administrative Agent), independent accountants and other experts selected by it, and shall not be liable for any action taken or not taken by it in accordance with the advice of any such counsel, accountants or experts.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4.05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The Controlling Collateral Agent may perform any and all of its duties and exercise its rights and powers hereunder or under any other First-Lien Security Document by or through any one or more sub agents appointed by the Controlling Collateral Agent. The Controlling Collateral Agent and any such sub agent may perform any and all of its duties and exercise its rights and powers by or through their respective Affiliates. The exculpatory provisions of this Article shall apply to any such sub agent and to the Affiliates of the Controlling Collateral Agent and any such sub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4.06    </w:t>
      </w:r>
      <w:r>
        <w:rPr>
          <w:rFonts w:ascii="Times New Roman;serif" w:hAnsi="Times New Roman;serif"/>
          <w:b w:val="false"/>
          <w:color w:val="000000"/>
          <w:sz w:val="22"/>
          <w:u w:val="single"/>
        </w:rPr>
        <w:t>Resignation of Controlling Collateral Agent</w:t>
      </w:r>
      <w:r>
        <w:rPr>
          <w:rFonts w:ascii="Times New Roman;serif" w:hAnsi="Times New Roman;serif"/>
          <w:b w:val="false"/>
          <w:color w:val="000000"/>
          <w:sz w:val="22"/>
        </w:rPr>
        <w:t xml:space="preserve">. The Controlling Collateral Agent may at any time give notice of its resignation as Controlling Collateral Agent under this Agreement and the other First-Lien Security Documents to each Authorized Representative and the Company. Upon receipt of any such notice of resignation, the Applicable Authorized Representative shall have the right, in consultation with the Company, to appoint a successor, which shall be a bank or trust company with an office in the United States, or an Affiliate of any such bank or trust company with an office in the United States, in each case, with a combined capital and surplus of at least $1,000,000,000. If no such successor shall have been so appointed by the Applicable Authorized Representative and shall have accepted such appointment within 10 days after the retiring Controlling Collateral Agent gives notice of its resignation, then the retiring Controlling Collateral Agent may, on behalf of the First-Lien Secured Parties, appoint a successor Controlling Collateral Agent meeting the qualifications set forth above (but without the consent of any, but after consulting with the other First-Lien Secured Party or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Controlling Collateral Agent shall notify the Company and each Authorized Representative that no qualifying Person has accepted such appointment, then such resignation shall nonetheless become effective in accordance with such notice and (a) the retiring Controlling Collateral Agent shall be discharged from its duties and obligations hereunder and under the First-Lien Security Documents (except that in the case of any collateral security held by the Controlling Collateral Agent on behalf of the First-Lien Secured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525145"/>
                <wp:effectExtent l="0" t="0" r="0" b="0"/>
                <wp:wrapNone/>
                <wp:docPr id="395" name="Frame39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Parties under any of the First-Lien Security Documents, the retiring Controlling Collateral Agent shall continue to hold such collateral security solely for purposes of maintaining the perfection of the security interests of the First-Lien Secured Parties therein until such time as a successor Controlling Collateral Agent is appointed but with no obligation to take any further action at the request of the Applicable Authorized Representative, any other First-Lien Secured Parties or any Grantor) and (b) all payments, communications and determinations provided to be made by, to or through the Controlling Collateral Agent shall instead be made by or to each Authorized Representative directly, until such time as the Applicable Authorized Representative appoints a successor Controlling Collateral Agent as provided for above in this </w:t>
      </w:r>
      <w:r>
        <w:rPr>
          <w:rFonts w:ascii="Times New Roman;serif" w:hAnsi="Times New Roman;serif"/>
          <w:b w:val="false"/>
          <w:color w:val="000000"/>
          <w:sz w:val="22"/>
          <w:u w:val="single"/>
        </w:rPr>
        <w:t>Section 4.06</w:t>
      </w:r>
      <w:r>
        <w:rPr>
          <w:rFonts w:ascii="Times New Roman;serif" w:hAnsi="Times New Roman;serif"/>
          <w:b w:val="false"/>
          <w:color w:val="000000"/>
          <w:sz w:val="22"/>
        </w:rPr>
        <w:t xml:space="preserve">. Upon the acceptance of a successor’s appointment as Controlling Collateral Agent hereunder and under the First-Lien Security Documents, such successor shall succeed to and become vested with all of the rights, powers, privileges and duties of the retiring (or retired) Controlling Collateral Agent, and the retiring Controlling Collateral Agent shall be discharged from all of its duties and obligations hereunder or under the other First-Lien Security Documents (if not already discharged therefrom as provided above in this Section). After the retiring Controlling Collateral Agent’s resignation hereunder and under the other Loan Documents, the provisions of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of the Credit Agreement and the equivalent provisions of any Additional First-Lien Agreement shall continue in effect for the benefit of such retiring Controlling Collateral Agent, its sub agents and their respective Affiliates in respect of any actions taken or omitted to be taken by any of them while the retiring Collateral Agent was acting as Controlling Collateral Agent. Upon any notice of resignation of the Controlling Collateral Agent hereunder and under the First-Lien Security Documents, the Borrowers agree to use commercially reasonable efforts to transfer (and maintain the validity and priority of) the Liens in favor of the retiring Controlling Collateral Agent under the First-Lien Security Documents to the successor Controlling Collateral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4.07    </w:t>
      </w:r>
      <w:r>
        <w:rPr>
          <w:rFonts w:ascii="Times New Roman;serif" w:hAnsi="Times New Roman;serif"/>
          <w:b w:val="false"/>
          <w:color w:val="000000"/>
          <w:sz w:val="22"/>
          <w:u w:val="single"/>
        </w:rPr>
        <w:t>Non Reliance on Controlling Collateral Agent and Other First-Lien Secured Parties</w:t>
      </w:r>
      <w:r>
        <w:rPr>
          <w:rFonts w:ascii="Times New Roman;serif" w:hAnsi="Times New Roman;serif"/>
          <w:b w:val="false"/>
          <w:color w:val="000000"/>
          <w:sz w:val="22"/>
        </w:rPr>
        <w:t>. Each First-Lien Secured Party (other than the Initial Additional Authorized Representative) acknowledges that it has, independently and without reliance upon the Controlling Collateral Agent, any Authorized Representative or any other First-Lien Secured Party or any of their Affiliates and based on such documents and information as it has deemed appropriate, made its own credit analysis and decision to enter into this Agreement and the other Secured Credit Documents. Each First-Lien Secured Party also acknowledges that it will, independently and without reliance upon the Controlling Collateral Agent, any Authorized Representative or any other First-Lien Secured Party or any of their Affiliates and based on such documents and information as it shall from time to time deem appropriate, continue to make its own decisions in taking or not taking action under or based upon this Agreement, any other Secured Credit Document or any related agreement or any document furnished hereunder or thereunder.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4.08    </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 Each of the First-Lien Secured Parties irrevocably authorizes the Controlling Collateral Agent, at its option and in its discretion: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    to release any Lien on any property granted to or held by the Controlling Collateral Agent under any First-Lien Security Document in accordance with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or upon receipt of a certificate of an officer of the Company stating that the releases of such Lien is permitted by the terms of each then extant Secured Credit Document;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to release any Grantor from its obligations under the First-Lien Security Documents upon receipt of a certificate of an officer of the Company stating that such release is permitted by the terms of each then extant Secured Credit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525145"/>
                <wp:effectExtent l="0" t="0" r="0" b="0"/>
                <wp:wrapNone/>
                <wp:docPr id="396" name="Frame39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ARTICLE V </w:t>
        <w:br/>
        <w:b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5.01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provided for herein shall be in writing and shall be delivered by hand or overnight courier service, mailed by certified or registered mail or sent by telecopy,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if to the Credit Agreement Collateral Agent, to it at [</w:t>
      </w:r>
      <w:r>
        <w:rPr>
          <w:color w:val="000000"/>
          <w:u w:val="single"/>
        </w:rPr>
        <w:t>                    </w:t>
      </w:r>
      <w:r>
        <w:rPr>
          <w:rFonts w:ascii="Times New Roman;serif" w:hAnsi="Times New Roman;serif"/>
          <w:b w:val="false"/>
          <w:color w:val="000000"/>
          <w:sz w:val="22"/>
        </w:rPr>
        <w:t>], Attention of [</w:t>
      </w:r>
      <w:r>
        <w:rPr>
          <w:color w:val="000000"/>
          <w:u w:val="single"/>
        </w:rPr>
        <w:t>                    </w:t>
      </w:r>
      <w:r>
        <w:rPr>
          <w:rFonts w:ascii="Times New Roman;serif" w:hAnsi="Times New Roman;serif"/>
          <w:b w:val="false"/>
          <w:color w:val="000000"/>
          <w:sz w:val="22"/>
        </w:rPr>
        <w:t>] (Fax No. [</w:t>
      </w:r>
      <w:r>
        <w:rPr>
          <w:color w:val="000000"/>
          <w:u w:val="single"/>
        </w:rPr>
        <w:t>          </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(b)    if to the Initial Additional Authorized Representative, to it at [</w:t>
      </w:r>
      <w:r>
        <w:rPr>
          <w:color w:val="000000"/>
          <w:u w:val="single"/>
        </w:rPr>
        <w:t>                    </w:t>
      </w:r>
      <w:r>
        <w:rPr>
          <w:rFonts w:ascii="Times New Roman;serif" w:hAnsi="Times New Roman;serif"/>
          <w:b w:val="false"/>
          <w:color w:val="000000"/>
          <w:sz w:val="22"/>
        </w:rPr>
        <w:t>], Attention of [</w:t>
      </w:r>
      <w:r>
        <w:rPr>
          <w:color w:val="000000"/>
          <w:u w:val="single"/>
        </w:rPr>
        <w:t>                    </w:t>
      </w:r>
      <w:r>
        <w:rPr>
          <w:rFonts w:ascii="Times New Roman;serif" w:hAnsi="Times New Roman;serif"/>
          <w:b w:val="false"/>
          <w:color w:val="000000"/>
          <w:sz w:val="22"/>
        </w:rPr>
        <w:t>] (Fax No. [</w:t>
      </w:r>
      <w:r>
        <w:rPr>
          <w:color w:val="000000"/>
          <w:u w:val="single"/>
        </w:rPr>
        <w:t>          </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if to any other Additional Authorized Representative, to it at the address set forth in the applicable Joinder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5.02    </w:t>
      </w:r>
      <w:r>
        <w:rPr>
          <w:rFonts w:ascii="Times New Roman;serif" w:hAnsi="Times New Roman;serif"/>
          <w:b w:val="false"/>
          <w:color w:val="000000"/>
          <w:sz w:val="22"/>
          <w:u w:val="single"/>
        </w:rPr>
        <w:t>Waivers; Amendment; Joinder Agreements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w:t>
      </w:r>
      <w:r>
        <w:rPr>
          <w:rFonts w:ascii="Times New Roman;serif" w:hAnsi="Times New Roman;serif"/>
          <w:b w:val="false"/>
          <w:color w:val="000000"/>
          <w:sz w:val="22"/>
          <w:u w:val="single"/>
        </w:rPr>
        <w:t>Section 5.02(b)</w:t>
      </w:r>
      <w:r>
        <w:rPr>
          <w:rFonts w:ascii="Times New Roman;serif" w:hAnsi="Times New Roman;serif"/>
          <w:b w:val="false"/>
          <w:color w:val="000000"/>
          <w:sz w:val="22"/>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Neither this Agreement nor any provision hereof may be terminated, waived, amended or modified (other than pursuant to any Joinder Agreement) except pursuant to an agreement or agreements in writing entered into by each Authorized Representative and each Collateral Agent (and with respect to any such termination, waiver, amendment or modification which by the terms of this Agreement requires the Borrowers’ consent or which directly and adversely affects the rights, interests, liabilities or privileges of, or impose additional duties and obligations on, any Borrower or any other Grantor, with the consent of the Borrowers).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Notwithstanding the foregoing, without the consent of any First-Lien Secured Party (and with respect to any termination, waiver, amendment or modification which by the terms of this Agreement requires the Borrowers’ consent or which directly and adversely affects the rights, interests, liabilities or privileges of, or impose additional duties and obligations on, any Borrower or any other Grantor, with the consent of the Borrowers), any Authorized Representative may become a party hereto by execution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525145"/>
                <wp:effectExtent l="0" t="0" r="0" b="0"/>
                <wp:wrapNone/>
                <wp:docPr id="397" name="Frame39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delivery of a Joinder Agreement in accordance with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and upon such execution and delivery, such Authorized Representative and the Additional First-Lien Secured Parties and Additional First-Lien Obligations of the Series for which such Authorized Representative is acting shall be subject to the terms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Notwithstanding the foregoing, in connection with any Refinancing of First-Lien Obligations of any Series, or the incurrence of Additional First-Lien Obligations of any Series, the Collateral Agents and the Authorized Representatives then party hereto shall enter (and are hereby authorized to enter without the consent of any other First-Lien Secured Party or any Loan Party), at the request of any Collateral Agent, any Authorized Representative or the Borrowers, into such amendments or modifications of this Agreement as are reasonably necessary to reflect such Refinancing or such incurrence and are reasonably satisfactory to each such Collateral Agent and each such Authorized Representative, provided that any Collateral Agent or Authorized Representative may condition its execution and delivery of any such amendment or modification on a receipt of a certificate from an authorized officer of the Borrowers to the effect that such Refinancing or incurrence is permitted by the then existing Secured Credit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5.03    </w:t>
      </w:r>
      <w:r>
        <w:rPr>
          <w:rFonts w:ascii="Times New Roman;serif" w:hAnsi="Times New Roman;serif"/>
          <w:b w:val="false"/>
          <w:color w:val="000000"/>
          <w:sz w:val="22"/>
          <w:u w:val="single"/>
        </w:rPr>
        <w:t>Parties in Interest</w:t>
      </w:r>
      <w:r>
        <w:rPr>
          <w:rFonts w:ascii="Times New Roman;serif" w:hAnsi="Times New Roman;serif"/>
          <w:b w:val="false"/>
          <w:color w:val="000000"/>
          <w:sz w:val="22"/>
        </w:rPr>
        <w:t>. This Agreement shall be binding upon and inure to the benefit of the parties hereto and their respective successors and assigns, as well as the other First-Lien Secured Parties, all of whom are intended to be bound by, and to be third party beneficiaries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5.04    </w:t>
      </w:r>
      <w:r>
        <w:rPr>
          <w:rFonts w:ascii="Times New Roman;serif" w:hAnsi="Times New Roman;serif"/>
          <w:b w:val="false"/>
          <w:color w:val="000000"/>
          <w:sz w:val="22"/>
          <w:u w:val="single"/>
        </w:rPr>
        <w:t>Survival of Agreement</w:t>
      </w:r>
      <w:r>
        <w:rPr>
          <w:rFonts w:ascii="Times New Roman;serif" w:hAnsi="Times New Roman;serif"/>
          <w:b w:val="false"/>
          <w:color w:val="000000"/>
          <w:sz w:val="22"/>
        </w:rPr>
        <w:t>. All covenants, agreements, representations and warranties made by any party in this Agreement shall be considered to have been relied upon by the other parties hereto and shall survive the execution and delivery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5.05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5.06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5.07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UNDER THIS AGREEMENT SHALL BE GOVERNED BY, AND CONSTRUED IN ACCORDANCE WITH, THE LAW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5.08    </w:t>
      </w:r>
      <w:r>
        <w:rPr>
          <w:rFonts w:ascii="Times New Roman;serif" w:hAnsi="Times New Roman;serif"/>
          <w:b w:val="false"/>
          <w:color w:val="000000"/>
          <w:sz w:val="22"/>
          <w:u w:val="single"/>
        </w:rPr>
        <w:t>Submission to Jurisdiction Waivers; Consent to Service of Process</w:t>
      </w:r>
      <w:r>
        <w:rPr>
          <w:rFonts w:ascii="Times New Roman;serif" w:hAnsi="Times New Roman;serif"/>
          <w:b w:val="false"/>
          <w:color w:val="000000"/>
          <w:sz w:val="22"/>
        </w:rPr>
        <w:t>. Each Collateral Agent and each Authorized Representative, on behalf of itself and the First-Lien Secured Parties of the Series for whom it is acting, irrevocably and unconditionally: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submits for itself and its property in any legal action or proceeding relating to this Agreement and the First-Lien Security Documents, or for recognition and enforcement of any judgment in respect thereof, to the exclusive jurisdiction of the courts the State of New York located in the Borough of Manhattan, the courts of the United States for the Southern District of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525145"/>
                <wp:effectExtent l="0" t="0" r="0" b="0"/>
                <wp:wrapNone/>
                <wp:docPr id="398" name="Frame39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appellate courts from any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final judgment on any such action or proceeding shall be conclusive and may be enforced in other jurisdictions by suit on the judgment or in any other manner provided by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consents and 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    agrees that service of process in any such action or proceeding may be effected by mailing a copy thereof by registered or certified mail (or any substantially similar form of mail), postage prepaid, to such Person (or its Authorized Representative) at the address set forth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agrees that nothing herein shall affect the right of any other party hereto (or any First-Lien Secured Party) to effect service of process in any other manner permitted by law;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waives, to the maximum extent not prohibited by law, any right it may have to claim or recover in any legal action or proceeding referred to in this </w:t>
      </w:r>
      <w:r>
        <w:rPr>
          <w:rFonts w:ascii="Times New Roman;serif" w:hAnsi="Times New Roman;serif"/>
          <w:b w:val="false"/>
          <w:color w:val="000000"/>
          <w:sz w:val="22"/>
          <w:u w:val="single"/>
        </w:rPr>
        <w:t>Section 5.08</w:t>
      </w:r>
      <w:r>
        <w:rPr>
          <w:color w:val="000000"/>
        </w:rPr>
        <w:t xml:space="preserve"> </w:t>
      </w:r>
      <w:r>
        <w:rPr>
          <w:rFonts w:ascii="Times New Roman;serif" w:hAnsi="Times New Roman;serif"/>
          <w:b w:val="false"/>
          <w:color w:val="000000"/>
          <w:sz w:val="22"/>
        </w:rPr>
        <w:t>any special, exemplary, punitive or consequential damages.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5.09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PARTY HERETO HEREBY IRREVOCABLY AND UNCONDITIONALLY WAIVES TRIAL BY JURY IN ANY LEGAL ACTION OR PROCEEDING RELATING TO THIS AGREEMENT OR FOR ANY COUNTERCLAIM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5.10    </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Section and Annex headings used herein are for convenience of reference only, are not part of this Agreement and are not to affect the construction of, or to be taken into consideration in interpreting,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5.11    </w:t>
      </w:r>
      <w:r>
        <w:rPr>
          <w:rFonts w:ascii="Times New Roman;serif" w:hAnsi="Times New Roman;serif"/>
          <w:b w:val="false"/>
          <w:color w:val="000000"/>
          <w:sz w:val="22"/>
          <w:u w:val="single"/>
        </w:rPr>
        <w:t>Conflicts</w:t>
      </w:r>
      <w:r>
        <w:rPr>
          <w:rFonts w:ascii="Times New Roman;serif" w:hAnsi="Times New Roman;serif"/>
          <w:b w:val="false"/>
          <w:color w:val="000000"/>
          <w:sz w:val="22"/>
        </w:rPr>
        <w:t>. In the event of any conflict or inconsistency between the provisions of this Agreement and the provisions of any of the First-Lien Security Documents or any of the other Secured Credit Documents, the provisions of this Agreement 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5.12    </w:t>
      </w:r>
      <w:r>
        <w:rPr>
          <w:rFonts w:ascii="Times New Roman;serif" w:hAnsi="Times New Roman;serif"/>
          <w:b w:val="false"/>
          <w:color w:val="000000"/>
          <w:sz w:val="22"/>
          <w:u w:val="single"/>
        </w:rPr>
        <w:t>Provisions Solely to Define Relative Rights</w:t>
      </w:r>
      <w:r>
        <w:rPr>
          <w:rFonts w:ascii="Times New Roman;serif" w:hAnsi="Times New Roman;serif"/>
          <w:b w:val="false"/>
          <w:color w:val="000000"/>
          <w:sz w:val="22"/>
        </w:rPr>
        <w:t>. The provisions of this Agreement are and are intended solely for the purpose of defining the relative rights of the First-Lien Secured Parties in relation to one another. None of the Borrowers, any other Grantor or any other creditor thereof shall have any rights or obligations hereunder, except as expressly provided in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nothing in this Agreement (other than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w:t>
      </w:r>
      <w:r>
        <w:rPr>
          <w:rFonts w:ascii="Times New Roman;serif" w:hAnsi="Times New Roman;serif"/>
          <w:b w:val="false"/>
          <w:color w:val="000000"/>
          <w:sz w:val="22"/>
        </w:rPr>
        <w:t xml:space="preserve">) is intended to or will amend, waive or otherwise modify the provisions of the Credit Agreement or any Additional First-Lien Documents), and none of the Borrowers or any other Grantor may rely on the terms hereof (other than </w:t>
      </w:r>
      <w:r>
        <w:rPr>
          <w:rFonts w:ascii="Times New Roman;serif" w:hAnsi="Times New Roman;serif"/>
          <w:b w:val="false"/>
          <w:color w:val="000000"/>
          <w:sz w:val="22"/>
          <w:u w:val="single"/>
        </w:rPr>
        <w:t>Sections 2.04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V</w:t>
      </w:r>
      <w:r>
        <w:rPr>
          <w:rFonts w:ascii="Times New Roman;serif" w:hAnsi="Times New Roman;serif"/>
          <w:b w:val="false"/>
          <w:color w:val="000000"/>
          <w:sz w:val="22"/>
        </w:rPr>
        <w:t>). Nothing in this Agreement is intended to or shall impair the obligations of any Grantor, which are absolute and unconditional, to pay the First-Lien Obligations as and when the same shall become due and payable in accordance with their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5.13    </w:t>
      </w:r>
      <w:r>
        <w:rPr>
          <w:rFonts w:ascii="Times New Roman;serif" w:hAnsi="Times New Roman;serif"/>
          <w:b w:val="false"/>
          <w:color w:val="000000"/>
          <w:sz w:val="22"/>
          <w:u w:val="single"/>
        </w:rPr>
        <w:t>Additional Senior Debt</w:t>
      </w:r>
      <w:r>
        <w:rPr>
          <w:rFonts w:ascii="Times New Roman;serif" w:hAnsi="Times New Roman;serif"/>
          <w:b w:val="false"/>
          <w:color w:val="000000"/>
          <w:sz w:val="22"/>
        </w:rPr>
        <w:t>. To the extent, but only to the extent permitted by the provisions of the then extant Secured Credit Documents, the Borrowers may incur additional indebtedness after the date hereof that is secured on an equal and ratable basis by the Liens securing the First-Lien Obligations (such indebtedness referred to as “</w:t>
      </w:r>
      <w:r>
        <w:rPr>
          <w:rFonts w:ascii="Times New Roman;serif" w:hAnsi="Times New Roman;serif"/>
          <w:b w:val="false"/>
          <w:color w:val="000000"/>
          <w:sz w:val="22"/>
          <w:u w:val="single"/>
        </w:rPr>
        <w:t>Additional Senior Class Debt</w:t>
      </w:r>
      <w:r>
        <w:rPr>
          <w:color w:val="000000"/>
        </w:rPr>
        <w:t>”</w:t>
      </w:r>
      <w:r>
        <w:rPr>
          <w:rFonts w:ascii="Times New Roman;serif" w:hAnsi="Times New Roman;serif"/>
          <w:b w:val="false"/>
          <w:color w:val="000000"/>
          <w:sz w:val="22"/>
        </w:rPr>
        <w:t>). Any such Additional Senior Class Debt may be secured by a Lien and may be Guaranteed by the Grantors on a senior basis, in each case under and pursuant to the Additional First-Lien Documents, if and subject to the condition that the Authorized Representative of any such Additional Senior Class Debt (each, an “</w:t>
      </w:r>
      <w:r>
        <w:rPr>
          <w:rFonts w:ascii="Times New Roman;serif" w:hAnsi="Times New Roman;serif"/>
          <w:b w:val="false"/>
          <w:color w:val="000000"/>
          <w:sz w:val="22"/>
          <w:u w:val="single"/>
        </w:rPr>
        <w:t xml:space="preserve">Additional Senior Class </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525145"/>
                <wp:effectExtent l="0" t="0" r="0" b="0"/>
                <wp:wrapNone/>
                <wp:docPr id="399" name="Frame39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Debt Representative</w:t>
      </w:r>
      <w:r>
        <w:rPr>
          <w:color w:val="000000"/>
        </w:rPr>
        <w:t>”</w:t>
      </w:r>
      <w:r>
        <w:rPr>
          <w:rFonts w:ascii="Times New Roman;serif" w:hAnsi="Times New Roman;serif"/>
          <w:b w:val="false"/>
          <w:color w:val="000000"/>
          <w:sz w:val="22"/>
        </w:rPr>
        <w:t>), acting on behalf of the holders of such Additional Senior Class Debt (such Authorized Representative and holders in respect of any Additional Senior Class Debt being referred to as the “</w:t>
      </w:r>
      <w:r>
        <w:rPr>
          <w:rFonts w:ascii="Times New Roman;serif" w:hAnsi="Times New Roman;serif"/>
          <w:b w:val="false"/>
          <w:color w:val="000000"/>
          <w:sz w:val="22"/>
          <w:u w:val="single"/>
        </w:rPr>
        <w:t>Additional Senior Class Debt Parties</w:t>
      </w:r>
      <w:r>
        <w:rPr>
          <w:color w:val="000000"/>
        </w:rPr>
        <w:t>”</w:t>
      </w:r>
      <w:r>
        <w:rPr>
          <w:rFonts w:ascii="Times New Roman;serif" w:hAnsi="Times New Roman;serif"/>
          <w:b w:val="false"/>
          <w:color w:val="000000"/>
          <w:sz w:val="22"/>
        </w:rPr>
        <w:t>), becomes a party to this Agreement as an Authorized Representative by satisfying the conditions set forth in clauses (i) through (iv) of the immediately succeeding paragraph.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for an Additional Senior Class Debt Representative to become a party to this Agreement as an Authorized Representative,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such Additional Senior Class Debt Representative, each Collateral Agent, each Authorized Representative and each Grantor shall have executed and delivered a Joinder Agreement (with such changes as may be reasonably approved by such Collateral Agent and Additional Senior Class Debt Representative) pursuant to which such Additional Senior Class Debt Representative becomes an Authorized Representative hereunder, and the Additional Senior Class Debt in respect of which such Additional Senior Class Debt Representative is the Authorized Representative constitutes Additional First-Lien Obligations and the related Additional Senior Class Debt Parties become subject hereto and bound hereby as Additional First-Lien Secured Parties;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the Borrowers shall have (x) delivered to each Collateral Agent true and complete copies of each of the Additional First-Lien Documents relating to such Additional Senior Class Debt, certified as being true and correct by an authorized officer of the Borrowers and (y) identified in a certificate of an authorized officer the obligations to be designated as Additional First-Lien Obligations and the initial aggregate principal amount or face amount thereof and certified that such obligations are permitted to be incurred and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basis with the then extant First-Lien Obligations and by the terms of the then extant Secured Credit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all filings, recordations and/or amendments or supplements to the First-Lien Security Documents necessary or desirable in the reasonable judgment of the Additional Collateral Agent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the Additional Collateral Agent), and all fees and taxes in connection therewith shall have been paid (or acceptable provisions to make such payments have been taken in the reasonable judgment of the Additional Collateral Agent);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Additional First-Lien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Authorized Representative acknowledges and agrees that upon execution and delivery of a Joinder Agreement substantially in the form of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 xml:space="preserve">by an Additional Senior Class Debt Representative and each Grantor in accordance with this </w:t>
      </w:r>
      <w:r>
        <w:rPr>
          <w:rFonts w:ascii="Times New Roman;serif" w:hAnsi="Times New Roman;serif"/>
          <w:b w:val="false"/>
          <w:color w:val="000000"/>
          <w:sz w:val="22"/>
          <w:u w:val="single"/>
        </w:rPr>
        <w:t>Section 5.13</w:t>
      </w:r>
      <w:r>
        <w:rPr>
          <w:rFonts w:ascii="Times New Roman;serif" w:hAnsi="Times New Roman;serif"/>
          <w:b w:val="false"/>
          <w:color w:val="000000"/>
          <w:sz w:val="22"/>
        </w:rPr>
        <w:t>, the Additional Collateral Agent will continue to act in its capacity as Additional Collateral Agent in respect of the then existing Authorized Representatives (other than the Administrative Agent) and such additional Authorized Representative.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5.14    </w:t>
      </w:r>
      <w:r>
        <w:rPr>
          <w:rFonts w:ascii="Times New Roman;serif" w:hAnsi="Times New Roman;serif"/>
          <w:b w:val="false"/>
          <w:color w:val="000000"/>
          <w:sz w:val="22"/>
          <w:u w:val="single"/>
        </w:rPr>
        <w:t>Agent Capacities</w:t>
      </w:r>
      <w:r>
        <w:rPr>
          <w:rFonts w:ascii="Times New Roman;serif" w:hAnsi="Times New Roman;serif"/>
          <w:b w:val="false"/>
          <w:color w:val="000000"/>
          <w:sz w:val="22"/>
        </w:rPr>
        <w:t>. Except as expressly provided herein or in the Credit Agreement Collateral Documents, Wells Fargo Bank, National Association is acting in the capacities of Administrative Agent and Credit Agreement Collateral Agent solely for the Credit Agreement Secured Parties. Except as</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327025"/>
                <wp:effectExtent l="0" t="0" r="0" b="0"/>
                <wp:wrapNone/>
                <wp:docPr id="400" name="Frame39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expressly provided herein or in the Additional First-Lien Security Documents, [                    ] is acting in the capacity of Additional Collateral Agent solely for the Additional First-Lien Secured Parties. Except as expressly set forth herein, none of the Administrative Agent, the Credit Agreement Collateral Agent or the Additional Collateral Agent shall have any duties or obligations in respect of any of the Collateral, all of such duties and obligations, if any, being subject to and governed by the applicable Secured Credit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5.15    </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Agreement together with the other Secured Credit Documents and the First-Lien Security Documents represents the agreement of each of the Grantors and the First-Lien Secured Parties with respect to the subject matter hereof and there are no promises, undertakings, representations or warranties by any Grantor, the Credit Agreement Collateral Agent, or any other First-Lien Secured Party relative to the subject matter hereof not expressly set forth or referred to herein or in the other Secured Credit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5.16    </w:t>
      </w:r>
      <w:r>
        <w:rPr>
          <w:rFonts w:ascii="Times New Roman;serif" w:hAnsi="Times New Roman;serif"/>
          <w:b w:val="false"/>
          <w:color w:val="000000"/>
          <w:sz w:val="22"/>
          <w:u w:val="single"/>
        </w:rPr>
        <w:t>Additional Grantors</w:t>
      </w:r>
      <w:r>
        <w:rPr>
          <w:rFonts w:ascii="Times New Roman;serif" w:hAnsi="Times New Roman;serif"/>
          <w:b w:val="false"/>
          <w:color w:val="000000"/>
          <w:sz w:val="22"/>
        </w:rPr>
        <w:t xml:space="preserve">. The Borrowers agree that, if any Subsidiary shall become a Grantor after the date hereof, it will promptly cause such Subsidiary to become party hereto by executing and delivering an instrument in the form of </w:t>
      </w:r>
      <w:r>
        <w:rPr>
          <w:rFonts w:ascii="Times New Roman;serif" w:hAnsi="Times New Roman;serif"/>
          <w:b w:val="false"/>
          <w:color w:val="000000"/>
          <w:sz w:val="22"/>
          <w:u w:val="single"/>
        </w:rPr>
        <w:t>Annex III</w:t>
      </w:r>
      <w:r>
        <w:rPr>
          <w:rFonts w:ascii="Times New Roman;serif" w:hAnsi="Times New Roman;serif"/>
          <w:b w:val="false"/>
          <w:color w:val="000000"/>
          <w:sz w:val="22"/>
        </w:rPr>
        <w:t>.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Administrative Agent, the Initial Additional Authorized Representative and each additional Authorized Representative. The rights and obligations of each Grantor hereunder shall remain in full force and effect notwithstanding the addition of any New Grantor as a party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5.17    </w:t>
      </w:r>
      <w:r>
        <w:rPr>
          <w:rFonts w:ascii="Times New Roman;serif" w:hAnsi="Times New Roman;serif"/>
          <w:b w:val="false"/>
          <w:color w:val="000000"/>
          <w:sz w:val="22"/>
          <w:u w:val="single"/>
        </w:rPr>
        <w:t>Administrative Agent and Representative</w:t>
      </w:r>
      <w:r>
        <w:rPr>
          <w:rFonts w:ascii="Times New Roman;serif" w:hAnsi="Times New Roman;serif"/>
          <w:b w:val="false"/>
          <w:color w:val="000000"/>
          <w:sz w:val="22"/>
        </w:rPr>
        <w:t xml:space="preserve">. It is understood and agreed that (a) the Administrative Agent is entering into this Agreement in its capacity as administrative agent and collateral agent under the Credit Agreement and the provisions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of the Credit Agreement applicable to the Agents (as defined therein) thereunder shall also apply to the Administrative Agent hereunder and (b) [    ] is entering into this Agreement in its capacity as [Administrative Agent] [Trustee] under [credit agreement] [indenture] (the [“</w:t>
      </w:r>
      <w:r>
        <w:rPr>
          <w:rFonts w:ascii="Times New Roman;serif" w:hAnsi="Times New Roman;serif"/>
          <w:b w:val="false"/>
          <w:color w:val="000000"/>
          <w:sz w:val="22"/>
          <w:u w:val="single"/>
        </w:rPr>
        <w:t>Additional Administrative Agent</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Trustee</w:t>
      </w:r>
      <w:r>
        <w:rPr>
          <w:color w:val="000000"/>
        </w:rPr>
        <w:t>”</w:t>
      </w:r>
      <w:r>
        <w:rPr>
          <w:rFonts w:ascii="Times New Roman;serif" w:hAnsi="Times New Roman;serif"/>
          <w:b w:val="false"/>
          <w:color w:val="000000"/>
          <w:sz w:val="22"/>
        </w:rPr>
        <w:t xml:space="preserve">]) and the provisions of </w:t>
      </w:r>
      <w:r>
        <w:rPr>
          <w:rFonts w:ascii="Times New Roman;serif" w:hAnsi="Times New Roman;serif"/>
          <w:b w:val="false"/>
          <w:color w:val="000000"/>
          <w:sz w:val="22"/>
          <w:u w:val="single"/>
        </w:rPr>
        <w:t>Article [    ]</w:t>
      </w:r>
      <w:r>
        <w:rPr>
          <w:color w:val="000000"/>
        </w:rPr>
        <w:t xml:space="preserve"> </w:t>
      </w:r>
      <w:r>
        <w:rPr>
          <w:rFonts w:ascii="Times New Roman;serif" w:hAnsi="Times New Roman;serif"/>
          <w:b w:val="false"/>
          <w:color w:val="000000"/>
          <w:sz w:val="22"/>
        </w:rPr>
        <w:t>of such indenture applicable to the Trustee thereunder shall also apply to the [Additional Administrative Agent] [Trustee]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327025"/>
                <wp:effectExtent l="0" t="0" r="0" b="0"/>
                <wp:wrapNone/>
                <wp:docPr id="401" name="Frame40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authorized officers as of the day and year first above written.</w:t>
      </w:r>
    </w:p>
    <w:tbl>
      <w:tblPr>
        <w:tblW w:w="5229" w:type="dxa"/>
        <w:jc w:val="right"/>
        <w:tblInd w:w="0" w:type="dxa"/>
        <w:tblLayout w:type="fixed"/>
        <w:tblCellMar>
          <w:top w:w="28" w:type="dxa"/>
          <w:left w:w="28" w:type="dxa"/>
          <w:bottom w:w="28" w:type="dxa"/>
          <w:right w:w="28" w:type="dxa"/>
        </w:tblCellMar>
      </w:tblPr>
      <w:tblGrid>
        <w:gridCol w:w="622"/>
        <w:gridCol w:w="546"/>
        <w:gridCol w:w="546"/>
        <w:gridCol w:w="546"/>
        <w:gridCol w:w="546"/>
        <w:gridCol w:w="546"/>
        <w:gridCol w:w="546"/>
        <w:gridCol w:w="546"/>
        <w:gridCol w:w="785"/>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52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WELLS FARO BANK, NATIONAL ASSOCIATION, </w:t>
            </w:r>
          </w:p>
        </w:tc>
      </w:tr>
      <w:tr>
        <w:trPr/>
        <w:tc>
          <w:tcPr>
            <w:tcW w:w="52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Credit Agreement Collateral Agent</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399" w:type="dxa"/>
        <w:jc w:val="right"/>
        <w:tblInd w:w="0" w:type="dxa"/>
        <w:tblLayout w:type="fixed"/>
        <w:tblCellMar>
          <w:top w:w="28" w:type="dxa"/>
          <w:left w:w="28" w:type="dxa"/>
          <w:bottom w:w="28" w:type="dxa"/>
          <w:right w:w="28" w:type="dxa"/>
        </w:tblCellMar>
      </w:tblPr>
      <w:tblGrid>
        <w:gridCol w:w="641"/>
        <w:gridCol w:w="564"/>
        <w:gridCol w:w="564"/>
        <w:gridCol w:w="564"/>
        <w:gridCol w:w="564"/>
        <w:gridCol w:w="564"/>
        <w:gridCol w:w="564"/>
        <w:gridCol w:w="564"/>
        <w:gridCol w:w="810"/>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53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w:t>
            </w:r>
          </w:p>
        </w:tc>
      </w:tr>
      <w:tr>
        <w:trPr/>
        <w:tc>
          <w:tcPr>
            <w:tcW w:w="53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Authorized Representative for the Credit Agreement </w:t>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Secured Parties</w:t>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89" w:type="dxa"/>
        <w:jc w:val="right"/>
        <w:tblInd w:w="0" w:type="dxa"/>
        <w:tblLayout w:type="fixed"/>
        <w:tblCellMar>
          <w:top w:w="28" w:type="dxa"/>
          <w:left w:w="28" w:type="dxa"/>
          <w:bottom w:w="28" w:type="dxa"/>
          <w:right w:w="28" w:type="dxa"/>
        </w:tblCellMar>
      </w:tblPr>
      <w:tblGrid>
        <w:gridCol w:w="630"/>
        <w:gridCol w:w="552"/>
        <w:gridCol w:w="552"/>
        <w:gridCol w:w="552"/>
        <w:gridCol w:w="552"/>
        <w:gridCol w:w="552"/>
        <w:gridCol w:w="552"/>
        <w:gridCol w:w="552"/>
        <w:gridCol w:w="795"/>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528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w:t>
            </w:r>
            <w:r>
              <w:rPr>
                <w:color w:val="000000"/>
                <w:u w:val="single"/>
              </w:rPr>
              <w:t>                           </w:t>
            </w:r>
            <w:r>
              <w:rPr>
                <w:rFonts w:ascii="Times New Roman;serif" w:hAnsi="Times New Roman;serif"/>
                <w:b w:val="false"/>
                <w:color w:val="000000"/>
                <w:sz w:val="22"/>
              </w:rPr>
              <w:t>], as Additional Collateral Agent and</w:t>
            </w:r>
          </w:p>
        </w:tc>
      </w:tr>
      <w:tr>
        <w:trPr/>
        <w:tc>
          <w:tcPr>
            <w:tcW w:w="52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Initial Additional Authorized Representative</w:t>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507365"/>
                <wp:effectExtent l="0" t="0" r="0" b="0"/>
                <wp:wrapNone/>
                <wp:docPr id="402" name="Frame401"/>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before="0" w:after="480"/>
        <w:jc w:val="left"/>
        <w:rPr/>
      </w:pPr>
      <w:r>
        <w:rPr/>
      </w:r>
    </w:p>
    <w:tbl>
      <w:tblPr>
        <w:tblW w:w="3810" w:type="dxa"/>
        <w:jc w:val="right"/>
        <w:tblInd w:w="0" w:type="dxa"/>
        <w:tblLayout w:type="fixed"/>
        <w:tblCellMar>
          <w:top w:w="28" w:type="dxa"/>
          <w:left w:w="28" w:type="dxa"/>
          <w:bottom w:w="28" w:type="dxa"/>
          <w:right w:w="28" w:type="dxa"/>
        </w:tblCellMar>
      </w:tblPr>
      <w:tblGrid>
        <w:gridCol w:w="452"/>
        <w:gridCol w:w="397"/>
        <w:gridCol w:w="397"/>
        <w:gridCol w:w="397"/>
        <w:gridCol w:w="397"/>
        <w:gridCol w:w="397"/>
        <w:gridCol w:w="397"/>
        <w:gridCol w:w="397"/>
        <w:gridCol w:w="579"/>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8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left"/>
        <w:rPr/>
      </w:pPr>
      <w:r>
        <w:rPr/>
      </w:r>
    </w:p>
    <w:p>
      <w:pPr>
        <w:pStyle w:val="TextBody"/>
        <w:bidi w:val="0"/>
        <w:spacing w:before="0" w:after="0"/>
        <w:jc w:val="left"/>
        <w:rPr/>
      </w:pPr>
      <w:r>
        <w:rPr/>
      </w:r>
    </w:p>
    <w:tbl>
      <w:tblPr>
        <w:tblW w:w="2831" w:type="dxa"/>
        <w:jc w:val="right"/>
        <w:tblInd w:w="0" w:type="dxa"/>
        <w:tblLayout w:type="fixed"/>
        <w:tblCellMar>
          <w:top w:w="28" w:type="dxa"/>
          <w:left w:w="28" w:type="dxa"/>
          <w:bottom w:w="28" w:type="dxa"/>
          <w:right w:w="28" w:type="dxa"/>
        </w:tblCellMar>
      </w:tblPr>
      <w:tblGrid>
        <w:gridCol w:w="336"/>
        <w:gridCol w:w="296"/>
        <w:gridCol w:w="296"/>
        <w:gridCol w:w="296"/>
        <w:gridCol w:w="296"/>
        <w:gridCol w:w="296"/>
        <w:gridCol w:w="296"/>
        <w:gridCol w:w="296"/>
        <w:gridCol w:w="423"/>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left"/>
        <w:rPr/>
      </w:pPr>
      <w:r>
        <w:rPr/>
      </w:r>
    </w:p>
    <w:tbl>
      <w:tblPr>
        <w:tblW w:w="1826" w:type="dxa"/>
        <w:jc w:val="right"/>
        <w:tblInd w:w="0" w:type="dxa"/>
        <w:tblLayout w:type="fixed"/>
        <w:tblCellMar>
          <w:top w:w="28" w:type="dxa"/>
          <w:left w:w="28" w:type="dxa"/>
          <w:bottom w:w="28" w:type="dxa"/>
          <w:right w:w="28" w:type="dxa"/>
        </w:tblCellMar>
      </w:tblPr>
      <w:tblGrid>
        <w:gridCol w:w="181"/>
        <w:gridCol w:w="159"/>
        <w:gridCol w:w="159"/>
        <w:gridCol w:w="259"/>
        <w:gridCol w:w="259"/>
        <w:gridCol w:w="261"/>
        <w:gridCol w:w="159"/>
        <w:gridCol w:w="159"/>
        <w:gridCol w:w="230"/>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8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[GRANTORS]</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09245"/>
                <wp:effectExtent l="0" t="0" r="0" b="0"/>
                <wp:wrapNone/>
                <wp:docPr id="403" name="Frame402"/>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ANNEX I</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 xml:space="preserve">Grantors </w:t>
        <w:br/>
        <w:br/>
        <w:t>Schedule 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507365"/>
                <wp:effectExtent l="0" t="0" r="0" b="0"/>
                <wp:wrapNone/>
                <wp:docPr id="404" name="Frame403"/>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ANNEX II</w:t>
      </w:r>
    </w:p>
    <w:p>
      <w:pPr>
        <w:pStyle w:val="TextBody"/>
        <w:bidi w:val="0"/>
        <w:spacing w:lineRule="auto" w:line="288" w:before="0" w:after="180"/>
        <w:ind w:left="0" w:right="0" w:firstLine="720"/>
        <w:jc w:val="both"/>
        <w:rPr/>
      </w:pPr>
      <w:r>
        <w:rPr>
          <w:rFonts w:ascii="Times New Roman;serif" w:hAnsi="Times New Roman;serif"/>
          <w:b w:val="false"/>
          <w:color w:val="000000"/>
          <w:sz w:val="22"/>
        </w:rPr>
        <w:t>[FORM OF] JOINDER NO. [</w:t>
      </w:r>
      <w:r>
        <w:rPr>
          <w:color w:val="000000"/>
          <w:u w:val="single"/>
        </w:rPr>
        <w:t>     </w:t>
      </w:r>
      <w:r>
        <w:rPr>
          <w:rFonts w:ascii="Times New Roman;serif" w:hAnsi="Times New Roman;serif"/>
          <w:b w:val="false"/>
          <w:color w:val="000000"/>
          <w:sz w:val="22"/>
        </w:rPr>
        <w:t>] dated as of [_______________], 202[__] (this “</w:t>
      </w:r>
      <w:r>
        <w:rPr>
          <w:rFonts w:ascii="Times New Roman;serif" w:hAnsi="Times New Roman;serif"/>
          <w:b w:val="false"/>
          <w:color w:val="000000"/>
          <w:sz w:val="22"/>
          <w:u w:val="single"/>
        </w:rPr>
        <w:t>Joinder</w:t>
      </w:r>
      <w:r>
        <w:rPr>
          <w:color w:val="000000"/>
        </w:rPr>
        <w:t>”</w:t>
      </w:r>
      <w:r>
        <w:rPr>
          <w:rFonts w:ascii="Times New Roman;serif" w:hAnsi="Times New Roman;serif"/>
          <w:b w:val="false"/>
          <w:color w:val="000000"/>
          <w:sz w:val="22"/>
        </w:rPr>
        <w:t>), to the FIRST LIEN INTERCREDITOR AGREEMENT dated as of [_______________], 202[__] (the “</w:t>
      </w:r>
      <w:r>
        <w:rPr>
          <w:rFonts w:ascii="Times New Roman;serif" w:hAnsi="Times New Roman;serif"/>
          <w:b w:val="false"/>
          <w:color w:val="000000"/>
          <w:sz w:val="22"/>
          <w:u w:val="single"/>
        </w:rPr>
        <w:t>First Lien Intercreditor 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and certain subsidiaries and affiliates of the Company (each, a “</w:t>
      </w:r>
      <w:r>
        <w:rPr>
          <w:rFonts w:ascii="Times New Roman;serif" w:hAnsi="Times New Roman;serif"/>
          <w:b w:val="false"/>
          <w:color w:val="000000"/>
          <w:sz w:val="22"/>
          <w:u w:val="single"/>
        </w:rPr>
        <w:t>Grantor</w:t>
      </w:r>
      <w:r>
        <w:rPr>
          <w:color w:val="000000"/>
        </w:rPr>
        <w:t>”</w:t>
      </w:r>
      <w:r>
        <w:rPr>
          <w:rFonts w:ascii="Times New Roman;serif" w:hAnsi="Times New Roman;serif"/>
          <w:b w:val="false"/>
          <w:color w:val="000000"/>
          <w:sz w:val="22"/>
        </w:rPr>
        <w:t>), WELLS FARGO BANK, NATIONAL ASSOCIATION, as Credit Agreement Collateral Agent for the Credit Agreement Secured Parties under the First-Lien Security Documents (in such capacity, the “</w:t>
      </w:r>
      <w:r>
        <w:rPr>
          <w:rFonts w:ascii="Times New Roman;serif" w:hAnsi="Times New Roman;serif"/>
          <w:b w:val="false"/>
          <w:color w:val="000000"/>
          <w:sz w:val="22"/>
          <w:u w:val="single"/>
        </w:rPr>
        <w:t>Credit Agreement Collateral Agent</w:t>
      </w:r>
      <w:r>
        <w:rPr>
          <w:color w:val="000000"/>
        </w:rPr>
        <w:t>”</w:t>
      </w:r>
      <w:r>
        <w:rPr>
          <w:rFonts w:ascii="Times New Roman;serif" w:hAnsi="Times New Roman;serif"/>
          <w:b w:val="false"/>
          <w:color w:val="000000"/>
          <w:sz w:val="22"/>
        </w:rPr>
        <w:t>), WELLS FARGO BANK, NATIONAL ASSOCIATION, as Authorized Representative for the Credit Agreement Secured Parties, [</w:t>
      </w:r>
      <w:r>
        <w:rPr>
          <w:color w:val="000000"/>
          <w:u w:val="single"/>
        </w:rPr>
        <w:t>          </w:t>
      </w:r>
      <w:r>
        <w:rPr>
          <w:rFonts w:ascii="Times New Roman;serif" w:hAnsi="Times New Roman;serif"/>
          <w:b w:val="false"/>
          <w:color w:val="000000"/>
          <w:sz w:val="22"/>
        </w:rPr>
        <w:t>] as Initial Additional Authorized Representative, and the additional Authorized Representatives from time to time a party thereto.</w:t>
      </w:r>
      <w:r>
        <w:rPr>
          <w:rFonts w:ascii="Times New Roman;serif" w:hAnsi="Times New Roman;serif"/>
          <w:b w:val="false"/>
          <w:color w:val="000000"/>
          <w:sz w:val="14"/>
        </w:rPr>
        <w:t>1</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Capitalized terms used herein but not otherwise defined herein shall have the meanings assigned to such terms in the First Lien Intercreditor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B.    As a condition to the ability of the Borrowers to incur Additional First-Lien Obligations and to secure such Additional Senior Class Debt with the liens and security interests created by the Additional First-Lien Security Documents relating thereto, the Additional Senior Class Debt Representative in respect of such Additional Senior Class Debt is required to become an Authorized Representative, and such Additional Senior Class Debt and the Additional Senior Class Debt Parties in respect thereof are required to become subject to and bound by, the First Lien Intercreditor Agreement.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 xml:space="preserve">of the First Lien Intercreditor Agreement provides that such Additional Senior Class Debt Representative may become an Authorized Representative, and such Additional Senior Class Debt and such Additional Senior Class Debt Parties may become subject to and bound by the First Lien Intercreditor Agreement as Additional First-Lien Obligations and Additional First-Lien Secured Parties, respectively, upon the execution and delivery by the Senior Debt Class Representative of an instrument in the form of this Joinder and the satisfaction of the other conditions set forth in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of the First Lien Intercreditor Agreement. The undersigned Additional Senior Class Debt Representative (the “</w:t>
      </w:r>
      <w:r>
        <w:rPr>
          <w:rFonts w:ascii="Times New Roman;serif" w:hAnsi="Times New Roman;serif"/>
          <w:b w:val="false"/>
          <w:color w:val="000000"/>
          <w:sz w:val="22"/>
          <w:u w:val="single"/>
        </w:rPr>
        <w:t>New Representative</w:t>
      </w:r>
      <w:r>
        <w:rPr>
          <w:color w:val="000000"/>
        </w:rPr>
        <w:t>”</w:t>
      </w:r>
      <w:r>
        <w:rPr>
          <w:rFonts w:ascii="Times New Roman;serif" w:hAnsi="Times New Roman;serif"/>
          <w:b w:val="false"/>
          <w:color w:val="000000"/>
          <w:sz w:val="22"/>
        </w:rPr>
        <w:t>) is executing this Joinder in accordance with the requirements of the First Lien Intercreditor Agreement and the First-Lien Security Documents.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each Collateral Agent, each Authorized Representative and the New Representative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1. In accordance with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of the First Lien Intercreditor Agreement, the New Representative by its signature below becomes an Authorized Representative under, and the related Additional Senior Class Debt and Additional Senior Class Debt Parties become subject to and bound by, the First Lien Intercreditor Agreement as Additional First-Lien Obligations and Additional First-Lien Secured Parties, with the same force and effect as if the New Representative had originally been named therein as an Authorized Representative and the New Representative, on its behalf and on behalf of such Additional Senior Class Debt Parties, hereby agrees to all the terms and provisions of the First Lien Intercreditor Agreement applicable to it as Authorized Representative and to the Additional Senior Class Debt Parties that it represents as Additional First-Lien Secured Parties. Each reference to an “Authorized Representative” in the First Lien Intercreditor Agreement shall be deemed to include the New Representative. The First Lien Intercreditor Agreement is hereby incorporated herein by reference.</w:t>
      </w:r>
    </w:p>
    <w:p>
      <w:pPr>
        <w:pStyle w:val="TextBody"/>
        <w:bidi w:val="0"/>
        <w:spacing w:lineRule="auto" w:line="288"/>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the event of the Refinancing of the Credit Agreement Obligations, revise to reflect joinder by a new Credit Agreement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507365"/>
                <wp:effectExtent l="0" t="0" r="0" b="0"/>
                <wp:wrapNone/>
                <wp:docPr id="405" name="Frame404"/>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2. The New Representative represents and warrants to each Collateral Agent, each Authorized Representative and the other First-Lien Secured Parties, individually, that (i) it has full power and authority to enter into this Joinder, in its capacity as [trustee/administrative agent and] collateral agent, (ii) this Joinder has been duly authorized, executed and delivered by it and constitutes its legal, valid and binding obligation, enforceable against it in accordance with its terms, except as enforceability may be limited by applicable bankruptcy, insolvency or similar laws affecting the enforcement of creditors’ rights generally or by equitable principles relating to enforceability and (iii) the Additional First-Lien Documents relating to such Additional Senior Class Debt provide that, upon the New Representative’s entry into this Agreement, the Additional Senior Class Debt Parties in respect of such Additional Senior Class Debt will be subject to and bound by the provisions of the First Lien Intercreditor Agreement as Additional First-Lien Secured Parties.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3. This Joinder may be executed in counterparts, each of which shall constitute an original, but all of which when taken together shall constitute a single contract. This Joinder shall become effective when each Collateral Agent shall have received a counterpart of this Joinder that bears the signatures of the New Representative. Delivery of an executed signature page to this Joinder by facsimile transmission shall be effective as delivery of a manually signed counterpart of this Joinder.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4. Except as expressly supplemented hereby, the First Lien Intercreditor Agreement shall remain in full force and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5. THIS JOINDER AND THE RIGHTS AND OBLIGATIONS OF THE PARTIES HEREUNDER SHALL BE GOVERNED BY, AND CONSTRUED IN ACCORDANCE WITH, THE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7. All communications and notices hereunder shall be in writing and given as provided in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of the First Lien Intercreditor Agreement. All communications and notices hereunder to the New Representative shall be given to it at its address set forth below its signature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8. The Borrowers agree to reimburse each Collateral Agent and each Authorized Representative for its reasonable out-of-pocket expenses in connection with this Joinder, including the reasonable fees, other charges and disbursements of counsel, in each case as required by the applicable Secured Credit Documents.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507365"/>
                <wp:effectExtent l="0" t="0" r="0" b="0"/>
                <wp:wrapNone/>
                <wp:docPr id="406" name="Frame405"/>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New Representative has duly executed this Joinder to the First Lien Intercreditor Agreement as of the day and year first above written.</w:t>
      </w:r>
    </w:p>
    <w:tbl>
      <w:tblPr>
        <w:tblW w:w="5050" w:type="dxa"/>
        <w:jc w:val="right"/>
        <w:tblInd w:w="0" w:type="dxa"/>
        <w:tblLayout w:type="fixed"/>
        <w:tblCellMar>
          <w:top w:w="28" w:type="dxa"/>
          <w:left w:w="28" w:type="dxa"/>
          <w:bottom w:w="28" w:type="dxa"/>
          <w:right w:w="28" w:type="dxa"/>
        </w:tblCellMar>
      </w:tblPr>
      <w:tblGrid>
        <w:gridCol w:w="601"/>
        <w:gridCol w:w="528"/>
        <w:gridCol w:w="528"/>
        <w:gridCol w:w="528"/>
        <w:gridCol w:w="528"/>
        <w:gridCol w:w="528"/>
        <w:gridCol w:w="528"/>
        <w:gridCol w:w="528"/>
        <w:gridCol w:w="753"/>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OF NEW REPRESENTATIVE], as [          ] </w:t>
            </w:r>
          </w:p>
        </w:tc>
      </w:tr>
      <w:tr>
        <w:trPr/>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 as collateral agent for the holders of [          ],</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 for notices: attention of:</w:t>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944" w:type="dxa"/>
        <w:jc w:val="right"/>
        <w:tblInd w:w="0" w:type="dxa"/>
        <w:tblLayout w:type="fixed"/>
        <w:tblCellMar>
          <w:top w:w="28" w:type="dxa"/>
          <w:left w:w="28" w:type="dxa"/>
          <w:bottom w:w="28" w:type="dxa"/>
          <w:right w:w="28" w:type="dxa"/>
        </w:tblCellMar>
      </w:tblPr>
      <w:tblGrid>
        <w:gridCol w:w="451"/>
        <w:gridCol w:w="396"/>
        <w:gridCol w:w="398"/>
        <w:gridCol w:w="109"/>
        <w:gridCol w:w="109"/>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Telecopy:</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507365"/>
                <wp:effectExtent l="0" t="0" r="0" b="0"/>
                <wp:wrapNone/>
                <wp:docPr id="407" name="Frame406"/>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Acknowledged by: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the Credit Agreement Collateral Agent and Authorized Representative,</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w:t>
      </w:r>
      <w:r>
        <w:rPr>
          <w:color w:val="000000"/>
          <w:u w:val="single"/>
        </w:rPr>
        <w:t>                                             </w:t>
      </w:r>
      <w:r>
        <w:rPr>
          <w:rFonts w:ascii="Times New Roman;serif" w:hAnsi="Times New Roman;serif"/>
          <w:b w:val="false"/>
          <w:color w:val="000000"/>
          <w:sz w:val="22"/>
        </w:rPr>
        <w: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the Initial Additional Authorized Representative [and the Additional Collateral Agent],</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[OTHER AUTHORIZED REPRESENTATIVES]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OSI RESTAURANT PARTNERS, LLC,</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Borrower</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BLOOMIN’ BRANDS, INC., </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a Borrower</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OTHER GRANTORS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LISTED ON SCHEDULE I HERETO,</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507365"/>
                <wp:effectExtent l="0" t="0" r="0" b="0"/>
                <wp:wrapNone/>
                <wp:docPr id="408" name="Frame407"/>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Schedule I to the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Joinder to the</w:t>
      </w:r>
    </w:p>
    <w:p>
      <w:pPr>
        <w:pStyle w:val="TextBody"/>
        <w:bidi w:val="0"/>
        <w:spacing w:lineRule="auto" w:line="288" w:before="0" w:after="480"/>
        <w:jc w:val="right"/>
        <w:rPr>
          <w:rFonts w:ascii="Times New Roman;serif" w:hAnsi="Times New Roman;serif"/>
          <w:b w:val="false"/>
          <w:color w:val="000000"/>
          <w:sz w:val="22"/>
        </w:rPr>
      </w:pPr>
      <w:r>
        <w:rPr>
          <w:rFonts w:ascii="Times New Roman;serif" w:hAnsi="Times New Roman;serif"/>
          <w:b w:val="false"/>
          <w:color w:val="000000"/>
          <w:sz w:val="22"/>
        </w:rPr>
        <w:t>First Lien Intercreditor Agreement</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Grantors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507365"/>
                <wp:effectExtent l="0" t="0" r="0" b="0"/>
                <wp:wrapNone/>
                <wp:docPr id="409" name="Frame408"/>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I-1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I-1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right"/>
        <w:rPr>
          <w:rFonts w:ascii="Times New Roman;serif" w:hAnsi="Times New Roman;serif"/>
          <w:b w:val="false"/>
          <w:color w:val="000000"/>
          <w:sz w:val="22"/>
        </w:rPr>
      </w:pPr>
      <w:r>
        <w:rPr>
          <w:rFonts w:ascii="Times New Roman;serif" w:hAnsi="Times New Roman;serif"/>
          <w:b w:val="false"/>
          <w:color w:val="000000"/>
          <w:sz w:val="22"/>
        </w:rPr>
        <w:t>ANNEX III</w:t>
      </w:r>
    </w:p>
    <w:p>
      <w:pPr>
        <w:pStyle w:val="TextBody"/>
        <w:bidi w:val="0"/>
        <w:spacing w:lineRule="auto" w:line="288" w:before="0" w:after="240"/>
        <w:ind w:left="0" w:right="0" w:firstLine="720"/>
        <w:jc w:val="both"/>
        <w:rPr/>
      </w:pPr>
      <w:r>
        <w:rPr>
          <w:rFonts w:ascii="Times New Roman;serif" w:hAnsi="Times New Roman;serif"/>
          <w:b w:val="false"/>
          <w:color w:val="000000"/>
          <w:sz w:val="22"/>
        </w:rPr>
        <w:t>SUPPLEMENT NO. [</w:t>
      </w:r>
      <w:r>
        <w:rPr>
          <w:color w:val="000000"/>
          <w:u w:val="single"/>
        </w:rPr>
        <w:t>  </w:t>
      </w:r>
      <w:r>
        <w:rPr>
          <w:rFonts w:ascii="Times New Roman;serif" w:hAnsi="Times New Roman;serif"/>
          <w:b w:val="false"/>
          <w:color w:val="000000"/>
          <w:sz w:val="22"/>
        </w:rPr>
        <w:t>] dated as of [</w:t>
      </w:r>
      <w:r>
        <w:rPr>
          <w:color w:val="000000"/>
          <w:u w:val="single"/>
        </w:rPr>
        <w:t>               </w:t>
      </w:r>
      <w:r>
        <w:rPr>
          <w:rFonts w:ascii="Times New Roman;serif" w:hAnsi="Times New Roman;serif"/>
          <w:b w:val="false"/>
          <w:color w:val="000000"/>
          <w:sz w:val="22"/>
        </w:rPr>
        <w:t>], 202[</w:t>
      </w:r>
      <w:r>
        <w:rPr>
          <w:color w:val="000000"/>
          <w:u w:val="single"/>
        </w:rPr>
        <w:t>  </w:t>
      </w:r>
      <w:r>
        <w:rPr>
          <w:rFonts w:ascii="Times New Roman;serif" w:hAnsi="Times New Roman;serif"/>
          <w:b w:val="false"/>
          <w:color w:val="000000"/>
          <w:sz w:val="22"/>
        </w:rPr>
        <w:t>] (this “</w:t>
      </w:r>
      <w:r>
        <w:rPr>
          <w:rFonts w:ascii="Times New Roman;serif" w:hAnsi="Times New Roman;serif"/>
          <w:b w:val="false"/>
          <w:color w:val="000000"/>
          <w:sz w:val="22"/>
          <w:u w:val="single"/>
        </w:rPr>
        <w:t>Supplement</w:t>
      </w:r>
      <w:r>
        <w:rPr>
          <w:color w:val="000000"/>
        </w:rPr>
        <w:t>”</w:t>
      </w:r>
      <w:r>
        <w:rPr>
          <w:rFonts w:ascii="Times New Roman;serif" w:hAnsi="Times New Roman;serif"/>
          <w:b w:val="false"/>
          <w:color w:val="000000"/>
          <w:sz w:val="22"/>
        </w:rPr>
        <w:t>), to the FIRST LIEN INTERCREDITOR AGREEMENT dated as of [</w:t>
      </w:r>
      <w:r>
        <w:rPr>
          <w:color w:val="000000"/>
          <w:u w:val="single"/>
        </w:rPr>
        <w:t>               </w:t>
      </w:r>
      <w:r>
        <w:rPr>
          <w:rFonts w:ascii="Times New Roman;serif" w:hAnsi="Times New Roman;serif"/>
          <w:b w:val="false"/>
          <w:color w:val="000000"/>
          <w:sz w:val="22"/>
        </w:rPr>
        <w:t>], 202[</w:t>
      </w:r>
      <w:r>
        <w:rPr>
          <w:color w:val="000000"/>
          <w:u w:val="single"/>
        </w:rPr>
        <w:t>  </w:t>
      </w:r>
      <w:r>
        <w:rPr>
          <w:rFonts w:ascii="Times New Roman;serif" w:hAnsi="Times New Roman;serif"/>
          <w:b w:val="false"/>
          <w:color w:val="000000"/>
          <w:sz w:val="22"/>
        </w:rPr>
        <w:t>] (the “</w:t>
      </w:r>
      <w:r>
        <w:rPr>
          <w:rFonts w:ascii="Times New Roman;serif" w:hAnsi="Times New Roman;serif"/>
          <w:b w:val="false"/>
          <w:color w:val="000000"/>
          <w:sz w:val="22"/>
          <w:u w:val="single"/>
        </w:rPr>
        <w:t>First Lien Intercreditor 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and certain subsidiaries and affiliates of the Company (each, a “</w:t>
      </w:r>
      <w:r>
        <w:rPr>
          <w:rFonts w:ascii="Times New Roman;serif" w:hAnsi="Times New Roman;serif"/>
          <w:b w:val="false"/>
          <w:color w:val="000000"/>
          <w:sz w:val="22"/>
          <w:u w:val="single"/>
        </w:rPr>
        <w:t>Grantor</w:t>
      </w:r>
      <w:r>
        <w:rPr>
          <w:color w:val="000000"/>
        </w:rPr>
        <w:t>”</w:t>
      </w:r>
      <w:r>
        <w:rPr>
          <w:rFonts w:ascii="Times New Roman;serif" w:hAnsi="Times New Roman;serif"/>
          <w:b w:val="false"/>
          <w:color w:val="000000"/>
          <w:sz w:val="22"/>
        </w:rPr>
        <w:t>), WELLS FARGO BANK, NATIONAL ASSOCIATION as Credit Agreement Collateral Agent for the Credit Agreement Secured Parties under the First-Lien Security Documents (in such capacity, the “</w:t>
      </w:r>
      <w:r>
        <w:rPr>
          <w:rFonts w:ascii="Times New Roman;serif" w:hAnsi="Times New Roman;serif"/>
          <w:b w:val="false"/>
          <w:color w:val="000000"/>
          <w:sz w:val="22"/>
          <w:u w:val="single"/>
        </w:rPr>
        <w:t>Credit Agreement Collateral Agent</w:t>
      </w:r>
      <w:r>
        <w:rPr>
          <w:color w:val="000000"/>
        </w:rPr>
        <w:t>”</w:t>
      </w:r>
      <w:r>
        <w:rPr>
          <w:rFonts w:ascii="Times New Roman;serif" w:hAnsi="Times New Roman;serif"/>
          <w:b w:val="false"/>
          <w:color w:val="000000"/>
          <w:sz w:val="22"/>
        </w:rPr>
        <w:t>), [WELLS FARGO BANK, NATIONAL ASSOCIATION], as Authorized Representative for the Credit Agreement Secured Parties, [</w:t>
      </w:r>
      <w:r>
        <w:rPr>
          <w:color w:val="000000"/>
          <w:u w:val="single"/>
        </w:rPr>
        <w:t>               </w:t>
      </w:r>
      <w:r>
        <w:rPr>
          <w:rFonts w:ascii="Times New Roman;serif" w:hAnsi="Times New Roman;serif"/>
          <w:b w:val="false"/>
          <w:color w:val="000000"/>
          <w:sz w:val="22"/>
        </w:rPr>
        <w:t>] as Initial Additional Authorized Representative, and the additional Authorized Representatives from time to time a party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Capitalized terms used herein and not otherwise defined herein shall have the meanings assigned to such terms in the First Lien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Grantors have entered into the First Lien Intercreditor Agreement. Pursuant to the Credit Agreement and certain Additional First-Lien Documents, certain newly acquired or organized Subsidiaries of the Company are required to enter into the First Lien Intercreditor Agreement. </w:t>
      </w:r>
      <w:r>
        <w:rPr>
          <w:rFonts w:ascii="Times New Roman;serif" w:hAnsi="Times New Roman;serif"/>
          <w:b w:val="false"/>
          <w:color w:val="000000"/>
          <w:sz w:val="22"/>
          <w:u w:val="single"/>
        </w:rPr>
        <w:t>Section 5.16</w:t>
      </w:r>
      <w:r>
        <w:rPr>
          <w:color w:val="000000"/>
        </w:rPr>
        <w:t xml:space="preserve"> </w:t>
      </w:r>
      <w:r>
        <w:rPr>
          <w:rFonts w:ascii="Times New Roman;serif" w:hAnsi="Times New Roman;serif"/>
          <w:b w:val="false"/>
          <w:color w:val="000000"/>
          <w:sz w:val="22"/>
        </w:rPr>
        <w:t>of the First Lien Intercreditor Agreement provides that such Subsidiaries may become party to the First Lien Intercreditor Agreement by execution and delivery of an instrument in the form of this Supplement. The undersigned Subsidiary (the “</w:t>
      </w:r>
      <w:r>
        <w:rPr>
          <w:rFonts w:ascii="Times New Roman;serif" w:hAnsi="Times New Roman;serif"/>
          <w:b w:val="false"/>
          <w:color w:val="000000"/>
          <w:sz w:val="22"/>
          <w:u w:val="single"/>
        </w:rPr>
        <w:t>New Grantor</w:t>
      </w:r>
      <w:r>
        <w:rPr>
          <w:color w:val="000000"/>
        </w:rPr>
        <w:t>”</w:t>
      </w:r>
      <w:r>
        <w:rPr>
          <w:rFonts w:ascii="Times New Roman;serif" w:hAnsi="Times New Roman;serif"/>
          <w:b w:val="false"/>
          <w:color w:val="000000"/>
          <w:sz w:val="22"/>
        </w:rPr>
        <w:t>) is executing this Supplement in accordance with the requirements of the Credit Agreement and the Additional First-Lien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Accordingly, each Authorized Representative and the New Grantor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1. In accordance with </w:t>
      </w:r>
      <w:r>
        <w:rPr>
          <w:rFonts w:ascii="Times New Roman;serif" w:hAnsi="Times New Roman;serif"/>
          <w:b w:val="false"/>
          <w:color w:val="000000"/>
          <w:sz w:val="22"/>
          <w:u w:val="single"/>
        </w:rPr>
        <w:t>Section 5.16</w:t>
      </w:r>
      <w:r>
        <w:rPr>
          <w:color w:val="000000"/>
        </w:rPr>
        <w:t xml:space="preserve"> </w:t>
      </w:r>
      <w:r>
        <w:rPr>
          <w:rFonts w:ascii="Times New Roman;serif" w:hAnsi="Times New Roman;serif"/>
          <w:b w:val="false"/>
          <w:color w:val="000000"/>
          <w:sz w:val="22"/>
        </w:rPr>
        <w:t>of the First Lien Intercreditor Agreement, the New Grantor by its signature below becomes a Grantor under the First Lien Intercreditor Agreement with the same force and effect as if originally named therein as a Grantor, and the New Grantor hereby agrees to all the terms and provisions of the First Lien Intercreditor Agreement applicable to it as a Grantor thereunder. Each reference to a “Grantor” in the First Lien Intercreditor Agreement shall be deemed to include the New Grantor. The First Lien Intercreditor Agreement is hereby incorporated herein by reference.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2. The New Grantor represents and warrants to each Authorized Representative and the other Secured Parties that (i) it has the full power and authority to enter into this Supplement and (ii) this Supplement has been duly authorized, executed and delivered by it and constitutes its legal, valid and binding obligation, enforceable against it in accordance with its terms, except as such enforceability may be limited by Bankruptcy Law and by general principles of equity.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3. This Supplement may be executed in counterparts, each of which shall constitute an original, but all of which when taken together shall constitute a single contract. This Supplement shall become effective when each Authorized Representative shall have received a counterpart of this Supplement that bears the signature of the New Grantor. Delivery of an executed signature page to this Supplement by facsimile transmission or other electronic method shall be as effective as delivery of a manually signed counterpart of this Supplement.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4. Except as expressly supplemented hereby, the First Lien Intercreditor Agreement shall remain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507365"/>
                <wp:effectExtent l="0" t="0" r="0" b="0"/>
                <wp:wrapNone/>
                <wp:docPr id="410" name="Frame409"/>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5. THIS SUPPLEMENT SHALL BE GOVERNED BY, AND CONSTRUED IN ACCORDANCE WITH, THE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SECTION 7. All communications and notices hereunder shall be in writing and given as provided in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of the First Lien Intercreditor Agreement. All communications and notices hereunder to the New Grantor shall be given to it in care of the Borrowers as specified in the First Lien Intercreditor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8. The Borrowers agree to reimburse each Authorized Representative for its reasonable out-of-pocket expenses in connection with this Supplement, including the reasonable fees, other charges and disbursements of counsel for each Authorized Representative as required by the applicable Loan Documents.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507365"/>
                <wp:effectExtent l="0" t="0" r="0" b="0"/>
                <wp:wrapNone/>
                <wp:docPr id="411" name="Frame410"/>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New Grantor, and each Authorized Representative have duly executed this Supplement to the First Lien Intercreditor Agreement as of the day and year first above written.</w:t>
      </w:r>
    </w:p>
    <w:tbl>
      <w:tblPr>
        <w:tblW w:w="4779" w:type="dxa"/>
        <w:jc w:val="right"/>
        <w:tblInd w:w="0" w:type="dxa"/>
        <w:tblLayout w:type="fixed"/>
        <w:tblCellMar>
          <w:top w:w="28" w:type="dxa"/>
          <w:left w:w="28" w:type="dxa"/>
          <w:bottom w:w="28" w:type="dxa"/>
          <w:right w:w="28" w:type="dxa"/>
        </w:tblCellMar>
      </w:tblPr>
      <w:tblGrid>
        <w:gridCol w:w="815"/>
        <w:gridCol w:w="716"/>
        <w:gridCol w:w="716"/>
        <w:gridCol w:w="716"/>
        <w:gridCol w:w="716"/>
        <w:gridCol w:w="728"/>
        <w:gridCol w:w="109"/>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OF NEW SUBSIDIARY GRANTOR]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Acknowledged by: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BANK, NATIONAL ASSOCIATION,</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the Credit Agreement Collateral Agent and Authorized Representative,</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w:t>
      </w:r>
      <w:r>
        <w:rPr>
          <w:color w:val="000000"/>
          <w:u w:val="single"/>
        </w:rPr>
        <w:t>                                             </w:t>
      </w:r>
      <w:r>
        <w:rPr>
          <w:rFonts w:ascii="Times New Roman;serif" w:hAnsi="Times New Roman;serif"/>
          <w:b w:val="false"/>
          <w:color w:val="000000"/>
          <w:sz w:val="22"/>
        </w:rPr>
        <w: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as the Initial Additional Authorized Representative [and the Additional Collateral Agent and],</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[OTHER AUTHORIZED REPRESENTATIVES]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507365"/>
                <wp:effectExtent l="0" t="0" r="0" b="0"/>
                <wp:wrapNone/>
                <wp:docPr id="412" name="Frame411"/>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ANNEX III-3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J-1</w:t>
      </w:r>
    </w:p>
    <w:p>
      <w:pPr>
        <w:pStyle w:val="TextBody"/>
        <w:bidi w:val="0"/>
        <w:spacing w:lineRule="auto" w:line="288" w:before="0" w:after="240"/>
        <w:jc w:val="center"/>
        <w:rPr/>
      </w:pPr>
      <w:r>
        <w:rPr>
          <w:rFonts w:ascii="Times New Roman;serif" w:hAnsi="Times New Roman;serif"/>
          <w:b/>
          <w:color w:val="000000"/>
          <w:sz w:val="22"/>
          <w:u w:val="single"/>
        </w:rPr>
        <w:t>FORM OF U.S. TAX COMPLIANCE CERTIFICATE</w:t>
      </w:r>
      <w:r>
        <w:rPr>
          <w:rFonts w:ascii="Times New Roman;serif" w:hAnsi="Times New Roman;serif"/>
          <w:b/>
          <w:color w:val="000000"/>
          <w:sz w:val="22"/>
        </w:rPr>
        <w:br/>
        <w:t>(For Foreign Lenders That Are Not Partnerships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the same may be amended, restated, amended and restated, supplemented or otherwise modified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WELLS FARGO BANK, NATIONAL ASSOCIATION, as Administrative Agent, Collateral Agent, Swing Line Lender and an L/C Issuer, and each lender from time to time party thereto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of the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any Borrower within the meaning of Section 881(c)(3)(B) of the Code and (iv) it is not a controlled foreign corporation related to any Borrower as described in Section 881(c)(3)(C) of the Code.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the Administrative Agent and the Borrowers with a certificate of its non-U.S. Person status on IRS Form W-8BEN or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Agreement and used herein shall have the meanings given to them in the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OF LENDER]</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62" w:type="dxa"/>
        <w:jc w:val="left"/>
        <w:tblInd w:w="0" w:type="dxa"/>
        <w:tblLayout w:type="fixed"/>
        <w:tblCellMar>
          <w:top w:w="28" w:type="dxa"/>
          <w:left w:w="28" w:type="dxa"/>
          <w:bottom w:w="28" w:type="dxa"/>
          <w:right w:w="28" w:type="dxa"/>
        </w:tblCellMar>
      </w:tblPr>
      <w:tblGrid>
        <w:gridCol w:w="222"/>
        <w:gridCol w:w="196"/>
        <w:gridCol w:w="197"/>
        <w:gridCol w:w="109"/>
        <w:gridCol w:w="109"/>
        <w:gridCol w:w="109"/>
        <w:gridCol w:w="210"/>
        <w:gridCol w:w="210"/>
        <w:gridCol w:w="30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20[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507365"/>
                <wp:effectExtent l="0" t="0" r="0" b="0"/>
                <wp:wrapNone/>
                <wp:docPr id="413" name="Frame412"/>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J-2</w:t>
      </w:r>
    </w:p>
    <w:p>
      <w:pPr>
        <w:pStyle w:val="TextBody"/>
        <w:bidi w:val="0"/>
        <w:spacing w:lineRule="auto" w:line="288" w:before="0" w:after="240"/>
        <w:jc w:val="center"/>
        <w:rPr/>
      </w:pPr>
      <w:r>
        <w:rPr>
          <w:rFonts w:ascii="Times New Roman;serif" w:hAnsi="Times New Roman;serif"/>
          <w:b/>
          <w:color w:val="000000"/>
          <w:sz w:val="22"/>
          <w:u w:val="single"/>
        </w:rPr>
        <w:t>FORM OF U.S. TAX COMPLIANCE CERTIFICATE</w:t>
      </w:r>
      <w:r>
        <w:rPr>
          <w:rFonts w:ascii="Times New Roman;serif" w:hAnsi="Times New Roman;serif"/>
          <w:b/>
          <w:color w:val="000000"/>
          <w:sz w:val="22"/>
        </w:rPr>
        <w:br/>
        <w:t>(For Foreign Participants That Are Not Partnerships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the same may be amended, restated, amended and restated, supplemented or otherwise modified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WELLS FARGO BANK, NATIONAL ASSOCIATION, as Administrative Agent, Collateral Agent, Swing Line Lender and an L/C Issuer, and each lender from time to time party thereto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of the Agreement, the undersigned hereby certifies that (i) it is the sole record and beneficial owner of the participation in respect of which it is providing this certificate, (ii) it is not a “bank” within the meaning of Section 881(c)(3)(A) of the Code, (iii) it is not a “10 percent shareholder” of any Borrower within the meaning of Section 881(c)(3)(B) of the Code, and (iv) it is not a controlled foreign corporation related to any Borrower as described in Section 881(c)(3)(C) of the Code.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Agreement and used herein shall have the meanings given to them in the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62" w:type="dxa"/>
        <w:jc w:val="left"/>
        <w:tblInd w:w="0" w:type="dxa"/>
        <w:tblLayout w:type="fixed"/>
        <w:tblCellMar>
          <w:top w:w="28" w:type="dxa"/>
          <w:left w:w="28" w:type="dxa"/>
          <w:bottom w:w="28" w:type="dxa"/>
          <w:right w:w="28" w:type="dxa"/>
        </w:tblCellMar>
      </w:tblPr>
      <w:tblGrid>
        <w:gridCol w:w="222"/>
        <w:gridCol w:w="196"/>
        <w:gridCol w:w="197"/>
        <w:gridCol w:w="109"/>
        <w:gridCol w:w="109"/>
        <w:gridCol w:w="109"/>
        <w:gridCol w:w="210"/>
        <w:gridCol w:w="210"/>
        <w:gridCol w:w="30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20[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507365"/>
                <wp:effectExtent l="0" t="0" r="0" b="0"/>
                <wp:wrapNone/>
                <wp:docPr id="414" name="Frame413"/>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J-3</w:t>
      </w:r>
    </w:p>
    <w:p>
      <w:pPr>
        <w:pStyle w:val="TextBody"/>
        <w:bidi w:val="0"/>
        <w:spacing w:lineRule="auto" w:line="288" w:before="0" w:after="240"/>
        <w:jc w:val="center"/>
        <w:rPr/>
      </w:pPr>
      <w:r>
        <w:rPr>
          <w:rFonts w:ascii="Times New Roman;serif" w:hAnsi="Times New Roman;serif"/>
          <w:b/>
          <w:color w:val="000000"/>
          <w:sz w:val="22"/>
          <w:u w:val="single"/>
        </w:rPr>
        <w:t>FORM OF U.S. TAX COMPLIANCE CERTIFICATE</w:t>
      </w:r>
      <w:r>
        <w:rPr>
          <w:rFonts w:ascii="Times New Roman;serif" w:hAnsi="Times New Roman;serif"/>
          <w:b/>
          <w:color w:val="000000"/>
          <w:sz w:val="22"/>
        </w:rPr>
        <w:br/>
        <w:t>(For Foreign Participants That Are Partnerships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the same may be amended, restated, amended and restated, supplemented or otherwise modified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WELLS FARGO BANK, NATIONAL ASSOCIATION, as Administrative Agent, Collateral Agent, Swing Line Lender and an L/C Issuer, and each lender from time to time party thereto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within the meaning of Section 881(c)(3)(A) of the Code, (iv) none of its direct or indirect partners/members is a “10 percent shareholder” of any Borrower within the meaning of Section 881(c)(3)(B) of the Code and (v) none of its direct or indirect partners/members is a controlled foreign corporation related to any Borrower as described in Section 881(c)(3)(C) of the Code.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Agreement and used herein shall have the meanings given to them in the Agreement.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62" w:type="dxa"/>
        <w:jc w:val="left"/>
        <w:tblInd w:w="0" w:type="dxa"/>
        <w:tblLayout w:type="fixed"/>
        <w:tblCellMar>
          <w:top w:w="28" w:type="dxa"/>
          <w:left w:w="28" w:type="dxa"/>
          <w:bottom w:w="28" w:type="dxa"/>
          <w:right w:w="28" w:type="dxa"/>
        </w:tblCellMar>
      </w:tblPr>
      <w:tblGrid>
        <w:gridCol w:w="222"/>
        <w:gridCol w:w="196"/>
        <w:gridCol w:w="197"/>
        <w:gridCol w:w="109"/>
        <w:gridCol w:w="109"/>
        <w:gridCol w:w="109"/>
        <w:gridCol w:w="210"/>
        <w:gridCol w:w="210"/>
        <w:gridCol w:w="30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20[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507365"/>
                <wp:effectExtent l="0" t="0" r="0" b="0"/>
                <wp:wrapNone/>
                <wp:docPr id="415" name="Frame414"/>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J-4</w:t>
      </w:r>
    </w:p>
    <w:p>
      <w:pPr>
        <w:pStyle w:val="TextBody"/>
        <w:bidi w:val="0"/>
        <w:spacing w:lineRule="auto" w:line="288" w:before="0" w:after="240"/>
        <w:jc w:val="center"/>
        <w:rPr/>
      </w:pPr>
      <w:r>
        <w:rPr>
          <w:rFonts w:ascii="Times New Roman;serif" w:hAnsi="Times New Roman;serif"/>
          <w:b/>
          <w:color w:val="000000"/>
          <w:sz w:val="22"/>
          <w:u w:val="single"/>
        </w:rPr>
        <w:t>FORM OF U.S. TAX COMPLIANCE CERTIFICATE</w:t>
      </w:r>
      <w:r>
        <w:rPr>
          <w:rFonts w:ascii="Times New Roman;serif" w:hAnsi="Times New Roman;serif"/>
          <w:b/>
          <w:color w:val="000000"/>
          <w:sz w:val="22"/>
        </w:rPr>
        <w:br/>
        <w:t>(For Foreign Lenders That Are Partnerships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rPr>
        <w:t>Reference is made to the Fourth Amended and Restated Credit Agreement dated as of September 25, 2026 (as the same may be amended, restated, amended and restated, supplemented or otherwise modified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OSI RESTAURANT PARTNERS, LLC, a Delaware limited liability company (“</w:t>
      </w:r>
      <w:r>
        <w:rPr>
          <w:rFonts w:ascii="Times New Roman;serif" w:hAnsi="Times New Roman;serif"/>
          <w:b w:val="false"/>
          <w:color w:val="000000"/>
          <w:sz w:val="22"/>
          <w:u w:val="single"/>
        </w:rPr>
        <w:t>OSI</w:t>
      </w:r>
      <w:r>
        <w:rPr>
          <w:color w:val="000000"/>
        </w:rPr>
        <w:t>”</w:t>
      </w:r>
      <w:r>
        <w:rPr>
          <w:rFonts w:ascii="Times New Roman;serif" w:hAnsi="Times New Roman;serif"/>
          <w:b w:val="false"/>
          <w:color w:val="000000"/>
          <w:sz w:val="22"/>
        </w:rPr>
        <w:t>), BLOOMIN’ BRANDS, INC.,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together with OSI,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WELLS FARGO BANK, NATIONAL ASSOCIATION, as Administrative Agent, Collateral Agent, Swing Line Lender and an L/C Issuer, and each lender from time to time party thereto (collectively, the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Agreement or any other Loan Document, neither the undersigned nor any of its direct or indirect partners/members is a “bank” within the meaning of Section 881(c)(3)(A) of the Code, (iv) none of its direct or indirect partners/members is a “10 percent shareholder” of any Borrower within the meaning of Section 881(c)(3)(B) of the Code and (v) none of its direct or indirect partners/members is a controlled foreign corporation related to any Borrower as described in Section 881(c)(3)(C) of the Code.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the Administrative Agent and the Borrowers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Agreement and used herein shall have the meanings given to them in the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OF LENDER]</w:t>
      </w:r>
    </w:p>
    <w:tbl>
      <w:tblPr>
        <w:tblW w:w="1601" w:type="dxa"/>
        <w:jc w:val="left"/>
        <w:tblInd w:w="0" w:type="dxa"/>
        <w:tblLayout w:type="fixed"/>
        <w:tblCellMar>
          <w:top w:w="28" w:type="dxa"/>
          <w:left w:w="28" w:type="dxa"/>
          <w:bottom w:w="28" w:type="dxa"/>
          <w:right w:w="28" w:type="dxa"/>
        </w:tblCellMar>
      </w:tblPr>
      <w:tblGrid>
        <w:gridCol w:w="162"/>
        <w:gridCol w:w="143"/>
        <w:gridCol w:w="145"/>
        <w:gridCol w:w="259"/>
        <w:gridCol w:w="259"/>
        <w:gridCol w:w="26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9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62" w:type="dxa"/>
        <w:jc w:val="left"/>
        <w:tblInd w:w="0" w:type="dxa"/>
        <w:tblLayout w:type="fixed"/>
        <w:tblCellMar>
          <w:top w:w="28" w:type="dxa"/>
          <w:left w:w="28" w:type="dxa"/>
          <w:bottom w:w="28" w:type="dxa"/>
          <w:right w:w="28" w:type="dxa"/>
        </w:tblCellMar>
      </w:tblPr>
      <w:tblGrid>
        <w:gridCol w:w="222"/>
        <w:gridCol w:w="196"/>
        <w:gridCol w:w="197"/>
        <w:gridCol w:w="109"/>
        <w:gridCol w:w="109"/>
        <w:gridCol w:w="109"/>
        <w:gridCol w:w="210"/>
        <w:gridCol w:w="210"/>
        <w:gridCol w:w="30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20[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507365"/>
                <wp:effectExtent l="0" t="0" r="0" b="0"/>
                <wp:wrapNone/>
                <wp:docPr id="416" name="Frame415"/>
                <a:graphic xmlns:a="http://schemas.openxmlformats.org/drawingml/2006/main">
                  <a:graphicData uri="http://schemas.microsoft.com/office/word/2010/wordprocessingShape">
                    <wps:wsp>
                      <wps:cNvSpPr txBox="1"/>
                      <wps:spPr>
                        <a:xfrm>
                          <a:off x="0" y="0"/>
                          <a:ext cx="6480175" cy="5073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226511349</w:t>
                      </w:r>
                    </w:p>
                    <w:p>
                      <w:pPr>
                        <w:pStyle w:val="TextBody"/>
                        <w:bidi w:val="0"/>
                        <w:spacing w:before="0" w:after="0"/>
                        <w:jc w:val="left"/>
                        <w:rPr/>
                      </w:pPr>
                      <w:r>
                        <w:rPr/>
                      </w:r>
                    </w:p>
                  </w:txbxContent>
                </v:textbox>
                <w10:wrap type="none"/>
              </v:rect>
            </w:pict>
          </mc:Fallback>
        </mc:AlternateContent>
      </w:r>
    </w:p>
    <w:tbl>
      <w:tblPr>
        <w:tblW w:w="8719" w:type="dxa"/>
        <w:jc w:val="left"/>
        <w:tblInd w:w="0" w:type="dxa"/>
        <w:tblLayout w:type="fixed"/>
        <w:tblCellMar>
          <w:top w:w="28" w:type="dxa"/>
          <w:left w:w="28" w:type="dxa"/>
          <w:bottom w:w="28" w:type="dxa"/>
          <w:right w:w="28" w:type="dxa"/>
        </w:tblCellMar>
      </w:tblPr>
      <w:tblGrid>
        <w:gridCol w:w="428"/>
        <w:gridCol w:w="376"/>
        <w:gridCol w:w="377"/>
        <w:gridCol w:w="109"/>
        <w:gridCol w:w="109"/>
        <w:gridCol w:w="109"/>
        <w:gridCol w:w="1849"/>
        <w:gridCol w:w="1849"/>
        <w:gridCol w:w="1851"/>
        <w:gridCol w:w="109"/>
        <w:gridCol w:w="109"/>
        <w:gridCol w:w="109"/>
        <w:gridCol w:w="390"/>
        <w:gridCol w:w="390"/>
        <w:gridCol w:w="555"/>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85800" cy="1085850"/>
                  <wp:effectExtent l="0" t="0" r="0" b="0"/>
                  <wp:docPr id="4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 descr=""/>
                          <pic:cNvPicPr>
                            <a:picLocks noChangeAspect="1" noChangeArrowheads="1"/>
                          </pic:cNvPicPr>
                        </pic:nvPicPr>
                        <pic:blipFill>
                          <a:blip r:embed="rId3"/>
                          <a:stretch>
                            <a:fillRect/>
                          </a:stretch>
                        </pic:blipFill>
                        <pic:spPr bwMode="auto">
                          <a:xfrm>
                            <a:off x="0" y="0"/>
                            <a:ext cx="685800" cy="10858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4"/>
              </w:rPr>
            </w:pPr>
            <w:r>
              <w:rPr>
                <w:rFonts w:ascii="Times New Roman;serif" w:hAnsi="Times New Roman;serif"/>
                <w:b w:val="false"/>
                <w:color w:val="000000"/>
                <w:sz w:val="84"/>
              </w:rPr>
              <w:t>NEWS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Kelly Lefferts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Legal Officer &amp;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(813) 830-4161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Bloomin' Brands Announces Extension of Revolving Credit Facility</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4"/>
        </w:rPr>
        <w:t>TAMPA, Fla., September 29, 2026</w:t>
      </w:r>
      <w:r>
        <w:rPr>
          <w:color w:val="000000"/>
        </w:rPr>
        <w:t xml:space="preserve"> </w:t>
      </w:r>
      <w:r>
        <w:rPr>
          <w:rFonts w:ascii="Times New Roman;serif" w:hAnsi="Times New Roman;serif"/>
          <w:b w:val="false"/>
          <w:color w:val="000000"/>
          <w:sz w:val="24"/>
        </w:rPr>
        <w:t xml:space="preserve">- </w:t>
      </w:r>
      <w:r>
        <w:rPr>
          <w:rFonts w:ascii="Times New Roman;serif" w:hAnsi="Times New Roman;serif"/>
          <w:b w:val="false"/>
          <w:color w:val="000000"/>
          <w:sz w:val="22"/>
        </w:rPr>
        <w:t>Bloomin’ Brands, Inc. (Nasdaq: BLMN) today announced that it and its wholly-owned subsidiary, OSI Restaurant Partners, LLC, have amended and restated their revolving credit facility to extend its maturity date to September 25, 2031. The amount of the lender commitments under the $1.2 billion facility and the interest rate elections and spreads remained substantially unchanged, and the transaction is leverage neutral. Other than the addition of a new senior secured net leverage ratio covenant, there were no material changes to existing affirmative and negative covenants or other terms.</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This refinancing strengthens our capital structure by extending the maturity of our revolving credit facility through September 2031 while maintaining favorable pricing and substantial liquidity,” said Mike Spanos, Chief Executive Officer of Bloomin’ Brands. “The transaction reflects the strength of our banking relationships and enhances our financial flexibility to support our strategic priorities and create long-term value for our shareholders.”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details regarding the amended and restated revolving credit facility will be filed in a Form 8-K with the Securities and Exchange Commission.</w:t>
      </w:r>
    </w:p>
    <w:p>
      <w:pPr>
        <w:pStyle w:val="TextBody"/>
        <w:bidi w:val="0"/>
        <w:spacing w:before="0" w:after="0"/>
        <w:jc w:val="both"/>
        <w:rPr/>
      </w:pPr>
      <w:r>
        <w:rPr/>
      </w:r>
    </w:p>
    <w:p>
      <w:pPr>
        <w:pStyle w:val="TextBody"/>
        <w:bidi w:val="0"/>
        <w:spacing w:lineRule="auto" w:line="256" w:before="0" w:after="60"/>
        <w:jc w:val="both"/>
        <w:rPr>
          <w:rFonts w:ascii="Times New Roman;serif" w:hAnsi="Times New Roman;serif"/>
          <w:b/>
          <w:color w:val="000000"/>
          <w:sz w:val="22"/>
          <w:u w:val="single"/>
        </w:rPr>
      </w:pPr>
      <w:r>
        <w:rPr>
          <w:rFonts w:ascii="Times New Roman;serif" w:hAnsi="Times New Roman;serif"/>
          <w:b/>
          <w:color w:val="000000"/>
          <w:sz w:val="22"/>
          <w:u w:val="single"/>
        </w:rPr>
        <w:t>About Bloomin’ Brands, Inc.</w:t>
      </w:r>
    </w:p>
    <w:p>
      <w:pPr>
        <w:pStyle w:val="TextBody"/>
        <w:bidi w:val="0"/>
        <w:spacing w:lineRule="auto" w:line="268" w:before="0" w:after="0"/>
        <w:jc w:val="both"/>
        <w:rPr/>
      </w:pPr>
      <w:r>
        <w:rPr>
          <w:rFonts w:ascii="Times New Roman;serif" w:hAnsi="Times New Roman;serif"/>
          <w:b w:val="false"/>
          <w:color w:val="000000"/>
          <w:sz w:val="22"/>
        </w:rPr>
        <w:t>Bloomin’ Brands, Inc. is one of the largest full-service dining restaurant companies in the world with a portfolio of leading, differentiated restaurant concepts. The Company’s restaurant portfolio includes Outback Steakhouse, Carrabba’s Italian Grill, Bonefish Grill and Fleming’s Prime Steakhouse &amp; Wine Bar. The Company owns, operates and franchises more than 1,440 restaurants in 46 states, Guam and 12 countries. For more information, please visit </w:t>
      </w:r>
      <w:r>
        <w:rPr>
          <w:rFonts w:ascii="Times New Roman;serif" w:hAnsi="Times New Roman;serif"/>
          <w:b w:val="false"/>
          <w:color w:val="0E32E1"/>
          <w:sz w:val="22"/>
          <w:u w:val="single"/>
        </w:rPr>
        <w:t>www.bloominbrands.com</w:t>
      </w:r>
      <w:r>
        <w:rPr>
          <w:rFonts w:ascii="Times New Roman;serif" w:hAnsi="Times New Roman;serif"/>
          <w:b w:val="false"/>
          <w:color w:val="000000"/>
          <w:sz w:val="22"/>
        </w:rPr>
        <w:t>.</w:t>
      </w:r>
    </w:p>
    <w:p>
      <w:pPr>
        <w:pStyle w:val="TextBody"/>
        <w:bidi w:val="0"/>
        <w:spacing w:before="0" w:after="6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6"/>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8"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413</Pages>
  <Words>170121</Words>
  <Characters>928793</Characters>
  <CharactersWithSpaces>1092407</CharactersWithSpaces>
  <Paragraphs>8966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