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598170</wp:posOffset>
            </wp:positionH>
            <wp:positionV relativeFrom="page">
              <wp:posOffset>367030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318135</wp:posOffset>
            </wp:positionV>
            <wp:extent cx="6805930"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33020"/>
                    </a:xfrm>
                    <a:prstGeom prst="rect">
                      <a:avLst/>
                    </a:prstGeom>
                    <a:noFill/>
                  </pic:spPr>
                </pic:pic>
              </a:graphicData>
            </a:graphic>
          </wp:anchor>
        </w:drawing>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137" w:lineRule="exact"/>
        <w:rPr>
          <w:sz w:val="24"/>
          <w:szCs w:val="24"/>
          <w:color w:val="auto"/>
        </w:rPr>
      </w:pPr>
    </w:p>
    <w:p>
      <w:pPr>
        <w:ind w:left="540"/>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p>
    <w:p>
      <w:pPr>
        <w:ind w:left="1680" w:right="660" w:hanging="800"/>
        <w:spacing w:after="0" w:line="190" w:lineRule="auto"/>
        <w:tabs>
          <w:tab w:leader="none" w:pos="1680" w:val="left"/>
        </w:tabs>
        <w:numPr>
          <w:ilvl w:val="0"/>
          <w:numId w:val="1"/>
        </w:numPr>
        <w:rPr>
          <w:rFonts w:ascii="MS PGothic" w:cs="MS PGothic" w:eastAsia="MS PGothic" w:hAnsi="MS PGothic"/>
          <w:sz w:val="31"/>
          <w:szCs w:val="3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quarterly period ended June 26, 2022</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or</w:t>
      </w:r>
    </w:p>
    <w:p>
      <w:pPr>
        <w:spacing w:after="0" w:line="6" w:lineRule="exact"/>
        <w:rPr>
          <w:sz w:val="24"/>
          <w:szCs w:val="24"/>
          <w:color w:val="auto"/>
        </w:rPr>
      </w:pPr>
    </w:p>
    <w:p>
      <w:pPr>
        <w:ind w:left="1680" w:right="640" w:hanging="800"/>
        <w:spacing w:after="0" w:line="190" w:lineRule="auto"/>
        <w:tabs>
          <w:tab w:leader="none" w:pos="1680" w:val="left"/>
        </w:tabs>
        <w:numPr>
          <w:ilvl w:val="0"/>
          <w:numId w:val="2"/>
        </w:numPr>
        <w:rPr>
          <w:rFonts w:ascii="MS PGothic" w:cs="MS PGothic" w:eastAsia="MS PGothic" w:hAnsi="MS PGothic"/>
          <w:sz w:val="31"/>
          <w:szCs w:val="3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transition period from ______ to ______</w:t>
      </w:r>
    </w:p>
    <w:p>
      <w:pPr>
        <w:spacing w:after="0" w:line="8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3161665</wp:posOffset>
            </wp:positionH>
            <wp:positionV relativeFrom="paragraph">
              <wp:posOffset>158750</wp:posOffset>
            </wp:positionV>
            <wp:extent cx="826770" cy="131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6770" cy="1318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59"/>
        <w:spacing w:after="0"/>
        <w:rPr>
          <w:sz w:val="20"/>
          <w:szCs w:val="20"/>
          <w:color w:val="auto"/>
        </w:rPr>
      </w:pPr>
      <w:r>
        <w:rPr>
          <w:rFonts w:ascii="Arial" w:cs="Arial" w:eastAsia="Arial" w:hAnsi="Arial"/>
          <w:sz w:val="41"/>
          <w:szCs w:val="41"/>
          <w:b w:val="1"/>
          <w:bCs w:val="1"/>
          <w:color w:val="auto"/>
        </w:rPr>
        <w:t>BLOOMIN’ BRANDS, INC.</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00"/>
          </w:cols>
          <w:pgMar w:left="320" w:top="890" w:right="379" w:bottom="287" w:gutter="0" w:footer="0" w:header="0"/>
        </w:sectPr>
      </w:pPr>
    </w:p>
    <w:p>
      <w:pPr>
        <w:spacing w:after="0" w:line="106"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Delaware</w:t>
      </w:r>
    </w:p>
    <w:p>
      <w:pPr>
        <w:spacing w:after="0" w:line="40" w:lineRule="exact"/>
        <w:rPr>
          <w:sz w:val="24"/>
          <w:szCs w:val="24"/>
          <w:color w:val="auto"/>
        </w:rPr>
      </w:pPr>
    </w:p>
    <w:p>
      <w:pPr>
        <w:jc w:val="center"/>
        <w:ind w:right="9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1740"/>
        <w:spacing w:after="0"/>
        <w:rPr>
          <w:sz w:val="20"/>
          <w:szCs w:val="20"/>
          <w:color w:val="auto"/>
        </w:rPr>
      </w:pPr>
      <w:r>
        <w:rPr>
          <w:rFonts w:ascii="Arial" w:cs="Arial" w:eastAsia="Arial" w:hAnsi="Arial"/>
          <w:sz w:val="15"/>
          <w:szCs w:val="15"/>
          <w:b w:val="1"/>
          <w:bCs w:val="1"/>
          <w:color w:val="auto"/>
        </w:rPr>
        <w:t>20-8023465</w:t>
      </w:r>
    </w:p>
    <w:p>
      <w:pPr>
        <w:spacing w:after="0" w:line="40" w:lineRule="exact"/>
        <w:rPr>
          <w:sz w:val="24"/>
          <w:szCs w:val="24"/>
          <w:color w:val="auto"/>
        </w:rPr>
      </w:pPr>
    </w:p>
    <w:p>
      <w:pPr>
        <w:jc w:val="center"/>
        <w:ind w:right="1740"/>
        <w:spacing w:after="0"/>
        <w:rPr>
          <w:sz w:val="20"/>
          <w:szCs w:val="20"/>
          <w:color w:val="auto"/>
        </w:rPr>
      </w:pPr>
      <w:r>
        <w:rPr>
          <w:rFonts w:ascii="Arial" w:cs="Arial" w:eastAsia="Arial" w:hAnsi="Arial"/>
          <w:sz w:val="14"/>
          <w:szCs w:val="14"/>
          <w:color w:val="auto"/>
        </w:rPr>
        <w:t>(IRS Employer Identification No.)</w:t>
      </w:r>
    </w:p>
    <w:p>
      <w:pPr>
        <w:spacing w:after="0" w:line="108" w:lineRule="exact"/>
        <w:rPr>
          <w:sz w:val="24"/>
          <w:szCs w:val="24"/>
          <w:color w:val="auto"/>
        </w:rPr>
      </w:pPr>
    </w:p>
    <w:p>
      <w:pPr>
        <w:sectPr>
          <w:pgSz w:w="11900" w:h="16838" w:orient="portrait"/>
          <w:cols w:equalWidth="0" w:num="2">
            <w:col w:w="6620" w:space="720"/>
            <w:col w:w="3860"/>
          </w:cols>
          <w:pgMar w:left="320" w:top="890" w:right="379" w:bottom="287"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2202 North West Shore Boulevard, Suite 500, Tampa, FL 33607</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(813) 282-1225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(Registrant’s telephone number, including area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ectPr>
          <w:pgSz w:w="11900" w:h="16838" w:orient="portrait"/>
          <w:cols w:equalWidth="0" w:num="1">
            <w:col w:w="11200"/>
          </w:cols>
          <w:pgMar w:left="320" w:top="890" w:right="379" w:bottom="287"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jc w:val="center"/>
        <w:ind w:left="1200"/>
        <w:spacing w:after="0"/>
        <w:rPr>
          <w:sz w:val="20"/>
          <w:szCs w:val="20"/>
          <w:color w:val="auto"/>
        </w:rPr>
      </w:pPr>
      <w:r>
        <w:rPr>
          <w:rFonts w:ascii="Arial" w:cs="Arial" w:eastAsia="Arial" w:hAnsi="Arial"/>
          <w:sz w:val="15"/>
          <w:szCs w:val="15"/>
          <w:color w:val="auto"/>
        </w:rPr>
        <w:t>Title of each class</w:t>
      </w:r>
    </w:p>
    <w:p>
      <w:pPr>
        <w:spacing w:after="0" w:line="28" w:lineRule="exact"/>
        <w:rPr>
          <w:sz w:val="24"/>
          <w:szCs w:val="24"/>
          <w:color w:val="auto"/>
        </w:rPr>
      </w:pPr>
    </w:p>
    <w:p>
      <w:pPr>
        <w:jc w:val="center"/>
        <w:ind w:left="1160"/>
        <w:spacing w:after="0"/>
        <w:rPr>
          <w:sz w:val="20"/>
          <w:szCs w:val="20"/>
          <w:color w:val="auto"/>
        </w:rPr>
      </w:pPr>
      <w:r>
        <w:rPr>
          <w:rFonts w:ascii="Arial" w:cs="Arial" w:eastAsia="Arial" w:hAnsi="Arial"/>
          <w:sz w:val="13"/>
          <w:szCs w:val="13"/>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8" w:lineRule="exact"/>
        <w:rPr>
          <w:sz w:val="24"/>
          <w:szCs w:val="24"/>
          <w:color w:val="auto"/>
        </w:rPr>
      </w:pPr>
    </w:p>
    <w:p>
      <w:pPr>
        <w:ind w:left="1340"/>
        <w:spacing w:after="0"/>
        <w:rPr>
          <w:sz w:val="20"/>
          <w:szCs w:val="20"/>
          <w:color w:val="auto"/>
        </w:rPr>
      </w:pPr>
      <w:r>
        <w:rPr>
          <w:rFonts w:ascii="Arial" w:cs="Arial" w:eastAsia="Arial" w:hAnsi="Arial"/>
          <w:sz w:val="15"/>
          <w:szCs w:val="15"/>
          <w:color w:val="auto"/>
        </w:rPr>
        <w:t>Trading Symbol(s)</w:t>
      </w:r>
    </w:p>
    <w:p>
      <w:pPr>
        <w:spacing w:after="0" w:line="28" w:lineRule="exact"/>
        <w:rPr>
          <w:sz w:val="24"/>
          <w:szCs w:val="24"/>
          <w:color w:val="auto"/>
        </w:rPr>
      </w:pPr>
    </w:p>
    <w:p>
      <w:pPr>
        <w:ind w:left="1700"/>
        <w:spacing w:after="0"/>
        <w:rPr>
          <w:sz w:val="20"/>
          <w:szCs w:val="20"/>
          <w:color w:val="auto"/>
        </w:rPr>
      </w:pPr>
      <w:r>
        <w:rPr>
          <w:rFonts w:ascii="Arial" w:cs="Arial" w:eastAsia="Arial" w:hAnsi="Arial"/>
          <w:sz w:val="15"/>
          <w:szCs w:val="15"/>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jc w:val="center"/>
        <w:ind w:right="640"/>
        <w:spacing w:after="0" w:line="267" w:lineRule="auto"/>
        <w:rPr>
          <w:sz w:val="20"/>
          <w:szCs w:val="20"/>
          <w:color w:val="auto"/>
        </w:rPr>
      </w:pPr>
      <w:r>
        <w:rPr>
          <w:rFonts w:ascii="Arial" w:cs="Arial" w:eastAsia="Arial" w:hAnsi="Arial"/>
          <w:sz w:val="15"/>
          <w:szCs w:val="15"/>
          <w:color w:val="auto"/>
        </w:rPr>
        <w:t xml:space="preserve">Name of each exchange on which registered </w:t>
      </w:r>
      <w:r>
        <w:rPr>
          <w:rFonts w:ascii="Arial" w:cs="Arial" w:eastAsia="Arial" w:hAnsi="Arial"/>
          <w:sz w:val="15"/>
          <w:szCs w:val="15"/>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3220" w:space="620"/>
            <w:col w:w="3560" w:space="420"/>
            <w:col w:w="3380"/>
          </w:cols>
          <w:pgMar w:left="320" w:top="890" w:right="379" w:bottom="287" w:gutter="0" w:footer="0" w:header="0"/>
          <w:type w:val="continuous"/>
        </w:sectPr>
      </w:pPr>
    </w:p>
    <w:p>
      <w:pPr>
        <w:spacing w:after="0" w:line="84" w:lineRule="exact"/>
        <w:rPr>
          <w:sz w:val="24"/>
          <w:szCs w:val="24"/>
          <w:color w:val="auto"/>
        </w:rPr>
      </w:pPr>
    </w:p>
    <w:p>
      <w:pPr>
        <w:spacing w:after="0" w:line="29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past 90 days.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231" w:lineRule="exact"/>
        <w:rPr>
          <w:sz w:val="24"/>
          <w:szCs w:val="24"/>
          <w:color w:val="auto"/>
        </w:rPr>
      </w:pPr>
    </w:p>
    <w:p>
      <w:pPr>
        <w:ind w:right="20"/>
        <w:spacing w:after="0" w:line="26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5"/>
          <w:szCs w:val="15"/>
          <w:color w:val="auto"/>
        </w:rPr>
        <w:t xml:space="preserve"> No </w:t>
      </w:r>
      <w:r>
        <w:rPr>
          <w:rFonts w:ascii="MS PGothic" w:cs="MS PGothic" w:eastAsia="MS PGothic" w:hAnsi="MS PGothic"/>
          <w:sz w:val="21"/>
          <w:szCs w:val="21"/>
          <w:color w:val="auto"/>
        </w:rPr>
        <w:t>☐</w:t>
      </w:r>
    </w:p>
    <w:p>
      <w:pPr>
        <w:spacing w:after="0" w:line="187" w:lineRule="exact"/>
        <w:rPr>
          <w:sz w:val="24"/>
          <w:szCs w:val="24"/>
          <w:color w:val="auto"/>
        </w:rPr>
      </w:pPr>
    </w:p>
    <w:p>
      <w:pPr>
        <w:jc w:val="both"/>
        <w:ind w:right="4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Non-accelerated filer </w:t>
      </w:r>
      <w:r>
        <w:rPr>
          <w:rFonts w:ascii="MS PGothic" w:cs="MS PGothic" w:eastAsia="MS PGothic" w:hAnsi="MS PGothic"/>
          <w:sz w:val="24"/>
          <w:szCs w:val="24"/>
          <w:color w:val="auto"/>
        </w:rPr>
        <w:t>☐</w:t>
      </w:r>
    </w:p>
    <w:p>
      <w:pPr>
        <w:spacing w:after="0" w:line="64"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24"/>
          <w:szCs w:val="24"/>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24"/>
          <w:szCs w:val="24"/>
          <w:color w:val="auto"/>
        </w:rPr>
        <w:t>☐</w:t>
      </w:r>
    </w:p>
    <w:p>
      <w:pPr>
        <w:spacing w:after="0" w:line="231" w:lineRule="exact"/>
        <w:rPr>
          <w:sz w:val="24"/>
          <w:szCs w:val="24"/>
          <w:color w:val="auto"/>
        </w:rPr>
      </w:pPr>
    </w:p>
    <w:p>
      <w:pPr>
        <w:ind w:right="440"/>
        <w:spacing w:after="0" w:line="26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4"/>
          <w:szCs w:val="24"/>
          <w:color w:val="auto"/>
        </w:rPr>
        <w:t>☐</w:t>
      </w:r>
    </w:p>
    <w:p>
      <w:pPr>
        <w:spacing w:after="0" w:line="140"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287" w:lineRule="exact"/>
        <w:rPr>
          <w:sz w:val="24"/>
          <w:szCs w:val="24"/>
          <w:color w:val="auto"/>
        </w:rPr>
      </w:pPr>
    </w:p>
    <w:p>
      <w:pPr>
        <w:spacing w:after="0"/>
        <w:rPr>
          <w:sz w:val="20"/>
          <w:szCs w:val="20"/>
          <w:color w:val="auto"/>
        </w:rPr>
      </w:pPr>
      <w:r>
        <w:rPr>
          <w:rFonts w:ascii="Arial" w:cs="Arial" w:eastAsia="Arial" w:hAnsi="Arial"/>
          <w:sz w:val="17"/>
          <w:szCs w:val="17"/>
          <w:color w:val="auto"/>
        </w:rPr>
        <w:t>As of July 28, 2022, 89,297,078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247650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713867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88265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890" w:right="379" w:bottom="287" w:gutter="0" w:footer="0" w:header="0"/>
          <w:type w:val="continuous"/>
        </w:sectPr>
      </w:pPr>
    </w:p>
    <w:bookmarkStart w:id="1" w:name="page2"/>
    <w:bookmarkEnd w:id="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66"/>
        </w:trPr>
        <w:tc>
          <w:tcPr>
            <w:tcW w:w="980" w:type="dxa"/>
            <w:vAlign w:val="bottom"/>
            <w:tcBorders>
              <w:top w:val="single" w:sz="8" w:color="0000FF"/>
            </w:tcBorders>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720" w:type="dxa"/>
            <w:vAlign w:val="bottom"/>
            <w:gridSpan w:val="13"/>
          </w:tcPr>
          <w:p>
            <w:pPr>
              <w:jc w:val="center"/>
              <w:ind w:right="2320"/>
              <w:spacing w:after="0"/>
              <w:rPr>
                <w:sz w:val="20"/>
                <w:szCs w:val="20"/>
                <w:color w:val="auto"/>
              </w:rPr>
            </w:pPr>
            <w:r>
              <w:rPr>
                <w:rFonts w:ascii="Arial" w:cs="Arial" w:eastAsia="Arial" w:hAnsi="Arial"/>
                <w:sz w:val="19"/>
                <w:szCs w:val="19"/>
                <w:b w:val="1"/>
                <w:bCs w:val="1"/>
                <w:color w:val="auto"/>
              </w:rPr>
              <w:t>BLOOMIN’ BRANDS, INC.</w:t>
            </w: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8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gridSpan w:val="17"/>
          </w:tcPr>
          <w:p>
            <w:pPr>
              <w:jc w:val="center"/>
              <w:ind w:right="1360"/>
              <w:spacing w:after="0"/>
              <w:rPr>
                <w:sz w:val="20"/>
                <w:szCs w:val="20"/>
                <w:color w:val="auto"/>
              </w:rPr>
            </w:pPr>
            <w:r>
              <w:rPr>
                <w:rFonts w:ascii="Arial" w:cs="Arial" w:eastAsia="Arial" w:hAnsi="Arial"/>
                <w:sz w:val="19"/>
                <w:szCs w:val="19"/>
                <w:color w:val="auto"/>
                <w:w w:val="94"/>
              </w:rPr>
              <w:t>INDEX TO QUARTERLY REPORT ON FORM 10-Q</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80" w:type="dxa"/>
            <w:vAlign w:val="bottom"/>
            <w:gridSpan w:val="15"/>
          </w:tcPr>
          <w:p>
            <w:pPr>
              <w:jc w:val="center"/>
              <w:ind w:right="2160"/>
              <w:spacing w:after="0"/>
              <w:rPr>
                <w:sz w:val="20"/>
                <w:szCs w:val="20"/>
                <w:color w:val="auto"/>
              </w:rPr>
            </w:pPr>
            <w:r>
              <w:rPr>
                <w:rFonts w:ascii="Arial" w:cs="Arial" w:eastAsia="Arial" w:hAnsi="Arial"/>
                <w:sz w:val="19"/>
                <w:szCs w:val="19"/>
                <w:color w:val="auto"/>
                <w:w w:val="89"/>
              </w:rPr>
              <w:t>For the Quarterly Period Ended June 26, 2022</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0"/>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12"/>
          </w:tcPr>
          <w:p>
            <w:pPr>
              <w:jc w:val="center"/>
              <w:ind w:right="3140"/>
              <w:spacing w:after="0"/>
              <w:rPr>
                <w:sz w:val="20"/>
                <w:szCs w:val="20"/>
                <w:color w:val="auto"/>
              </w:rPr>
            </w:pPr>
            <w:r>
              <w:rPr>
                <w:rFonts w:ascii="Arial" w:cs="Arial" w:eastAsia="Arial" w:hAnsi="Arial"/>
                <w:sz w:val="19"/>
                <w:szCs w:val="19"/>
                <w:color w:val="auto"/>
                <w:w w:val="92"/>
              </w:rPr>
              <w:t>(Unaudited)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1"/>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3"/>
          </w:tcPr>
          <w:p>
            <w:pPr>
              <w:jc w:val="center"/>
              <w:ind w:right="2320"/>
              <w:spacing w:after="0"/>
              <w:rPr>
                <w:sz w:val="20"/>
                <w:szCs w:val="20"/>
                <w:color w:val="auto"/>
              </w:rPr>
            </w:pPr>
            <w:r>
              <w:rPr>
                <w:rFonts w:ascii="Arial" w:cs="Arial" w:eastAsia="Arial" w:hAnsi="Arial"/>
                <w:sz w:val="19"/>
                <w:szCs w:val="19"/>
                <w:color w:val="auto"/>
                <w:w w:val="95"/>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7"/>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15"/>
          </w:tcPr>
          <w:p>
            <w:pPr>
              <w:jc w:val="center"/>
              <w:ind w:right="2660"/>
              <w:spacing w:after="0"/>
              <w:rPr>
                <w:rFonts w:ascii="Arial" w:cs="Arial" w:eastAsia="Arial" w:hAnsi="Arial"/>
                <w:sz w:val="19"/>
                <w:szCs w:val="19"/>
                <w:color w:val="0000FF"/>
                <w:w w:val="98"/>
              </w:rPr>
            </w:pPr>
            <w:hyperlink w:anchor="page2">
              <w:r>
                <w:rPr>
                  <w:rFonts w:ascii="Arial" w:cs="Arial" w:eastAsia="Arial" w:hAnsi="Arial"/>
                  <w:sz w:val="19"/>
                  <w:szCs w:val="19"/>
                  <w:color w:val="0000FF"/>
                  <w:w w:val="98"/>
                </w:rPr>
                <w:t>PART I — FINANCIAL INFORMATION</w:t>
              </w:r>
            </w:hyperlink>
          </w:p>
        </w:tc>
        <w:tc>
          <w:tcPr>
            <w:tcW w:w="1600" w:type="dxa"/>
            <w:vAlign w:val="bottom"/>
            <w:gridSpan w:val="5"/>
          </w:tcPr>
          <w:p>
            <w:pPr>
              <w:ind w:left="460"/>
              <w:spacing w:after="0"/>
              <w:rPr>
                <w:sz w:val="20"/>
                <w:szCs w:val="20"/>
                <w:color w:val="auto"/>
              </w:rPr>
            </w:pPr>
            <w:r>
              <w:rPr>
                <w:rFonts w:ascii="Arial" w:cs="Arial" w:eastAsia="Arial" w:hAnsi="Arial"/>
                <w:sz w:val="19"/>
                <w:szCs w:val="19"/>
                <w:color w:val="auto"/>
              </w:rPr>
              <w:t>Page No.</w:t>
            </w:r>
          </w:p>
        </w:tc>
      </w:tr>
      <w:tr>
        <w:trPr>
          <w:trHeight w:val="24"/>
        </w:trPr>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2"/>
        </w:trPr>
        <w:tc>
          <w:tcPr>
            <w:tcW w:w="980" w:type="dxa"/>
            <w:vAlign w:val="bottom"/>
          </w:tcPr>
          <w:p>
            <w:pPr>
              <w:ind w:left="20"/>
              <w:spacing w:after="0"/>
              <w:rPr>
                <w:sz w:val="20"/>
                <w:szCs w:val="20"/>
                <w:color w:val="auto"/>
              </w:rPr>
            </w:pPr>
            <w:r>
              <w:rPr>
                <w:rFonts w:ascii="Arial" w:cs="Arial" w:eastAsia="Arial" w:hAnsi="Arial"/>
                <w:sz w:val="19"/>
                <w:szCs w:val="19"/>
                <w:color w:val="auto"/>
              </w:rPr>
              <w:t>Item 1.</w:t>
            </w:r>
          </w:p>
        </w:tc>
        <w:tc>
          <w:tcPr>
            <w:tcW w:w="140" w:type="dxa"/>
            <w:vAlign w:val="bottom"/>
          </w:tcPr>
          <w:p>
            <w:pPr>
              <w:spacing w:after="0"/>
              <w:rPr>
                <w:sz w:val="20"/>
                <w:szCs w:val="20"/>
                <w:color w:val="auto"/>
              </w:rPr>
            </w:pPr>
          </w:p>
        </w:tc>
        <w:tc>
          <w:tcPr>
            <w:tcW w:w="8520" w:type="dxa"/>
            <w:vAlign w:val="bottom"/>
            <w:gridSpan w:val="25"/>
          </w:tcPr>
          <w:p>
            <w:pPr>
              <w:spacing w:after="0"/>
              <w:rPr>
                <w:rFonts w:ascii="Arial" w:cs="Arial" w:eastAsia="Arial" w:hAnsi="Arial"/>
                <w:sz w:val="19"/>
                <w:szCs w:val="19"/>
                <w:color w:val="0000FF"/>
              </w:rPr>
            </w:pPr>
            <w:hyperlink w:anchor="page3">
              <w:r>
                <w:rPr>
                  <w:rFonts w:ascii="Arial" w:cs="Arial" w:eastAsia="Arial" w:hAnsi="Arial"/>
                  <w:sz w:val="19"/>
                  <w:szCs w:val="19"/>
                  <w:color w:val="0000FF"/>
                </w:rPr>
                <w:t>Financial Statements (Unaudited)</w:t>
              </w:r>
            </w:hyperlink>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3</w:t>
              </w:r>
            </w:hyperlink>
          </w:p>
        </w:tc>
        <w:tc>
          <w:tcPr>
            <w:tcW w:w="700" w:type="dxa"/>
            <w:vAlign w:val="bottom"/>
          </w:tcPr>
          <w:p>
            <w:pPr>
              <w:spacing w:after="0"/>
              <w:rPr>
                <w:sz w:val="20"/>
                <w:szCs w:val="20"/>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5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gridSpan w:val="24"/>
          </w:tcPr>
          <w:p>
            <w:pPr>
              <w:ind w:left="100"/>
              <w:spacing w:after="0"/>
              <w:rPr>
                <w:rFonts w:ascii="Arial" w:cs="Arial" w:eastAsia="Arial" w:hAnsi="Arial"/>
                <w:sz w:val="19"/>
                <w:szCs w:val="19"/>
                <w:color w:val="0000FF"/>
              </w:rPr>
            </w:pPr>
            <w:hyperlink w:anchor="page3">
              <w:r>
                <w:rPr>
                  <w:rFonts w:ascii="Arial" w:cs="Arial" w:eastAsia="Arial" w:hAnsi="Arial"/>
                  <w:sz w:val="19"/>
                  <w:szCs w:val="19"/>
                  <w:color w:val="0000FF"/>
                </w:rPr>
                <w:t>Consolidated Financial Statements:</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9"/>
                <w:szCs w:val="19"/>
                <w:color w:val="0000FF"/>
                <w:w w:val="88"/>
              </w:rPr>
            </w:pPr>
            <w:hyperlink w:anchor="page3">
              <w:r>
                <w:rPr>
                  <w:rFonts w:ascii="Arial" w:cs="Arial" w:eastAsia="Arial" w:hAnsi="Arial"/>
                  <w:sz w:val="19"/>
                  <w:szCs w:val="19"/>
                  <w:color w:val="0000FF"/>
                  <w:w w:val="88"/>
                </w:rPr>
                <w:t xml:space="preserve">Consolidated Balance Sheets — June </w:t>
              </w:r>
            </w:hyperlink>
            <w:r>
              <w:rPr>
                <w:rFonts w:ascii="Arial" w:cs="Arial" w:eastAsia="Arial" w:hAnsi="Arial"/>
                <w:sz w:val="19"/>
                <w:szCs w:val="19"/>
                <w:color w:val="0000FF"/>
                <w:w w:val="88"/>
              </w:rPr>
              <w:t xml:space="preserve">26, </w:t>
            </w:r>
            <w:hyperlink w:anchor="page3">
              <w:r>
                <w:rPr>
                  <w:rFonts w:ascii="Arial" w:cs="Arial" w:eastAsia="Arial" w:hAnsi="Arial"/>
                  <w:sz w:val="19"/>
                  <w:szCs w:val="19"/>
                  <w:color w:val="0000FF"/>
                  <w:w w:val="88"/>
                </w:rPr>
                <w:t>2022 and December 26, 2021</w:t>
              </w:r>
            </w:hyperlink>
          </w:p>
        </w:tc>
        <w:tc>
          <w:tcPr>
            <w:tcW w:w="2820" w:type="dxa"/>
            <w:vAlign w:val="bottom"/>
            <w:gridSpan w:val="6"/>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3</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18"/>
          </w:tcPr>
          <w:p>
            <w:pPr>
              <w:spacing w:after="0"/>
              <w:rPr>
                <w:rFonts w:ascii="Arial" w:cs="Arial" w:eastAsia="Arial" w:hAnsi="Arial"/>
                <w:sz w:val="19"/>
                <w:szCs w:val="19"/>
                <w:color w:val="0000FF"/>
                <w:w w:val="89"/>
              </w:rPr>
            </w:pPr>
            <w:hyperlink w:anchor="page3">
              <w:r>
                <w:rPr>
                  <w:rFonts w:ascii="Arial" w:cs="Arial" w:eastAsia="Arial" w:hAnsi="Arial"/>
                  <w:sz w:val="19"/>
                  <w:szCs w:val="19"/>
                  <w:color w:val="0000FF"/>
                  <w:w w:val="89"/>
                </w:rPr>
                <w:t>Consolidated Statements of Operations and Comprehensive (Loss) Income —</w:t>
              </w:r>
            </w:hyperlink>
          </w:p>
        </w:tc>
        <w:tc>
          <w:tcPr>
            <w:tcW w:w="2320" w:type="dxa"/>
            <w:vAlign w:val="bottom"/>
            <w:gridSpan w:val="4"/>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4</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0"/>
        </w:trPr>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100" w:type="dxa"/>
            <w:vAlign w:val="bottom"/>
            <w:tcBorders>
              <w:bottom w:val="single" w:sz="8" w:color="0000FF"/>
            </w:tcBorders>
            <w:gridSpan w:val="20"/>
          </w:tcPr>
          <w:p>
            <w:pPr>
              <w:spacing w:after="0" w:line="141" w:lineRule="exact"/>
              <w:rPr>
                <w:rFonts w:ascii="Arial" w:cs="Arial" w:eastAsia="Arial" w:hAnsi="Arial"/>
                <w:sz w:val="16"/>
                <w:szCs w:val="16"/>
                <w:color w:val="0000FF"/>
              </w:rPr>
            </w:pPr>
            <w:hyperlink w:anchor="page3">
              <w:r>
                <w:rPr>
                  <w:rFonts w:ascii="Arial" w:cs="Arial" w:eastAsia="Arial" w:hAnsi="Arial"/>
                  <w:sz w:val="16"/>
                  <w:szCs w:val="16"/>
                  <w:color w:val="0000FF"/>
                </w:rPr>
                <w:t xml:space="preserve">For the Thirteen and Twenty-Six Weeks Ended June </w:t>
              </w:r>
            </w:hyperlink>
            <w:r>
              <w:rPr>
                <w:rFonts w:ascii="Arial" w:cs="Arial" w:eastAsia="Arial" w:hAnsi="Arial"/>
                <w:sz w:val="16"/>
                <w:szCs w:val="16"/>
                <w:color w:val="0000FF"/>
              </w:rPr>
              <w:t xml:space="preserve">26, </w:t>
            </w:r>
            <w:hyperlink w:anchor="page3">
              <w:r>
                <w:rPr>
                  <w:rFonts w:ascii="Arial" w:cs="Arial" w:eastAsia="Arial" w:hAnsi="Arial"/>
                  <w:sz w:val="16"/>
                  <w:szCs w:val="16"/>
                  <w:color w:val="0000FF"/>
                </w:rPr>
                <w:t xml:space="preserve">2022 and June </w:t>
              </w:r>
            </w:hyperlink>
            <w:r>
              <w:rPr>
                <w:rFonts w:ascii="Arial" w:cs="Arial" w:eastAsia="Arial" w:hAnsi="Arial"/>
                <w:sz w:val="16"/>
                <w:szCs w:val="16"/>
                <w:color w:val="0000FF"/>
              </w:rPr>
              <w:t xml:space="preserve">27, </w:t>
            </w:r>
            <w:hyperlink w:anchor="page3">
              <w:r>
                <w:rPr>
                  <w:rFonts w:ascii="Arial" w:cs="Arial" w:eastAsia="Arial" w:hAnsi="Arial"/>
                  <w:sz w:val="16"/>
                  <w:szCs w:val="16"/>
                  <w:color w:val="0000FF"/>
                </w:rPr>
                <w:t>2021</w:t>
              </w:r>
            </w:hyperlink>
          </w:p>
        </w:tc>
        <w:tc>
          <w:tcPr>
            <w:tcW w:w="212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13"/>
          </w:tcPr>
          <w:p>
            <w:pPr>
              <w:spacing w:after="0"/>
              <w:rPr>
                <w:rFonts w:ascii="Arial" w:cs="Arial" w:eastAsia="Arial" w:hAnsi="Arial"/>
                <w:sz w:val="19"/>
                <w:szCs w:val="19"/>
                <w:color w:val="0000FF"/>
                <w:w w:val="90"/>
              </w:rPr>
            </w:pPr>
            <w:hyperlink w:anchor="page4">
              <w:r>
                <w:rPr>
                  <w:rFonts w:ascii="Arial" w:cs="Arial" w:eastAsia="Arial" w:hAnsi="Arial"/>
                  <w:sz w:val="19"/>
                  <w:szCs w:val="19"/>
                  <w:color w:val="0000FF"/>
                  <w:w w:val="90"/>
                </w:rPr>
                <w:t>Consolidated Statements of Changes in Stockholders’ Equity —</w:t>
              </w:r>
            </w:hyperlink>
          </w:p>
        </w:tc>
        <w:tc>
          <w:tcPr>
            <w:tcW w:w="3360" w:type="dxa"/>
            <w:vAlign w:val="bottom"/>
            <w:gridSpan w:val="9"/>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4">
              <w:r>
                <w:rPr>
                  <w:rFonts w:ascii="Arial" w:cs="Arial" w:eastAsia="Arial" w:hAnsi="Arial"/>
                  <w:sz w:val="19"/>
                  <w:szCs w:val="19"/>
                  <w:color w:val="0000FF"/>
                  <w:w w:val="94"/>
                </w:rPr>
                <w:t>5</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0"/>
        </w:trPr>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80" w:type="dxa"/>
            <w:vAlign w:val="bottom"/>
            <w:tcBorders>
              <w:bottom w:val="single" w:sz="8" w:color="0000FF"/>
            </w:tcBorders>
            <w:gridSpan w:val="19"/>
          </w:tcPr>
          <w:p>
            <w:pPr>
              <w:spacing w:after="0" w:line="141" w:lineRule="exact"/>
              <w:rPr>
                <w:rFonts w:ascii="Arial" w:cs="Arial" w:eastAsia="Arial" w:hAnsi="Arial"/>
                <w:sz w:val="16"/>
                <w:szCs w:val="16"/>
                <w:color w:val="0000FF"/>
              </w:rPr>
            </w:pPr>
            <w:hyperlink w:anchor="page4">
              <w:r>
                <w:rPr>
                  <w:rFonts w:ascii="Arial" w:cs="Arial" w:eastAsia="Arial" w:hAnsi="Arial"/>
                  <w:sz w:val="16"/>
                  <w:szCs w:val="16"/>
                  <w:color w:val="0000FF"/>
                </w:rPr>
                <w:t xml:space="preserve">For the Thirteen and Twenty-Six Weeks Ended June </w:t>
              </w:r>
            </w:hyperlink>
            <w:r>
              <w:rPr>
                <w:rFonts w:ascii="Arial" w:cs="Arial" w:eastAsia="Arial" w:hAnsi="Arial"/>
                <w:sz w:val="16"/>
                <w:szCs w:val="16"/>
                <w:color w:val="0000FF"/>
              </w:rPr>
              <w:t xml:space="preserve">26, </w:t>
            </w:r>
            <w:hyperlink w:anchor="page4">
              <w:r>
                <w:rPr>
                  <w:rFonts w:ascii="Arial" w:cs="Arial" w:eastAsia="Arial" w:hAnsi="Arial"/>
                  <w:sz w:val="16"/>
                  <w:szCs w:val="16"/>
                  <w:color w:val="0000FF"/>
                </w:rPr>
                <w:t xml:space="preserve">2022 and June </w:t>
              </w:r>
            </w:hyperlink>
            <w:r>
              <w:rPr>
                <w:rFonts w:ascii="Arial" w:cs="Arial" w:eastAsia="Arial" w:hAnsi="Arial"/>
                <w:sz w:val="16"/>
                <w:szCs w:val="16"/>
                <w:color w:val="0000FF"/>
              </w:rPr>
              <w:t xml:space="preserve">27, </w:t>
            </w:r>
            <w:hyperlink w:anchor="page4">
              <w:r>
                <w:rPr>
                  <w:rFonts w:ascii="Arial" w:cs="Arial" w:eastAsia="Arial" w:hAnsi="Arial"/>
                  <w:sz w:val="16"/>
                  <w:szCs w:val="16"/>
                  <w:color w:val="0000FF"/>
                </w:rPr>
                <w:t>2021</w:t>
              </w:r>
            </w:hyperlink>
          </w:p>
        </w:tc>
        <w:tc>
          <w:tcPr>
            <w:tcW w:w="214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2"/>
          </w:tcPr>
          <w:p>
            <w:pPr>
              <w:spacing w:after="0"/>
              <w:rPr>
                <w:rFonts w:ascii="Arial" w:cs="Arial" w:eastAsia="Arial" w:hAnsi="Arial"/>
                <w:sz w:val="19"/>
                <w:szCs w:val="19"/>
                <w:color w:val="0000FF"/>
              </w:rPr>
            </w:pPr>
            <w:hyperlink w:anchor="page6">
              <w:r>
                <w:rPr>
                  <w:rFonts w:ascii="Arial" w:cs="Arial" w:eastAsia="Arial" w:hAnsi="Arial"/>
                  <w:sz w:val="19"/>
                  <w:szCs w:val="19"/>
                  <w:color w:val="0000FF"/>
                </w:rPr>
                <w:t>Condensed Consolidated Statements of Cash Flows —</w:t>
              </w:r>
            </w:hyperlink>
          </w:p>
        </w:tc>
        <w:tc>
          <w:tcPr>
            <w:tcW w:w="900" w:type="dxa"/>
            <w:vAlign w:val="bottom"/>
            <w:gridSpan w:val="4"/>
          </w:tcPr>
          <w:p>
            <w:pPr>
              <w:jc w:val="center"/>
              <w:ind w:left="626"/>
              <w:spacing w:after="0"/>
              <w:rPr>
                <w:rFonts w:ascii="Arial" w:cs="Arial" w:eastAsia="Arial" w:hAnsi="Arial"/>
                <w:sz w:val="19"/>
                <w:szCs w:val="19"/>
                <w:color w:val="0000FF"/>
                <w:w w:val="94"/>
              </w:rPr>
            </w:pPr>
            <w:hyperlink w:anchor="page6">
              <w:r>
                <w:rPr>
                  <w:rFonts w:ascii="Arial" w:cs="Arial" w:eastAsia="Arial" w:hAnsi="Arial"/>
                  <w:sz w:val="19"/>
                  <w:szCs w:val="19"/>
                  <w:color w:val="0000FF"/>
                  <w:w w:val="94"/>
                </w:rPr>
                <w:t>7</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20" w:type="dxa"/>
            <w:vAlign w:val="bottom"/>
            <w:gridSpan w:val="22"/>
          </w:tcPr>
          <w:p>
            <w:pPr>
              <w:spacing w:after="0" w:line="161"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For the Twenty-Six Weeks Ended </w:t>
              </w:r>
            </w:hyperlink>
            <w:r>
              <w:rPr>
                <w:rFonts w:ascii="Arial" w:cs="Arial" w:eastAsia="Arial" w:hAnsi="Arial"/>
                <w:sz w:val="18"/>
                <w:szCs w:val="18"/>
                <w:color w:val="0000FF"/>
              </w:rPr>
              <w:t xml:space="preserve">June 26, </w:t>
            </w:r>
            <w:hyperlink w:anchor="page6">
              <w:r>
                <w:rPr>
                  <w:rFonts w:ascii="Arial" w:cs="Arial" w:eastAsia="Arial" w:hAnsi="Arial"/>
                  <w:sz w:val="18"/>
                  <w:szCs w:val="18"/>
                  <w:color w:val="0000FF"/>
                </w:rPr>
                <w:t xml:space="preserve">2022 and June </w:t>
              </w:r>
            </w:hyperlink>
            <w:r>
              <w:rPr>
                <w:rFonts w:ascii="Arial" w:cs="Arial" w:eastAsia="Arial" w:hAnsi="Arial"/>
                <w:sz w:val="18"/>
                <w:szCs w:val="18"/>
                <w:color w:val="0000FF"/>
              </w:rPr>
              <w:t xml:space="preserve">27, </w:t>
            </w:r>
            <w:hyperlink w:anchor="page6">
              <w:r>
                <w:rPr>
                  <w:rFonts w:ascii="Arial" w:cs="Arial" w:eastAsia="Arial" w:hAnsi="Arial"/>
                  <w:sz w:val="18"/>
                  <w:szCs w:val="18"/>
                  <w:color w:val="0000FF"/>
                </w:rPr>
                <w:t>2021</w:t>
              </w:r>
            </w:hyperlink>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Borders>
              <w:top w:val="single" w:sz="8" w:color="0000FF"/>
            </w:tcBorders>
            <w:gridSpan w:val="10"/>
          </w:tcPr>
          <w:p>
            <w:pPr>
              <w:spacing w:after="0"/>
              <w:rPr>
                <w:rFonts w:ascii="Arial" w:cs="Arial" w:eastAsia="Arial" w:hAnsi="Arial"/>
                <w:sz w:val="19"/>
                <w:szCs w:val="19"/>
                <w:color w:val="0000FF"/>
                <w:w w:val="89"/>
              </w:rPr>
            </w:pPr>
            <w:hyperlink w:anchor="page8">
              <w:r>
                <w:rPr>
                  <w:rFonts w:ascii="Arial" w:cs="Arial" w:eastAsia="Arial" w:hAnsi="Arial"/>
                  <w:sz w:val="19"/>
                  <w:szCs w:val="19"/>
                  <w:color w:val="0000FF"/>
                  <w:w w:val="89"/>
                </w:rPr>
                <w:t>Notes to Consolidated Financial Statements</w:t>
              </w:r>
            </w:hyperlink>
          </w:p>
        </w:tc>
        <w:tc>
          <w:tcPr>
            <w:tcW w:w="1760" w:type="dxa"/>
            <w:vAlign w:val="bottom"/>
            <w:tcBorders>
              <w:top w:val="single" w:sz="8" w:color="0000FF"/>
            </w:tcBorders>
            <w:gridSpan w:val="4"/>
          </w:tcPr>
          <w:p>
            <w:pPr>
              <w:spacing w:after="0"/>
              <w:rPr>
                <w:sz w:val="24"/>
                <w:szCs w:val="24"/>
                <w:color w:val="auto"/>
              </w:rPr>
            </w:pPr>
          </w:p>
        </w:tc>
        <w:tc>
          <w:tcPr>
            <w:tcW w:w="3140" w:type="dxa"/>
            <w:vAlign w:val="bottom"/>
            <w:gridSpan w:val="8"/>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8">
              <w:r>
                <w:rPr>
                  <w:rFonts w:ascii="Arial" w:cs="Arial" w:eastAsia="Arial" w:hAnsi="Arial"/>
                  <w:sz w:val="19"/>
                  <w:szCs w:val="19"/>
                  <w:color w:val="0000FF"/>
                  <w:w w:val="94"/>
                </w:rPr>
                <w:t>9</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2.</w:t>
            </w:r>
          </w:p>
        </w:tc>
        <w:tc>
          <w:tcPr>
            <w:tcW w:w="140" w:type="dxa"/>
            <w:vAlign w:val="bottom"/>
          </w:tcPr>
          <w:p>
            <w:pPr>
              <w:spacing w:after="0"/>
              <w:rPr>
                <w:sz w:val="24"/>
                <w:szCs w:val="24"/>
                <w:color w:val="auto"/>
              </w:rPr>
            </w:pPr>
          </w:p>
        </w:tc>
        <w:tc>
          <w:tcPr>
            <w:tcW w:w="6780" w:type="dxa"/>
            <w:vAlign w:val="bottom"/>
            <w:gridSpan w:val="24"/>
          </w:tcPr>
          <w:p>
            <w:pPr>
              <w:spacing w:after="0"/>
              <w:rPr>
                <w:rFonts w:ascii="Arial" w:cs="Arial" w:eastAsia="Arial" w:hAnsi="Arial"/>
                <w:sz w:val="19"/>
                <w:szCs w:val="19"/>
                <w:color w:val="0000FF"/>
                <w:w w:val="90"/>
              </w:rPr>
            </w:pPr>
            <w:hyperlink w:anchor="page26">
              <w:r>
                <w:rPr>
                  <w:rFonts w:ascii="Arial" w:cs="Arial" w:eastAsia="Arial" w:hAnsi="Arial"/>
                  <w:sz w:val="19"/>
                  <w:szCs w:val="19"/>
                  <w:color w:val="0000FF"/>
                  <w:w w:val="90"/>
                </w:rPr>
                <w:t>Management’s Discussion and Analysis of Financial Condition and Results of Operations</w:t>
              </w:r>
            </w:hyperlink>
          </w:p>
        </w:tc>
        <w:tc>
          <w:tcPr>
            <w:tcW w:w="1740" w:type="dxa"/>
            <w:vAlign w:val="bottom"/>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26">
              <w:r>
                <w:rPr>
                  <w:rFonts w:ascii="Arial" w:cs="Arial" w:eastAsia="Arial" w:hAnsi="Arial"/>
                  <w:sz w:val="19"/>
                  <w:szCs w:val="19"/>
                  <w:color w:val="0000FF"/>
                  <w:w w:val="84"/>
                </w:rPr>
                <w:t>27</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4"/>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3.</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w w:val="90"/>
              </w:rPr>
            </w:pPr>
            <w:hyperlink w:anchor="page47">
              <w:r>
                <w:rPr>
                  <w:rFonts w:ascii="Arial" w:cs="Arial" w:eastAsia="Arial" w:hAnsi="Arial"/>
                  <w:sz w:val="19"/>
                  <w:szCs w:val="19"/>
                  <w:color w:val="0000FF"/>
                  <w:w w:val="90"/>
                </w:rPr>
                <w:t>Quantitative and Qualitative Disclosures About Market Risk</w:t>
              </w:r>
            </w:hyperlink>
          </w:p>
        </w:tc>
        <w:tc>
          <w:tcPr>
            <w:tcW w:w="2220" w:type="dxa"/>
            <w:vAlign w:val="bottom"/>
            <w:gridSpan w:val="9"/>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47">
              <w:r>
                <w:rPr>
                  <w:rFonts w:ascii="Arial" w:cs="Arial" w:eastAsia="Arial" w:hAnsi="Arial"/>
                  <w:sz w:val="19"/>
                  <w:szCs w:val="19"/>
                  <w:color w:val="0000FF"/>
                  <w:w w:val="84"/>
                </w:rPr>
                <w:t>48</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4"/>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4.</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rPr>
            </w:pPr>
            <w:hyperlink w:anchor="page48">
              <w:r>
                <w:rPr>
                  <w:rFonts w:ascii="Arial" w:cs="Arial" w:eastAsia="Arial" w:hAnsi="Arial"/>
                  <w:sz w:val="19"/>
                  <w:szCs w:val="19"/>
                  <w:color w:val="0000FF"/>
                </w:rPr>
                <w:t>Controls and Procedures</w:t>
              </w:r>
            </w:hyperlink>
          </w:p>
        </w:tc>
        <w:tc>
          <w:tcPr>
            <w:tcW w:w="3960" w:type="dxa"/>
            <w:vAlign w:val="bottom"/>
            <w:gridSpan w:val="10"/>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48">
              <w:r>
                <w:rPr>
                  <w:rFonts w:ascii="Arial" w:cs="Arial" w:eastAsia="Arial" w:hAnsi="Arial"/>
                  <w:sz w:val="19"/>
                  <w:szCs w:val="19"/>
                  <w:color w:val="0000FF"/>
                  <w:w w:val="84"/>
                </w:rPr>
                <w:t>48</w:t>
              </w:r>
            </w:hyperlink>
          </w:p>
        </w:tc>
        <w:tc>
          <w:tcPr>
            <w:tcW w:w="700" w:type="dxa"/>
            <w:vAlign w:val="bottom"/>
          </w:tcPr>
          <w:p>
            <w:pPr>
              <w:spacing w:after="0"/>
              <w:rPr>
                <w:sz w:val="24"/>
                <w:szCs w:val="24"/>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0000FF"/>
            </w:tcBorders>
            <w:gridSpan w:val="7"/>
          </w:tcPr>
          <w:p>
            <w:pPr>
              <w:jc w:val="center"/>
              <w:spacing w:after="0"/>
              <w:rPr>
                <w:rFonts w:ascii="Arial" w:cs="Arial" w:eastAsia="Arial" w:hAnsi="Arial"/>
                <w:sz w:val="19"/>
                <w:szCs w:val="19"/>
                <w:color w:val="0000FF"/>
                <w:w w:val="96"/>
              </w:rPr>
            </w:pPr>
            <w:hyperlink w:anchor="page48">
              <w:r>
                <w:rPr>
                  <w:rFonts w:ascii="Arial" w:cs="Arial" w:eastAsia="Arial" w:hAnsi="Arial"/>
                  <w:sz w:val="19"/>
                  <w:szCs w:val="19"/>
                  <w:color w:val="0000FF"/>
                  <w:w w:val="96"/>
                </w:rPr>
                <w:t>PART II — OTHER INFORMATION</w:t>
              </w:r>
            </w:hyperlink>
          </w:p>
        </w:tc>
        <w:tc>
          <w:tcPr>
            <w:tcW w:w="282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212"/>
        </w:trPr>
        <w:tc>
          <w:tcPr>
            <w:tcW w:w="980" w:type="dxa"/>
            <w:vAlign w:val="bottom"/>
          </w:tcPr>
          <w:p>
            <w:pPr>
              <w:ind w:left="20"/>
              <w:spacing w:after="0" w:line="212" w:lineRule="exact"/>
              <w:rPr>
                <w:sz w:val="20"/>
                <w:szCs w:val="20"/>
                <w:color w:val="auto"/>
              </w:rPr>
            </w:pPr>
            <w:r>
              <w:rPr>
                <w:rFonts w:ascii="Arial" w:cs="Arial" w:eastAsia="Arial" w:hAnsi="Arial"/>
                <w:sz w:val="19"/>
                <w:szCs w:val="19"/>
                <w:color w:val="auto"/>
              </w:rPr>
              <w:t>Item 1.</w:t>
            </w:r>
          </w:p>
        </w:tc>
        <w:tc>
          <w:tcPr>
            <w:tcW w:w="140" w:type="dxa"/>
            <w:vAlign w:val="bottom"/>
          </w:tcPr>
          <w:p>
            <w:pPr>
              <w:spacing w:after="0"/>
              <w:rPr>
                <w:sz w:val="18"/>
                <w:szCs w:val="18"/>
                <w:color w:val="auto"/>
              </w:rPr>
            </w:pPr>
          </w:p>
        </w:tc>
        <w:tc>
          <w:tcPr>
            <w:tcW w:w="1400" w:type="dxa"/>
            <w:vAlign w:val="bottom"/>
            <w:gridSpan w:val="7"/>
          </w:tcPr>
          <w:p>
            <w:pPr>
              <w:spacing w:after="0" w:line="212" w:lineRule="exact"/>
              <w:rPr>
                <w:rFonts w:ascii="Arial" w:cs="Arial" w:eastAsia="Arial" w:hAnsi="Arial"/>
                <w:sz w:val="19"/>
                <w:szCs w:val="19"/>
                <w:color w:val="0000FF"/>
                <w:w w:val="87"/>
              </w:rPr>
            </w:pPr>
            <w:hyperlink w:anchor="page49">
              <w:r>
                <w:rPr>
                  <w:rFonts w:ascii="Arial" w:cs="Arial" w:eastAsia="Arial" w:hAnsi="Arial"/>
                  <w:sz w:val="19"/>
                  <w:szCs w:val="19"/>
                  <w:color w:val="0000FF"/>
                  <w:w w:val="87"/>
                </w:rPr>
                <w:t>Legal Proceedings</w:t>
              </w:r>
            </w:hyperlink>
          </w:p>
        </w:tc>
        <w:tc>
          <w:tcPr>
            <w:tcW w:w="7120" w:type="dxa"/>
            <w:vAlign w:val="bottom"/>
            <w:gridSpan w:val="18"/>
          </w:tcPr>
          <w:p>
            <w:pPr>
              <w:spacing w:after="0"/>
              <w:rPr>
                <w:sz w:val="18"/>
                <w:szCs w:val="18"/>
                <w:color w:val="auto"/>
              </w:rPr>
            </w:pPr>
          </w:p>
        </w:tc>
        <w:tc>
          <w:tcPr>
            <w:tcW w:w="900" w:type="dxa"/>
            <w:vAlign w:val="bottom"/>
            <w:gridSpan w:val="4"/>
          </w:tcPr>
          <w:p>
            <w:pPr>
              <w:jc w:val="center"/>
              <w:ind w:left="626"/>
              <w:spacing w:after="0" w:line="212" w:lineRule="exact"/>
              <w:rPr>
                <w:rFonts w:ascii="Arial" w:cs="Arial" w:eastAsia="Arial" w:hAnsi="Arial"/>
                <w:sz w:val="19"/>
                <w:szCs w:val="19"/>
                <w:color w:val="0000FF"/>
                <w:w w:val="84"/>
              </w:rPr>
            </w:pPr>
            <w:hyperlink w:anchor="page49">
              <w:r>
                <w:rPr>
                  <w:rFonts w:ascii="Arial" w:cs="Arial" w:eastAsia="Arial" w:hAnsi="Arial"/>
                  <w:sz w:val="19"/>
                  <w:szCs w:val="19"/>
                  <w:color w:val="0000FF"/>
                  <w:w w:val="84"/>
                </w:rPr>
                <w:t>49</w:t>
              </w:r>
            </w:hyperlink>
          </w:p>
        </w:tc>
        <w:tc>
          <w:tcPr>
            <w:tcW w:w="7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1A.</w:t>
            </w:r>
          </w:p>
        </w:tc>
        <w:tc>
          <w:tcPr>
            <w:tcW w:w="140" w:type="dxa"/>
            <w:vAlign w:val="bottom"/>
          </w:tcPr>
          <w:p>
            <w:pPr>
              <w:spacing w:after="0"/>
              <w:rPr>
                <w:sz w:val="24"/>
                <w:szCs w:val="24"/>
                <w:color w:val="auto"/>
              </w:rPr>
            </w:pPr>
          </w:p>
        </w:tc>
        <w:tc>
          <w:tcPr>
            <w:tcW w:w="1400" w:type="dxa"/>
            <w:vAlign w:val="bottom"/>
            <w:gridSpan w:val="7"/>
          </w:tcPr>
          <w:p>
            <w:pPr>
              <w:spacing w:after="0"/>
              <w:rPr>
                <w:rFonts w:ascii="Arial" w:cs="Arial" w:eastAsia="Arial" w:hAnsi="Arial"/>
                <w:sz w:val="19"/>
                <w:szCs w:val="19"/>
                <w:color w:val="0000FF"/>
              </w:rPr>
            </w:pPr>
            <w:hyperlink w:anchor="page49">
              <w:r>
                <w:rPr>
                  <w:rFonts w:ascii="Arial" w:cs="Arial" w:eastAsia="Arial" w:hAnsi="Arial"/>
                  <w:sz w:val="19"/>
                  <w:szCs w:val="19"/>
                  <w:color w:val="0000FF"/>
                </w:rPr>
                <w:t>Risk Factors</w:t>
              </w:r>
            </w:hyperlink>
          </w:p>
        </w:tc>
        <w:tc>
          <w:tcPr>
            <w:tcW w:w="7120" w:type="dxa"/>
            <w:vAlign w:val="bottom"/>
            <w:gridSpan w:val="18"/>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49">
              <w:r>
                <w:rPr>
                  <w:rFonts w:ascii="Arial" w:cs="Arial" w:eastAsia="Arial" w:hAnsi="Arial"/>
                  <w:sz w:val="19"/>
                  <w:szCs w:val="19"/>
                  <w:color w:val="0000FF"/>
                  <w:w w:val="84"/>
                </w:rPr>
                <w:t>49</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2.</w:t>
            </w:r>
          </w:p>
        </w:tc>
        <w:tc>
          <w:tcPr>
            <w:tcW w:w="140" w:type="dxa"/>
            <w:vAlign w:val="bottom"/>
          </w:tcPr>
          <w:p>
            <w:pPr>
              <w:spacing w:after="0"/>
              <w:rPr>
                <w:sz w:val="24"/>
                <w:szCs w:val="24"/>
                <w:color w:val="auto"/>
              </w:rPr>
            </w:pPr>
          </w:p>
        </w:tc>
        <w:tc>
          <w:tcPr>
            <w:tcW w:w="8520" w:type="dxa"/>
            <w:vAlign w:val="bottom"/>
            <w:gridSpan w:val="25"/>
          </w:tcPr>
          <w:p>
            <w:pPr>
              <w:spacing w:after="0"/>
              <w:rPr>
                <w:rFonts w:ascii="Arial" w:cs="Arial" w:eastAsia="Arial" w:hAnsi="Arial"/>
                <w:sz w:val="19"/>
                <w:szCs w:val="19"/>
                <w:color w:val="0000FF"/>
              </w:rPr>
            </w:pPr>
            <w:hyperlink w:anchor="page49">
              <w:r>
                <w:rPr>
                  <w:rFonts w:ascii="Arial" w:cs="Arial" w:eastAsia="Arial" w:hAnsi="Arial"/>
                  <w:sz w:val="19"/>
                  <w:szCs w:val="19"/>
                  <w:color w:val="0000FF"/>
                </w:rPr>
                <w:t>Unregistered Sales of Equity Securities and Use of Proceeds</w:t>
              </w:r>
            </w:hyperlink>
          </w:p>
        </w:tc>
        <w:tc>
          <w:tcPr>
            <w:tcW w:w="900" w:type="dxa"/>
            <w:vAlign w:val="bottom"/>
            <w:gridSpan w:val="4"/>
          </w:tcPr>
          <w:p>
            <w:pPr>
              <w:jc w:val="center"/>
              <w:ind w:left="626"/>
              <w:spacing w:after="0"/>
              <w:rPr>
                <w:rFonts w:ascii="Arial" w:cs="Arial" w:eastAsia="Arial" w:hAnsi="Arial"/>
                <w:sz w:val="19"/>
                <w:szCs w:val="19"/>
                <w:color w:val="0000FF"/>
                <w:w w:val="84"/>
              </w:rPr>
            </w:pPr>
            <w:hyperlink w:anchor="page49">
              <w:r>
                <w:rPr>
                  <w:rFonts w:ascii="Arial" w:cs="Arial" w:eastAsia="Arial" w:hAnsi="Arial"/>
                  <w:sz w:val="19"/>
                  <w:szCs w:val="19"/>
                  <w:color w:val="0000FF"/>
                  <w:w w:val="84"/>
                </w:rPr>
                <w:t>49</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40" w:type="dxa"/>
            <w:vAlign w:val="bottom"/>
            <w:gridSpan w:val="10"/>
            <w:shd w:val="clear" w:color="auto" w:fill="0000FF"/>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6.</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rPr>
            </w:pPr>
            <w:hyperlink w:anchor="page49">
              <w:r>
                <w:rPr>
                  <w:rFonts w:ascii="Arial" w:cs="Arial" w:eastAsia="Arial" w:hAnsi="Arial"/>
                  <w:sz w:val="19"/>
                  <w:szCs w:val="19"/>
                  <w:color w:val="0000FF"/>
                </w:rPr>
                <w:t>Exhibits</w:t>
              </w:r>
            </w:hyperlink>
          </w:p>
        </w:tc>
        <w:tc>
          <w:tcPr>
            <w:tcW w:w="3960" w:type="dxa"/>
            <w:vAlign w:val="bottom"/>
            <w:gridSpan w:val="10"/>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49">
              <w:r>
                <w:rPr>
                  <w:rFonts w:ascii="Arial" w:cs="Arial" w:eastAsia="Arial" w:hAnsi="Arial"/>
                  <w:sz w:val="19"/>
                  <w:szCs w:val="19"/>
                  <w:color w:val="0000FF"/>
                  <w:w w:val="84"/>
                </w:rPr>
                <w:t>50</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0" w:type="dxa"/>
            <w:vAlign w:val="bottom"/>
            <w:gridSpan w:val="2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20" w:type="dxa"/>
            <w:vAlign w:val="bottom"/>
            <w:gridSpan w:val="25"/>
          </w:tcPr>
          <w:p>
            <w:pPr>
              <w:spacing w:after="0"/>
              <w:rPr>
                <w:rFonts w:ascii="Arial" w:cs="Arial" w:eastAsia="Arial" w:hAnsi="Arial"/>
                <w:sz w:val="19"/>
                <w:szCs w:val="19"/>
                <w:color w:val="0000FF"/>
              </w:rPr>
            </w:pPr>
            <w:hyperlink w:anchor="page50">
              <w:r>
                <w:rPr>
                  <w:rFonts w:ascii="Arial" w:cs="Arial" w:eastAsia="Arial" w:hAnsi="Arial"/>
                  <w:sz w:val="19"/>
                  <w:szCs w:val="19"/>
                  <w:color w:val="0000FF"/>
                </w:rPr>
                <w:t>Signature</w:t>
              </w:r>
            </w:hyperlink>
          </w:p>
        </w:tc>
        <w:tc>
          <w:tcPr>
            <w:tcW w:w="900" w:type="dxa"/>
            <w:vAlign w:val="bottom"/>
            <w:gridSpan w:val="4"/>
          </w:tcPr>
          <w:p>
            <w:pPr>
              <w:jc w:val="center"/>
              <w:ind w:left="626"/>
              <w:spacing w:after="0"/>
              <w:rPr>
                <w:rFonts w:ascii="Arial" w:cs="Arial" w:eastAsia="Arial" w:hAnsi="Arial"/>
                <w:sz w:val="19"/>
                <w:szCs w:val="19"/>
                <w:color w:val="0000FF"/>
                <w:w w:val="84"/>
              </w:rPr>
            </w:pPr>
            <w:hyperlink w:anchor="page50">
              <w:r>
                <w:rPr>
                  <w:rFonts w:ascii="Arial" w:cs="Arial" w:eastAsia="Arial" w:hAnsi="Arial"/>
                  <w:sz w:val="19"/>
                  <w:szCs w:val="19"/>
                  <w:color w:val="0000FF"/>
                  <w:w w:val="84"/>
                </w:rPr>
                <w:t>51</w:t>
              </w:r>
            </w:hyperlink>
          </w:p>
        </w:tc>
        <w:tc>
          <w:tcPr>
            <w:tcW w:w="700" w:type="dxa"/>
            <w:vAlign w:val="bottom"/>
          </w:tcPr>
          <w:p>
            <w:pPr>
              <w:spacing w:after="0"/>
              <w:rPr>
                <w:sz w:val="24"/>
                <w:szCs w:val="24"/>
                <w:color w:val="auto"/>
              </w:rPr>
            </w:pPr>
          </w:p>
        </w:tc>
      </w:tr>
      <w:tr>
        <w:trPr>
          <w:trHeight w:val="881"/>
        </w:trPr>
        <w:tc>
          <w:tcPr>
            <w:tcW w:w="9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700" w:type="dxa"/>
            <w:vAlign w:val="bottom"/>
            <w:tcBorders>
              <w:top w:val="single" w:sz="8" w:color="0000FF"/>
            </w:tcBorders>
            <w:gridSpan w:val="4"/>
          </w:tcPr>
          <w:p>
            <w:pPr>
              <w:spacing w:after="0"/>
              <w:rPr>
                <w:sz w:val="24"/>
                <w:szCs w:val="24"/>
                <w:color w:val="auto"/>
              </w:rPr>
            </w:pPr>
          </w:p>
        </w:tc>
        <w:tc>
          <w:tcPr>
            <w:tcW w:w="3840" w:type="dxa"/>
            <w:vAlign w:val="bottom"/>
            <w:gridSpan w:val="10"/>
          </w:tcPr>
          <w:p>
            <w:pPr>
              <w:jc w:val="center"/>
              <w:ind w:left="3634"/>
              <w:spacing w:after="0"/>
              <w:rPr>
                <w:sz w:val="20"/>
                <w:szCs w:val="20"/>
                <w:color w:val="auto"/>
              </w:rPr>
            </w:pPr>
            <w:r>
              <w:rPr>
                <w:rFonts w:ascii="Arial" w:cs="Arial" w:eastAsia="Arial" w:hAnsi="Arial"/>
                <w:sz w:val="17"/>
                <w:szCs w:val="17"/>
                <w:color w:val="auto"/>
                <w:w w:val="84"/>
              </w:rPr>
              <w:t>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110"/>
        </w:trPr>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Financial Statements</w:t>
      </w:r>
    </w:p>
    <w:p>
      <w:pPr>
        <w:spacing w:after="0" w:line="233"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THOUSANDS, EXCEPT SHARE AND PER SHARE DATA,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Pr>
          <w:p>
            <w:pPr>
              <w:spacing w:after="0"/>
              <w:rPr>
                <w:sz w:val="17"/>
                <w:szCs w:val="17"/>
                <w:color w:val="auto"/>
              </w:rPr>
            </w:pPr>
          </w:p>
        </w:tc>
        <w:tc>
          <w:tcPr>
            <w:tcW w:w="1660" w:type="dxa"/>
            <w:vAlign w:val="bottom"/>
          </w:tcPr>
          <w:p>
            <w:pPr>
              <w:jc w:val="right"/>
              <w:ind w:right="183"/>
              <w:spacing w:after="0"/>
              <w:rPr>
                <w:sz w:val="20"/>
                <w:szCs w:val="20"/>
                <w:color w:val="auto"/>
              </w:rPr>
            </w:pPr>
            <w:r>
              <w:rPr>
                <w:rFonts w:ascii="Arial" w:cs="Arial" w:eastAsia="Arial" w:hAnsi="Arial"/>
                <w:sz w:val="14"/>
                <w:szCs w:val="14"/>
                <w:b w:val="1"/>
                <w:bCs w:val="1"/>
                <w:color w:val="auto"/>
                <w:w w:val="99"/>
              </w:rPr>
              <w:t>DECEMBER 26, 2021</w:t>
            </w:r>
          </w:p>
        </w:tc>
        <w:tc>
          <w:tcPr>
            <w:tcW w:w="0" w:type="dxa"/>
            <w:vAlign w:val="bottom"/>
          </w:tcPr>
          <w:p>
            <w:pPr>
              <w:spacing w:after="0"/>
              <w:rPr>
                <w:sz w:val="1"/>
                <w:szCs w:val="1"/>
                <w:color w:val="auto"/>
              </w:rPr>
            </w:pPr>
          </w:p>
        </w:tc>
      </w:tr>
      <w:tr>
        <w:trPr>
          <w:trHeight w:val="206"/>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87,585</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Restricted cash and cash equivalents</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1,472</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79,112</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current assets, net</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116,997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184,623</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292,926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352,792</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Property, fixtures and equipment, net</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852,155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842,012</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1,122,317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1,130,873</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Goodwill</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278,780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268,444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452,654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453,412</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Deferred income tax assets, net</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158,110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168,068</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73,053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78,670</w:t>
            </w:r>
          </w:p>
        </w:tc>
        <w:tc>
          <w:tcPr>
            <w:tcW w:w="0" w:type="dxa"/>
            <w:vAlign w:val="bottom"/>
          </w:tcPr>
          <w:p>
            <w:pPr>
              <w:spacing w:after="0"/>
              <w:rPr>
                <w:sz w:val="1"/>
                <w:szCs w:val="1"/>
                <w:color w:val="auto"/>
              </w:rPr>
            </w:pPr>
          </w:p>
        </w:tc>
      </w:tr>
      <w:tr>
        <w:trPr>
          <w:trHeight w:val="166"/>
        </w:trPr>
        <w:tc>
          <w:tcPr>
            <w:tcW w:w="7320" w:type="dxa"/>
            <w:vAlign w:val="bottom"/>
          </w:tcPr>
          <w:p>
            <w:pPr>
              <w:ind w:left="760"/>
              <w:spacing w:after="0" w:line="167" w:lineRule="exact"/>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tcPr>
          <w:p>
            <w:pPr>
              <w:jc w:val="right"/>
              <w:ind w:right="143"/>
              <w:spacing w:after="0" w:line="167" w:lineRule="exact"/>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3,229,995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
              <w:spacing w:after="0" w:line="167" w:lineRule="exact"/>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3,294,271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 AND STOCKHOLDERS’ EQUITY</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167,978</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412,831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406,894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Unearned revenue</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398,795</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Current portion of long-term debt</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10,958</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909,850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984,625</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Non-current operating lease liabilities</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1,168,692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1,179,447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800,222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782,107</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 net</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125,242</w:t>
            </w:r>
          </w:p>
        </w:tc>
        <w:tc>
          <w:tcPr>
            <w:tcW w:w="0" w:type="dxa"/>
            <w:vAlign w:val="bottom"/>
          </w:tcPr>
          <w:p>
            <w:pPr>
              <w:spacing w:after="0"/>
              <w:rPr>
                <w:sz w:val="1"/>
                <w:szCs w:val="1"/>
                <w:color w:val="auto"/>
              </w:rPr>
            </w:pPr>
          </w:p>
        </w:tc>
      </w:tr>
      <w:tr>
        <w:trPr>
          <w:trHeight w:val="226"/>
        </w:trPr>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2,967,254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3,071,421</w:t>
            </w: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Arial" w:cs="Arial" w:eastAsia="Arial" w:hAnsi="Arial"/>
                <w:sz w:val="15"/>
                <w:szCs w:val="15"/>
                <w:color w:val="auto"/>
              </w:rPr>
              <w:t>Commitments and contingencies (Note 15)</w:t>
            </w: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Bloomin’ Brands stockholders’ equity</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w w:val="92"/>
              </w:rPr>
              <w:t>Preferred stock, $0.01 par value, 25,000,000 shares authorized; no shares issued and outstanding as of June 26,</w:t>
            </w:r>
          </w:p>
        </w:tc>
        <w:tc>
          <w:tcPr>
            <w:tcW w:w="32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2022 and December 26, 2021</w:t>
            </w:r>
          </w:p>
        </w:tc>
        <w:tc>
          <w:tcPr>
            <w:tcW w:w="320" w:type="dxa"/>
            <w:vAlign w:val="bottom"/>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320" w:type="dxa"/>
            <w:vAlign w:val="bottom"/>
          </w:tcPr>
          <w:p>
            <w:pPr>
              <w:ind w:left="320"/>
              <w:spacing w:after="0" w:line="160" w:lineRule="exact"/>
              <w:rPr>
                <w:sz w:val="20"/>
                <w:szCs w:val="20"/>
                <w:color w:val="auto"/>
              </w:rPr>
            </w:pPr>
            <w:r>
              <w:rPr>
                <w:rFonts w:ascii="Arial" w:cs="Arial" w:eastAsia="Arial" w:hAnsi="Arial"/>
                <w:sz w:val="15"/>
                <w:szCs w:val="15"/>
                <w:color w:val="auto"/>
                <w:w w:val="93"/>
              </w:rPr>
              <w:t>Common stock, $0.01 par value, 475,000,000 shares authorized; 90,151,164 and 89,252,823 shares issued and</w:t>
            </w:r>
          </w:p>
        </w:tc>
        <w:tc>
          <w:tcPr>
            <w:tcW w:w="32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902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893</w:t>
            </w:r>
          </w:p>
        </w:tc>
        <w:tc>
          <w:tcPr>
            <w:tcW w:w="0" w:type="dxa"/>
            <w:vAlign w:val="bottom"/>
          </w:tcPr>
          <w:p>
            <w:pPr>
              <w:spacing w:after="0"/>
              <w:rPr>
                <w:sz w:val="1"/>
                <w:szCs w:val="1"/>
                <w:color w:val="auto"/>
              </w:rPr>
            </w:pPr>
          </w:p>
        </w:tc>
      </w:tr>
      <w:tr>
        <w:trPr>
          <w:trHeight w:val="199"/>
        </w:trPr>
        <w:tc>
          <w:tcPr>
            <w:tcW w:w="7320" w:type="dxa"/>
            <w:vAlign w:val="bottom"/>
          </w:tcPr>
          <w:p>
            <w:pPr>
              <w:ind w:left="320"/>
              <w:spacing w:after="0"/>
              <w:rPr>
                <w:sz w:val="20"/>
                <w:szCs w:val="20"/>
                <w:color w:val="auto"/>
              </w:rPr>
            </w:pPr>
            <w:r>
              <w:rPr>
                <w:rFonts w:ascii="Arial" w:cs="Arial" w:eastAsia="Arial" w:hAnsi="Arial"/>
                <w:sz w:val="15"/>
                <w:szCs w:val="15"/>
                <w:color w:val="auto"/>
              </w:rPr>
              <w:t>outstanding as of June 26, 2022 and December 26, 2021, respectively</w:t>
            </w:r>
          </w:p>
        </w:tc>
        <w:tc>
          <w:tcPr>
            <w:tcW w:w="3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1,169,697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1,119,728</w:t>
            </w:r>
          </w:p>
        </w:tc>
        <w:tc>
          <w:tcPr>
            <w:tcW w:w="0" w:type="dxa"/>
            <w:vAlign w:val="bottom"/>
          </w:tcPr>
          <w:p>
            <w:pPr>
              <w:spacing w:after="0"/>
              <w:rPr>
                <w:sz w:val="1"/>
                <w:szCs w:val="1"/>
                <w:color w:val="auto"/>
              </w:rPr>
            </w:pPr>
          </w:p>
        </w:tc>
      </w:tr>
      <w:tr>
        <w:trPr>
          <w:trHeight w:val="203"/>
        </w:trPr>
        <w:tc>
          <w:tcPr>
            <w:tcW w:w="7320" w:type="dxa"/>
            <w:vAlign w:val="bottom"/>
          </w:tcPr>
          <w:p>
            <w:pPr>
              <w:ind w:left="320"/>
              <w:spacing w:after="0"/>
              <w:rPr>
                <w:sz w:val="20"/>
                <w:szCs w:val="20"/>
                <w:color w:val="auto"/>
              </w:rPr>
            </w:pPr>
            <w:r>
              <w:rPr>
                <w:rFonts w:ascii="Arial" w:cs="Arial" w:eastAsia="Arial" w:hAnsi="Arial"/>
                <w:sz w:val="15"/>
                <w:szCs w:val="15"/>
                <w:color w:val="auto"/>
              </w:rPr>
              <w:t>Accumulated deficit</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(733,723)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(698,171)</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(176,054)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(205,989)</w:t>
            </w:r>
          </w:p>
        </w:tc>
        <w:tc>
          <w:tcPr>
            <w:tcW w:w="0" w:type="dxa"/>
            <w:vAlign w:val="bottom"/>
          </w:tcPr>
          <w:p>
            <w:pPr>
              <w:spacing w:after="0"/>
              <w:rPr>
                <w:sz w:val="1"/>
                <w:szCs w:val="1"/>
                <w:color w:val="auto"/>
              </w:rPr>
            </w:pPr>
          </w:p>
        </w:tc>
      </w:tr>
      <w:tr>
        <w:trPr>
          <w:trHeight w:val="189"/>
        </w:trPr>
        <w:tc>
          <w:tcPr>
            <w:tcW w:w="7320" w:type="dxa"/>
            <w:vAlign w:val="bottom"/>
          </w:tcPr>
          <w:p>
            <w:pPr>
              <w:ind w:left="640"/>
              <w:spacing w:after="0"/>
              <w:rPr>
                <w:sz w:val="20"/>
                <w:szCs w:val="20"/>
                <w:color w:val="auto"/>
              </w:rPr>
            </w:pPr>
            <w:r>
              <w:rPr>
                <w:rFonts w:ascii="Arial" w:cs="Arial" w:eastAsia="Arial" w:hAnsi="Arial"/>
                <w:sz w:val="15"/>
                <w:szCs w:val="15"/>
                <w:color w:val="auto"/>
              </w:rPr>
              <w:t>Total Bloomin’ Brands stockholders’ equity</w:t>
            </w:r>
          </w:p>
        </w:tc>
        <w:tc>
          <w:tcPr>
            <w:tcW w:w="3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260,822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216,461</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6,389</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stockholders’ equity</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262,741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222,850</w:t>
            </w: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 and stockholders’ equity</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3,229,995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3,294,271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OPERATIONS AND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78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8"/>
              </w:rPr>
              <w:t>JUNE 27, 2021</w:t>
            </w:r>
          </w:p>
        </w:tc>
        <w:tc>
          <w:tcPr>
            <w:tcW w:w="0" w:type="dxa"/>
            <w:vAlign w:val="bottom"/>
          </w:tcPr>
          <w:p>
            <w:pPr>
              <w:spacing w:after="0"/>
              <w:rPr>
                <w:sz w:val="1"/>
                <w:szCs w:val="1"/>
                <w:color w:val="auto"/>
              </w:rPr>
            </w:pPr>
          </w:p>
        </w:tc>
      </w:tr>
      <w:tr>
        <w:trPr>
          <w:trHeight w:val="20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1,108,918</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1,055,227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2,232,493</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2,034,678</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16,244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33,204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30,161</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revenues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1,125,162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1,077,366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2,265,697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2,064,839</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Food and beverage costs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364,459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312,102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723,829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603,972</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308,759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621,270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569,637</w:t>
            </w: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Other restaurant operating</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263,529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233,450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522,639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462,743</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83,032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81,765</w:t>
            </w: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59,246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66,462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117,920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123,710</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2,032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7,377</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1,037,443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952,729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2,070,722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1,849,204</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124,637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194,975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215,635</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Loss on extinguishment and modification of debt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(107,630)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(107,630)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(2,073)</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fair value adjustment of derivatives,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Other income, net</w:t>
            </w:r>
          </w:p>
        </w:tc>
        <w:tc>
          <w:tcPr>
            <w:tcW w:w="2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(29,618)</w:t>
            </w:r>
          </w:p>
        </w:tc>
        <w:tc>
          <w:tcPr>
            <w:tcW w:w="0" w:type="dxa"/>
            <w:vAlign w:val="bottom"/>
          </w:tcPr>
          <w:p>
            <w:pPr>
              <w:spacing w:after="0"/>
              <w:rPr>
                <w:sz w:val="1"/>
                <w:szCs w:val="1"/>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5"/>
                <w:szCs w:val="15"/>
                <w:color w:val="auto"/>
              </w:rPr>
              <w:t>(Loss) income before provision for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(50,144)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107,574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43,479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183,965</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27,465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29,281</w:t>
            </w:r>
          </w:p>
        </w:tc>
        <w:tc>
          <w:tcPr>
            <w:tcW w:w="0" w:type="dxa"/>
            <w:vAlign w:val="bottom"/>
          </w:tcPr>
          <w:p>
            <w:pPr>
              <w:spacing w:after="0"/>
              <w:rPr>
                <w:sz w:val="1"/>
                <w:szCs w:val="1"/>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(61,680)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84,886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16,014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154,684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4,138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3,277</w:t>
            </w:r>
          </w:p>
        </w:tc>
        <w:tc>
          <w:tcPr>
            <w:tcW w:w="0" w:type="dxa"/>
            <w:vAlign w:val="bottom"/>
          </w:tcPr>
          <w:p>
            <w:pPr>
              <w:spacing w:after="0"/>
              <w:rPr>
                <w:sz w:val="1"/>
                <w:szCs w:val="1"/>
                <w:color w:val="auto"/>
              </w:rPr>
            </w:pPr>
          </w:p>
        </w:tc>
      </w:tr>
      <w:tr>
        <w:trPr>
          <w:trHeight w:val="166"/>
        </w:trPr>
        <w:tc>
          <w:tcPr>
            <w:tcW w:w="5220" w:type="dxa"/>
            <w:vAlign w:val="bottom"/>
          </w:tcPr>
          <w:p>
            <w:pPr>
              <w:ind w:left="20"/>
              <w:spacing w:after="0" w:line="167" w:lineRule="exact"/>
              <w:rPr>
                <w:sz w:val="20"/>
                <w:szCs w:val="20"/>
                <w:color w:val="auto"/>
              </w:rPr>
            </w:pPr>
            <w:r>
              <w:rPr>
                <w:rFonts w:ascii="Arial" w:cs="Arial" w:eastAsia="Arial" w:hAnsi="Arial"/>
                <w:sz w:val="15"/>
                <w:szCs w:val="15"/>
                <w:color w:val="auto"/>
              </w:rPr>
              <w:t>Net (loss) income attributable to Bloomin’ Brands</w:t>
            </w:r>
          </w:p>
        </w:tc>
        <w:tc>
          <w:tcPr>
            <w:tcW w:w="200" w:type="dxa"/>
            <w:vAlign w:val="bottom"/>
            <w:tcBorders>
              <w:bottom w:val="single" w:sz="8" w:color="auto"/>
            </w:tcBorders>
          </w:tcPr>
          <w:p>
            <w:pPr>
              <w:jc w:val="right"/>
              <w:ind w:right="23"/>
              <w:spacing w:after="0" w:line="167" w:lineRule="exact"/>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(63,635)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
              <w:spacing w:after="0" w:line="167" w:lineRule="exact"/>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82,545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
              <w:spacing w:after="0" w:line="167" w:lineRule="exact"/>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3"/>
              <w:spacing w:after="0" w:line="167" w:lineRule="exact"/>
              <w:rPr>
                <w:sz w:val="20"/>
                <w:szCs w:val="20"/>
                <w:color w:val="auto"/>
              </w:rPr>
            </w:pPr>
            <w:r>
              <w:rPr>
                <w:rFonts w:ascii="Arial" w:cs="Arial" w:eastAsia="Arial" w:hAnsi="Arial"/>
                <w:sz w:val="15"/>
                <w:szCs w:val="15"/>
                <w:color w:val="auto"/>
              </w:rPr>
              <w:t>11,876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3"/>
              <w:spacing w:after="0" w:line="167"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151,407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(61,680)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84,886</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16,014</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154,684</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 income: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11,940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23,223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3,440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Unrealized (loss) gain on derivatives, net of tax</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60"/>
        </w:trPr>
        <w:tc>
          <w:tcPr>
            <w:tcW w:w="5220" w:type="dxa"/>
            <w:vAlign w:val="bottom"/>
          </w:tcPr>
          <w:p>
            <w:pPr>
              <w:ind w:left="140"/>
              <w:spacing w:after="0" w:line="160" w:lineRule="exact"/>
              <w:rPr>
                <w:sz w:val="20"/>
                <w:szCs w:val="20"/>
                <w:color w:val="auto"/>
              </w:rPr>
            </w:pPr>
            <w:r>
              <w:rPr>
                <w:rFonts w:ascii="Arial" w:cs="Arial" w:eastAsia="Arial" w:hAnsi="Arial"/>
                <w:sz w:val="15"/>
                <w:szCs w:val="15"/>
                <w:color w:val="auto"/>
              </w:rPr>
              <w:t>Reclassification of adjustments for loss on derivatives included in Net (loss)</w:t>
            </w: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1,514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3"/>
              <w:spacing w:after="0"/>
              <w:rPr>
                <w:sz w:val="20"/>
                <w:szCs w:val="20"/>
                <w:color w:val="auto"/>
              </w:rPr>
            </w:pPr>
            <w:r>
              <w:rPr>
                <w:rFonts w:ascii="Arial" w:cs="Arial" w:eastAsia="Arial" w:hAnsi="Arial"/>
                <w:sz w:val="15"/>
                <w:szCs w:val="15"/>
                <w:color w:val="auto"/>
              </w:rPr>
              <w:t>954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4,517</w:t>
            </w:r>
          </w:p>
        </w:tc>
        <w:tc>
          <w:tcPr>
            <w:tcW w:w="0" w:type="dxa"/>
            <w:vAlign w:val="bottom"/>
          </w:tcPr>
          <w:p>
            <w:pPr>
              <w:spacing w:after="0"/>
              <w:rPr>
                <w:sz w:val="1"/>
                <w:szCs w:val="1"/>
                <w:color w:val="auto"/>
              </w:rPr>
            </w:pPr>
          </w:p>
        </w:tc>
      </w:tr>
      <w:tr>
        <w:trPr>
          <w:trHeight w:val="199"/>
        </w:trPr>
        <w:tc>
          <w:tcPr>
            <w:tcW w:w="5220" w:type="dxa"/>
            <w:vAlign w:val="bottom"/>
          </w:tcPr>
          <w:p>
            <w:pPr>
              <w:ind w:left="140"/>
              <w:spacing w:after="0"/>
              <w:rPr>
                <w:sz w:val="20"/>
                <w:szCs w:val="20"/>
                <w:color w:val="auto"/>
              </w:rPr>
            </w:pPr>
            <w:r>
              <w:rPr>
                <w:rFonts w:ascii="Arial" w:cs="Arial" w:eastAsia="Arial" w:hAnsi="Arial"/>
                <w:sz w:val="15"/>
                <w:szCs w:val="15"/>
                <w:color w:val="auto"/>
              </w:rPr>
              <w:t>income, net of tax</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4"/>
              </w:rPr>
              <w:t>Impact of terminated interest rate swaps included in Net (loss)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5,185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1,471</w:t>
            </w:r>
          </w:p>
        </w:tc>
        <w:tc>
          <w:tcPr>
            <w:tcW w:w="0" w:type="dxa"/>
            <w:vAlign w:val="bottom"/>
          </w:tcPr>
          <w:p>
            <w:pPr>
              <w:spacing w:after="0"/>
              <w:rPr>
                <w:sz w:val="1"/>
                <w:szCs w:val="1"/>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5"/>
                <w:szCs w:val="15"/>
                <w:color w:val="auto"/>
              </w:rPr>
              <w:t>Comprehensive (loss) income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(47,303)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97,758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45,949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163,942</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4,138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3,277</w:t>
            </w:r>
          </w:p>
        </w:tc>
        <w:tc>
          <w:tcPr>
            <w:tcW w:w="0" w:type="dxa"/>
            <w:vAlign w:val="bottom"/>
          </w:tcPr>
          <w:p>
            <w:pPr>
              <w:spacing w:after="0"/>
              <w:rPr>
                <w:sz w:val="1"/>
                <w:szCs w:val="1"/>
                <w:color w:val="auto"/>
              </w:rPr>
            </w:pPr>
          </w:p>
        </w:tc>
      </w:tr>
      <w:tr>
        <w:trPr>
          <w:trHeight w:val="206"/>
        </w:trPr>
        <w:tc>
          <w:tcPr>
            <w:tcW w:w="5220" w:type="dxa"/>
            <w:vAlign w:val="bottom"/>
          </w:tcPr>
          <w:p>
            <w:pPr>
              <w:ind w:left="20"/>
              <w:spacing w:after="0"/>
              <w:rPr>
                <w:sz w:val="20"/>
                <w:szCs w:val="20"/>
                <w:color w:val="auto"/>
              </w:rPr>
            </w:pPr>
            <w:r>
              <w:rPr>
                <w:rFonts w:ascii="Arial" w:cs="Arial" w:eastAsia="Arial" w:hAnsi="Arial"/>
                <w:sz w:val="15"/>
                <w:szCs w:val="15"/>
                <w:color w:val="auto"/>
              </w:rPr>
              <w:t>Comprehensive (loss) income attributable to Bloomin’ Brands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(49,258)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95,417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41,811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160,665</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(Loss) earnings per share: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20" w:type="dxa"/>
            <w:vAlign w:val="bottom"/>
          </w:tcPr>
          <w:p>
            <w:pPr>
              <w:ind w:left="140"/>
              <w:spacing w:after="0"/>
              <w:rPr>
                <w:sz w:val="20"/>
                <w:szCs w:val="20"/>
                <w:color w:val="auto"/>
              </w:rPr>
            </w:pPr>
            <w:r>
              <w:rPr>
                <w:rFonts w:ascii="Arial" w:cs="Arial" w:eastAsia="Arial" w:hAnsi="Arial"/>
                <w:sz w:val="15"/>
                <w:szCs w:val="15"/>
                <w:color w:val="auto"/>
              </w:rPr>
              <w:t>Diluted</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0.12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20" w:type="dxa"/>
            <w:vAlign w:val="bottom"/>
          </w:tcPr>
          <w:p>
            <w:pPr>
              <w:ind w:left="140"/>
              <w:spacing w:after="0"/>
              <w:rPr>
                <w:sz w:val="20"/>
                <w:szCs w:val="20"/>
                <w:color w:val="auto"/>
              </w:rPr>
            </w:pPr>
            <w:r>
              <w:rPr>
                <w:rFonts w:ascii="Arial" w:cs="Arial" w:eastAsia="Arial" w:hAnsi="Arial"/>
                <w:sz w:val="15"/>
                <w:szCs w:val="15"/>
                <w:color w:val="auto"/>
              </w:rPr>
              <w:t>Basic</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88,898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89,075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89,127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88,721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109,805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102,045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110,223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440" w:type="dxa"/>
            <w:vAlign w:val="bottom"/>
          </w:tcPr>
          <w:p>
            <w:pPr>
              <w:spacing w:after="0"/>
              <w:rPr>
                <w:sz w:val="23"/>
                <w:szCs w:val="23"/>
                <w:color w:val="auto"/>
              </w:rPr>
            </w:pPr>
          </w:p>
        </w:tc>
        <w:tc>
          <w:tcPr>
            <w:tcW w:w="1860" w:type="dxa"/>
            <w:vAlign w:val="bottom"/>
            <w:gridSpan w:val="4"/>
            <w:vMerge w:val="restart"/>
          </w:tcPr>
          <w:p>
            <w:pPr>
              <w:jc w:val="right"/>
              <w:ind w:right="263"/>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w:t>
            </w: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440" w:type="dxa"/>
            <w:vAlign w:val="bottom"/>
          </w:tcPr>
          <w:p>
            <w:pPr>
              <w:spacing w:after="0"/>
              <w:rPr>
                <w:sz w:val="9"/>
                <w:szCs w:val="9"/>
                <w:color w:val="auto"/>
              </w:rPr>
            </w:pPr>
          </w:p>
        </w:tc>
        <w:tc>
          <w:tcPr>
            <w:tcW w:w="186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9"/>
                <w:szCs w:val="9"/>
                <w:color w:val="auto"/>
              </w:rPr>
            </w:pPr>
          </w:p>
        </w:tc>
        <w:tc>
          <w:tcPr>
            <w:tcW w:w="1000" w:type="dxa"/>
            <w:vAlign w:val="bottom"/>
            <w:gridSpan w:val="2"/>
          </w:tcPr>
          <w:p>
            <w:pPr>
              <w:ind w:left="80"/>
              <w:spacing w:after="0" w:line="109" w:lineRule="exact"/>
              <w:rPr>
                <w:sz w:val="20"/>
                <w:szCs w:val="20"/>
                <w:color w:val="auto"/>
              </w:rPr>
            </w:pPr>
            <w:r>
              <w:rPr>
                <w:rFonts w:ascii="Arial" w:cs="Arial" w:eastAsia="Arial" w:hAnsi="Arial"/>
                <w:sz w:val="11"/>
                <w:szCs w:val="11"/>
                <w:b w:val="1"/>
                <w:bCs w:val="1"/>
                <w:color w:val="auto"/>
              </w:rPr>
              <w:t>ULATED</w:t>
            </w:r>
          </w:p>
        </w:tc>
        <w:tc>
          <w:tcPr>
            <w:tcW w:w="17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rPr>
              <w:t>ACCUMULATED OTHER</w:t>
            </w:r>
          </w:p>
        </w:tc>
        <w:tc>
          <w:tcPr>
            <w:tcW w:w="1600" w:type="dxa"/>
            <w:vAlign w:val="bottom"/>
            <w:gridSpan w:val="3"/>
          </w:tcPr>
          <w:p>
            <w:pPr>
              <w:jc w:val="center"/>
              <w:ind w:right="80"/>
              <w:spacing w:after="0" w:line="109" w:lineRule="exact"/>
              <w:rPr>
                <w:sz w:val="20"/>
                <w:szCs w:val="20"/>
                <w:color w:val="auto"/>
              </w:rPr>
            </w:pPr>
            <w:r>
              <w:rPr>
                <w:rFonts w:ascii="Arial" w:cs="Arial" w:eastAsia="Arial" w:hAnsi="Arial"/>
                <w:sz w:val="11"/>
                <w:szCs w:val="11"/>
                <w:b w:val="1"/>
                <w:bCs w:val="1"/>
                <w:color w:val="auto"/>
              </w:rPr>
              <w:t>NON-CONTROLLING</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PAID-IN CAPITAL</w:t>
            </w:r>
          </w:p>
        </w:tc>
        <w:tc>
          <w:tcPr>
            <w:tcW w:w="1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6"/>
                <w:szCs w:val="16"/>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44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8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89,185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892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1,115,458</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(634,356)</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(190,431)</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1,694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293,257</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27, 2022</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(63,635)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1,955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(61,680)</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9"/>
              </w:rPr>
              <w:t>Other comprehensive income, net of</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14,377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14,377</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rPr>
              <w:t>Cash dividends declared, $0.14 per</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(12,418)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(12,418)</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common share</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Repurchase and retirement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(35,732)</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(35,749)</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4,959</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1,122</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w w:val="98"/>
              </w:rPr>
              <w:t>Purchase of noncontrolling interests,</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(3,301)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539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(2,762)</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net of tax of $1,142</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(2,513)</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rPr>
              <w:t>Contributions from noncontrolling</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7"/>
              </w:rPr>
              <w:t>Retirement of convertible senior note</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112,956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112,956</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hedges</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Retirement of warrants</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(97,617)</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 from</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2,313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48,565</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repurchase of convertible senior notes</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440" w:type="dxa"/>
            <w:vAlign w:val="bottom"/>
            <w:tcBorders>
              <w:top w:val="single" w:sz="8" w:color="CCEEFF"/>
            </w:tcBorders>
          </w:tcPr>
          <w:p>
            <w:pPr>
              <w:ind w:left="20"/>
              <w:spacing w:after="0" w:line="133" w:lineRule="exact"/>
              <w:rPr>
                <w:sz w:val="20"/>
                <w:szCs w:val="20"/>
                <w:color w:val="auto"/>
              </w:rPr>
            </w:pPr>
            <w:r>
              <w:rPr>
                <w:rFonts w:ascii="Arial" w:cs="Arial" w:eastAsia="Arial" w:hAnsi="Arial"/>
                <w:sz w:val="15"/>
                <w:szCs w:val="15"/>
                <w:color w:val="auto"/>
              </w:rPr>
              <w:t>Balance,</w:t>
            </w:r>
          </w:p>
        </w:tc>
        <w:tc>
          <w:tcPr>
            <w:tcW w:w="8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90,151</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902</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1,169,697</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(733,723)</w:t>
            </w:r>
          </w:p>
        </w:tc>
        <w:tc>
          <w:tcPr>
            <w:tcW w:w="12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(176,054)</w:t>
            </w:r>
          </w:p>
        </w:tc>
        <w:tc>
          <w:tcPr>
            <w:tcW w:w="10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vMerge w:val="restart"/>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1,919</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262,741</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5"/>
                <w:szCs w:val="15"/>
                <w:color w:val="auto"/>
              </w:rPr>
              <w:t>June 26, 2022</w:t>
            </w: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40" w:type="dxa"/>
            <w:vAlign w:val="bottom"/>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89,253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1,119,728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(698,171)</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(205,989)</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6,389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222,850</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26, 2021</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11,876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16,014</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9"/>
              </w:rPr>
              <w:t>Other comprehensive income, net of</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29,935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29,935</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rPr>
              <w:t>Cash dividends declared, $0.28 per</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(24,977)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(24,977)</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common share</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Repurchase and retirement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(47,428)</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(47,451)</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9,802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9,802</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2,007</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w w:val="98"/>
              </w:rPr>
              <w:t>Purchase of noncontrolling interests,</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(3,915)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(4,650)</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net of tax of $254</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(5,154)</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rPr>
              <w:t>Contributions from noncontrolling</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461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461</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7"/>
              </w:rPr>
              <w:t>Retirement of convertible senior note</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112,956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112,956</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hedges</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Retirement of warrants</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(97,617)</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 from</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2,313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48,565</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repurchase of convertible senior notes</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440" w:type="dxa"/>
            <w:vAlign w:val="bottom"/>
            <w:tcBorders>
              <w:top w:val="single" w:sz="8" w:color="CCEEFF"/>
            </w:tcBorders>
          </w:tcPr>
          <w:p>
            <w:pPr>
              <w:ind w:left="20"/>
              <w:spacing w:after="0" w:line="133" w:lineRule="exact"/>
              <w:rPr>
                <w:sz w:val="20"/>
                <w:szCs w:val="20"/>
                <w:color w:val="auto"/>
              </w:rPr>
            </w:pPr>
            <w:r>
              <w:rPr>
                <w:rFonts w:ascii="Arial" w:cs="Arial" w:eastAsia="Arial" w:hAnsi="Arial"/>
                <w:sz w:val="15"/>
                <w:szCs w:val="15"/>
                <w:color w:val="auto"/>
              </w:rPr>
              <w:t>Balance,</w:t>
            </w:r>
          </w:p>
        </w:tc>
        <w:tc>
          <w:tcPr>
            <w:tcW w:w="8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90,151</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902</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1,169,697</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(733,723)</w:t>
            </w:r>
          </w:p>
        </w:tc>
        <w:tc>
          <w:tcPr>
            <w:tcW w:w="12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(176,054)</w:t>
            </w:r>
          </w:p>
        </w:tc>
        <w:tc>
          <w:tcPr>
            <w:tcW w:w="10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vMerge w:val="restart"/>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1,919</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262,741</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5"/>
                <w:szCs w:val="15"/>
                <w:color w:val="auto"/>
              </w:rPr>
              <w:t>June 26, 2022</w:t>
            </w: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3"/>
                <w:szCs w:val="23"/>
                <w:color w:val="auto"/>
              </w:rPr>
            </w:pPr>
          </w:p>
        </w:tc>
        <w:tc>
          <w:tcPr>
            <w:tcW w:w="1920" w:type="dxa"/>
            <w:vAlign w:val="bottom"/>
            <w:gridSpan w:val="4"/>
            <w:vMerge w:val="restart"/>
          </w:tcPr>
          <w:p>
            <w:pPr>
              <w:jc w:val="right"/>
              <w:ind w:right="30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w:t>
            </w: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360" w:type="dxa"/>
            <w:vAlign w:val="bottom"/>
          </w:tcPr>
          <w:p>
            <w:pPr>
              <w:spacing w:after="0"/>
              <w:rPr>
                <w:sz w:val="9"/>
                <w:szCs w:val="9"/>
                <w:color w:val="auto"/>
              </w:rPr>
            </w:pPr>
          </w:p>
        </w:tc>
        <w:tc>
          <w:tcPr>
            <w:tcW w:w="19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9"/>
                <w:szCs w:val="9"/>
                <w:color w:val="auto"/>
              </w:rPr>
            </w:pPr>
          </w:p>
        </w:tc>
        <w:tc>
          <w:tcPr>
            <w:tcW w:w="1040" w:type="dxa"/>
            <w:vAlign w:val="bottom"/>
            <w:gridSpan w:val="2"/>
          </w:tcPr>
          <w:p>
            <w:pPr>
              <w:ind w:left="100"/>
              <w:spacing w:after="0" w:line="109" w:lineRule="exact"/>
              <w:rPr>
                <w:sz w:val="20"/>
                <w:szCs w:val="20"/>
                <w:color w:val="auto"/>
              </w:rPr>
            </w:pPr>
            <w:r>
              <w:rPr>
                <w:rFonts w:ascii="Arial" w:cs="Arial" w:eastAsia="Arial" w:hAnsi="Arial"/>
                <w:sz w:val="11"/>
                <w:szCs w:val="11"/>
                <w:b w:val="1"/>
                <w:bCs w:val="1"/>
                <w:color w:val="auto"/>
              </w:rPr>
              <w:t>ULATED</w:t>
            </w:r>
          </w:p>
        </w:tc>
        <w:tc>
          <w:tcPr>
            <w:tcW w:w="17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rPr>
              <w:t>ACCUMULATED OTHER</w:t>
            </w:r>
          </w:p>
        </w:tc>
        <w:tc>
          <w:tcPr>
            <w:tcW w:w="1580" w:type="dxa"/>
            <w:vAlign w:val="bottom"/>
            <w:gridSpan w:val="3"/>
          </w:tcPr>
          <w:p>
            <w:pPr>
              <w:jc w:val="center"/>
              <w:ind w:right="100"/>
              <w:spacing w:after="0" w:line="109" w:lineRule="exact"/>
              <w:rPr>
                <w:sz w:val="20"/>
                <w:szCs w:val="20"/>
                <w:color w:val="auto"/>
              </w:rPr>
            </w:pPr>
            <w:r>
              <w:rPr>
                <w:rFonts w:ascii="Arial" w:cs="Arial" w:eastAsia="Arial" w:hAnsi="Arial"/>
                <w:sz w:val="11"/>
                <w:szCs w:val="11"/>
                <w:b w:val="1"/>
                <w:bCs w:val="1"/>
                <w:color w:val="auto"/>
              </w:rPr>
              <w:t>NON-CONTROLLING</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INTERESTS</w:t>
            </w:r>
          </w:p>
        </w:tc>
        <w:tc>
          <w:tcPr>
            <w:tcW w:w="160" w:type="dxa"/>
            <w:vAlign w:val="bottom"/>
          </w:tcPr>
          <w:p>
            <w:pPr>
              <w:spacing w:after="0"/>
              <w:rPr>
                <w:sz w:val="16"/>
                <w:szCs w:val="16"/>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3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90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88,855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889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1,097,639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(844,864)</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(215,060)</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6,801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45,405</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28, 2021</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84,886</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Other comprehensive income, net of</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12,872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12,872</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9,781</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9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2,484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2,487</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(2,683)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(2,683)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360" w:type="dxa"/>
            <w:vAlign w:val="bottom"/>
            <w:tcBorders>
              <w:top w:val="single" w:sz="8" w:color="CCEEFF"/>
            </w:tcBorders>
          </w:tcPr>
          <w:p>
            <w:pPr>
              <w:ind w:left="20"/>
              <w:spacing w:after="0" w:line="133" w:lineRule="exact"/>
              <w:rPr>
                <w:sz w:val="20"/>
                <w:szCs w:val="20"/>
                <w:color w:val="auto"/>
              </w:rPr>
            </w:pPr>
            <w:r>
              <w:rPr>
                <w:rFonts w:ascii="Arial" w:cs="Arial" w:eastAsia="Arial" w:hAnsi="Arial"/>
                <w:sz w:val="15"/>
                <w:szCs w:val="15"/>
                <w:color w:val="auto"/>
              </w:rPr>
              <w:t>Balance,</w:t>
            </w:r>
          </w:p>
        </w:tc>
        <w:tc>
          <w:tcPr>
            <w:tcW w:w="90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89,211</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1,109,904</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(762,319)</w:t>
            </w:r>
          </w:p>
        </w:tc>
        <w:tc>
          <w:tcPr>
            <w:tcW w:w="10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(202,188)</w:t>
            </w: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6,618</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152,907</w:t>
            </w:r>
          </w:p>
        </w:tc>
        <w:tc>
          <w:tcPr>
            <w:tcW w:w="0" w:type="dxa"/>
            <w:vAlign w:val="bottom"/>
          </w:tcPr>
          <w:p>
            <w:pPr>
              <w:spacing w:after="0"/>
              <w:rPr>
                <w:sz w:val="1"/>
                <w:szCs w:val="1"/>
                <w:color w:val="auto"/>
              </w:rPr>
            </w:pPr>
          </w:p>
        </w:tc>
      </w:tr>
      <w:tr>
        <w:trPr>
          <w:trHeight w:val="181"/>
        </w:trPr>
        <w:tc>
          <w:tcPr>
            <w:tcW w:w="2360" w:type="dxa"/>
            <w:vAlign w:val="bottom"/>
          </w:tcPr>
          <w:p>
            <w:pPr>
              <w:ind w:left="20"/>
              <w:spacing w:after="0"/>
              <w:rPr>
                <w:sz w:val="20"/>
                <w:szCs w:val="20"/>
                <w:color w:val="auto"/>
              </w:rPr>
            </w:pPr>
            <w:r>
              <w:rPr>
                <w:rFonts w:ascii="Arial" w:cs="Arial" w:eastAsia="Arial" w:hAnsi="Arial"/>
                <w:sz w:val="15"/>
                <w:szCs w:val="15"/>
                <w:color w:val="auto"/>
              </w:rPr>
              <w:t>June 27, 2021</w:t>
            </w: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60" w:type="dxa"/>
            <w:vAlign w:val="bottom"/>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9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87,856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879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1,132,808</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(918,096)</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(211,446)</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27, 2020</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9"/>
              </w:rPr>
              <w:t>Cumulative-effect from a change in</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(47,323)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4,370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(42,953)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accounting principle, net of tax</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151,407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154,684</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5"/>
              </w:rPr>
              <w:t>Other comprehensive income, net of</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15"/>
                <w:szCs w:val="15"/>
                <w:color w:val="auto"/>
              </w:rPr>
              <w:t>9,258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9,258</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tax</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14,507</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Common stock issued under stock</w:t>
            </w:r>
          </w:p>
        </w:tc>
        <w:tc>
          <w:tcPr>
            <w:tcW w:w="900" w:type="dxa"/>
            <w:vAlign w:val="bottom"/>
            <w:vMerge w:val="restart"/>
          </w:tcPr>
          <w:p>
            <w:pPr>
              <w:jc w:val="right"/>
              <w:ind w:right="4"/>
              <w:spacing w:after="0"/>
              <w:rPr>
                <w:sz w:val="20"/>
                <w:szCs w:val="20"/>
                <w:color w:val="auto"/>
              </w:rPr>
            </w:pPr>
            <w:r>
              <w:rPr>
                <w:rFonts w:ascii="Arial" w:cs="Arial" w:eastAsia="Arial" w:hAnsi="Arial"/>
                <w:sz w:val="15"/>
                <w:szCs w:val="15"/>
                <w:color w:val="auto"/>
              </w:rPr>
              <w:t>1,355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9,912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9,925</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plans (1)</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Distributions to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(4,141)</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Contributions from noncontrolling</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670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3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90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89,211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1,109,904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(762,319)</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(202,188)</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6,618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152,907</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June 27, 2021</w:t>
            </w: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forfeitures and shares withheld for employee taxes.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7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26, 2022</w:t>
            </w:r>
          </w:p>
        </w:tc>
        <w:tc>
          <w:tcPr>
            <w:tcW w:w="320" w:type="dxa"/>
            <w:vAlign w:val="bottom"/>
          </w:tcPr>
          <w:p>
            <w:pPr>
              <w:spacing w:after="0"/>
              <w:rPr>
                <w:sz w:val="16"/>
                <w:szCs w:val="16"/>
                <w:color w:val="auto"/>
              </w:rPr>
            </w:pPr>
          </w:p>
        </w:tc>
        <w:tc>
          <w:tcPr>
            <w:tcW w:w="1640" w:type="dxa"/>
            <w:vAlign w:val="bottom"/>
          </w:tcPr>
          <w:p>
            <w:pPr>
              <w:jc w:val="right"/>
              <w:ind w:right="463"/>
              <w:spacing w:after="0"/>
              <w:rPr>
                <w:sz w:val="20"/>
                <w:szCs w:val="20"/>
                <w:color w:val="auto"/>
              </w:rPr>
            </w:pPr>
            <w:r>
              <w:rPr>
                <w:rFonts w:ascii="Arial" w:cs="Arial" w:eastAsia="Arial" w:hAnsi="Arial"/>
                <w:sz w:val="14"/>
                <w:szCs w:val="14"/>
                <w:b w:val="1"/>
                <w:bCs w:val="1"/>
                <w:color w:val="auto"/>
              </w:rPr>
              <w:t>JUNE 27, 2021</w:t>
            </w:r>
          </w:p>
        </w:tc>
      </w:tr>
      <w:tr>
        <w:trPr>
          <w:trHeight w:val="245"/>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provided by operating activities:</w:t>
            </w:r>
          </w:p>
        </w:tc>
        <w:tc>
          <w:tcPr>
            <w:tcW w:w="32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16,014</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154,684</w:t>
            </w: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cash provided by operating activities: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83,032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81,765</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 of debt discounts and issuance costs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2,396</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Amortization of deferred gift card sales commissions</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13,458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14,436</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Provision for impaired assets and restaurant closings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7,377</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Non-cash interest expense from terminated interest rate swaps</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6,980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1,981</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Non-cash operating lease costs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38,073</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Stock-based and other non-cash compensation expense</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9,802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14,507</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income tax expense</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10,300</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Loss on extinguishment and modification of debt</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107,630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2,073</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on fair value adjustment of derivatives, net</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Other, net</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4,935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(1,343)</w:t>
            </w:r>
          </w:p>
        </w:tc>
      </w:tr>
      <w:tr>
        <w:trPr>
          <w:trHeight w:val="202"/>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Change in assets and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(94,440)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(43,067)</w:t>
            </w:r>
          </w:p>
        </w:tc>
      </w:tr>
      <w:tr>
        <w:trPr>
          <w:trHeight w:val="212"/>
        </w:trPr>
        <w:tc>
          <w:tcPr>
            <w:tcW w:w="7220" w:type="dxa"/>
            <w:vAlign w:val="bottom"/>
            <w:tcBorders>
              <w:bottom w:val="single" w:sz="8" w:color="CCEEFF"/>
            </w:tcBorders>
          </w:tcPr>
          <w:p>
            <w:pPr>
              <w:ind w:left="940"/>
              <w:spacing w:after="0"/>
              <w:rPr>
                <w:sz w:val="20"/>
                <w:szCs w:val="20"/>
                <w:color w:val="auto"/>
              </w:rPr>
            </w:pPr>
            <w:r>
              <w:rPr>
                <w:rFonts w:ascii="Arial" w:cs="Arial" w:eastAsia="Arial" w:hAnsi="Arial"/>
                <w:sz w:val="15"/>
                <w:szCs w:val="15"/>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218,818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283,182</w:t>
            </w:r>
          </w:p>
        </w:tc>
      </w:tr>
      <w:tr>
        <w:trPr>
          <w:trHeight w:val="206"/>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used in investing activities:</w:t>
            </w: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disposal of property, fixtures and equipment</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4,828</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Capital expenditures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(51,398)</w:t>
            </w:r>
          </w:p>
        </w:tc>
      </w:tr>
      <w:tr>
        <w:trPr>
          <w:trHeight w:val="212"/>
        </w:trPr>
        <w:tc>
          <w:tcPr>
            <w:tcW w:w="72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 investments, net</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3,945</w:t>
            </w:r>
          </w:p>
        </w:tc>
      </w:tr>
      <w:tr>
        <w:trPr>
          <w:trHeight w:val="212"/>
        </w:trPr>
        <w:tc>
          <w:tcPr>
            <w:tcW w:w="7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Net cash used in investing activities</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(75,738)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(42,625)</w:t>
            </w:r>
          </w:p>
        </w:tc>
      </w:tr>
    </w:tbl>
    <w:p>
      <w:pPr>
        <w:spacing w:after="0" w:line="237" w:lineRule="exact"/>
        <w:rPr>
          <w:sz w:val="20"/>
          <w:szCs w:val="20"/>
          <w:color w:val="auto"/>
        </w:rPr>
      </w:pPr>
    </w:p>
    <w:p>
      <w:pPr>
        <w:ind w:left="10100"/>
        <w:spacing w:after="0"/>
        <w:rPr>
          <w:sz w:val="20"/>
          <w:szCs w:val="20"/>
          <w:color w:val="auto"/>
        </w:rPr>
      </w:pPr>
      <w:r>
        <w:rPr>
          <w:rFonts w:ascii="Arial" w:cs="Arial" w:eastAsia="Arial" w:hAnsi="Arial"/>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7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26, 2022</w:t>
            </w:r>
          </w:p>
        </w:tc>
        <w:tc>
          <w:tcPr>
            <w:tcW w:w="320" w:type="dxa"/>
            <w:vAlign w:val="bottom"/>
          </w:tcPr>
          <w:p>
            <w:pPr>
              <w:spacing w:after="0"/>
              <w:rPr>
                <w:sz w:val="16"/>
                <w:szCs w:val="16"/>
                <w:color w:val="auto"/>
              </w:rPr>
            </w:pPr>
          </w:p>
        </w:tc>
        <w:tc>
          <w:tcPr>
            <w:tcW w:w="1640" w:type="dxa"/>
            <w:vAlign w:val="bottom"/>
          </w:tcPr>
          <w:p>
            <w:pPr>
              <w:jc w:val="right"/>
              <w:ind w:right="463"/>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245"/>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used in financing activities:</w:t>
            </w:r>
          </w:p>
        </w:tc>
        <w:tc>
          <w:tcPr>
            <w:tcW w:w="32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issuance of long-term debt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long-term debt and finance lease obligations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(425,564)</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borrowings on revolving credit facilities</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624,500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286,000</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borrowings on revolving credit facilities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(599,000)</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Financing fees</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(5,868)</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issuance of senior notes</w:t>
            </w: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Issuance costs related to senior notes</w:t>
            </w:r>
          </w:p>
        </w:tc>
        <w:tc>
          <w:tcPr>
            <w:tcW w:w="32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(5,546)</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Repurchase of convertible senior notes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(196,919)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retirement of convertible senior note hedges</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131,869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for retirement of warrants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share-based compensation, net</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2,007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9,925</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Distributions to noncontrolling interests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(4,141)</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Contributions from noncontrolling interests</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 of noncontrolling interests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Payments for partner equity plan</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(5,743)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(4,494)</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Repurchase of common stock</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2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Cash dividends paid on common stock</w:t>
            </w: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(24,977)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7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(140,922)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(248,018)</w:t>
            </w:r>
          </w:p>
        </w:tc>
        <w:tc>
          <w:tcPr>
            <w:tcW w:w="0" w:type="dxa"/>
            <w:vAlign w:val="bottom"/>
          </w:tcPr>
          <w:p>
            <w:pPr>
              <w:spacing w:after="0"/>
              <w:rPr>
                <w:sz w:val="1"/>
                <w:szCs w:val="1"/>
                <w:color w:val="auto"/>
              </w:rPr>
            </w:pPr>
          </w:p>
        </w:tc>
      </w:tr>
      <w:tr>
        <w:trPr>
          <w:trHeight w:val="18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(7,333)</w:t>
            </w:r>
          </w:p>
        </w:tc>
        <w:tc>
          <w:tcPr>
            <w:tcW w:w="0" w:type="dxa"/>
            <w:vAlign w:val="bottom"/>
          </w:tcPr>
          <w:p>
            <w:pPr>
              <w:spacing w:after="0"/>
              <w:rPr>
                <w:sz w:val="1"/>
                <w:szCs w:val="1"/>
                <w:color w:val="auto"/>
              </w:rPr>
            </w:pPr>
          </w:p>
        </w:tc>
      </w:tr>
      <w:tr>
        <w:trPr>
          <w:trHeight w:val="212"/>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as of the beginning of the period</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110,408</w:t>
            </w:r>
          </w:p>
        </w:tc>
        <w:tc>
          <w:tcPr>
            <w:tcW w:w="0" w:type="dxa"/>
            <w:vAlign w:val="bottom"/>
          </w:tcPr>
          <w:p>
            <w:pPr>
              <w:spacing w:after="0"/>
              <w:rPr>
                <w:sz w:val="1"/>
                <w:szCs w:val="1"/>
                <w:color w:val="auto"/>
              </w:rPr>
            </w:pPr>
          </w:p>
        </w:tc>
      </w:tr>
      <w:tr>
        <w:trPr>
          <w:trHeight w:val="23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as of the end of the period</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95,447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103,075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paid for interest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23,748</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Cash paid for income taxes, net of refunds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17,191</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11,883</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Leased assets obtained in exchange for new operating lease liabilities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26,415</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28,261</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Leased assets obtained in exchange for new finance lease liabilities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1"/>
        </w:trPr>
        <w:tc>
          <w:tcPr>
            <w:tcW w:w="7220" w:type="dxa"/>
            <w:vAlign w:val="bottom"/>
          </w:tcPr>
          <w:p>
            <w:pPr>
              <w:ind w:left="320"/>
              <w:spacing w:after="0"/>
              <w:rPr>
                <w:sz w:val="20"/>
                <w:szCs w:val="20"/>
                <w:color w:val="auto"/>
              </w:rPr>
            </w:pPr>
            <w:r>
              <w:rPr>
                <w:rFonts w:ascii="Arial" w:cs="Arial" w:eastAsia="Arial" w:hAnsi="Arial"/>
                <w:sz w:val="15"/>
                <w:szCs w:val="15"/>
                <w:color w:val="auto"/>
              </w:rPr>
              <w:t>Increase (decrease) in liabilities from the acquisition of property, fixtures and equipment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2,545</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w:t>
      </w:r>
    </w:p>
    <w:p>
      <w:pPr>
        <w:spacing w:after="0" w:line="333" w:lineRule="exact"/>
        <w:rPr>
          <w:sz w:val="20"/>
          <w:szCs w:val="20"/>
          <w:color w:val="auto"/>
        </w:rPr>
      </w:pPr>
    </w:p>
    <w:p>
      <w:pPr>
        <w:ind w:left="340" w:hanging="337"/>
        <w:spacing w:after="0"/>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Description of the Business and Basis of Presentation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Description of the Business - </w:t>
      </w:r>
      <w:r>
        <w:rPr>
          <w:rFonts w:ascii="Arial" w:cs="Arial" w:eastAsia="Arial" w:hAnsi="Arial"/>
          <w:sz w:val="19"/>
          <w:szCs w:val="19"/>
          <w:color w:val="auto"/>
        </w:rPr>
        <w:t>Bloomin’ Brands (“Bloomin’ Brands” or the “Company”) owns and operates casual, upscale casual and fine dining</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interim unaudited condensed consolidated financial statements have been prepared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26, 2021.</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i w:val="1"/>
          <w:iCs w:val="1"/>
          <w:color w:val="auto"/>
        </w:rPr>
        <w:t xml:space="preserve">Recently Issued Financial Accounting Standards Not Yet Adopted </w:t>
      </w:r>
      <w:r>
        <w:rPr>
          <w:rFonts w:ascii="Arial" w:cs="Arial" w:eastAsia="Arial" w:hAnsi="Arial"/>
          <w:sz w:val="19"/>
          <w:szCs w:val="19"/>
          <w:color w:val="auto"/>
        </w:rPr>
        <w:t>- In November 2021, the Financial Accounting Standards Board issued</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Standards Update (“ASU”) No. 2021-10, “Government Assistance (Topic 832): Disclosures by Business Entities about Government Assistance” (“ASU No. 2021-10”), which requires financial statement footnote disclosure regarding government assistance accounted for by applying a grant or contribution accounting model by analogy. ASU No. 2021-10 is effective for the Company for the fiscal year ending December 25, 2022. Upon adoption of ASU No. 2021-10 during the fourth quarter of 2022, the Company anticipates government assistance financial statement footnote disclosures within the 2022 Form 10-K, primarily in connection with employee retention credits provided under the Coronavirus, Aid, Relief and Economic Security (“CARES”) Act.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guidance not discussed herein is not applicable, did not have, or is not expected to have a material impact to the Company.</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Reclassifications </w:t>
      </w:r>
      <w:r>
        <w:rPr>
          <w:rFonts w:ascii="Arial" w:cs="Arial" w:eastAsia="Arial" w:hAnsi="Arial"/>
          <w:sz w:val="19"/>
          <w:szCs w:val="19"/>
          <w:color w:val="auto"/>
        </w:rPr>
        <w:t>- 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including, but not limited to, presentation of certain items within the condensed consolidated statements of cash flows and certain notes to the consolidated financial statements. These reclassifications had no effect on previously reported net income.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Revenue Recognition</w:t>
      </w:r>
    </w:p>
    <w:p>
      <w:pPr>
        <w:spacing w:after="0" w:line="2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the categories of revenue included in the Company’s Consolidated Statements of Operations and Comprehensive (Loss) Income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27, 2021</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
              <w:spacing w:after="0"/>
              <w:rPr>
                <w:sz w:val="20"/>
                <w:szCs w:val="20"/>
                <w:color w:val="auto"/>
              </w:rPr>
            </w:pPr>
            <w:r>
              <w:rPr>
                <w:rFonts w:ascii="Arial" w:cs="Arial" w:eastAsia="Arial" w:hAnsi="Arial"/>
                <w:sz w:val="15"/>
                <w:szCs w:val="15"/>
                <w:color w:val="auto"/>
              </w:rPr>
              <w:t>1,108,918</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1,055,227</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2,232,493</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2,034,678</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3"/>
        </w:trPr>
        <w:tc>
          <w:tcPr>
            <w:tcW w:w="4860" w:type="dxa"/>
            <w:vAlign w:val="bottom"/>
          </w:tcPr>
          <w:p>
            <w:pPr>
              <w:ind w:left="220"/>
              <w:spacing w:after="0"/>
              <w:rPr>
                <w:sz w:val="20"/>
                <w:szCs w:val="20"/>
                <w:color w:val="auto"/>
              </w:rPr>
            </w:pPr>
            <w:r>
              <w:rPr>
                <w:rFonts w:ascii="Arial" w:cs="Arial" w:eastAsia="Arial" w:hAnsi="Arial"/>
                <w:sz w:val="15"/>
                <w:szCs w:val="15"/>
                <w:color w:val="auto"/>
              </w:rPr>
              <w:t>Franchise revenues</w:t>
            </w:r>
          </w:p>
        </w:tc>
        <w:tc>
          <w:tcPr>
            <w:tcW w:w="200" w:type="dxa"/>
            <w:vAlign w:val="bottom"/>
          </w:tcPr>
          <w:p>
            <w:pPr>
              <w:spacing w:after="0"/>
              <w:rPr>
                <w:sz w:val="17"/>
                <w:szCs w:val="17"/>
                <w:color w:val="auto"/>
              </w:rPr>
            </w:pPr>
          </w:p>
        </w:tc>
        <w:tc>
          <w:tcPr>
            <w:tcW w:w="1320" w:type="dxa"/>
            <w:vAlign w:val="bottom"/>
          </w:tcPr>
          <w:p>
            <w:pPr>
              <w:jc w:val="right"/>
              <w:ind w:right="5"/>
              <w:spacing w:after="0"/>
              <w:rPr>
                <w:sz w:val="20"/>
                <w:szCs w:val="20"/>
                <w:color w:val="auto"/>
              </w:rPr>
            </w:pPr>
            <w:r>
              <w:rPr>
                <w:rFonts w:ascii="Arial" w:cs="Arial" w:eastAsia="Arial" w:hAnsi="Arial"/>
                <w:sz w:val="15"/>
                <w:szCs w:val="15"/>
                <w:color w:val="auto"/>
              </w:rPr>
              <w:t>12,596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12,221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26,002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19,010</w:t>
            </w:r>
          </w:p>
        </w:tc>
      </w:tr>
      <w:tr>
        <w:trPr>
          <w:trHeight w:val="215"/>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revenues (1)</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3,648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9,918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7,202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11,151</w:t>
            </w:r>
          </w:p>
        </w:tc>
      </w:tr>
      <w:tr>
        <w:trPr>
          <w:trHeight w:val="212"/>
        </w:trPr>
        <w:tc>
          <w:tcPr>
            <w:tcW w:w="48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Franchise and other revenues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16,244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22,139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30,161</w:t>
            </w:r>
          </w:p>
        </w:tc>
      </w:tr>
      <w:tr>
        <w:trPr>
          <w:trHeight w:val="231"/>
        </w:trPr>
        <w:tc>
          <w:tcPr>
            <w:tcW w:w="48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revenues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1,125,162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1,077,366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2,265,697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2,064,839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86" w:lineRule="auto"/>
        <w:tabs>
          <w:tab w:leader="none" w:pos="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thirteen and twenty-six weeks ended June 27, 2021, the Company recognized $6.3 million of other revenues in connection with favorable court rulings in Brazil regarding the calculation methodology and taxable base of Program of Social Integration (“PIS”) and Contribution for the Financing of Social Security (“COFINS”) taxes. The amount recognized as a result of the favorable court rulings primarily represents refundable PIS and COFINS taxes for prior years, including accrued interest.</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tables include the disaggregation of Restaurant sales and franchise revenues, by restaurant concept and major international market,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80" w:type="dxa"/>
            <w:vAlign w:val="bottom"/>
            <w:gridSpan w:val="5"/>
          </w:tcPr>
          <w:p>
            <w:pPr>
              <w:ind w:left="680"/>
              <w:spacing w:after="0"/>
              <w:rPr>
                <w:sz w:val="20"/>
                <w:szCs w:val="20"/>
                <w:color w:val="auto"/>
              </w:rPr>
            </w:pPr>
            <w:r>
              <w:rPr>
                <w:rFonts w:ascii="Arial" w:cs="Arial" w:eastAsia="Arial" w:hAnsi="Arial"/>
                <w:sz w:val="14"/>
                <w:szCs w:val="14"/>
                <w:b w:val="1"/>
                <w:bCs w:val="1"/>
                <w:color w:val="auto"/>
              </w:rPr>
              <w:t>JUNE 26, 2022</w:t>
            </w:r>
          </w:p>
        </w:tc>
        <w:tc>
          <w:tcPr>
            <w:tcW w:w="480" w:type="dxa"/>
            <w:vAlign w:val="bottom"/>
          </w:tcPr>
          <w:p>
            <w:pPr>
              <w:spacing w:after="0"/>
              <w:rPr>
                <w:sz w:val="16"/>
                <w:szCs w:val="16"/>
                <w:color w:val="auto"/>
              </w:rPr>
            </w:pPr>
          </w:p>
        </w:tc>
        <w:tc>
          <w:tcPr>
            <w:tcW w:w="2680" w:type="dxa"/>
            <w:vAlign w:val="bottom"/>
            <w:gridSpan w:val="4"/>
          </w:tcPr>
          <w:p>
            <w:pPr>
              <w:jc w:val="right"/>
              <w:ind w:right="1064"/>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129"/>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29" w:lineRule="exact"/>
              <w:rPr>
                <w:sz w:val="20"/>
                <w:szCs w:val="20"/>
                <w:color w:val="auto"/>
              </w:rPr>
            </w:pPr>
            <w:r>
              <w:rPr>
                <w:rFonts w:ascii="Arial" w:cs="Arial" w:eastAsia="Arial" w:hAnsi="Arial"/>
                <w:sz w:val="14"/>
                <w:szCs w:val="14"/>
                <w:b w:val="1"/>
                <w:bCs w:val="1"/>
                <w:color w:val="auto"/>
                <w:w w:val="97"/>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84"/>
              <w:spacing w:after="0" w:line="129"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186"/>
        </w:trPr>
        <w:tc>
          <w:tcPr>
            <w:tcW w:w="4840" w:type="dxa"/>
            <w:vAlign w:val="bottom"/>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REVENUES</w:t>
            </w: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304"/>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573,563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8,156</w:t>
            </w:r>
          </w:p>
        </w:tc>
        <w:tc>
          <w:tcPr>
            <w:tcW w:w="100" w:type="dxa"/>
            <w:vAlign w:val="bottom"/>
          </w:tcPr>
          <w:p>
            <w:pPr>
              <w:spacing w:after="0"/>
              <w:rPr>
                <w:sz w:val="17"/>
                <w:szCs w:val="17"/>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579,096</w:t>
            </w:r>
          </w:p>
        </w:tc>
        <w:tc>
          <w:tcPr>
            <w:tcW w:w="1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8,418</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170,190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171,408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145,472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149,036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93,933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985,927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990,293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9,257</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Brazil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2,964</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122,991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3,462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64,934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2,964</w:t>
            </w:r>
          </w:p>
        </w:tc>
        <w:tc>
          <w:tcPr>
            <w:tcW w:w="0" w:type="dxa"/>
            <w:vAlign w:val="bottom"/>
          </w:tcPr>
          <w:p>
            <w:pPr>
              <w:spacing w:after="0"/>
              <w:rPr>
                <w:sz w:val="1"/>
                <w:szCs w:val="1"/>
                <w:color w:val="auto"/>
              </w:rPr>
            </w:pPr>
          </w:p>
        </w:tc>
      </w:tr>
      <w:tr>
        <w:trPr>
          <w:trHeight w:val="206"/>
        </w:trPr>
        <w:tc>
          <w:tcPr>
            <w:tcW w:w="4840" w:type="dxa"/>
            <w:vAlign w:val="bottom"/>
          </w:tcPr>
          <w:p>
            <w:pPr>
              <w:ind w:left="44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1,108,918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12,596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1,055,227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12,221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Restaurant sales for Company-owned Outback Steakhouse restaurants outside of Brazil and Abbraccio restaurants in Brazil. Franchise revenues primarily includes revenues from franchised Outback Steakhouse restaurants.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TWENTY-SIX WEEKS ENDED</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80" w:type="dxa"/>
            <w:vAlign w:val="bottom"/>
            <w:gridSpan w:val="5"/>
          </w:tcPr>
          <w:p>
            <w:pPr>
              <w:ind w:left="680"/>
              <w:spacing w:after="0"/>
              <w:rPr>
                <w:sz w:val="20"/>
                <w:szCs w:val="20"/>
                <w:color w:val="auto"/>
              </w:rPr>
            </w:pPr>
            <w:r>
              <w:rPr>
                <w:rFonts w:ascii="Arial" w:cs="Arial" w:eastAsia="Arial" w:hAnsi="Arial"/>
                <w:sz w:val="14"/>
                <w:szCs w:val="14"/>
                <w:b w:val="1"/>
                <w:bCs w:val="1"/>
                <w:color w:val="auto"/>
              </w:rPr>
              <w:t>JUNE 26, 2022</w:t>
            </w:r>
          </w:p>
        </w:tc>
        <w:tc>
          <w:tcPr>
            <w:tcW w:w="480" w:type="dxa"/>
            <w:vAlign w:val="bottom"/>
          </w:tcPr>
          <w:p>
            <w:pPr>
              <w:spacing w:after="0"/>
              <w:rPr>
                <w:sz w:val="16"/>
                <w:szCs w:val="16"/>
                <w:color w:val="auto"/>
              </w:rPr>
            </w:pPr>
          </w:p>
        </w:tc>
        <w:tc>
          <w:tcPr>
            <w:tcW w:w="2680" w:type="dxa"/>
            <w:vAlign w:val="bottom"/>
            <w:gridSpan w:val="4"/>
          </w:tcPr>
          <w:p>
            <w:pPr>
              <w:jc w:val="right"/>
              <w:ind w:right="1064"/>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129"/>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29" w:lineRule="exact"/>
              <w:rPr>
                <w:sz w:val="20"/>
                <w:szCs w:val="20"/>
                <w:color w:val="auto"/>
              </w:rPr>
            </w:pPr>
            <w:r>
              <w:rPr>
                <w:rFonts w:ascii="Arial" w:cs="Arial" w:eastAsia="Arial" w:hAnsi="Arial"/>
                <w:sz w:val="14"/>
                <w:szCs w:val="14"/>
                <w:b w:val="1"/>
                <w:bCs w:val="1"/>
                <w:color w:val="auto"/>
                <w:w w:val="97"/>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84"/>
              <w:spacing w:after="0" w:line="129"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186"/>
        </w:trPr>
        <w:tc>
          <w:tcPr>
            <w:tcW w:w="4840" w:type="dxa"/>
            <w:vAlign w:val="bottom"/>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REVENUES</w:t>
            </w: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304"/>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1,168,956</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16,615</w:t>
            </w:r>
          </w:p>
        </w:tc>
        <w:tc>
          <w:tcPr>
            <w:tcW w:w="100" w:type="dxa"/>
            <w:vAlign w:val="bottom"/>
          </w:tcPr>
          <w:p>
            <w:pPr>
              <w:spacing w:after="0"/>
              <w:rPr>
                <w:sz w:val="17"/>
                <w:szCs w:val="17"/>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1,126,291</w:t>
            </w:r>
          </w:p>
        </w:tc>
        <w:tc>
          <w:tcPr>
            <w:tcW w:w="1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11,374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345,818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329,094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296,888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276,010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191,595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154,412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2,009,562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1,890,352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12,960</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Brazil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185,948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6,050</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222,931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144,326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6,050</w:t>
            </w:r>
          </w:p>
        </w:tc>
        <w:tc>
          <w:tcPr>
            <w:tcW w:w="0" w:type="dxa"/>
            <w:vAlign w:val="bottom"/>
          </w:tcPr>
          <w:p>
            <w:pPr>
              <w:spacing w:after="0"/>
              <w:rPr>
                <w:sz w:val="1"/>
                <w:szCs w:val="1"/>
                <w:color w:val="auto"/>
              </w:rPr>
            </w:pPr>
          </w:p>
        </w:tc>
      </w:tr>
      <w:tr>
        <w:trPr>
          <w:trHeight w:val="206"/>
        </w:trPr>
        <w:tc>
          <w:tcPr>
            <w:tcW w:w="4840" w:type="dxa"/>
            <w:vAlign w:val="bottom"/>
          </w:tcPr>
          <w:p>
            <w:pPr>
              <w:ind w:left="44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2,232,493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26,002</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2,034,678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19,010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Restaurant sales for Company-owned Outback Steakhouse restaurants outside of Brazil and Abbraccio restaurants in Brazil. Franchise revenues primarily includes revenues from franchised Outback Steakhouse restaurants.</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a detail of assets and liabilities from contracts with customers included on the Company’s Consolidated Balance Sheets as of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26, 2022</w:t>
            </w:r>
          </w:p>
        </w:tc>
        <w:tc>
          <w:tcPr>
            <w:tcW w:w="220" w:type="dxa"/>
            <w:vAlign w:val="bottom"/>
          </w:tcPr>
          <w:p>
            <w:pPr>
              <w:spacing w:after="0"/>
              <w:rPr>
                <w:sz w:val="17"/>
                <w:szCs w:val="17"/>
                <w:color w:val="auto"/>
              </w:rPr>
            </w:pPr>
          </w:p>
        </w:tc>
        <w:tc>
          <w:tcPr>
            <w:tcW w:w="174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26, 2021</w:t>
            </w:r>
          </w:p>
        </w:tc>
      </w:tr>
      <w:tr>
        <w:trPr>
          <w:trHeight w:val="19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current assets, net</w:t>
            </w:r>
          </w:p>
        </w:tc>
        <w:tc>
          <w:tcPr>
            <w:tcW w:w="32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gift card sales commissions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12,338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17,793</w:t>
            </w:r>
          </w:p>
        </w:tc>
      </w:tr>
      <w:tr>
        <w:trPr>
          <w:trHeight w:val="248"/>
        </w:trPr>
        <w:tc>
          <w:tcPr>
            <w:tcW w:w="7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Unearned revenue</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gift card revenue</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303,544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387,945</w:t>
            </w: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loyalty revenue</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4,309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9,386</w:t>
            </w: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franchise fees - current</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w:t>
            </w:r>
          </w:p>
        </w:tc>
      </w:tr>
      <w:tr>
        <w:trPr>
          <w:trHeight w:val="212"/>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1,021</w:t>
            </w:r>
          </w:p>
        </w:tc>
      </w:tr>
      <w:tr>
        <w:trPr>
          <w:trHeight w:val="231"/>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unearned revenue</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309,863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398,795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long-term liabilities, net</w:t>
            </w: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1"/>
        </w:trPr>
        <w:tc>
          <w:tcPr>
            <w:tcW w:w="7220" w:type="dxa"/>
            <w:vAlign w:val="bottom"/>
          </w:tcPr>
          <w:p>
            <w:pPr>
              <w:ind w:left="140"/>
              <w:spacing w:after="0"/>
              <w:rPr>
                <w:sz w:val="20"/>
                <w:szCs w:val="20"/>
                <w:color w:val="auto"/>
              </w:rPr>
            </w:pPr>
            <w:r>
              <w:rPr>
                <w:rFonts w:ascii="Arial" w:cs="Arial" w:eastAsia="Arial" w:hAnsi="Arial"/>
                <w:sz w:val="15"/>
                <w:szCs w:val="15"/>
                <w:color w:val="auto"/>
              </w:rPr>
              <w:t>Deferred franchise fees - non-current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4,185</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4,280</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deferred gift card sales commissions for the periods indicated:</w:t>
      </w:r>
    </w:p>
    <w:p>
      <w:pPr>
        <w:sectPr>
          <w:pgSz w:w="11900" w:h="16838" w:orient="portrait"/>
          <w:cols w:equalWidth="0" w:num="1">
            <w:col w:w="11240"/>
          </w:cols>
          <w:pgMar w:left="320" w:top="122" w:right="339" w:bottom="1440" w:gutter="0" w:footer="0" w:header="0"/>
        </w:sect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beginning of the period</w:t>
      </w:r>
    </w:p>
    <w:p>
      <w:pPr>
        <w:spacing w:after="0" w:line="34" w:lineRule="exact"/>
        <w:rPr>
          <w:sz w:val="20"/>
          <w:szCs w:val="20"/>
          <w:color w:val="auto"/>
        </w:rPr>
      </w:pPr>
    </w:p>
    <w:p>
      <w:pPr>
        <w:jc w:val="both"/>
        <w:ind w:left="140" w:right="820"/>
        <w:spacing w:after="0" w:line="310" w:lineRule="auto"/>
        <w:rPr>
          <w:sz w:val="20"/>
          <w:szCs w:val="20"/>
          <w:color w:val="auto"/>
        </w:rPr>
      </w:pPr>
      <w:r>
        <w:rPr>
          <w:rFonts w:ascii="Arial" w:cs="Arial" w:eastAsia="Arial" w:hAnsi="Arial"/>
          <w:sz w:val="15"/>
          <w:szCs w:val="15"/>
          <w:color w:val="auto"/>
        </w:rPr>
        <w:t>Deferred gift card sales commissions amortization Deferred gift card sales commissions capitalization Other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end of the period</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00" w:type="dxa"/>
            <w:vAlign w:val="bottom"/>
          </w:tcPr>
          <w:p>
            <w:pPr>
              <w:spacing w:after="0"/>
              <w:rPr>
                <w:sz w:val="17"/>
                <w:szCs w:val="17"/>
                <w:color w:val="auto"/>
              </w:rPr>
            </w:pPr>
          </w:p>
        </w:tc>
        <w:tc>
          <w:tcPr>
            <w:tcW w:w="30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27, 2021</w:t>
            </w:r>
          </w:p>
        </w:tc>
      </w:tr>
      <w:tr>
        <w:trPr>
          <w:trHeight w:val="201"/>
        </w:trPr>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13,033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13,502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17,793</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19,300</w:t>
            </w:r>
          </w:p>
        </w:tc>
      </w:tr>
      <w:tr>
        <w:trPr>
          <w:trHeight w:val="206"/>
        </w:trPr>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(5,441)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(5,711)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(13,458)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(14,436)</w:t>
            </w:r>
          </w:p>
        </w:tc>
      </w:tr>
      <w:tr>
        <w:trPr>
          <w:trHeight w:val="206"/>
        </w:trPr>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5,436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5,297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9,605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8,796</w:t>
            </w:r>
          </w:p>
        </w:tc>
      </w:tr>
      <w:tr>
        <w:trPr>
          <w:trHeight w:val="218"/>
        </w:trPr>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(1,112)</w:t>
            </w:r>
          </w:p>
        </w:tc>
      </w:tr>
      <w:tr>
        <w:trPr>
          <w:trHeight w:val="203"/>
        </w:trPr>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12,338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12,548</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-711835</wp:posOffset>
            </wp:positionV>
            <wp:extent cx="713867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-441325</wp:posOffset>
            </wp:positionV>
            <wp:extent cx="7138670" cy="130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-171450</wp:posOffset>
            </wp:positionV>
            <wp:extent cx="7138670" cy="155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unearned gift card revenue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beginning of the period</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314,974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306,075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387,945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373,048</w:t>
            </w: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Gift card sales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65,174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63,921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115,454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108,090</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Gift card redemptions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(189,050)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(176,799)</w:t>
            </w:r>
          </w:p>
        </w:tc>
      </w:tr>
      <w:tr>
        <w:trPr>
          <w:trHeight w:val="212"/>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Gift card breakage</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(10,384)</w:t>
            </w:r>
          </w:p>
        </w:tc>
      </w:tr>
      <w:tr>
        <w:trPr>
          <w:trHeight w:val="23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end of the period</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303,544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293,955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303,544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293,955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40" w:hanging="337"/>
        <w:spacing w:after="0"/>
        <w:tabs>
          <w:tab w:leader="none" w:pos="3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Impairments and Exit Costs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components of Provision for impaired assets and restaurant closings are as follows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THIRTEEN WEEKS ENDED</w:t>
            </w:r>
          </w:p>
        </w:tc>
        <w:tc>
          <w:tcPr>
            <w:tcW w:w="120" w:type="dxa"/>
            <w:vAlign w:val="bottom"/>
          </w:tcPr>
          <w:p>
            <w:pPr>
              <w:spacing w:after="0"/>
              <w:rPr>
                <w:sz w:val="15"/>
                <w:szCs w:val="15"/>
                <w:color w:val="auto"/>
              </w:rPr>
            </w:pPr>
          </w:p>
        </w:tc>
        <w:tc>
          <w:tcPr>
            <w:tcW w:w="2060" w:type="dxa"/>
            <w:vAlign w:val="bottom"/>
          </w:tcPr>
          <w:p>
            <w:pPr>
              <w:jc w:val="right"/>
              <w:ind w:right="44"/>
              <w:spacing w:after="0"/>
              <w:rPr>
                <w:sz w:val="20"/>
                <w:szCs w:val="20"/>
                <w:color w:val="auto"/>
              </w:rPr>
            </w:pPr>
            <w:r>
              <w:rPr>
                <w:rFonts w:ascii="Arial" w:cs="Arial" w:eastAsia="Arial" w:hAnsi="Arial"/>
                <w:sz w:val="14"/>
                <w:szCs w:val="14"/>
                <w:b w:val="1"/>
                <w:bCs w:val="1"/>
                <w:color w:val="auto"/>
                <w:w w:val="98"/>
              </w:rPr>
              <w:t>TWENTY-SIX WEEKS ENDED</w:t>
            </w:r>
          </w:p>
        </w:tc>
      </w:tr>
      <w:tr>
        <w:trPr>
          <w:trHeight w:val="198"/>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JUNE 27, 2021</w:t>
            </w:r>
          </w:p>
        </w:tc>
        <w:tc>
          <w:tcPr>
            <w:tcW w:w="120" w:type="dxa"/>
            <w:vAlign w:val="bottom"/>
          </w:tcPr>
          <w:p>
            <w:pPr>
              <w:spacing w:after="0"/>
              <w:rPr>
                <w:sz w:val="17"/>
                <w:szCs w:val="17"/>
                <w:color w:val="auto"/>
              </w:rPr>
            </w:pPr>
          </w:p>
        </w:tc>
        <w:tc>
          <w:tcPr>
            <w:tcW w:w="2060" w:type="dxa"/>
            <w:vAlign w:val="bottom"/>
          </w:tcPr>
          <w:p>
            <w:pPr>
              <w:jc w:val="right"/>
              <w:ind w:right="564"/>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Impairment losses</w:t>
            </w:r>
          </w:p>
        </w:tc>
        <w:tc>
          <w:tcPr>
            <w:tcW w:w="14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r>
      <w:tr>
        <w:trPr>
          <w:trHeight w:val="203"/>
        </w:trPr>
        <w:tc>
          <w:tcPr>
            <w:tcW w:w="6880" w:type="dxa"/>
            <w:vAlign w:val="bottom"/>
          </w:tcPr>
          <w:p>
            <w:pPr>
              <w:ind w:left="220"/>
              <w:spacing w:after="0"/>
              <w:rPr>
                <w:sz w:val="20"/>
                <w:szCs w:val="20"/>
                <w:color w:val="auto"/>
              </w:rPr>
            </w:pPr>
            <w:r>
              <w:rPr>
                <w:rFonts w:ascii="Arial" w:cs="Arial" w:eastAsia="Arial" w:hAnsi="Arial"/>
                <w:sz w:val="15"/>
                <w:szCs w:val="15"/>
                <w:color w:val="auto"/>
              </w:rPr>
              <w:t>U.S.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5,768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060" w:type="dxa"/>
            <w:vAlign w:val="bottom"/>
          </w:tcPr>
          <w:p>
            <w:pPr>
              <w:jc w:val="right"/>
              <w:spacing w:after="0"/>
              <w:rPr>
                <w:sz w:val="20"/>
                <w:szCs w:val="20"/>
                <w:color w:val="auto"/>
              </w:rPr>
            </w:pPr>
            <w:r>
              <w:rPr>
                <w:rFonts w:ascii="Arial" w:cs="Arial" w:eastAsia="Arial" w:hAnsi="Arial"/>
                <w:sz w:val="15"/>
                <w:szCs w:val="15"/>
                <w:color w:val="auto"/>
              </w:rPr>
              <w:t>7,174</w:t>
            </w:r>
          </w:p>
        </w:tc>
      </w:tr>
      <w:tr>
        <w:trPr>
          <w:trHeight w:val="209"/>
        </w:trPr>
        <w:tc>
          <w:tcPr>
            <w:tcW w:w="6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r>
      <w:tr>
        <w:trPr>
          <w:trHeight w:val="212"/>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Corporate</w:t>
            </w: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r>
      <w:tr>
        <w:trPr>
          <w:trHeight w:val="226"/>
        </w:trPr>
        <w:tc>
          <w:tcPr>
            <w:tcW w:w="6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impairment losses</w:t>
            </w:r>
          </w:p>
        </w:tc>
        <w:tc>
          <w:tcPr>
            <w:tcW w:w="1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7,564</w:t>
            </w:r>
          </w:p>
        </w:tc>
      </w:tr>
      <w:tr>
        <w:trPr>
          <w:trHeight w:val="176"/>
        </w:trPr>
        <w:tc>
          <w:tcPr>
            <w:tcW w:w="6880" w:type="dxa"/>
            <w:vAlign w:val="bottom"/>
          </w:tcPr>
          <w:p>
            <w:pPr>
              <w:ind w:left="20"/>
              <w:spacing w:after="0"/>
              <w:rPr>
                <w:sz w:val="20"/>
                <w:szCs w:val="20"/>
                <w:color w:val="auto"/>
              </w:rPr>
            </w:pPr>
            <w:r>
              <w:rPr>
                <w:rFonts w:ascii="Arial" w:cs="Arial" w:eastAsia="Arial" w:hAnsi="Arial"/>
                <w:sz w:val="15"/>
                <w:szCs w:val="15"/>
                <w:color w:val="auto"/>
              </w:rPr>
              <w:t>Restaurant closure benefits</w:t>
            </w:r>
          </w:p>
        </w:tc>
        <w:tc>
          <w:tcPr>
            <w:tcW w:w="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09"/>
        </w:trPr>
        <w:tc>
          <w:tcPr>
            <w:tcW w:w="6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212"/>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International</w:t>
            </w: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w:t>
            </w:r>
          </w:p>
        </w:tc>
      </w:tr>
      <w:tr>
        <w:trPr>
          <w:trHeight w:val="212"/>
        </w:trPr>
        <w:tc>
          <w:tcPr>
            <w:tcW w:w="6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restaurant closure benefits</w:t>
            </w:r>
          </w:p>
        </w:tc>
        <w:tc>
          <w:tcPr>
            <w:tcW w:w="1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w:t>
            </w:r>
          </w:p>
        </w:tc>
      </w:tr>
      <w:tr>
        <w:trPr>
          <w:trHeight w:val="206"/>
        </w:trPr>
        <w:tc>
          <w:tcPr>
            <w:tcW w:w="6880" w:type="dxa"/>
            <w:vAlign w:val="bottom"/>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7,377</w:t>
            </w:r>
          </w:p>
        </w:tc>
      </w:tr>
      <w:tr>
        <w:trPr>
          <w:trHeight w:val="20"/>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Impairment and closure charges during the periods presented resulted primarily from locations identified for closure.</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Annual Goodwill and Intangible Asset Impairment Assessment </w:t>
      </w:r>
      <w:r>
        <w:rPr>
          <w:rFonts w:ascii="Arial" w:cs="Arial" w:eastAsia="Arial" w:hAnsi="Arial"/>
          <w:sz w:val="19"/>
          <w:szCs w:val="19"/>
          <w:color w:val="auto"/>
        </w:rPr>
        <w:t>- The Company performs its annual assessment for impairment of goodwill and other</w:t>
      </w:r>
      <w:r>
        <w:rPr>
          <w:rFonts w:ascii="Arial" w:cs="Arial" w:eastAsia="Arial" w:hAnsi="Arial"/>
          <w:sz w:val="19"/>
          <w:szCs w:val="19"/>
          <w:i w:val="1"/>
          <w:iCs w:val="1"/>
          <w:color w:val="auto"/>
        </w:rPr>
        <w:t xml:space="preserve"> </w:t>
      </w:r>
      <w:r>
        <w:rPr>
          <w:rFonts w:ascii="Arial" w:cs="Arial" w:eastAsia="Arial" w:hAnsi="Arial"/>
          <w:sz w:val="19"/>
          <w:szCs w:val="19"/>
          <w:color w:val="auto"/>
        </w:rPr>
        <w:t>indefinite-lived intangible assets during its second fiscal quarter. The Company’s 2022 and 2021 assessments were qualitative. In connection with these assessments, the Company did not record any impairment charges.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Accrued Facility Closure and Other Costs Rollforward </w:t>
      </w:r>
      <w:r>
        <w:rPr>
          <w:rFonts w:ascii="Arial" w:cs="Arial" w:eastAsia="Arial" w:hAnsi="Arial"/>
          <w:sz w:val="19"/>
          <w:szCs w:val="19"/>
          <w:color w:val="auto"/>
        </w:rPr>
        <w:t>- The following table is a rollforward of the Company’s closed facility lease liabilities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 accrued costs associated with the closure and restructuring initiatives, for the period indicated:</w:t>
      </w:r>
    </w:p>
    <w:p>
      <w:pPr>
        <w:sectPr>
          <w:pgSz w:w="11900" w:h="16838" w:orient="portrait"/>
          <w:cols w:equalWidth="0" w:num="1">
            <w:col w:w="11240"/>
          </w:cols>
          <w:pgMar w:left="320" w:top="122" w:right="339" w:bottom="1440" w:gutter="0" w:footer="0" w:header="0"/>
        </w:sectPr>
      </w:pPr>
    </w:p>
    <w:p>
      <w:pPr>
        <w:spacing w:after="0" w:line="1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beginning of the period</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Cash payments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Accretion</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Adjustments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end of the period (1)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00" w:type="dxa"/>
            <w:vAlign w:val="bottom"/>
          </w:tcPr>
          <w:p>
            <w:pPr>
              <w:spacing w:after="0"/>
              <w:rPr>
                <w:sz w:val="15"/>
                <w:szCs w:val="15"/>
                <w:color w:val="auto"/>
              </w:rPr>
            </w:pPr>
          </w:p>
        </w:tc>
        <w:tc>
          <w:tcPr>
            <w:tcW w:w="2640" w:type="dxa"/>
            <w:vAlign w:val="bottom"/>
          </w:tcPr>
          <w:p>
            <w:pPr>
              <w:jc w:val="right"/>
              <w:ind w:right="425"/>
              <w:spacing w:after="0"/>
              <w:rPr>
                <w:sz w:val="20"/>
                <w:szCs w:val="20"/>
                <w:color w:val="auto"/>
              </w:rPr>
            </w:pPr>
            <w:r>
              <w:rPr>
                <w:rFonts w:ascii="Arial" w:cs="Arial" w:eastAsia="Arial" w:hAnsi="Arial"/>
                <w:sz w:val="14"/>
                <w:szCs w:val="14"/>
                <w:b w:val="1"/>
                <w:bCs w:val="1"/>
                <w:color w:val="auto"/>
              </w:rPr>
              <w:t>TWENTY-SIX WEEKS ENDED</w:t>
            </w:r>
          </w:p>
        </w:tc>
      </w:tr>
      <w:tr>
        <w:trPr>
          <w:trHeight w:val="198"/>
        </w:trPr>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945"/>
              <w:spacing w:after="0"/>
              <w:rPr>
                <w:sz w:val="20"/>
                <w:szCs w:val="20"/>
                <w:color w:val="auto"/>
              </w:rPr>
            </w:pPr>
            <w:r>
              <w:rPr>
                <w:rFonts w:ascii="Arial" w:cs="Arial" w:eastAsia="Arial" w:hAnsi="Arial"/>
                <w:sz w:val="14"/>
                <w:szCs w:val="14"/>
                <w:b w:val="1"/>
                <w:bCs w:val="1"/>
                <w:color w:val="auto"/>
              </w:rPr>
              <w:t>JUNE 26, 2022</w:t>
            </w:r>
          </w:p>
        </w:tc>
      </w:tr>
      <w:tr>
        <w:trPr>
          <w:trHeight w:val="201"/>
        </w:trPr>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2640" w:type="dxa"/>
            <w:vAlign w:val="bottom"/>
          </w:tcPr>
          <w:p>
            <w:pPr>
              <w:jc w:val="right"/>
              <w:spacing w:after="0"/>
              <w:rPr>
                <w:sz w:val="20"/>
                <w:szCs w:val="20"/>
                <w:color w:val="auto"/>
              </w:rPr>
            </w:pPr>
            <w:r>
              <w:rPr>
                <w:rFonts w:ascii="Arial" w:cs="Arial" w:eastAsia="Arial" w:hAnsi="Arial"/>
                <w:sz w:val="15"/>
                <w:szCs w:val="15"/>
                <w:color w:val="auto"/>
              </w:rPr>
              <w:t>8,485</w:t>
            </w:r>
          </w:p>
        </w:tc>
      </w:tr>
      <w:tr>
        <w:trPr>
          <w:trHeight w:val="206"/>
        </w:trPr>
        <w:tc>
          <w:tcPr>
            <w:tcW w:w="30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5"/>
                <w:szCs w:val="15"/>
                <w:color w:val="auto"/>
              </w:rPr>
              <w:t>(2,308)</w:t>
            </w:r>
          </w:p>
        </w:tc>
      </w:tr>
      <w:tr>
        <w:trPr>
          <w:trHeight w:val="206"/>
        </w:trPr>
        <w:tc>
          <w:tcPr>
            <w:tcW w:w="30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5"/>
                <w:szCs w:val="15"/>
                <w:color w:val="auto"/>
              </w:rPr>
              <w:t>304</w:t>
            </w:r>
          </w:p>
        </w:tc>
      </w:tr>
      <w:tr>
        <w:trPr>
          <w:trHeight w:val="218"/>
        </w:trPr>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w:t>
            </w:r>
          </w:p>
        </w:tc>
      </w:tr>
      <w:tr>
        <w:trPr>
          <w:trHeight w:val="203"/>
        </w:trPr>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6,158</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-5267960</wp:posOffset>
            </wp:positionH>
            <wp:positionV relativeFrom="paragraph">
              <wp:posOffset>-711835</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-441325</wp:posOffset>
            </wp:positionV>
            <wp:extent cx="7138670" cy="130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-171450</wp:posOffset>
            </wp:positionV>
            <wp:extent cx="7138670" cy="155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7580" w:space="720"/>
            <w:col w:w="2940"/>
          </w:cols>
          <w:pgMar w:left="320" w:top="122" w:right="339" w:bottom="1440" w:gutter="0" w:footer="0" w:header="0"/>
          <w:type w:val="continuous"/>
        </w:sect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As of June 26, 2022, the Company had exit-related accruals related to certain closure and restructuring initiatives of $1.6 million recorded in Accrued and other current liabilities and $4.6 million recorded in Non-current operating lease liabilities on its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(Loss) Earnings Per Share</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February 2021, the Company provided the trustee of its convertible senior notes due in 2025 (the “2025 Notes”) notice of the Company’s irrevocable election to settle the principal portion of the 2025 Notes in cash and any excess in shares. As a result, subsequent to the election, only the amounts in excess of the principal amount are considered in diluted earnings per share. The amount of the 2025 Notes settled in shares of common stock will have a dilutive impact on diluted earnings per share when the average market price of the Company’s common stock for a given period exceeds the conversion price, which was initially $11.89 per share of common stock.</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252525"/>
        </w:rPr>
        <w:t xml:space="preserve">In connection with the offering of the </w:t>
      </w:r>
      <w:r>
        <w:rPr>
          <w:rFonts w:ascii="Arial" w:cs="Arial" w:eastAsia="Arial" w:hAnsi="Arial"/>
          <w:sz w:val="19"/>
          <w:szCs w:val="19"/>
          <w:color w:val="000000"/>
        </w:rPr>
        <w:t>2025 Notes, the Company entered into</w:t>
      </w:r>
      <w:r>
        <w:rPr>
          <w:rFonts w:ascii="Arial" w:cs="Arial" w:eastAsia="Arial" w:hAnsi="Arial"/>
          <w:sz w:val="19"/>
          <w:szCs w:val="19"/>
          <w:color w:val="252525"/>
        </w:rPr>
        <w:t xml:space="preserve"> warrant transactions (the “Warrant Transactions”), which have a dilutive effect on the Company’s common stock to the extent the price of its common stock exceeds the strike price of the Warrant Transactions, which was initially $16.64.</w:t>
      </w:r>
    </w:p>
    <w:p>
      <w:pPr>
        <w:spacing w:after="0" w:line="20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connection with dividends paid during the twenty-six weeks ended June 26, 2022, the conversion price of the 2025 Notes decreased to $11.74 per share of common stock and the strike price of the related warrants decreased to $16.43 per share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computation of basic and diluted (loss) earnings per share for the periods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213"/>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income attributable to Bloomin’ Brands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(63,635)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151,407</w:t>
            </w:r>
          </w:p>
        </w:tc>
        <w:tc>
          <w:tcPr>
            <w:tcW w:w="0" w:type="dxa"/>
            <w:vAlign w:val="bottom"/>
          </w:tcPr>
          <w:p>
            <w:pPr>
              <w:spacing w:after="0"/>
              <w:rPr>
                <w:sz w:val="1"/>
                <w:szCs w:val="1"/>
                <w:color w:val="auto"/>
              </w:rPr>
            </w:pPr>
          </w:p>
        </w:tc>
      </w:tr>
      <w:tr>
        <w:trPr>
          <w:trHeight w:val="132"/>
        </w:trPr>
        <w:tc>
          <w:tcPr>
            <w:tcW w:w="4840" w:type="dxa"/>
            <w:vAlign w:val="bottom"/>
          </w:tcPr>
          <w:p>
            <w:pPr>
              <w:ind w:left="120"/>
              <w:spacing w:after="0" w:line="133" w:lineRule="exact"/>
              <w:rPr>
                <w:sz w:val="20"/>
                <w:szCs w:val="20"/>
                <w:color w:val="auto"/>
              </w:rPr>
            </w:pPr>
            <w:r>
              <w:rPr>
                <w:rFonts w:ascii="Arial" w:cs="Arial" w:eastAsia="Arial" w:hAnsi="Arial"/>
                <w:sz w:val="15"/>
                <w:szCs w:val="15"/>
                <w:color w:val="auto"/>
                <w:w w:val="94"/>
              </w:rPr>
              <w:t>Convertible senior notes if-converted method interest adjustment, net of tax</w:t>
            </w:r>
          </w:p>
        </w:tc>
        <w:tc>
          <w:tcPr>
            <w:tcW w:w="200" w:type="dxa"/>
            <w:vAlign w:val="bottom"/>
          </w:tcPr>
          <w:p>
            <w:pPr>
              <w:spacing w:after="0"/>
              <w:rPr>
                <w:sz w:val="11"/>
                <w:szCs w:val="11"/>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1"/>
                <w:szCs w:val="11"/>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1"/>
                <w:szCs w:val="11"/>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691</w:t>
            </w:r>
          </w:p>
        </w:tc>
        <w:tc>
          <w:tcPr>
            <w:tcW w:w="0" w:type="dxa"/>
            <w:vAlign w:val="bottom"/>
          </w:tcPr>
          <w:p>
            <w:pPr>
              <w:spacing w:after="0"/>
              <w:rPr>
                <w:sz w:val="1"/>
                <w:szCs w:val="1"/>
                <w:color w:val="auto"/>
              </w:rPr>
            </w:pPr>
          </w:p>
        </w:tc>
      </w:tr>
      <w:tr>
        <w:trPr>
          <w:trHeight w:val="194"/>
        </w:trPr>
        <w:tc>
          <w:tcPr>
            <w:tcW w:w="4840" w:type="dxa"/>
            <w:vAlign w:val="bottom"/>
          </w:tcPr>
          <w:p>
            <w:pPr>
              <w:ind w:left="120"/>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net (loss) income attributable to Bloomin’ Brands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(63,635)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152,098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common shares outstanding</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88,898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88,721</w:t>
            </w:r>
          </w:p>
        </w:tc>
        <w:tc>
          <w:tcPr>
            <w:tcW w:w="0" w:type="dxa"/>
            <w:vAlign w:val="bottom"/>
          </w:tcPr>
          <w:p>
            <w:pPr>
              <w:spacing w:after="0"/>
              <w:rPr>
                <w:sz w:val="1"/>
                <w:szCs w:val="1"/>
                <w:color w:val="auto"/>
              </w:rPr>
            </w:pPr>
          </w:p>
        </w:tc>
      </w:tr>
      <w:tr>
        <w:trPr>
          <w:trHeight w:val="206"/>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dilutive securities: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2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937</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Nonvested restricted stock units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Nonvested performance-based share units</w:t>
            </w:r>
          </w:p>
        </w:tc>
        <w:tc>
          <w:tcPr>
            <w:tcW w:w="2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Convertible senior notes (1)(2)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13,212</w:t>
            </w:r>
          </w:p>
        </w:tc>
        <w:tc>
          <w:tcPr>
            <w:tcW w:w="0" w:type="dxa"/>
            <w:vAlign w:val="bottom"/>
          </w:tcPr>
          <w:p>
            <w:pPr>
              <w:spacing w:after="0"/>
              <w:rPr>
                <w:sz w:val="1"/>
                <w:szCs w:val="1"/>
                <w:color w:val="auto"/>
              </w:rPr>
            </w:pPr>
          </w:p>
        </w:tc>
      </w:tr>
      <w:tr>
        <w:trPr>
          <w:trHeight w:val="212"/>
        </w:trPr>
        <w:tc>
          <w:tcPr>
            <w:tcW w:w="4840" w:type="dxa"/>
            <w:vAlign w:val="bottom"/>
          </w:tcPr>
          <w:p>
            <w:pPr>
              <w:ind w:left="140"/>
              <w:spacing w:after="0"/>
              <w:rPr>
                <w:sz w:val="20"/>
                <w:szCs w:val="20"/>
                <w:color w:val="auto"/>
              </w:rPr>
            </w:pPr>
            <w:r>
              <w:rPr>
                <w:rFonts w:ascii="Arial" w:cs="Arial" w:eastAsia="Arial" w:hAnsi="Arial"/>
                <w:sz w:val="15"/>
                <w:szCs w:val="15"/>
                <w:color w:val="auto"/>
              </w:rPr>
              <w:t>Warrants (2)</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6,879</w:t>
            </w:r>
          </w:p>
        </w:tc>
        <w:tc>
          <w:tcPr>
            <w:tcW w:w="0" w:type="dxa"/>
            <w:vAlign w:val="bottom"/>
          </w:tcPr>
          <w:p>
            <w:pPr>
              <w:spacing w:after="0"/>
              <w:rPr>
                <w:sz w:val="1"/>
                <w:szCs w:val="1"/>
                <w:color w:val="auto"/>
              </w:rPr>
            </w:pPr>
          </w:p>
        </w:tc>
      </w:tr>
      <w:tr>
        <w:trPr>
          <w:trHeight w:val="23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weighted average common shares outstanding</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109,805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102,045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110,223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(loss) earnings per share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01"/>
        </w:trPr>
        <w:tc>
          <w:tcPr>
            <w:tcW w:w="4840" w:type="dxa"/>
            <w:vAlign w:val="bottom"/>
          </w:tcPr>
          <w:p>
            <w:pPr>
              <w:ind w:left="20"/>
              <w:spacing w:after="0"/>
              <w:rPr>
                <w:sz w:val="20"/>
                <w:szCs w:val="20"/>
                <w:color w:val="auto"/>
              </w:rPr>
            </w:pPr>
            <w:r>
              <w:rPr>
                <w:rFonts w:ascii="Arial" w:cs="Arial" w:eastAsia="Arial" w:hAnsi="Arial"/>
                <w:sz w:val="15"/>
                <w:szCs w:val="15"/>
                <w:color w:val="auto"/>
              </w:rPr>
              <w:t>Diluted (loss) earnings per share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(0.72)</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0.75</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0.12</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51"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Adjustment for interest related to the 2025 Notes weighted for the portion of the period prior to the Company’s election under the 2025 Notes indenture to settle the principal portion of the 2025 Notes in cash. Effective with the Company’s election, there will be no further numerator adjustments for interest or denominator adjustments for shares required to settle the principal portion.</w:t>
      </w:r>
    </w:p>
    <w:p>
      <w:pPr>
        <w:jc w:val="both"/>
        <w:ind w:left="620" w:hanging="617"/>
        <w:spacing w:after="0" w:line="259"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During the thirteen weeks ended June 26, 2022, the Company repurchased $125.0 million of the 2025 Notes and retired the corresponding portion of the related warrants. See Note 8 - </w:t>
      </w:r>
      <w:r>
        <w:rPr>
          <w:rFonts w:ascii="Arial" w:cs="Arial" w:eastAsia="Arial" w:hAnsi="Arial"/>
          <w:sz w:val="15"/>
          <w:szCs w:val="15"/>
          <w:i w:val="1"/>
          <w:iCs w:val="1"/>
          <w:color w:val="auto"/>
        </w:rPr>
        <w:t>Convertible Senior Notes</w:t>
      </w:r>
      <w:r>
        <w:rPr>
          <w:rFonts w:ascii="Arial" w:cs="Arial" w:eastAsia="Arial" w:hAnsi="Arial"/>
          <w:sz w:val="15"/>
          <w:szCs w:val="15"/>
          <w:color w:val="auto"/>
        </w:rPr>
        <w:t xml:space="preserve"> for additional details. Due to the Company’s net loss during the thirteen weeks ended June 26, 2022, dilutive excess shares and warrants were excluded from the computation of diluted earnings per share as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Share-based compensation-related weighted average securities outstanding not included in the computation of (loss) earnings per share because their effect was antidilutive were as follows, for the periods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27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48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JUNE 26, 2022</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89"/>
              </w:rPr>
              <w:t>JUNE 27, 2021</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JUNE 26, 2022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2,563</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1,870</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w:t>
            </w:r>
          </w:p>
        </w:tc>
      </w:tr>
      <w:tr>
        <w:trPr>
          <w:trHeight w:val="203"/>
        </w:trPr>
        <w:tc>
          <w:tcPr>
            <w:tcW w:w="4960" w:type="dxa"/>
            <w:vAlign w:val="bottom"/>
          </w:tcPr>
          <w:p>
            <w:pPr>
              <w:ind w:left="20"/>
              <w:spacing w:after="0"/>
              <w:rPr>
                <w:sz w:val="20"/>
                <w:szCs w:val="20"/>
                <w:color w:val="auto"/>
              </w:rPr>
            </w:pPr>
            <w:r>
              <w:rPr>
                <w:rFonts w:ascii="Arial" w:cs="Arial" w:eastAsia="Arial" w:hAnsi="Arial"/>
                <w:sz w:val="15"/>
                <w:szCs w:val="15"/>
                <w:color w:val="auto"/>
              </w:rPr>
              <w:t>Nonvested restricted stock units</w:t>
            </w:r>
          </w:p>
        </w:tc>
        <w:tc>
          <w:tcPr>
            <w:tcW w:w="1480" w:type="dxa"/>
            <w:vAlign w:val="bottom"/>
          </w:tcPr>
          <w:p>
            <w:pPr>
              <w:jc w:val="right"/>
              <w:spacing w:after="0"/>
              <w:rPr>
                <w:sz w:val="20"/>
                <w:szCs w:val="20"/>
                <w:color w:val="auto"/>
              </w:rPr>
            </w:pPr>
            <w:r>
              <w:rPr>
                <w:rFonts w:ascii="Arial" w:cs="Arial" w:eastAsia="Arial" w:hAnsi="Arial"/>
                <w:sz w:val="15"/>
                <w:szCs w:val="15"/>
                <w:color w:val="auto"/>
              </w:rPr>
              <w:t>485</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performance-based share units</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465</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w:t>
            </w:r>
          </w:p>
        </w:tc>
      </w:tr>
    </w:tbl>
    <w:p>
      <w:pPr>
        <w:spacing w:after="0" w:line="293"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Stock-based Compensation Plans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Company recognized stock-based compensation expense as follows for the periods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Performance-based share units (1)</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5,459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8,787</w:t>
            </w: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4,330</w:t>
            </w:r>
          </w:p>
        </w:tc>
      </w:tr>
      <w:tr>
        <w:trPr>
          <w:trHeight w:val="20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1,334</w:t>
            </w:r>
          </w:p>
        </w:tc>
      </w:tr>
      <w:tr>
        <w:trPr>
          <w:trHeight w:val="203"/>
        </w:trPr>
        <w:tc>
          <w:tcPr>
            <w:tcW w:w="484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9,751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9,728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14,451</w:t>
            </w:r>
          </w:p>
        </w:tc>
      </w:tr>
      <w:tr>
        <w:trPr>
          <w:trHeight w:val="21"/>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thirteen and twenty-six weeks ended June 27, 2021 includes a cumulative life-to-date adjustment for PSUs granted in fiscal years 2019, 2020 and 2021 based on revised Company performance projections of performance criteria set forth in the award agreements.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February 2022, the Company granted 0.5 million performance-based share units (“PSUs”) subject to final payout modification by a Relative Total Shareholder Return (“Relative TSR”) modifier.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in the Monte Carlo simulation model and the grant date fair value of PSUs granted were as follows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86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26, 2022</w:t>
            </w:r>
          </w:p>
        </w:tc>
        <w:tc>
          <w:tcPr>
            <w:tcW w:w="300" w:type="dxa"/>
            <w:vAlign w:val="bottom"/>
          </w:tcPr>
          <w:p>
            <w:pPr>
              <w:spacing w:after="0"/>
              <w:rPr>
                <w:sz w:val="16"/>
                <w:szCs w:val="16"/>
                <w:color w:val="auto"/>
              </w:rPr>
            </w:pPr>
          </w:p>
        </w:tc>
        <w:tc>
          <w:tcPr>
            <w:tcW w:w="1560" w:type="dxa"/>
            <w:vAlign w:val="bottom"/>
          </w:tcPr>
          <w:p>
            <w:pPr>
              <w:jc w:val="right"/>
              <w:ind w:right="404"/>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Assumptions:</w:t>
            </w:r>
          </w:p>
        </w:tc>
        <w:tc>
          <w:tcPr>
            <w:tcW w:w="3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3"/>
        </w:trPr>
        <w:tc>
          <w:tcPr>
            <w:tcW w:w="7440" w:type="dxa"/>
            <w:vAlign w:val="bottom"/>
          </w:tcPr>
          <w:p>
            <w:pPr>
              <w:ind w:left="140"/>
              <w:spacing w:after="0"/>
              <w:rPr>
                <w:sz w:val="20"/>
                <w:szCs w:val="20"/>
                <w:color w:val="auto"/>
              </w:rPr>
            </w:pPr>
            <w:r>
              <w:rPr>
                <w:rFonts w:ascii="Arial" w:cs="Arial" w:eastAsia="Arial" w:hAnsi="Arial"/>
                <w:sz w:val="15"/>
                <w:szCs w:val="15"/>
                <w:color w:val="auto"/>
              </w:rPr>
              <w:t>Risk-free interest rate (1)</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1.64 %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0.20 %</w:t>
            </w:r>
          </w:p>
        </w:tc>
      </w:tr>
      <w:tr>
        <w:trPr>
          <w:trHeight w:val="209"/>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 yield (2)</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7440" w:type="dxa"/>
            <w:vAlign w:val="bottom"/>
          </w:tcPr>
          <w:p>
            <w:pPr>
              <w:ind w:left="140"/>
              <w:spacing w:after="0"/>
              <w:rPr>
                <w:sz w:val="20"/>
                <w:szCs w:val="20"/>
                <w:color w:val="auto"/>
              </w:rPr>
            </w:pPr>
            <w:r>
              <w:rPr>
                <w:rFonts w:ascii="Arial" w:cs="Arial" w:eastAsia="Arial" w:hAnsi="Arial"/>
                <w:sz w:val="15"/>
                <w:szCs w:val="15"/>
                <w:color w:val="auto"/>
              </w:rPr>
              <w:t>Volatility (3)</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49.11 %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48.45 %</w:t>
            </w:r>
          </w:p>
        </w:tc>
      </w:tr>
      <w:tr>
        <w:trPr>
          <w:trHeight w:val="248"/>
        </w:trPr>
        <w:tc>
          <w:tcPr>
            <w:tcW w:w="7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Grant date fair value per unit (4)</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26"/>
              <w:spacing w:after="0"/>
              <w:rPr>
                <w:sz w:val="20"/>
                <w:szCs w:val="20"/>
                <w:color w:val="auto"/>
              </w:rPr>
            </w:pPr>
            <w:r>
              <w:rPr>
                <w:rFonts w:ascii="Arial" w:cs="Arial" w:eastAsia="Arial" w:hAnsi="Arial"/>
                <w:sz w:val="15"/>
                <w:szCs w:val="15"/>
                <w:color w:val="auto"/>
              </w:rPr>
              <w:t>26.10</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04"/>
              <w:spacing w:after="0"/>
              <w:rPr>
                <w:sz w:val="20"/>
                <w:szCs w:val="20"/>
                <w:color w:val="auto"/>
              </w:rPr>
            </w:pPr>
            <w:r>
              <w:rPr>
                <w:rFonts w:ascii="Arial" w:cs="Arial" w:eastAsia="Arial" w:hAnsi="Arial"/>
                <w:sz w:val="15"/>
                <w:szCs w:val="15"/>
                <w:color w:val="auto"/>
              </w:rPr>
              <w:t>29.73</w:t>
            </w:r>
          </w:p>
        </w:tc>
      </w:tr>
      <w:tr>
        <w:trPr>
          <w:trHeight w:val="280"/>
        </w:trPr>
        <w:tc>
          <w:tcPr>
            <w:tcW w:w="7440" w:type="dxa"/>
            <w:vAlign w:val="bottom"/>
          </w:tcPr>
          <w:p>
            <w:pPr>
              <w:spacing w:after="0"/>
              <w:rPr>
                <w:sz w:val="20"/>
                <w:szCs w:val="20"/>
                <w:color w:val="auto"/>
              </w:rPr>
            </w:pPr>
            <w:r>
              <w:rPr>
                <w:rFonts w:ascii="Arial" w:cs="Arial" w:eastAsia="Arial" w:hAnsi="Arial"/>
                <w:sz w:val="15"/>
                <w:szCs w:val="15"/>
                <w:color w:val="auto"/>
              </w:rPr>
              <w:t>________________</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ind w:left="620" w:hanging="617"/>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Risk-free interest rate is the U.S. Treasury yield curve in effect as of the grant date for the performance period of the unit.</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Dividend yield is the level of dividends expected to be paid on the Company’s common stock over the expected term.</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the historical volatility of the Company’s stock over the last seven years.</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a premium above the per share value of the Company’s common stock for the Relative TSR modifier as of the grant date of 7.9% and 14.3% for grants during the twenty-six weeks ended June 26, 2022 and June 27, 2021,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unrecognized stock-based compensation expense and the remaining weighted average vesting period as of June 26,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UNRECOGNIZED COMPENSATION</w:t>
            </w:r>
          </w:p>
        </w:tc>
        <w:tc>
          <w:tcPr>
            <w:tcW w:w="250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REMAINING WEIGHTED AVERAGE</w:t>
            </w:r>
          </w:p>
        </w:tc>
        <w:tc>
          <w:tcPr>
            <w:tcW w:w="0" w:type="dxa"/>
            <w:vAlign w:val="bottom"/>
          </w:tcPr>
          <w:p>
            <w:pPr>
              <w:spacing w:after="0"/>
              <w:rPr>
                <w:sz w:val="1"/>
                <w:szCs w:val="1"/>
                <w:color w:val="auto"/>
              </w:rPr>
            </w:pPr>
          </w:p>
        </w:tc>
      </w:tr>
      <w:tr>
        <w:trPr>
          <w:trHeight w:val="129"/>
        </w:trPr>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EXPENSE</w:t>
            </w: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(dollars in thousands)</w:t>
            </w:r>
          </w:p>
        </w:tc>
        <w:tc>
          <w:tcPr>
            <w:tcW w:w="2500" w:type="dxa"/>
            <w:vAlign w:val="bottom"/>
          </w:tcPr>
          <w:p>
            <w:pPr>
              <w:jc w:val="right"/>
              <w:ind w:right="287"/>
              <w:spacing w:after="0"/>
              <w:rPr>
                <w:sz w:val="20"/>
                <w:szCs w:val="20"/>
                <w:color w:val="auto"/>
              </w:rPr>
            </w:pPr>
            <w:r>
              <w:rPr>
                <w:rFonts w:ascii="Arial" w:cs="Arial" w:eastAsia="Arial" w:hAnsi="Arial"/>
                <w:sz w:val="14"/>
                <w:szCs w:val="14"/>
                <w:b w:val="1"/>
                <w:bCs w:val="1"/>
                <w:color w:val="auto"/>
              </w:rPr>
              <w:t>VESTING PERIOD (in years)</w:t>
            </w:r>
          </w:p>
        </w:tc>
        <w:tc>
          <w:tcPr>
            <w:tcW w:w="0" w:type="dxa"/>
            <w:vAlign w:val="bottom"/>
          </w:tcPr>
          <w:p>
            <w:pPr>
              <w:spacing w:after="0"/>
              <w:rPr>
                <w:sz w:val="1"/>
                <w:szCs w:val="1"/>
                <w:color w:val="auto"/>
              </w:rPr>
            </w:pPr>
          </w:p>
        </w:tc>
      </w:tr>
      <w:tr>
        <w:trPr>
          <w:trHeight w:val="20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Performance-based share units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18,045</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1"/>
        </w:trPr>
        <w:tc>
          <w:tcPr>
            <w:tcW w:w="612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Pr>
          <w:p>
            <w:pPr>
              <w:jc w:val="right"/>
              <w:spacing w:after="0"/>
              <w:rPr>
                <w:sz w:val="20"/>
                <w:szCs w:val="20"/>
                <w:color w:val="auto"/>
              </w:rPr>
            </w:pPr>
            <w:r>
              <w:rPr>
                <w:rFonts w:ascii="Arial" w:cs="Arial" w:eastAsia="Arial" w:hAnsi="Arial"/>
                <w:sz w:val="15"/>
                <w:szCs w:val="15"/>
                <w:color w:val="auto"/>
              </w:rPr>
              <w:t>11,342</w:t>
            </w: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6.</w:t>
      </w:r>
      <w:r>
        <w:rPr>
          <w:sz w:val="20"/>
          <w:szCs w:val="20"/>
          <w:color w:val="auto"/>
        </w:rPr>
        <w:tab/>
      </w:r>
      <w:r>
        <w:rPr>
          <w:rFonts w:ascii="Arial" w:cs="Arial" w:eastAsia="Arial" w:hAnsi="Arial"/>
          <w:sz w:val="17"/>
          <w:szCs w:val="17"/>
          <w:color w:val="auto"/>
        </w:rPr>
        <w:t>Other Current Assets,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current assets,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Pr>
          <w:p>
            <w:pPr>
              <w:spacing w:after="0"/>
              <w:rPr>
                <w:sz w:val="17"/>
                <w:szCs w:val="17"/>
                <w:color w:val="auto"/>
              </w:rPr>
            </w:pPr>
          </w:p>
        </w:tc>
        <w:tc>
          <w:tcPr>
            <w:tcW w:w="176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28,000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21,194</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gift cards, net</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15,575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91,248</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vendors, net</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11,793</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franchisees, net</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1,720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1,701</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other, net</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18,353</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Deferred gift card sales commissions</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12,338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17,793</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Company-owned life insurance policies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17,244</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current assets, net</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5,297</w:t>
            </w:r>
          </w:p>
        </w:tc>
      </w:tr>
      <w:tr>
        <w:trPr>
          <w:trHeight w:val="228"/>
        </w:trPr>
        <w:tc>
          <w:tcPr>
            <w:tcW w:w="7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116,997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184,623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340" w:hanging="337"/>
        <w:spacing w:after="0"/>
        <w:tabs>
          <w:tab w:leader="none" w:pos="3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Long-term Debt,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outstanding Long-term debt, net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1111"/>
              <w:spacing w:after="0"/>
              <w:rPr>
                <w:sz w:val="20"/>
                <w:szCs w:val="20"/>
                <w:color w:val="auto"/>
              </w:rPr>
            </w:pPr>
            <w:r>
              <w:rPr>
                <w:rFonts w:ascii="Arial" w:cs="Arial" w:eastAsia="Arial" w:hAnsi="Arial"/>
                <w:sz w:val="14"/>
                <w:szCs w:val="14"/>
                <w:b w:val="1"/>
                <w:bCs w:val="1"/>
                <w:color w:val="auto"/>
              </w:rPr>
              <w:t>JUNE 26, 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891"/>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12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1"/>
                <w:szCs w:val="11"/>
                <w:color w:val="auto"/>
              </w:rPr>
            </w:pPr>
          </w:p>
        </w:tc>
        <w:tc>
          <w:tcPr>
            <w:tcW w:w="1340" w:type="dxa"/>
            <w:vAlign w:val="bottom"/>
          </w:tcPr>
          <w:p>
            <w:pPr>
              <w:jc w:val="right"/>
              <w:ind w:right="164"/>
              <w:spacing w:after="0" w:line="12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7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1"/>
                <w:szCs w:val="11"/>
                <w:color w:val="auto"/>
              </w:rPr>
            </w:pPr>
          </w:p>
        </w:tc>
        <w:tc>
          <w:tcPr>
            <w:tcW w:w="1340" w:type="dxa"/>
            <w:vAlign w:val="bottom"/>
          </w:tcPr>
          <w:p>
            <w:pPr>
              <w:jc w:val="right"/>
              <w:ind w:right="164"/>
              <w:spacing w:after="0" w:line="12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80"/>
              <w:spacing w:after="0"/>
              <w:rPr>
                <w:sz w:val="20"/>
                <w:szCs w:val="20"/>
                <w:color w:val="auto"/>
              </w:rPr>
            </w:pPr>
            <w:r>
              <w:rPr>
                <w:rFonts w:ascii="Arial" w:cs="Arial" w:eastAsia="Arial" w:hAnsi="Arial"/>
                <w:sz w:val="15"/>
                <w:szCs w:val="15"/>
                <w:color w:val="auto"/>
              </w:rPr>
              <w:t>Term loan A (1)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195,000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1.60 %</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Revolving credit facility (2)</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2.74 %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3.75 %</w:t>
            </w:r>
          </w:p>
        </w:tc>
        <w:tc>
          <w:tcPr>
            <w:tcW w:w="0" w:type="dxa"/>
            <w:vAlign w:val="bottom"/>
          </w:tcPr>
          <w:p>
            <w:pPr>
              <w:spacing w:after="0"/>
              <w:rPr>
                <w:sz w:val="1"/>
                <w:szCs w:val="1"/>
                <w:color w:val="auto"/>
              </w:rPr>
            </w:pPr>
          </w:p>
        </w:tc>
      </w:tr>
      <w:tr>
        <w:trPr>
          <w:trHeight w:val="185"/>
        </w:trPr>
        <w:tc>
          <w:tcPr>
            <w:tcW w:w="46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Senior Secured Credit Facility</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400,000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275,000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 Notes (3)</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2029 Notes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5.13 %</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Less: unamortized debt discount and issuance costs (4)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(7,176)</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(14,157)</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finance lease interest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220"/>
              <w:spacing w:after="0"/>
              <w:rPr>
                <w:sz w:val="20"/>
                <w:szCs w:val="20"/>
                <w:color w:val="auto"/>
              </w:rPr>
            </w:pPr>
            <w:r>
              <w:rPr>
                <w:rFonts w:ascii="Arial" w:cs="Arial" w:eastAsia="Arial" w:hAnsi="Arial"/>
                <w:sz w:val="15"/>
                <w:szCs w:val="15"/>
                <w:color w:val="auto"/>
              </w:rPr>
              <w:t>Total debt, net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801,733</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793,065</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 of long-term debt</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(1,511)</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(10,958)</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220"/>
              <w:spacing w:after="0"/>
              <w:rPr>
                <w:sz w:val="20"/>
                <w:szCs w:val="20"/>
                <w:color w:val="auto"/>
              </w:rPr>
            </w:pPr>
            <w:r>
              <w:rPr>
                <w:rFonts w:ascii="Arial" w:cs="Arial" w:eastAsia="Arial" w:hAnsi="Arial"/>
                <w:sz w:val="15"/>
                <w:szCs w:val="15"/>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800,222</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782,107</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Interest rate represents the weighted average interest rate as of December 26, 2021.</w:t>
      </w:r>
    </w:p>
    <w:p>
      <w:pPr>
        <w:spacing w:after="0" w:line="8"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Interest rate represents the weighted average interest rate as of June 26, 2022 and the base rate option elected in anticipation of impending repayment as of December 26, 2021.</w:t>
      </w:r>
    </w:p>
    <w:p>
      <w:pPr>
        <w:ind w:left="620" w:hanging="617"/>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During the thirteen weeks ended June 26, 2022, the Company repurchased $125.0 million of the 2025 Notes. See Note 8 - </w:t>
      </w:r>
      <w:r>
        <w:rPr>
          <w:rFonts w:ascii="Arial" w:cs="Arial" w:eastAsia="Arial" w:hAnsi="Arial"/>
          <w:sz w:val="14"/>
          <w:szCs w:val="14"/>
          <w:i w:val="1"/>
          <w:iCs w:val="1"/>
          <w:color w:val="auto"/>
        </w:rPr>
        <w:t>Convertible Senior Notes</w:t>
      </w:r>
      <w:r>
        <w:rPr>
          <w:rFonts w:ascii="Arial" w:cs="Arial" w:eastAsia="Arial" w:hAnsi="Arial"/>
          <w:sz w:val="14"/>
          <w:szCs w:val="14"/>
          <w:color w:val="auto"/>
        </w:rPr>
        <w:t xml:space="preserve"> for additional details.</w:t>
      </w:r>
    </w:p>
    <w:p>
      <w:pPr>
        <w:spacing w:after="0" w:line="19" w:lineRule="exact"/>
        <w:rPr>
          <w:rFonts w:ascii="Arial" w:cs="Arial" w:eastAsia="Arial" w:hAnsi="Arial"/>
          <w:sz w:val="14"/>
          <w:szCs w:val="14"/>
          <w:color w:val="auto"/>
        </w:rPr>
      </w:pPr>
    </w:p>
    <w:p>
      <w:pPr>
        <w:ind w:left="620" w:hanging="617"/>
        <w:spacing w:after="0" w:line="266"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In connection with the Amended Credit Agreement and the partial repurchase of the 2025 Notes, $5.7 million of debt issuance costs were written off during the thirteen weeks ended June 26, 2022. See Note 8 - </w:t>
      </w:r>
      <w:r>
        <w:rPr>
          <w:rFonts w:ascii="Arial" w:cs="Arial" w:eastAsia="Arial" w:hAnsi="Arial"/>
          <w:sz w:val="15"/>
          <w:szCs w:val="15"/>
          <w:i w:val="1"/>
          <w:iCs w:val="1"/>
          <w:color w:val="auto"/>
        </w:rPr>
        <w:t>Convertible Senior Notes</w:t>
      </w:r>
      <w:r>
        <w:rPr>
          <w:rFonts w:ascii="Arial" w:cs="Arial" w:eastAsia="Arial" w:hAnsi="Arial"/>
          <w:sz w:val="15"/>
          <w:szCs w:val="15"/>
          <w:color w:val="auto"/>
        </w:rPr>
        <w:t xml:space="preserve"> for additional details.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Credit Agreement Amendment - </w:t>
      </w:r>
      <w:r>
        <w:rPr>
          <w:rFonts w:ascii="Arial" w:cs="Arial" w:eastAsia="Arial" w:hAnsi="Arial"/>
          <w:sz w:val="19"/>
          <w:szCs w:val="19"/>
          <w:color w:val="auto"/>
        </w:rPr>
        <w:t>On April 16, 2021, the Company and its wholly-owned subsidiary OSI Restaurant Partners, LLC (“OSI”), as co-borrowers, entered into the Second Amended and Restated Credit Agreement (the “Credit Agreement”), which provides for senior secured financing of up to $1.0 billion consisting of a $200.0 million Term loan A and an $800.0 million revolving credit facility (the “Senior Secured Credit Facility”), maturing on April 16, 2026.</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On April 26, 2022, the Company and OSI entered into the First Amendment to the Second Amended and Restated Credit Agreement and Incremental Amendment (the “Amended Credit Agreement”), which included an increase of the Company’s existing revolving credit facility from $800.0 million to $1.0 billion and a transition from London Inter-Bank Offered Rate (“LIBOR”) to Secured Overnight Financing Rate (“SOFR”) as the benchmark rate for purposes of calculating interest under the Senior Secured Credit Facility. At closing, an incremental $192.5 million was drawn on the revolving credit facility to fully repay the outstanding balance of Term loan A. The total indebtedness of the Company remained unchanged as a result of the Amended Credit Agreement.</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Under the Amended Credit Agreement, the Company may elect an interest rate at each reset period based on the Base Rate or Adjusted Term SOFR, plus an applicable spread. The Base Rate option is the highest of: (i) the prime rate of Wells Fargo Bank, National Association, (ii) the federal funds effective rate plus 0.5 of 1.0% or (iii) the Adjusted Term SOFR with a one-month interest period plus 1.0% (the “Base Rate”). The Adjusted Term SOFR option is the 30, 90 or 180-day SOFR, plus a term SOFR adjustment of 0.10%, subject to a 0% floor (the “Adjusted Term SOFR”). The interest rate spreads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Borders>
              <w:bottom w:val="single" w:sz="8" w:color="CCEEFF"/>
            </w:tcBorders>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BASE RATE ELECTION</w:t>
            </w:r>
          </w:p>
        </w:tc>
        <w:tc>
          <w:tcPr>
            <w:tcW w:w="100" w:type="dxa"/>
            <w:vAlign w:val="bottom"/>
            <w:tcBorders>
              <w:bottom w:val="single" w:sz="8" w:color="CCEEFF"/>
            </w:tcBorders>
          </w:tcPr>
          <w:p>
            <w:pPr>
              <w:spacing w:after="0"/>
              <w:rPr>
                <w:sz w:val="17"/>
                <w:szCs w:val="17"/>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ADJUSTED TERM SOFR ELECTION</w:t>
            </w:r>
          </w:p>
        </w:tc>
      </w:tr>
      <w:tr>
        <w:trPr>
          <w:trHeight w:val="206"/>
        </w:trPr>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Revolving credit facility</w:t>
            </w: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1"/>
              </w:rPr>
              <w:t>50 to 150 basis points over the Base Rate</w:t>
            </w:r>
          </w:p>
        </w:tc>
        <w:tc>
          <w:tcPr>
            <w:tcW w:w="4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150 to 250 basis points over the Adjusted Term SOFR</w:t>
            </w:r>
          </w:p>
        </w:tc>
      </w:tr>
    </w:tbl>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transition to SOFR did not materially impact the interest rate applied to the Company’s borrowings. No other material changes were made to the terms of the Company’s Credit Agreement as a result of the Amended Credit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As of June 26, 2022 and December 26, 2021, the Company was in compliance with its debt covenants.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principal payments of the Company’s total consolidated debt outstanding as of the period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JUNE 26, 2022</w:t>
            </w:r>
          </w:p>
        </w:tc>
      </w:tr>
      <w:tr>
        <w:trPr>
          <w:trHeight w:val="206"/>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1</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1,543</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Year 2</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1,389</w:t>
            </w:r>
          </w:p>
        </w:tc>
      </w:tr>
      <w:tr>
        <w:trPr>
          <w:trHeight w:val="209"/>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3</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105,770</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Year 4</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400,306</w:t>
            </w:r>
          </w:p>
        </w:tc>
      </w:tr>
      <w:tr>
        <w:trPr>
          <w:trHeight w:val="209"/>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5</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r>
      <w:tr>
        <w:trPr>
          <w:trHeight w:val="212"/>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300,044</w:t>
            </w:r>
          </w:p>
        </w:tc>
      </w:tr>
      <w:tr>
        <w:trPr>
          <w:trHeight w:val="206"/>
        </w:trPr>
        <w:tc>
          <w:tcPr>
            <w:tcW w:w="9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payments</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809,228</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Less: unamortized debt discount and issuance costs</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(7,176)</w:t>
            </w:r>
          </w:p>
        </w:tc>
      </w:tr>
      <w:tr>
        <w:trPr>
          <w:trHeight w:val="215"/>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finance lease interest</w:t>
            </w:r>
          </w:p>
        </w:tc>
        <w:tc>
          <w:tcPr>
            <w:tcW w:w="3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r>
      <w:tr>
        <w:trPr>
          <w:trHeight w:val="206"/>
        </w:trPr>
        <w:tc>
          <w:tcPr>
            <w:tcW w:w="9320" w:type="dxa"/>
            <w:vAlign w:val="bottom"/>
          </w:tcPr>
          <w:p>
            <w:pPr>
              <w:ind w:left="120"/>
              <w:spacing w:after="0"/>
              <w:rPr>
                <w:sz w:val="20"/>
                <w:szCs w:val="20"/>
                <w:color w:val="auto"/>
              </w:rPr>
            </w:pPr>
            <w:r>
              <w:rPr>
                <w:rFonts w:ascii="Arial" w:cs="Arial" w:eastAsia="Arial" w:hAnsi="Arial"/>
                <w:sz w:val="15"/>
                <w:szCs w:val="15"/>
                <w:color w:val="auto"/>
              </w:rPr>
              <w:t>Total principal payments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801,733</w:t>
            </w:r>
          </w:p>
        </w:tc>
      </w:tr>
      <w:tr>
        <w:trPr>
          <w:trHeight w:val="20"/>
        </w:trPr>
        <w:tc>
          <w:tcPr>
            <w:tcW w:w="9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40" w:hanging="337"/>
        <w:spacing w:after="0"/>
        <w:tabs>
          <w:tab w:leader="none" w:pos="3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Convertible Senior Notes</w:t>
      </w:r>
    </w:p>
    <w:p>
      <w:pPr>
        <w:spacing w:after="0" w:line="233"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2025 Notes </w:t>
      </w:r>
      <w:r>
        <w:rPr>
          <w:rFonts w:ascii="Arial" w:cs="Arial" w:eastAsia="Arial" w:hAnsi="Arial"/>
          <w:sz w:val="19"/>
          <w:szCs w:val="19"/>
          <w:color w:val="auto"/>
        </w:rPr>
        <w:t>- On May 25, 2022, the Company entered into exchange agreements (the “Exchange Agreements”) with certain holders (the</w:t>
      </w:r>
      <w:r>
        <w:rPr>
          <w:rFonts w:ascii="Arial" w:cs="Arial" w:eastAsia="Arial" w:hAnsi="Arial"/>
          <w:sz w:val="19"/>
          <w:szCs w:val="19"/>
          <w:i w:val="1"/>
          <w:iCs w:val="1"/>
          <w:color w:val="auto"/>
        </w:rPr>
        <w:t xml:space="preserve"> </w:t>
      </w:r>
      <w:r>
        <w:rPr>
          <w:rFonts w:ascii="Arial" w:cs="Arial" w:eastAsia="Arial" w:hAnsi="Arial"/>
          <w:sz w:val="19"/>
          <w:szCs w:val="19"/>
          <w:color w:val="auto"/>
        </w:rPr>
        <w:t>“Noteholders”) of the 2025 Notes. The Noteholders agreed to exchange $125.0 million 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aggregate principal amount of the Company’s outstanding 2025 Notes for $196.9 million in cash, plus accrued interest, and approximately 2.3 million shares of the Company’s common stock (the “2025 Notes Partial Repurchase”). Under the Exchange Agreements, the total amount of cash paid and number of shares of common stock issued by the Company were based upon the volume-weighted average price per share of the Company’s common stock during a ten-trading day averaging period ending on June 14, 2022. Upon entering into the Exchange Agreements, the conversion feature related to the 2025 Notes repurchased, as well as the settlements of the related convertible senior note hedges and warrants, were subject to derivative accounting. In connection with the 2025 Notes Partial Repurchase, the Company recognized a loss on extinguishment of debt of $104.7 million and a loss on fair value adjustment of derivatives, net of $17.7 million, and recorded a $48.5 million increase to Additional paid-in capital during the thirteen weeks ended June 26, 2022.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initial conversion rate applicable to the 2025 Notes was 84.122 shares of common stock per $1,000 principal amount of 2025 Notes, or a total of approximately 19.348 million shares for the total $230.0 million principal amount. This initial conversion rate was equivalent to an initial conversion price of approximately $11.89 per share. In connection with dividends paid during the twenty-six weeks ended June 26, 2022, the conversion rate for the remaining 2025 Notes decreased to approximately $11.74 per share, which represents 85.185 shares of common stock per $1,000 principal amount of the 2025 Notes, or a total of approximately 8.944 million shares.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includes the outstanding principal amount and carrying value of the 2025 Notes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7"/>
                <w:szCs w:val="17"/>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26, 2022</w:t>
            </w:r>
          </w:p>
        </w:tc>
        <w:tc>
          <w:tcPr>
            <w:tcW w:w="240" w:type="dxa"/>
            <w:vAlign w:val="bottom"/>
          </w:tcPr>
          <w:p>
            <w:pPr>
              <w:spacing w:after="0"/>
              <w:rPr>
                <w:sz w:val="17"/>
                <w:szCs w:val="17"/>
                <w:color w:val="auto"/>
              </w:rPr>
            </w:pPr>
          </w:p>
        </w:tc>
        <w:tc>
          <w:tcPr>
            <w:tcW w:w="1840" w:type="dxa"/>
            <w:vAlign w:val="bottom"/>
          </w:tcPr>
          <w:p>
            <w:pPr>
              <w:jc w:val="right"/>
              <w:ind w:right="305"/>
              <w:spacing w:after="0"/>
              <w:rPr>
                <w:sz w:val="20"/>
                <w:szCs w:val="20"/>
                <w:color w:val="auto"/>
              </w:rPr>
            </w:pPr>
            <w:r>
              <w:rPr>
                <w:rFonts w:ascii="Arial" w:cs="Arial" w:eastAsia="Arial" w:hAnsi="Arial"/>
                <w:sz w:val="14"/>
                <w:szCs w:val="14"/>
                <w:b w:val="1"/>
                <w:bCs w:val="1"/>
                <w:color w:val="auto"/>
              </w:rPr>
              <w:t>DECEMBER 26, 2021</w:t>
            </w:r>
          </w:p>
        </w:tc>
      </w:tr>
      <w:tr>
        <w:trPr>
          <w:trHeight w:val="19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36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r>
      <w:tr>
        <w:trPr>
          <w:trHeight w:val="203"/>
        </w:trPr>
        <w:tc>
          <w:tcPr>
            <w:tcW w:w="6960" w:type="dxa"/>
            <w:vAlign w:val="bottom"/>
          </w:tcPr>
          <w:p>
            <w:pPr>
              <w:ind w:left="140"/>
              <w:spacing w:after="0"/>
              <w:rPr>
                <w:sz w:val="20"/>
                <w:szCs w:val="20"/>
                <w:color w:val="auto"/>
              </w:rPr>
            </w:pPr>
            <w:r>
              <w:rPr>
                <w:rFonts w:ascii="Arial" w:cs="Arial" w:eastAsia="Arial" w:hAnsi="Arial"/>
                <w:sz w:val="15"/>
                <w:szCs w:val="15"/>
                <w:color w:val="auto"/>
              </w:rPr>
              <w:t>Principal</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5"/>
              <w:spacing w:after="0"/>
              <w:rPr>
                <w:sz w:val="20"/>
                <w:szCs w:val="20"/>
                <w:color w:val="auto"/>
              </w:rPr>
            </w:pPr>
            <w:r>
              <w:rPr>
                <w:rFonts w:ascii="Arial" w:cs="Arial" w:eastAsia="Arial" w:hAnsi="Arial"/>
                <w:sz w:val="15"/>
                <w:szCs w:val="15"/>
                <w:color w:val="auto"/>
              </w:rPr>
              <w:t>105,000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230,000</w:t>
            </w:r>
          </w:p>
        </w:tc>
      </w:tr>
      <w:tr>
        <w:trPr>
          <w:trHeight w:val="215"/>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Less: debt issuance costs (1)</w:t>
            </w:r>
          </w:p>
        </w:tc>
        <w:tc>
          <w:tcPr>
            <w:tcW w:w="3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(5,898)</w:t>
            </w:r>
          </w:p>
        </w:tc>
      </w:tr>
      <w:tr>
        <w:trPr>
          <w:trHeight w:val="206"/>
        </w:trPr>
        <w:tc>
          <w:tcPr>
            <w:tcW w:w="6960" w:type="dxa"/>
            <w:vAlign w:val="bottom"/>
          </w:tcPr>
          <w:p>
            <w:pPr>
              <w:ind w:left="220"/>
              <w:spacing w:after="0"/>
              <w:rPr>
                <w:sz w:val="20"/>
                <w:szCs w:val="20"/>
                <w:color w:val="auto"/>
              </w:rPr>
            </w:pPr>
            <w:r>
              <w:rPr>
                <w:rFonts w:ascii="Arial" w:cs="Arial" w:eastAsia="Arial" w:hAnsi="Arial"/>
                <w:sz w:val="15"/>
                <w:szCs w:val="15"/>
                <w:color w:val="auto"/>
              </w:rPr>
              <w:t>Net carrying amount</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102,679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224,102</w:t>
            </w:r>
          </w:p>
        </w:tc>
      </w:tr>
      <w:tr>
        <w:trPr>
          <w:trHeight w:val="20"/>
        </w:trPr>
        <w:tc>
          <w:tcPr>
            <w:tcW w:w="6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Debt issuance costs are amortized to Interest expense, net using the effective interest method over the 2025 Notes’ expected life. During the thirteen weeks ended June 26, 2022, the Company wrote off $2.8 million of debt issuance costs as a result of the 2025 Notes Partial Repurchase.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252525"/>
        </w:rPr>
        <w:t xml:space="preserve">Following is a summary of interest expense for the </w:t>
      </w:r>
      <w:r>
        <w:rPr>
          <w:rFonts w:ascii="Arial" w:cs="Arial" w:eastAsia="Arial" w:hAnsi="Arial"/>
          <w:sz w:val="19"/>
          <w:szCs w:val="19"/>
          <w:color w:val="000000"/>
        </w:rPr>
        <w:t>2025 Notes, by component,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820" w:type="dxa"/>
            <w:vAlign w:val="bottom"/>
            <w:gridSpan w:val="4"/>
          </w:tcPr>
          <w:p>
            <w:pPr>
              <w:jc w:val="right"/>
              <w:ind w:right="465"/>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Coupon interest</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5,472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5,750</w:t>
            </w:r>
          </w:p>
        </w:tc>
      </w:tr>
      <w:tr>
        <w:trPr>
          <w:trHeight w:val="212"/>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Debt issuance cost amortization</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w:t>
            </w:r>
          </w:p>
        </w:tc>
      </w:tr>
      <w:tr>
        <w:trPr>
          <w:trHeight w:val="231"/>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interest expense (1)</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The effective rate of the 2025 Notes over their expected life is </w:t>
      </w:r>
      <w:r>
        <w:rPr>
          <w:rFonts w:ascii="Arial" w:cs="Arial" w:eastAsia="Arial" w:hAnsi="Arial"/>
          <w:sz w:val="15"/>
          <w:szCs w:val="15"/>
          <w:color w:val="252525"/>
        </w:rPr>
        <w:t>5.85%.</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Based on the daily closing prices of the Company’s stock during the quarter ended June 26, 2022, the remaining holders of the 2025 Notes are eligible to convert their 2025 Notes during the third quarter of 2022.</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Convertible Note Hedge and Warrant Transactions </w:t>
      </w:r>
      <w:r>
        <w:rPr>
          <w:rFonts w:ascii="Arial" w:cs="Arial" w:eastAsia="Arial" w:hAnsi="Arial"/>
          <w:sz w:val="17"/>
          <w:szCs w:val="17"/>
          <w:color w:val="252525"/>
        </w:rPr>
        <w:t>-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2025 Notes Partial Repurchase, the Company entered into partial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unwind agreements with certain financial institutions relating to a portion of the convertible note hedge transactions (the “Note Hedge Early Termination Agreements”) and a portion of the </w:t>
      </w:r>
      <w:r>
        <w:rPr>
          <w:rFonts w:ascii="Arial" w:cs="Arial" w:eastAsia="Arial" w:hAnsi="Arial"/>
          <w:sz w:val="17"/>
          <w:szCs w:val="17"/>
          <w:color w:val="252525"/>
        </w:rPr>
        <w:t>Warrant Transactions</w:t>
      </w:r>
      <w:r>
        <w:rPr>
          <w:rFonts w:ascii="Arial" w:cs="Arial" w:eastAsia="Arial" w:hAnsi="Arial"/>
          <w:sz w:val="17"/>
          <w:szCs w:val="17"/>
          <w:color w:val="auto"/>
        </w:rPr>
        <w:t xml:space="preserve"> (the “Warrant Early Termination Agreements”) that were previously entered into by the Company in connection with the issuance of the 2025 Notes. Upon settlement, the Company received $131.9 million for the Note Hedge Early Termination Agreements and paid $114.8 million for the Warrant Early Termination Agreements during the thirteen weeks ended June 26, 2022. In connection with the Note Hedge Early Termination Agreements and the Warrant Early Termination Agreements the Company recorded a $113.0 million increase and a $97.6 million decrease, respectively, to Additional paid-in capital during the thirteen weeks ended June 26,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252525"/>
        </w:rPr>
        <w:t xml:space="preserve">The remaining Warrant Transactions have a dilutive effect on the Company’s common stock to the extent that the price of its common stock exceeds the strike price of the Warrant Transactions. The strike price was initially $16.64 per share and is subject to certain adjustments under the terms of the Warrant Transactions. In connection with </w:t>
      </w:r>
      <w:r>
        <w:rPr>
          <w:rFonts w:ascii="Arial" w:cs="Arial" w:eastAsia="Arial" w:hAnsi="Arial"/>
          <w:sz w:val="19"/>
          <w:szCs w:val="19"/>
          <w:color w:val="000000"/>
        </w:rPr>
        <w:t>dividends paid during the twenty-six weeks ended June 26, 2022, the strike price for the remaining</w:t>
      </w:r>
      <w:r>
        <w:rPr>
          <w:rFonts w:ascii="Arial" w:cs="Arial" w:eastAsia="Arial" w:hAnsi="Arial"/>
          <w:sz w:val="19"/>
          <w:szCs w:val="19"/>
          <w:color w:val="252525"/>
        </w:rPr>
        <w:t xml:space="preserve"> Warrant Transactions </w:t>
      </w:r>
      <w:r>
        <w:rPr>
          <w:rFonts w:ascii="Arial" w:cs="Arial" w:eastAsia="Arial" w:hAnsi="Arial"/>
          <w:sz w:val="19"/>
          <w:szCs w:val="19"/>
          <w:color w:val="000000"/>
        </w:rPr>
        <w:t>decreased to $16.43.</w:t>
      </w:r>
    </w:p>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9.</w:t>
      </w:r>
      <w:r>
        <w:rPr>
          <w:sz w:val="20"/>
          <w:szCs w:val="20"/>
          <w:color w:val="auto"/>
        </w:rPr>
        <w:tab/>
      </w:r>
      <w:r>
        <w:rPr>
          <w:rFonts w:ascii="Arial" w:cs="Arial" w:eastAsia="Arial" w:hAnsi="Arial"/>
          <w:sz w:val="17"/>
          <w:szCs w:val="17"/>
          <w:color w:val="auto"/>
        </w:rPr>
        <w:t>Other Long-term Liabilities,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long-term liabilities,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Pr>
          <w:p>
            <w:pPr>
              <w:spacing w:after="0"/>
              <w:rPr>
                <w:sz w:val="17"/>
                <w:szCs w:val="17"/>
                <w:color w:val="auto"/>
              </w:rPr>
            </w:pPr>
          </w:p>
        </w:tc>
        <w:tc>
          <w:tcPr>
            <w:tcW w:w="1720" w:type="dxa"/>
            <w:vAlign w:val="bottom"/>
          </w:tcPr>
          <w:p>
            <w:pPr>
              <w:jc w:val="right"/>
              <w:ind w:right="224"/>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insurance liability</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29,281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31,517</w:t>
            </w:r>
          </w:p>
        </w:tc>
      </w:tr>
      <w:tr>
        <w:trPr>
          <w:trHeight w:val="203"/>
        </w:trPr>
        <w:tc>
          <w:tcPr>
            <w:tcW w:w="7300" w:type="dxa"/>
            <w:vAlign w:val="bottom"/>
          </w:tcPr>
          <w:p>
            <w:pPr>
              <w:ind w:left="20"/>
              <w:spacing w:after="0"/>
              <w:rPr>
                <w:sz w:val="20"/>
                <w:szCs w:val="20"/>
                <w:color w:val="auto"/>
              </w:rPr>
            </w:pPr>
            <w:r>
              <w:rPr>
                <w:rFonts w:ascii="Arial" w:cs="Arial" w:eastAsia="Arial" w:hAnsi="Arial"/>
                <w:sz w:val="15"/>
                <w:szCs w:val="15"/>
                <w:color w:val="auto"/>
              </w:rPr>
              <w:t>Deferred payroll tax liabilities (1)</w:t>
            </w:r>
          </w:p>
        </w:tc>
        <w:tc>
          <w:tcPr>
            <w:tcW w:w="300" w:type="dxa"/>
            <w:vAlign w:val="bottom"/>
          </w:tcPr>
          <w:p>
            <w:pPr>
              <w:spacing w:after="0"/>
              <w:rPr>
                <w:sz w:val="17"/>
                <w:szCs w:val="17"/>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27,302</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Executive management deferred compensation obligations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23,543</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42,880</w:t>
            </w:r>
          </w:p>
        </w:tc>
      </w:tr>
      <w:tr>
        <w:trPr>
          <w:trHeight w:val="228"/>
        </w:trPr>
        <w:tc>
          <w:tcPr>
            <w:tcW w:w="7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88,490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125,242</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20" w:lineRule="exact"/>
        <w:rPr>
          <w:sz w:val="20"/>
          <w:szCs w:val="20"/>
          <w:color w:val="auto"/>
        </w:rPr>
      </w:pPr>
    </w:p>
    <w:p>
      <w:pPr>
        <w:ind w:left="620" w:hanging="617"/>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During the twenty-six weeks ended June 26, 2022, the Company reclassified $27.3 million of payroll taxes deferred under the CARES Act to current.</w:t>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7"/>
          <w:szCs w:val="17"/>
          <w:color w:val="auto"/>
        </w:rPr>
        <w:t>Stockholders’ Equity</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Share Repurchases </w:t>
      </w:r>
      <w:r>
        <w:rPr>
          <w:rFonts w:ascii="Arial" w:cs="Arial" w:eastAsia="Arial" w:hAnsi="Arial"/>
          <w:sz w:val="17"/>
          <w:szCs w:val="17"/>
          <w:color w:val="auto"/>
        </w:rPr>
        <w:t>- On February 8, 2022, the Company’s Board of Directors (the “Board”) approved a share repurchase program (the “2022 Share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Program”) under which the Company was authorized to repurchase up to $125.0 million of its outstanding common stock. The 2022 Share Repurchase Program will expire on August 9, 2023. As of June 26, 2022, $77.5 million remained available for repurchase under the 2022 Share Repurchase Program. Following is a summary of the shares repurchased under the 2022 Share Repurchase Program during fiscal year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AVERAGE</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4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REPURCHASE PRICE</w:t>
            </w:r>
          </w:p>
        </w:tc>
        <w:tc>
          <w:tcPr>
            <w:tcW w:w="300" w:type="dxa"/>
            <w:vAlign w:val="bottom"/>
          </w:tcPr>
          <w:p>
            <w:pPr>
              <w:spacing w:after="0"/>
              <w:rPr>
                <w:sz w:val="11"/>
                <w:szCs w:val="11"/>
                <w:color w:val="auto"/>
              </w:rPr>
            </w:pPr>
          </w:p>
        </w:tc>
        <w:tc>
          <w:tcPr>
            <w:tcW w:w="134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5"/>
              </w:rPr>
              <w:t>PER SHARE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First fiscal quarter</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11,702</w:t>
            </w:r>
          </w:p>
        </w:tc>
        <w:tc>
          <w:tcPr>
            <w:tcW w:w="0" w:type="dxa"/>
            <w:vAlign w:val="bottom"/>
          </w:tcPr>
          <w:p>
            <w:pPr>
              <w:spacing w:after="0"/>
              <w:rPr>
                <w:sz w:val="1"/>
                <w:szCs w:val="1"/>
                <w:color w:val="auto"/>
              </w:rPr>
            </w:pPr>
          </w:p>
        </w:tc>
      </w:tr>
      <w:tr>
        <w:trPr>
          <w:trHeight w:val="212"/>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Second fiscal quarter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1,761</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20.30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35,749</w:t>
            </w:r>
          </w:p>
        </w:tc>
        <w:tc>
          <w:tcPr>
            <w:tcW w:w="0" w:type="dxa"/>
            <w:vAlign w:val="bottom"/>
          </w:tcPr>
          <w:p>
            <w:pPr>
              <w:spacing w:after="0"/>
              <w:rPr>
                <w:sz w:val="1"/>
                <w:szCs w:val="1"/>
                <w:color w:val="auto"/>
              </w:rPr>
            </w:pPr>
          </w:p>
        </w:tc>
      </w:tr>
      <w:tr>
        <w:trPr>
          <w:trHeight w:val="231"/>
        </w:trPr>
        <w:tc>
          <w:tcPr>
            <w:tcW w:w="6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common stock repurchases (1)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47,451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Subsequent to June 26, 2022, the Company repurchased 854 thousand shares of its common stock for $14.9 million under a Rule 10b5-1 plan through July 28, 2022.</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Dividends - </w:t>
      </w:r>
      <w:r>
        <w:rPr>
          <w:rFonts w:ascii="Arial" w:cs="Arial" w:eastAsia="Arial" w:hAnsi="Arial"/>
          <w:sz w:val="19"/>
          <w:szCs w:val="19"/>
          <w:color w:val="auto"/>
        </w:rPr>
        <w:t>The Company declared and paid dividends per share during fiscal year 2022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DIVIDENDS PER</w:t>
            </w:r>
          </w:p>
        </w:tc>
        <w:tc>
          <w:tcPr>
            <w:tcW w:w="260" w:type="dxa"/>
            <w:vAlign w:val="bottom"/>
          </w:tcPr>
          <w:p>
            <w:pPr>
              <w:spacing w:after="0"/>
              <w:rPr>
                <w:sz w:val="14"/>
                <w:szCs w:val="14"/>
                <w:color w:val="auto"/>
              </w:rPr>
            </w:pPr>
          </w:p>
        </w:tc>
        <w:tc>
          <w:tcPr>
            <w:tcW w:w="1200" w:type="dxa"/>
            <w:vAlign w:val="bottom"/>
            <w:vMerge w:val="restart"/>
          </w:tcPr>
          <w:p>
            <w:pPr>
              <w:jc w:val="right"/>
              <w:ind w:right="34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6"/>
        </w:trPr>
        <w:tc>
          <w:tcPr>
            <w:tcW w:w="8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SHARE</w:t>
            </w: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First fiscal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12,559</w:t>
            </w:r>
          </w:p>
        </w:tc>
        <w:tc>
          <w:tcPr>
            <w:tcW w:w="0" w:type="dxa"/>
            <w:vAlign w:val="bottom"/>
          </w:tcPr>
          <w:p>
            <w:pPr>
              <w:spacing w:after="0"/>
              <w:rPr>
                <w:sz w:val="1"/>
                <w:szCs w:val="1"/>
                <w:color w:val="auto"/>
              </w:rPr>
            </w:pPr>
          </w:p>
        </w:tc>
      </w:tr>
      <w:tr>
        <w:trPr>
          <w:trHeight w:val="19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Second fiscal quarter</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12,418</w:t>
            </w:r>
          </w:p>
        </w:tc>
        <w:tc>
          <w:tcPr>
            <w:tcW w:w="0" w:type="dxa"/>
            <w:vAlign w:val="bottom"/>
          </w:tcPr>
          <w:p>
            <w:pPr>
              <w:spacing w:after="0"/>
              <w:rPr>
                <w:sz w:val="1"/>
                <w:szCs w:val="1"/>
                <w:color w:val="auto"/>
              </w:rPr>
            </w:pPr>
          </w:p>
        </w:tc>
      </w:tr>
      <w:tr>
        <w:trPr>
          <w:trHeight w:val="231"/>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cash dividends declared and paid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24,977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July 2022, the Board declared a quarterly cash dividend of $0.14 per share, payable on August 24, 2022 to shareholders of record at the close of business on August 10, 2022.</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Accumulated Other Comprehensive Loss (“AOCL”) - </w:t>
      </w:r>
      <w:r>
        <w:rPr>
          <w:rFonts w:ascii="Arial" w:cs="Arial" w:eastAsia="Arial" w:hAnsi="Arial"/>
          <w:sz w:val="19"/>
          <w:szCs w:val="19"/>
          <w:color w:val="auto"/>
        </w:rPr>
        <w:t>Following are the components of AOCL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7"/>
                <w:szCs w:val="17"/>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Pr>
          <w:p>
            <w:pPr>
              <w:spacing w:after="0"/>
              <w:rPr>
                <w:sz w:val="17"/>
                <w:szCs w:val="17"/>
                <w:color w:val="auto"/>
              </w:rPr>
            </w:pPr>
          </w:p>
        </w:tc>
        <w:tc>
          <w:tcPr>
            <w:tcW w:w="1760" w:type="dxa"/>
            <w:vAlign w:val="bottom"/>
          </w:tcPr>
          <w:p>
            <w:pPr>
              <w:jc w:val="right"/>
              <w:ind w:right="245"/>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(172,257)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(195,480)</w:t>
            </w:r>
          </w:p>
        </w:tc>
      </w:tr>
      <w:tr>
        <w:trPr>
          <w:trHeight w:val="21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Unrealized loss on derivatives, net of tax</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(10,509)</w:t>
            </w:r>
          </w:p>
        </w:tc>
      </w:tr>
      <w:tr>
        <w:trPr>
          <w:trHeight w:val="231"/>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loss</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(176,054)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(205,989)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Following are the components of Other comprehensive income attributable to Bloomin’ Brands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820" w:type="dxa"/>
            <w:vAlign w:val="bottom"/>
            <w:gridSpan w:val="4"/>
          </w:tcPr>
          <w:p>
            <w:pPr>
              <w:jc w:val="right"/>
              <w:ind w:right="464"/>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8"/>
              </w:rPr>
              <w:t>JUNE 27, 2021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20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11,940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23,223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3,440</w:t>
            </w:r>
          </w:p>
        </w:tc>
        <w:tc>
          <w:tcPr>
            <w:tcW w:w="0" w:type="dxa"/>
            <w:vAlign w:val="bottom"/>
          </w:tcPr>
          <w:p>
            <w:pPr>
              <w:spacing w:after="0"/>
              <w:rPr>
                <w:sz w:val="1"/>
                <w:szCs w:val="1"/>
                <w:color w:val="auto"/>
              </w:rPr>
            </w:pPr>
          </w:p>
        </w:tc>
      </w:tr>
      <w:tr>
        <w:trPr>
          <w:trHeight w:val="245"/>
        </w:trPr>
        <w:tc>
          <w:tcPr>
            <w:tcW w:w="5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(loss) gain on derivatives, net of tax</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60"/>
        </w:trPr>
        <w:tc>
          <w:tcPr>
            <w:tcW w:w="5120" w:type="dxa"/>
            <w:vAlign w:val="bottom"/>
          </w:tcPr>
          <w:p>
            <w:pPr>
              <w:ind w:left="20"/>
              <w:spacing w:after="0" w:line="160" w:lineRule="exact"/>
              <w:rPr>
                <w:sz w:val="20"/>
                <w:szCs w:val="20"/>
                <w:color w:val="auto"/>
              </w:rPr>
            </w:pPr>
            <w:r>
              <w:rPr>
                <w:rFonts w:ascii="Arial" w:cs="Arial" w:eastAsia="Arial" w:hAnsi="Arial"/>
                <w:sz w:val="15"/>
                <w:szCs w:val="15"/>
                <w:color w:val="auto"/>
              </w:rPr>
              <w:t>Reclassification of adjustments for loss on derivatives included in Net (loss)</w:t>
            </w:r>
          </w:p>
        </w:tc>
        <w:tc>
          <w:tcPr>
            <w:tcW w:w="2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1,514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954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4,517</w:t>
            </w:r>
          </w:p>
        </w:tc>
        <w:tc>
          <w:tcPr>
            <w:tcW w:w="0" w:type="dxa"/>
            <w:vAlign w:val="bottom"/>
          </w:tcPr>
          <w:p>
            <w:pPr>
              <w:spacing w:after="0"/>
              <w:rPr>
                <w:sz w:val="1"/>
                <w:szCs w:val="1"/>
                <w:color w:val="auto"/>
              </w:rPr>
            </w:pPr>
          </w:p>
        </w:tc>
      </w:tr>
      <w:tr>
        <w:trPr>
          <w:trHeight w:val="199"/>
        </w:trPr>
        <w:tc>
          <w:tcPr>
            <w:tcW w:w="5120" w:type="dxa"/>
            <w:vAlign w:val="bottom"/>
          </w:tcPr>
          <w:p>
            <w:pPr>
              <w:ind w:left="20"/>
              <w:spacing w:after="0"/>
              <w:rPr>
                <w:sz w:val="20"/>
                <w:szCs w:val="20"/>
                <w:color w:val="auto"/>
              </w:rPr>
            </w:pPr>
            <w:r>
              <w:rPr>
                <w:rFonts w:ascii="Arial" w:cs="Arial" w:eastAsia="Arial" w:hAnsi="Arial"/>
                <w:sz w:val="15"/>
                <w:szCs w:val="15"/>
                <w:color w:val="auto"/>
              </w:rPr>
              <w:t>income, net of tax (1)</w:t>
            </w: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Impact of terminated interest rate swaps included in Net (loss) income, net of tax</w:t>
            </w: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1,471</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gain on derivatives, net of tax</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2,857</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5,818</w:t>
            </w: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comprehensive income attributable to Bloomin’ Brands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12,872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9,258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See Note 11 - </w:t>
      </w:r>
      <w:r>
        <w:rPr>
          <w:rFonts w:ascii="Arial" w:cs="Arial" w:eastAsia="Arial" w:hAnsi="Arial"/>
          <w:sz w:val="15"/>
          <w:szCs w:val="15"/>
          <w:i w:val="1"/>
          <w:iCs w:val="1"/>
          <w:color w:val="auto"/>
        </w:rPr>
        <w:t>Derivative Instruments and Hedging Activities</w:t>
      </w:r>
      <w:r>
        <w:rPr>
          <w:rFonts w:ascii="Arial" w:cs="Arial" w:eastAsia="Arial" w:hAnsi="Arial"/>
          <w:sz w:val="15"/>
          <w:szCs w:val="15"/>
          <w:color w:val="auto"/>
        </w:rPr>
        <w:t xml:space="preserve"> for the tax impact of reclassifications and the terminated swaps.</w:t>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color w:val="auto"/>
        </w:rPr>
        <w:t>Derivative Instruments and Hedging Activities</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Cash Flow Hedges of Interest Rate Risk - </w:t>
      </w:r>
      <w:r>
        <w:rPr>
          <w:rFonts w:ascii="Arial" w:cs="Arial" w:eastAsia="Arial" w:hAnsi="Arial"/>
          <w:sz w:val="18"/>
          <w:szCs w:val="18"/>
          <w:color w:val="auto"/>
        </w:rPr>
        <w:t>In October 2018, the Company entered into variable-to-fixed interest rate swap agreements with 12</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hedge a portion of the cash flows of the Company’s variable rate debt. The swap agreements had an aggregate notional amount of $550.0 million and mature on November 30, 2022. Under the terms of the swap agreements, the Company paid a weighted average fixed rate of 3.04% on the notional amount and received payments from the counterparty based on one-month LIBOR. During 2021, the Company terminated its variable-to-fixed interest rate swap agreements with certain counterparties and as a result, as of December 26, 2021 had interest rate swap agreements remaining with two counterparties for an aggregate notional amount of $125.0 million.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 connection with the Amended Credit Agreement, on April 26, 2022 the Company terminated its remaining variable-to-fixed interest rate swap agreements. Following these terminations, the unrealized losses related to the terminated swap agreements included in Accumulated other comprehensive loss will be amortized to Interest expense, net during 2022.</w:t>
      </w:r>
    </w:p>
    <w:p>
      <w:pPr>
        <w:spacing w:after="0" w:line="20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Company’s swap agreements were designated and qualified as cash flow hedges, recognized on its Consolidated Balance Sheet at fair value as of December 26, 2021 and classified based on the instruments’ maturity dates. As of June 26, 2022, the Company estimated $5.2 million of interest expense from the terminated swap agreements will be reclassified to Interest expense, net through the November 2022 maturity date of the swaps.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fair value and classification of the Company’s swap agreements, as of the period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26, 2021</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7"/>
              </w:rPr>
              <w:t>CONSOLIDATED BALANCE SHEET</w:t>
            </w:r>
          </w:p>
        </w:tc>
        <w:tc>
          <w:tcPr>
            <w:tcW w:w="0" w:type="dxa"/>
            <w:vAlign w:val="bottom"/>
          </w:tcPr>
          <w:p>
            <w:pPr>
              <w:spacing w:after="0"/>
              <w:rPr>
                <w:sz w:val="1"/>
                <w:szCs w:val="1"/>
                <w:color w:val="auto"/>
              </w:rPr>
            </w:pPr>
          </w:p>
        </w:tc>
      </w:tr>
      <w:tr>
        <w:trPr>
          <w:trHeight w:val="173"/>
        </w:trPr>
        <w:tc>
          <w:tcPr>
            <w:tcW w:w="6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8"/>
              </w:rPr>
              <w:t>CLASSIFICATION</w:t>
            </w:r>
          </w:p>
        </w:tc>
        <w:tc>
          <w:tcPr>
            <w:tcW w:w="0" w:type="dxa"/>
            <w:vAlign w:val="bottom"/>
          </w:tcPr>
          <w:p>
            <w:pPr>
              <w:spacing w:after="0"/>
              <w:rPr>
                <w:sz w:val="1"/>
                <w:szCs w:val="1"/>
                <w:color w:val="auto"/>
              </w:rPr>
            </w:pPr>
          </w:p>
        </w:tc>
      </w:tr>
      <w:tr>
        <w:trPr>
          <w:trHeight w:val="206"/>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swaps - liability (1)</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3,056</w:t>
            </w:r>
          </w:p>
        </w:tc>
        <w:tc>
          <w:tcPr>
            <w:tcW w:w="10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r>
        <w:trPr>
          <w:trHeight w:val="201"/>
        </w:trPr>
        <w:tc>
          <w:tcPr>
            <w:tcW w:w="6220" w:type="dxa"/>
            <w:vAlign w:val="bottom"/>
          </w:tcPr>
          <w:p>
            <w:pPr>
              <w:ind w:left="20"/>
              <w:spacing w:after="0"/>
              <w:rPr>
                <w:sz w:val="20"/>
                <w:szCs w:val="20"/>
                <w:color w:val="auto"/>
              </w:rPr>
            </w:pPr>
            <w:r>
              <w:rPr>
                <w:rFonts w:ascii="Arial" w:cs="Arial" w:eastAsia="Arial" w:hAnsi="Arial"/>
                <w:sz w:val="15"/>
                <w:szCs w:val="15"/>
                <w:color w:val="auto"/>
              </w:rPr>
              <w:t>Accrued interest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See Note 13 -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for fair value discussion of the interest rate swaps.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effects of the swap agreements on Net (loss) income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820" w:type="dxa"/>
            <w:vAlign w:val="bottom"/>
            <w:gridSpan w:val="4"/>
          </w:tcPr>
          <w:p>
            <w:pPr>
              <w:jc w:val="right"/>
              <w:ind w:right="46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 agreements:</w:t>
            </w: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203"/>
        </w:trPr>
        <w:tc>
          <w:tcPr>
            <w:tcW w:w="5100" w:type="dxa"/>
            <w:vAlign w:val="bottom"/>
          </w:tcPr>
          <w:p>
            <w:pPr>
              <w:ind w:left="120"/>
              <w:spacing w:after="0"/>
              <w:rPr>
                <w:sz w:val="20"/>
                <w:szCs w:val="20"/>
                <w:color w:val="auto"/>
              </w:rPr>
            </w:pPr>
            <w:r>
              <w:rPr>
                <w:rFonts w:ascii="Arial" w:cs="Arial" w:eastAsia="Arial" w:hAnsi="Arial"/>
                <w:sz w:val="15"/>
                <w:szCs w:val="15"/>
                <w:color w:val="auto"/>
              </w:rPr>
              <w:t>Interest rate swap expense recognized in Interest expense, net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(367)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(2,038)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(1,284)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(6,082)</w:t>
            </w:r>
          </w:p>
        </w:tc>
      </w:tr>
      <w:tr>
        <w:trPr>
          <w:trHeight w:val="215"/>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Income tax benefit recognized in 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1,565</w:t>
            </w:r>
          </w:p>
        </w:tc>
      </w:tr>
      <w:tr>
        <w:trPr>
          <w:trHeight w:val="212"/>
        </w:trPr>
        <w:tc>
          <w:tcPr>
            <w:tcW w:w="51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Net effects of interest rate swap agreements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(4,517)</w:t>
            </w:r>
          </w:p>
        </w:tc>
      </w:tr>
      <w:tr>
        <w:trPr>
          <w:trHeight w:val="193"/>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Terminated interest rate swap agreements:</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03"/>
        </w:trPr>
        <w:tc>
          <w:tcPr>
            <w:tcW w:w="5100" w:type="dxa"/>
            <w:vAlign w:val="bottom"/>
          </w:tcPr>
          <w:p>
            <w:pPr>
              <w:ind w:left="120"/>
              <w:spacing w:after="0"/>
              <w:rPr>
                <w:sz w:val="20"/>
                <w:szCs w:val="20"/>
                <w:color w:val="auto"/>
              </w:rPr>
            </w:pPr>
            <w:r>
              <w:rPr>
                <w:rFonts w:ascii="Arial" w:cs="Arial" w:eastAsia="Arial" w:hAnsi="Arial"/>
                <w:sz w:val="15"/>
                <w:szCs w:val="15"/>
                <w:color w:val="auto"/>
                <w:w w:val="99"/>
              </w:rPr>
              <w:t>Terminated interest rate swap expense recognized in Interest expense, net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(2,913)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(1,981)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(6,980)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(1,981)</w:t>
            </w:r>
          </w:p>
        </w:tc>
      </w:tr>
      <w:tr>
        <w:trPr>
          <w:trHeight w:val="215"/>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Income tax benefit recognized in 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r>
      <w:tr>
        <w:trPr>
          <w:trHeight w:val="212"/>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effects of terminated interest rate swap agreements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(1,471)</w:t>
            </w:r>
          </w:p>
        </w:tc>
      </w:tr>
      <w:tr>
        <w:trPr>
          <w:trHeight w:val="231"/>
        </w:trPr>
        <w:tc>
          <w:tcPr>
            <w:tcW w:w="5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net effects on Net (loss) income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6"/>
          <w:szCs w:val="16"/>
          <w:color w:val="auto"/>
        </w:rPr>
        <w:t>Leases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following table includes a detail of lease assets and liabilities included on the Company’s Consolidated Balance Sheets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CONSOLIDATED BALANCE SHEET CLASSIFICATION</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JUNE 26, 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1,122,317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1,130,873</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Finance lease right-of-use assets (1)</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Property, fixtures and equipment, net</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2,074</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assets, net</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1,126,099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1,132,947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operating lease liabilities (2)</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and other current liabilities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178,817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177,028</w:t>
            </w:r>
          </w:p>
        </w:tc>
      </w:tr>
      <w:tr>
        <w:trPr>
          <w:trHeight w:val="203"/>
        </w:trPr>
        <w:tc>
          <w:tcPr>
            <w:tcW w:w="3480" w:type="dxa"/>
            <w:vAlign w:val="bottom"/>
          </w:tcPr>
          <w:p>
            <w:pPr>
              <w:ind w:left="20"/>
              <w:spacing w:after="0"/>
              <w:rPr>
                <w:sz w:val="20"/>
                <w:szCs w:val="20"/>
                <w:color w:val="auto"/>
              </w:rPr>
            </w:pPr>
            <w:r>
              <w:rPr>
                <w:rFonts w:ascii="Arial" w:cs="Arial" w:eastAsia="Arial" w:hAnsi="Arial"/>
                <w:sz w:val="15"/>
                <w:szCs w:val="15"/>
                <w:color w:val="auto"/>
              </w:rPr>
              <w:t>Current finance lease liabilities</w:t>
            </w:r>
          </w:p>
        </w:tc>
        <w:tc>
          <w:tcPr>
            <w:tcW w:w="3720" w:type="dxa"/>
            <w:vAlign w:val="bottom"/>
            <w:gridSpan w:val="2"/>
          </w:tcPr>
          <w:p>
            <w:pPr>
              <w:spacing w:after="0"/>
              <w:rPr>
                <w:sz w:val="20"/>
                <w:szCs w:val="20"/>
                <w:color w:val="auto"/>
              </w:rPr>
            </w:pPr>
            <w:r>
              <w:rPr>
                <w:rFonts w:ascii="Arial" w:cs="Arial" w:eastAsia="Arial" w:hAnsi="Arial"/>
                <w:sz w:val="15"/>
                <w:szCs w:val="15"/>
                <w:color w:val="auto"/>
              </w:rPr>
              <w:t>Current portion of long-term debt</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958</w:t>
            </w: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 (2)</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Non-current operating lease liabilities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1,168,418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1,178,998</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Non-current finance lease liabilities</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Long-term debt, net</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1,264</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liabilities</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1,351,144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1,358,248</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Net of accumulated amortization of $4.1 million and $3.3 million as of June 26, 2022 and December 26, 2021, respectively.</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Excludes current accrued contingent percentage rent of $4.3 million and $3.5 million, as of June 26, 2022 and December 26, 2021, respectively, and immaterial current and non-current COVID-19-related deferred rent accruals.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Comprehensive (Loss) Income for the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CONSOLIDATED STATEMENTS OF</w:t>
            </w:r>
          </w:p>
        </w:tc>
        <w:tc>
          <w:tcPr>
            <w:tcW w:w="160" w:type="dxa"/>
            <w:vAlign w:val="bottom"/>
          </w:tcPr>
          <w:p>
            <w:pPr>
              <w:spacing w:after="0"/>
              <w:rPr>
                <w:sz w:val="14"/>
                <w:szCs w:val="14"/>
                <w:color w:val="auto"/>
              </w:rPr>
            </w:pPr>
          </w:p>
        </w:tc>
        <w:tc>
          <w:tcPr>
            <w:tcW w:w="2680" w:type="dxa"/>
            <w:vAlign w:val="bottom"/>
            <w:gridSpan w:val="4"/>
            <w:vMerge w:val="restart"/>
          </w:tcPr>
          <w:p>
            <w:pPr>
              <w:jc w:val="right"/>
              <w:ind w:right="46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4"/>
            <w:vMerge w:val="restart"/>
          </w:tcPr>
          <w:p>
            <w:pPr>
              <w:jc w:val="right"/>
              <w:ind w:right="384"/>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09"/>
        </w:trPr>
        <w:tc>
          <w:tcPr>
            <w:tcW w:w="2580" w:type="dxa"/>
            <w:vAlign w:val="bottom"/>
          </w:tcPr>
          <w:p>
            <w:pPr>
              <w:spacing w:after="0"/>
              <w:rPr>
                <w:sz w:val="9"/>
                <w:szCs w:val="9"/>
                <w:color w:val="auto"/>
              </w:rPr>
            </w:pPr>
          </w:p>
        </w:tc>
        <w:tc>
          <w:tcPr>
            <w:tcW w:w="286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rPr>
              <w:t>OPERATIONS AND COMPREHENSIVE</w:t>
            </w:r>
          </w:p>
        </w:tc>
        <w:tc>
          <w:tcPr>
            <w:tcW w:w="16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(LOSS) INCOME CLASSIFICATION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w w:val="98"/>
              </w:rPr>
              <w:t>JUNE 26, 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96"/>
              </w:rPr>
              <w:t>JUNE 27, 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w w:val="96"/>
              </w:rPr>
              <w:t>JUNE 26, 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98"/>
              </w:rPr>
              <w:t>JUNE 27, 2021</w:t>
            </w: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leases (1)</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88,555</w:t>
            </w: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5"/>
                <w:szCs w:val="15"/>
                <w:color w:val="auto"/>
              </w:rPr>
              <w:t>Variable lease cost (2)</w:t>
            </w:r>
          </w:p>
        </w:tc>
        <w:tc>
          <w:tcPr>
            <w:tcW w:w="2860" w:type="dxa"/>
            <w:vAlign w:val="bottom"/>
            <w:gridSpan w:val="2"/>
          </w:tcPr>
          <w:p>
            <w:pPr>
              <w:ind w:left="20"/>
              <w:spacing w:after="0"/>
              <w:rPr>
                <w:sz w:val="20"/>
                <w:szCs w:val="20"/>
                <w:color w:val="auto"/>
              </w:rPr>
            </w:pPr>
            <w:r>
              <w:rPr>
                <w:rFonts w:ascii="Arial" w:cs="Arial" w:eastAsia="Arial" w:hAnsi="Arial"/>
                <w:sz w:val="15"/>
                <w:szCs w:val="15"/>
                <w:color w:val="auto"/>
              </w:rPr>
              <w:t>Other restaurant operating</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1,508</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40"/>
              <w:spacing w:after="0"/>
              <w:rPr>
                <w:sz w:val="20"/>
                <w:szCs w:val="20"/>
                <w:color w:val="auto"/>
              </w:rPr>
            </w:pPr>
            <w:r>
              <w:rPr>
                <w:rFonts w:ascii="Arial" w:cs="Arial" w:eastAsia="Arial" w:hAnsi="Arial"/>
                <w:sz w:val="15"/>
                <w:szCs w:val="15"/>
                <w:color w:val="auto"/>
              </w:rPr>
              <w:t>Amortization of leased assets</w:t>
            </w:r>
          </w:p>
        </w:tc>
        <w:tc>
          <w:tcPr>
            <w:tcW w:w="286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520</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on lease liabilities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12"/>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Sublease revenue</w:t>
            </w:r>
          </w:p>
        </w:tc>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Franchise and other revenues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(3,660)</w:t>
            </w:r>
          </w:p>
        </w:tc>
        <w:tc>
          <w:tcPr>
            <w:tcW w:w="0" w:type="dxa"/>
            <w:vAlign w:val="bottom"/>
          </w:tcPr>
          <w:p>
            <w:pPr>
              <w:spacing w:after="0"/>
              <w:rPr>
                <w:sz w:val="1"/>
                <w:szCs w:val="1"/>
                <w:color w:val="auto"/>
              </w:rPr>
            </w:pPr>
          </w:p>
        </w:tc>
      </w:tr>
      <w:tr>
        <w:trPr>
          <w:trHeight w:val="231"/>
        </w:trPr>
        <w:tc>
          <w:tcPr>
            <w:tcW w:w="2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Lease costs, net</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90,217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86,990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51" w:lineRule="auto"/>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Excludes rent expense for office facilities and Company-owned closed or subleased properties of $3.1 million and $3.2 million for the thirteen weeks ended June 26, 2022 and June 27, 2021, respectively, and $6.1 million and $6.7 million for the twenty-six weeks ended June 26, 2022 and June 27, 2021, respectively, which is included in General and administrative expense.</w:t>
      </w:r>
    </w:p>
    <w:p>
      <w:pPr>
        <w:ind w:left="620" w:hanging="617"/>
        <w:spacing w:after="0"/>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Includes COVID-19-related rent abatements for the thirteen and twenty-six weeks ended June 27, 2021.</w:t>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is a summary of cash flow impacts to the Company’s Consolidated Financial Statements related to its leases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67"/>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Pr>
          <w:p>
            <w:pPr>
              <w:spacing w:after="0"/>
              <w:rPr>
                <w:sz w:val="15"/>
                <w:szCs w:val="15"/>
                <w:color w:val="auto"/>
              </w:rPr>
            </w:pPr>
          </w:p>
        </w:tc>
        <w:tc>
          <w:tcPr>
            <w:tcW w:w="1260" w:type="dxa"/>
            <w:vAlign w:val="bottom"/>
          </w:tcPr>
          <w:p>
            <w:pPr>
              <w:jc w:val="right"/>
              <w:ind w:right="207"/>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201"/>
        </w:trPr>
        <w:tc>
          <w:tcPr>
            <w:tcW w:w="8220" w:type="dxa"/>
            <w:vAlign w:val="bottom"/>
          </w:tcPr>
          <w:p>
            <w:pPr>
              <w:ind w:left="140"/>
              <w:spacing w:after="0"/>
              <w:rPr>
                <w:sz w:val="20"/>
                <w:szCs w:val="20"/>
                <w:color w:val="auto"/>
              </w:rPr>
            </w:pPr>
            <w:r>
              <w:rPr>
                <w:rFonts w:ascii="Arial" w:cs="Arial" w:eastAsia="Arial" w:hAnsi="Arial"/>
                <w:sz w:val="15"/>
                <w:szCs w:val="15"/>
                <w:color w:val="auto"/>
              </w:rPr>
              <w:t>Cash paid for amounts included in the measurement of operating lease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97,255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105,323</w:t>
            </w:r>
          </w:p>
        </w:tc>
      </w:tr>
    </w:tbl>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6"/>
          <w:szCs w:val="16"/>
          <w:color w:val="auto"/>
        </w:rPr>
        <w:t>Fair Value Measurements</w:t>
      </w: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1</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Unadjusted quoted market prices in active markets for identical assets or liabilities</w:t>
            </w:r>
          </w:p>
        </w:tc>
      </w:tr>
      <w:tr>
        <w:trPr>
          <w:trHeight w:val="203"/>
        </w:trPr>
        <w:tc>
          <w:tcPr>
            <w:tcW w:w="800" w:type="dxa"/>
            <w:vAlign w:val="bottom"/>
          </w:tcPr>
          <w:p>
            <w:pPr>
              <w:ind w:left="20"/>
              <w:spacing w:after="0"/>
              <w:rPr>
                <w:sz w:val="20"/>
                <w:szCs w:val="20"/>
                <w:color w:val="auto"/>
              </w:rPr>
            </w:pPr>
            <w:r>
              <w:rPr>
                <w:rFonts w:ascii="Arial" w:cs="Arial" w:eastAsia="Arial" w:hAnsi="Arial"/>
                <w:sz w:val="15"/>
                <w:szCs w:val="15"/>
                <w:color w:val="auto"/>
              </w:rPr>
              <w:t>Level 2</w:t>
            </w:r>
          </w:p>
        </w:tc>
        <w:tc>
          <w:tcPr>
            <w:tcW w:w="10420" w:type="dxa"/>
            <w:vAlign w:val="bottom"/>
          </w:tcPr>
          <w:p>
            <w:pPr>
              <w:ind w:left="320"/>
              <w:spacing w:after="0"/>
              <w:rPr>
                <w:sz w:val="20"/>
                <w:szCs w:val="20"/>
                <w:color w:val="auto"/>
              </w:rPr>
            </w:pPr>
            <w:r>
              <w:rPr>
                <w:rFonts w:ascii="Arial" w:cs="Arial" w:eastAsia="Arial" w:hAnsi="Arial"/>
                <w:sz w:val="15"/>
                <w:szCs w:val="15"/>
                <w:color w:val="auto"/>
              </w:rPr>
              <w:t>Observable inputs available at measurement date other than quoted prices included in Level 1</w:t>
            </w:r>
          </w:p>
        </w:tc>
      </w:tr>
      <w:tr>
        <w:trPr>
          <w:trHeight w:val="209"/>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Unobservable inputs that cannot be corroborated by observable market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Fair Value Measurements on a Recurring Basis - </w:t>
      </w:r>
      <w:r>
        <w:rPr>
          <w:rFonts w:ascii="Arial" w:cs="Arial" w:eastAsia="Arial" w:hAnsi="Arial"/>
          <w:sz w:val="19"/>
          <w:szCs w:val="19"/>
          <w:color w:val="auto"/>
        </w:rPr>
        <w:t>The following table summarizes the Company’s financial assets and liabilities measured at fair</w:t>
      </w:r>
      <w:r>
        <w:rPr>
          <w:rFonts w:ascii="Arial" w:cs="Arial" w:eastAsia="Arial" w:hAnsi="Arial"/>
          <w:sz w:val="19"/>
          <w:szCs w:val="19"/>
          <w:i w:val="1"/>
          <w:iCs w:val="1"/>
          <w:color w:val="auto"/>
        </w:rPr>
        <w:t xml:space="preserve"> </w:t>
      </w:r>
      <w:r>
        <w:rPr>
          <w:rFonts w:ascii="Arial" w:cs="Arial" w:eastAsia="Arial" w:hAnsi="Arial"/>
          <w:sz w:val="19"/>
          <w:szCs w:val="19"/>
          <w:color w:val="auto"/>
        </w:rPr>
        <w:t>value by hierarchy level on a recurring basis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JUNE 26, 2022</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DECEMBER 26, 2021</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86"/>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LEVEL 1</w:t>
            </w:r>
          </w:p>
        </w:tc>
        <w:tc>
          <w:tcPr>
            <w:tcW w:w="18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LEVEL 1</w:t>
            </w:r>
          </w:p>
        </w:tc>
        <w:tc>
          <w:tcPr>
            <w:tcW w:w="160" w:type="dxa"/>
            <w:vAlign w:val="bottom"/>
          </w:tcPr>
          <w:p>
            <w:pPr>
              <w:spacing w:after="0"/>
              <w:rPr>
                <w:sz w:val="16"/>
                <w:szCs w:val="16"/>
                <w:color w:val="auto"/>
              </w:rPr>
            </w:pPr>
          </w:p>
        </w:tc>
        <w:tc>
          <w:tcPr>
            <w:tcW w:w="920" w:type="dxa"/>
            <w:vAlign w:val="bottom"/>
          </w:tcPr>
          <w:p>
            <w:pPr>
              <w:jc w:val="right"/>
              <w:ind w:right="184"/>
              <w:spacing w:after="0"/>
              <w:rPr>
                <w:sz w:val="20"/>
                <w:szCs w:val="20"/>
                <w:color w:val="auto"/>
              </w:rPr>
            </w:pPr>
            <w:r>
              <w:rPr>
                <w:rFonts w:ascii="Arial" w:cs="Arial" w:eastAsia="Arial" w:hAnsi="Arial"/>
                <w:sz w:val="14"/>
                <w:szCs w:val="14"/>
                <w:b w:val="1"/>
                <w:bCs w:val="1"/>
                <w:color w:val="auto"/>
              </w:rPr>
              <w:t>LEVEL 2</w:t>
            </w:r>
          </w:p>
        </w:tc>
      </w:tr>
      <w:tr>
        <w:trPr>
          <w:trHeight w:val="19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Cash equivalents: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41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Fixed income funds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13,583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6,714</w:t>
            </w:r>
          </w:p>
        </w:tc>
        <w:tc>
          <w:tcPr>
            <w:tcW w:w="30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4160" w:type="dxa"/>
            <w:vAlign w:val="bottom"/>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10,670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10,670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9,039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 equivalents: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9"/>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 recurring fair value measurements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17,225</w:t>
            </w:r>
          </w:p>
        </w:tc>
        <w:tc>
          <w:tcPr>
            <w:tcW w:w="30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4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Derivative instruments - interest rate swaps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3,056</w:t>
            </w:r>
          </w:p>
        </w:tc>
      </w:tr>
      <w:tr>
        <w:trPr>
          <w:trHeight w:val="206"/>
        </w:trPr>
        <w:tc>
          <w:tcPr>
            <w:tcW w:w="4160" w:type="dxa"/>
            <w:vAlign w:val="bottom"/>
          </w:tcPr>
          <w:p>
            <w:pPr>
              <w:ind w:left="20"/>
              <w:spacing w:after="0"/>
              <w:rPr>
                <w:sz w:val="20"/>
                <w:szCs w:val="20"/>
                <w:color w:val="auto"/>
              </w:rPr>
            </w:pPr>
            <w:r>
              <w:rPr>
                <w:rFonts w:ascii="Arial" w:cs="Arial" w:eastAsia="Arial" w:hAnsi="Arial"/>
                <w:sz w:val="15"/>
                <w:szCs w:val="15"/>
                <w:color w:val="auto"/>
              </w:rPr>
              <w:t>Total liability recurring fair value measurements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3,056</w:t>
            </w:r>
          </w:p>
        </w:tc>
        <w:tc>
          <w:tcPr>
            <w:tcW w:w="300" w:type="dxa"/>
            <w:vAlign w:val="bottom"/>
            <w:gridSpan w:val="3"/>
          </w:tcPr>
          <w:p>
            <w:pPr>
              <w:jc w:val="right"/>
              <w:ind w:right="3"/>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3,056</w:t>
            </w: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Fair value of each class of financial instrument is determined based on the following:</w:t>
      </w:r>
    </w:p>
    <w:p>
      <w:pPr>
        <w:spacing w:after="0" w:line="124"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3"/>
          <w:szCs w:val="13"/>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245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60" w:lineRule="exact"/>
        <w:rPr>
          <w:sz w:val="20"/>
          <w:szCs w:val="20"/>
          <w:color w:val="auto"/>
        </w:rPr>
      </w:pPr>
    </w:p>
    <w:p>
      <w:pPr>
        <w:ind w:left="20"/>
        <w:spacing w:after="0" w:line="247" w:lineRule="auto"/>
        <w:rPr>
          <w:sz w:val="20"/>
          <w:szCs w:val="20"/>
          <w:color w:val="auto"/>
        </w:rPr>
      </w:pPr>
      <w:r>
        <w:rPr>
          <w:rFonts w:ascii="Arial" w:cs="Arial" w:eastAsia="Arial" w:hAnsi="Arial"/>
          <w:sz w:val="15"/>
          <w:szCs w:val="15"/>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Carrying value approximates fair value because maturities are less than three months.</w:t>
      </w:r>
    </w:p>
    <w:p>
      <w:pPr>
        <w:spacing w:after="0" w:line="206" w:lineRule="exact"/>
        <w:rPr>
          <w:sz w:val="20"/>
          <w:szCs w:val="20"/>
          <w:color w:val="auto"/>
        </w:rPr>
      </w:pPr>
    </w:p>
    <w:p>
      <w:pPr>
        <w:sectPr>
          <w:pgSz w:w="11900" w:h="16838" w:orient="portrait"/>
          <w:cols w:equalWidth="0" w:num="2">
            <w:col w:w="1980" w:space="480"/>
            <w:col w:w="8780"/>
          </w:cols>
          <w:pgMar w:left="320" w:top="122" w:right="339" w:bottom="1440" w:gutter="0" w:footer="0" w:header="0"/>
          <w:type w:val="continuous"/>
        </w:sectPr>
      </w:pPr>
    </w:p>
    <w:p>
      <w:pPr>
        <w:ind w:left="20"/>
        <w:spacing w:after="0"/>
        <w:tabs>
          <w:tab w:leader="none" w:pos="2440" w:val="left"/>
        </w:tabs>
        <w:rPr>
          <w:sz w:val="20"/>
          <w:szCs w:val="20"/>
          <w:color w:val="auto"/>
        </w:rPr>
      </w:pPr>
      <w:r>
        <w:rPr>
          <w:rFonts w:ascii="Arial" w:cs="Arial" w:eastAsia="Arial" w:hAnsi="Arial"/>
          <w:sz w:val="15"/>
          <w:szCs w:val="15"/>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ind w:left="2460"/>
        <w:spacing w:after="0"/>
        <w:rPr>
          <w:sz w:val="20"/>
          <w:szCs w:val="20"/>
          <w:color w:val="auto"/>
        </w:rPr>
      </w:pPr>
      <w:r>
        <w:rPr>
          <w:rFonts w:ascii="Arial" w:cs="Arial" w:eastAsia="Arial" w:hAnsi="Arial"/>
          <w:sz w:val="13"/>
          <w:szCs w:val="13"/>
          <w:color w:val="auto"/>
        </w:rPr>
        <w:t>derivatives and use observable market-based inputs. The interest rate swaps are valued using a discounted cash flow analysis on the expected</w:t>
      </w:r>
    </w:p>
    <w:p>
      <w:pPr>
        <w:ind w:left="2460"/>
        <w:spacing w:after="0" w:line="238" w:lineRule="auto"/>
        <w:rPr>
          <w:sz w:val="20"/>
          <w:szCs w:val="20"/>
          <w:color w:val="auto"/>
        </w:rPr>
      </w:pPr>
      <w:r>
        <w:rPr>
          <w:rFonts w:ascii="Arial" w:cs="Arial" w:eastAsia="Arial" w:hAnsi="Arial"/>
          <w:sz w:val="14"/>
          <w:szCs w:val="14"/>
          <w:color w:val="auto"/>
        </w:rPr>
        <w:t>cash flows of each derivative using observable inputs including interest rate curves and credit spreads. The Company also considers its own</w:t>
      </w:r>
    </w:p>
    <w:p>
      <w:pPr>
        <w:ind w:left="2460"/>
        <w:spacing w:after="0" w:line="231" w:lineRule="auto"/>
        <w:rPr>
          <w:sz w:val="20"/>
          <w:szCs w:val="20"/>
          <w:color w:val="auto"/>
        </w:rPr>
      </w:pPr>
      <w:r>
        <w:rPr>
          <w:rFonts w:ascii="Arial" w:cs="Arial" w:eastAsia="Arial" w:hAnsi="Arial"/>
          <w:sz w:val="14"/>
          <w:szCs w:val="14"/>
          <w:color w:val="auto"/>
        </w:rPr>
        <w:t>nonperformance risk and the respective counterparty’s nonperformance risk in the fair value measurements. As of December 26, 2021, the</w:t>
      </w:r>
    </w:p>
    <w:p>
      <w:pPr>
        <w:ind w:left="2460"/>
        <w:spacing w:after="0"/>
        <w:rPr>
          <w:sz w:val="20"/>
          <w:szCs w:val="20"/>
          <w:color w:val="auto"/>
        </w:rPr>
      </w:pPr>
      <w:r>
        <w:rPr>
          <w:rFonts w:ascii="Arial" w:cs="Arial" w:eastAsia="Arial" w:hAnsi="Arial"/>
          <w:sz w:val="15"/>
          <w:szCs w:val="15"/>
          <w:color w:val="auto"/>
        </w:rPr>
        <w:t>Company has determined that the credit valuation adjustments are not significant to the overall valuation of its derivatives.</w:t>
      </w:r>
    </w:p>
    <w:p>
      <w:pPr>
        <w:spacing w:after="0" w:line="32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 primarily to</w:t>
      </w:r>
      <w:r>
        <w:rPr>
          <w:rFonts w:ascii="Arial" w:cs="Arial" w:eastAsia="Arial" w:hAnsi="Arial"/>
          <w:sz w:val="19"/>
          <w:szCs w:val="19"/>
          <w:i w:val="1"/>
          <w:iCs w:val="1"/>
          <w:color w:val="auto"/>
        </w:rPr>
        <w:t xml:space="preserve"> </w:t>
      </w:r>
      <w:r>
        <w:rPr>
          <w:rFonts w:ascii="Arial" w:cs="Arial" w:eastAsia="Arial" w:hAnsi="Arial"/>
          <w:sz w:val="19"/>
          <w:szCs w:val="19"/>
          <w:color w:val="auto"/>
        </w:rPr>
        <w:t>property, fixtures and equipment, operating lease right-of-use assets, goodwill and other intangible assets, which are remeasured when carrying value exceeds fair value. Carrying value after impairment approximates fair value. The following tables summarize the Company’s assets measured at fair value by hierarchy level on a nonrecurring basis, for the periods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80" w:type="dxa"/>
            <w:vAlign w:val="bottom"/>
            <w:gridSpan w:val="4"/>
          </w:tcPr>
          <w:p>
            <w:pPr>
              <w:jc w:val="center"/>
              <w:ind w:right="465"/>
              <w:spacing w:after="0"/>
              <w:rPr>
                <w:sz w:val="20"/>
                <w:szCs w:val="20"/>
                <w:color w:val="auto"/>
              </w:rPr>
            </w:pPr>
            <w:r>
              <w:rPr>
                <w:rFonts w:ascii="Arial" w:cs="Arial" w:eastAsia="Arial" w:hAnsi="Arial"/>
                <w:sz w:val="14"/>
                <w:szCs w:val="14"/>
                <w:b w:val="1"/>
                <w:bCs w:val="1"/>
                <w:color w:val="auto"/>
                <w:w w:val="98"/>
              </w:rPr>
              <w:t>THIRTEEN WEEKS ENDED</w:t>
            </w:r>
          </w:p>
        </w:tc>
        <w:tc>
          <w:tcPr>
            <w:tcW w:w="0" w:type="dxa"/>
            <w:vAlign w:val="bottom"/>
          </w:tcPr>
          <w:p>
            <w:pPr>
              <w:spacing w:after="0"/>
              <w:rPr>
                <w:sz w:val="1"/>
                <w:szCs w:val="1"/>
                <w:color w:val="auto"/>
              </w:rPr>
            </w:pPr>
          </w:p>
        </w:tc>
      </w:tr>
      <w:tr>
        <w:trPr>
          <w:trHeight w:val="198"/>
        </w:trPr>
        <w:tc>
          <w:tcPr>
            <w:tcW w:w="7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center"/>
              <w:ind w:right="465"/>
              <w:spacing w:after="0"/>
              <w:rPr>
                <w:sz w:val="20"/>
                <w:szCs w:val="20"/>
                <w:color w:val="auto"/>
              </w:rPr>
            </w:pPr>
            <w:r>
              <w:rPr>
                <w:rFonts w:ascii="Arial" w:cs="Arial" w:eastAsia="Arial" w:hAnsi="Arial"/>
                <w:sz w:val="14"/>
                <w:szCs w:val="14"/>
                <w:b w:val="1"/>
                <w:bCs w:val="1"/>
                <w:color w:val="auto"/>
                <w:w w:val="91"/>
              </w:rPr>
              <w:t>JUNE 27, 2021</w:t>
            </w:r>
          </w:p>
        </w:tc>
        <w:tc>
          <w:tcPr>
            <w:tcW w:w="0" w:type="dxa"/>
            <w:vAlign w:val="bottom"/>
          </w:tcPr>
          <w:p>
            <w:pPr>
              <w:spacing w:after="0"/>
              <w:rPr>
                <w:sz w:val="1"/>
                <w:szCs w:val="1"/>
                <w:color w:val="auto"/>
              </w:rPr>
            </w:pPr>
          </w:p>
        </w:tc>
      </w:tr>
      <w:tr>
        <w:trPr>
          <w:trHeight w:val="129"/>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REMAINING CARRYING VALUE</w:t>
            </w:r>
          </w:p>
        </w:tc>
        <w:tc>
          <w:tcPr>
            <w:tcW w:w="160" w:type="dxa"/>
            <w:vAlign w:val="bottom"/>
          </w:tcPr>
          <w:p>
            <w:pPr>
              <w:spacing w:after="0"/>
              <w:rPr>
                <w:sz w:val="11"/>
                <w:szCs w:val="11"/>
                <w:color w:val="auto"/>
              </w:rPr>
            </w:pPr>
          </w:p>
        </w:tc>
        <w:tc>
          <w:tcPr>
            <w:tcW w:w="170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rPr>
              <w:t>TOTAL IMPAIRMENT</w:t>
            </w:r>
          </w:p>
        </w:tc>
        <w:tc>
          <w:tcPr>
            <w:tcW w:w="0" w:type="dxa"/>
            <w:vAlign w:val="bottom"/>
          </w:tcPr>
          <w:p>
            <w:pPr>
              <w:spacing w:after="0"/>
              <w:rPr>
                <w:sz w:val="1"/>
                <w:szCs w:val="1"/>
                <w:color w:val="auto"/>
              </w:rPr>
            </w:pPr>
          </w:p>
        </w:tc>
      </w:tr>
      <w:tr>
        <w:trPr>
          <w:trHeight w:val="173"/>
        </w:trPr>
        <w:tc>
          <w:tcPr>
            <w:tcW w:w="712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927"/>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0" w:type="dxa"/>
            <w:vAlign w:val="bottom"/>
          </w:tcPr>
          <w:p>
            <w:pPr>
              <w:spacing w:after="0"/>
              <w:rPr>
                <w:sz w:val="1"/>
                <w:szCs w:val="1"/>
                <w:color w:val="auto"/>
              </w:rPr>
            </w:pPr>
          </w:p>
        </w:tc>
      </w:tr>
      <w:tr>
        <w:trPr>
          <w:trHeight w:val="19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Property, fixtures and equipment</w:t>
            </w:r>
          </w:p>
        </w:tc>
        <w:tc>
          <w:tcPr>
            <w:tcW w:w="5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8,192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4,460</w:t>
            </w:r>
          </w:p>
        </w:tc>
        <w:tc>
          <w:tcPr>
            <w:tcW w:w="0" w:type="dxa"/>
            <w:vAlign w:val="bottom"/>
          </w:tcPr>
          <w:p>
            <w:pPr>
              <w:spacing w:after="0"/>
              <w:rPr>
                <w:sz w:val="1"/>
                <w:szCs w:val="1"/>
                <w:color w:val="auto"/>
              </w:rPr>
            </w:pPr>
          </w:p>
        </w:tc>
      </w:tr>
      <w:tr>
        <w:trPr>
          <w:trHeight w:val="228"/>
        </w:trPr>
        <w:tc>
          <w:tcPr>
            <w:tcW w:w="7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5,422</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7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gridSpan w:val="4"/>
          </w:tcPr>
          <w:p>
            <w:pPr>
              <w:jc w:val="center"/>
              <w:ind w:right="465"/>
              <w:spacing w:after="0"/>
              <w:rPr>
                <w:sz w:val="20"/>
                <w:szCs w:val="20"/>
                <w:color w:val="auto"/>
              </w:rPr>
            </w:pPr>
            <w:r>
              <w:rPr>
                <w:rFonts w:ascii="Arial" w:cs="Arial" w:eastAsia="Arial" w:hAnsi="Arial"/>
                <w:sz w:val="14"/>
                <w:szCs w:val="14"/>
                <w:b w:val="1"/>
                <w:bCs w:val="1"/>
                <w:color w:val="auto"/>
                <w:w w:val="98"/>
              </w:rPr>
              <w:t>TWENTY-SIX WEEKS ENDED</w:t>
            </w:r>
          </w:p>
        </w:tc>
        <w:tc>
          <w:tcPr>
            <w:tcW w:w="0" w:type="dxa"/>
            <w:vAlign w:val="bottom"/>
          </w:tcPr>
          <w:p>
            <w:pPr>
              <w:spacing w:after="0"/>
              <w:rPr>
                <w:sz w:val="1"/>
                <w:szCs w:val="1"/>
                <w:color w:val="auto"/>
              </w:rPr>
            </w:pPr>
          </w:p>
        </w:tc>
      </w:tr>
      <w:tr>
        <w:trPr>
          <w:trHeight w:val="198"/>
        </w:trPr>
        <w:tc>
          <w:tcPr>
            <w:tcW w:w="7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center"/>
              <w:ind w:right="465"/>
              <w:spacing w:after="0"/>
              <w:rPr>
                <w:sz w:val="20"/>
                <w:szCs w:val="20"/>
                <w:color w:val="auto"/>
              </w:rPr>
            </w:pPr>
            <w:r>
              <w:rPr>
                <w:rFonts w:ascii="Arial" w:cs="Arial" w:eastAsia="Arial" w:hAnsi="Arial"/>
                <w:sz w:val="14"/>
                <w:szCs w:val="14"/>
                <w:b w:val="1"/>
                <w:bCs w:val="1"/>
                <w:color w:val="auto"/>
                <w:w w:val="91"/>
              </w:rPr>
              <w:t>JUNE 27, 2021</w:t>
            </w:r>
          </w:p>
        </w:tc>
        <w:tc>
          <w:tcPr>
            <w:tcW w:w="0" w:type="dxa"/>
            <w:vAlign w:val="bottom"/>
          </w:tcPr>
          <w:p>
            <w:pPr>
              <w:spacing w:after="0"/>
              <w:rPr>
                <w:sz w:val="1"/>
                <w:szCs w:val="1"/>
                <w:color w:val="auto"/>
              </w:rPr>
            </w:pPr>
          </w:p>
        </w:tc>
      </w:tr>
      <w:tr>
        <w:trPr>
          <w:trHeight w:val="129"/>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REMAINING CARRYING VALUE</w:t>
            </w:r>
          </w:p>
        </w:tc>
        <w:tc>
          <w:tcPr>
            <w:tcW w:w="160" w:type="dxa"/>
            <w:vAlign w:val="bottom"/>
          </w:tcPr>
          <w:p>
            <w:pPr>
              <w:spacing w:after="0"/>
              <w:rPr>
                <w:sz w:val="11"/>
                <w:szCs w:val="11"/>
                <w:color w:val="auto"/>
              </w:rPr>
            </w:pPr>
          </w:p>
        </w:tc>
        <w:tc>
          <w:tcPr>
            <w:tcW w:w="170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rPr>
              <w:t>TOTAL IMPAIRMENT</w:t>
            </w:r>
          </w:p>
        </w:tc>
        <w:tc>
          <w:tcPr>
            <w:tcW w:w="0" w:type="dxa"/>
            <w:vAlign w:val="bottom"/>
          </w:tcPr>
          <w:p>
            <w:pPr>
              <w:spacing w:after="0"/>
              <w:rPr>
                <w:sz w:val="1"/>
                <w:szCs w:val="1"/>
                <w:color w:val="auto"/>
              </w:rPr>
            </w:pPr>
          </w:p>
        </w:tc>
      </w:tr>
      <w:tr>
        <w:trPr>
          <w:trHeight w:val="173"/>
        </w:trPr>
        <w:tc>
          <w:tcPr>
            <w:tcW w:w="712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927"/>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1,512</w:t>
            </w:r>
          </w:p>
        </w:tc>
        <w:tc>
          <w:tcPr>
            <w:tcW w:w="0" w:type="dxa"/>
            <w:vAlign w:val="bottom"/>
          </w:tcPr>
          <w:p>
            <w:pPr>
              <w:spacing w:after="0"/>
              <w:rPr>
                <w:sz w:val="1"/>
                <w:szCs w:val="1"/>
                <w:color w:val="auto"/>
              </w:rPr>
            </w:pPr>
          </w:p>
        </w:tc>
      </w:tr>
      <w:tr>
        <w:trPr>
          <w:trHeight w:val="19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Property, fixtures and equipment</w:t>
            </w:r>
          </w:p>
        </w:tc>
        <w:tc>
          <w:tcPr>
            <w:tcW w:w="5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6,052</w:t>
            </w:r>
          </w:p>
        </w:tc>
        <w:tc>
          <w:tcPr>
            <w:tcW w:w="0" w:type="dxa"/>
            <w:vAlign w:val="bottom"/>
          </w:tcPr>
          <w:p>
            <w:pPr>
              <w:spacing w:after="0"/>
              <w:rPr>
                <w:sz w:val="1"/>
                <w:szCs w:val="1"/>
                <w:color w:val="auto"/>
              </w:rPr>
            </w:pPr>
          </w:p>
        </w:tc>
      </w:tr>
      <w:tr>
        <w:trPr>
          <w:trHeight w:val="228"/>
        </w:trPr>
        <w:tc>
          <w:tcPr>
            <w:tcW w:w="7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7,564</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All asset carrying values measured using discounted cash flow models (Level 3).</w:t>
      </w:r>
    </w:p>
    <w:p>
      <w:pPr>
        <w:spacing w:after="0" w:line="200" w:lineRule="exact"/>
        <w:rPr>
          <w:rFonts w:ascii="Arial" w:cs="Arial" w:eastAsia="Arial" w:hAnsi="Arial"/>
          <w:sz w:val="15"/>
          <w:szCs w:val="15"/>
          <w:color w:val="auto"/>
        </w:rPr>
      </w:pPr>
    </w:p>
    <w:p>
      <w:pPr>
        <w:spacing w:after="0" w:line="358"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Interim Disclosures about Fair Value of Financial Instruments - </w:t>
      </w:r>
      <w:r>
        <w:rPr>
          <w:rFonts w:ascii="Arial" w:cs="Arial" w:eastAsia="Arial" w:hAnsi="Arial"/>
          <w:sz w:val="18"/>
          <w:szCs w:val="18"/>
          <w:color w:val="auto"/>
        </w:rPr>
        <w:t>The Company’s non-derivative financial instruments consist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5"/>
          </w:tcPr>
          <w:p>
            <w:pPr>
              <w:ind w:left="500"/>
              <w:spacing w:after="0"/>
              <w:rPr>
                <w:sz w:val="20"/>
                <w:szCs w:val="20"/>
                <w:color w:val="auto"/>
              </w:rPr>
            </w:pPr>
            <w:r>
              <w:rPr>
                <w:rFonts w:ascii="Arial" w:cs="Arial" w:eastAsia="Arial" w:hAnsi="Arial"/>
                <w:sz w:val="14"/>
                <w:szCs w:val="14"/>
                <w:b w:val="1"/>
                <w:bCs w:val="1"/>
                <w:color w:val="auto"/>
              </w:rPr>
              <w:t>JUNE 26, 2022</w:t>
            </w:r>
          </w:p>
        </w:tc>
        <w:tc>
          <w:tcPr>
            <w:tcW w:w="420" w:type="dxa"/>
            <w:vAlign w:val="bottom"/>
          </w:tcPr>
          <w:p>
            <w:pPr>
              <w:spacing w:after="0"/>
              <w:rPr>
                <w:sz w:val="17"/>
                <w:szCs w:val="17"/>
                <w:color w:val="auto"/>
              </w:rPr>
            </w:pPr>
          </w:p>
        </w:tc>
        <w:tc>
          <w:tcPr>
            <w:tcW w:w="2340" w:type="dxa"/>
            <w:vAlign w:val="bottom"/>
            <w:gridSpan w:val="4"/>
          </w:tcPr>
          <w:p>
            <w:pPr>
              <w:jc w:val="right"/>
              <w:ind w:right="646"/>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129"/>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6"/>
              <w:spacing w:after="0" w:line="129" w:lineRule="exact"/>
              <w:rPr>
                <w:sz w:val="20"/>
                <w:szCs w:val="20"/>
                <w:color w:val="auto"/>
              </w:rPr>
            </w:pPr>
            <w:r>
              <w:rPr>
                <w:rFonts w:ascii="Arial" w:cs="Arial" w:eastAsia="Arial" w:hAnsi="Arial"/>
                <w:sz w:val="14"/>
                <w:szCs w:val="14"/>
                <w:b w:val="1"/>
                <w:bCs w:val="1"/>
                <w:color w:val="auto"/>
                <w:w w:val="99"/>
              </w:rPr>
              <w:t>FAIR VALUE</w:t>
            </w:r>
          </w:p>
        </w:tc>
        <w:tc>
          <w:tcPr>
            <w:tcW w:w="100" w:type="dxa"/>
            <w:vAlign w:val="bottom"/>
          </w:tcPr>
          <w:p>
            <w:pPr>
              <w:spacing w:after="0"/>
              <w:rPr>
                <w:sz w:val="11"/>
                <w:szCs w:val="11"/>
                <w:color w:val="auto"/>
              </w:rPr>
            </w:pP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562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2</w:t>
            </w:r>
          </w:p>
        </w:tc>
        <w:tc>
          <w:tcPr>
            <w:tcW w:w="1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306"/>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4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40"/>
              <w:spacing w:after="0"/>
              <w:rPr>
                <w:sz w:val="20"/>
                <w:szCs w:val="20"/>
                <w:color w:val="auto"/>
              </w:rPr>
            </w:pPr>
            <w:r>
              <w:rPr>
                <w:rFonts w:ascii="Arial" w:cs="Arial" w:eastAsia="Arial" w:hAnsi="Arial"/>
                <w:sz w:val="15"/>
                <w:szCs w:val="15"/>
                <w:color w:val="auto"/>
              </w:rPr>
              <w:t>Term loan A</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195,000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190,125</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Revolving credit facility</w:t>
            </w: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76,926</w:t>
            </w:r>
          </w:p>
        </w:tc>
        <w:tc>
          <w:tcPr>
            <w:tcW w:w="0" w:type="dxa"/>
            <w:vAlign w:val="bottom"/>
          </w:tcPr>
          <w:p>
            <w:pPr>
              <w:spacing w:after="0"/>
              <w:rPr>
                <w:sz w:val="1"/>
                <w:szCs w:val="1"/>
                <w:color w:val="auto"/>
              </w:rPr>
            </w:pPr>
          </w:p>
        </w:tc>
      </w:tr>
      <w:tr>
        <w:trPr>
          <w:trHeight w:val="203"/>
        </w:trPr>
        <w:tc>
          <w:tcPr>
            <w:tcW w:w="5620" w:type="dxa"/>
            <w:vAlign w:val="bottom"/>
          </w:tcPr>
          <w:p>
            <w:pPr>
              <w:ind w:left="40"/>
              <w:spacing w:after="0"/>
              <w:rPr>
                <w:sz w:val="20"/>
                <w:szCs w:val="20"/>
                <w:color w:val="auto"/>
              </w:rPr>
            </w:pPr>
            <w:r>
              <w:rPr>
                <w:rFonts w:ascii="Arial" w:cs="Arial" w:eastAsia="Arial" w:hAnsi="Arial"/>
                <w:sz w:val="15"/>
                <w:szCs w:val="15"/>
                <w:color w:val="auto"/>
              </w:rPr>
              <w:t>2025 Notes</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105,000</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177,031</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230,000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447,615</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2029 Notes</w:t>
            </w: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304,395</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6"/>
          <w:szCs w:val="16"/>
          <w:color w:val="auto"/>
        </w:rPr>
        <w:t>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5"/>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JUNE 27, 2021</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(Loss) income before provision for income taxes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(50,144)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107,574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43,479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183,965</w:t>
            </w: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6"/>
              <w:spacing w:after="0"/>
              <w:rPr>
                <w:sz w:val="20"/>
                <w:szCs w:val="20"/>
                <w:color w:val="auto"/>
              </w:rPr>
            </w:pPr>
            <w:r>
              <w:rPr>
                <w:rFonts w:ascii="Arial" w:cs="Arial" w:eastAsia="Arial" w:hAnsi="Arial"/>
                <w:sz w:val="15"/>
                <w:szCs w:val="15"/>
                <w:color w:val="auto"/>
              </w:rPr>
              <w:t>11,536</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25"/>
              <w:spacing w:after="0"/>
              <w:rPr>
                <w:sz w:val="20"/>
                <w:szCs w:val="20"/>
                <w:color w:val="auto"/>
              </w:rPr>
            </w:pPr>
            <w:r>
              <w:rPr>
                <w:rFonts w:ascii="Arial" w:cs="Arial" w:eastAsia="Arial" w:hAnsi="Arial"/>
                <w:sz w:val="15"/>
                <w:szCs w:val="15"/>
                <w:color w:val="auto"/>
              </w:rPr>
              <w:t>22,688</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27,465</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29,281</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15.9 %</w:t>
            </w:r>
          </w:p>
        </w:tc>
      </w:tr>
    </w:tbl>
    <w:p>
      <w:pPr>
        <w:spacing w:after="0" w:line="29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effective income tax rate for the thirteen weeks ended June 26, 2022 includes the impact of nondeductible losses associated with the 2025 Notes Partial Repurchase which, relative to a pre-tax book loss during the quarter, resulted in a negative effective income tax rate.</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effective income tax rate for the twenty-six weeks ended June 26, 2022 increased by 47.3 percentage points as compared to the twenty-six weeks ended June 27, 2021. The increase was primarily due to the non-deductible losses associated with the 2025 Notes Partial Repurchase recorded during the twenty-six weeks ended June 26, 2022.</w:t>
      </w:r>
    </w:p>
    <w:p>
      <w:pPr>
        <w:spacing w:after="0" w:line="20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On December 28, 2021, the U.S. Treasury and the Internal Revenue Service released final regulations that, among other things, provide guidance on several aspects of the foreign tax credit rules. As part of the guidance issued, these regulations change longstanding foreign tax credit regulations that now make foreign taxes paid to certain countries no longer creditable in the United States. The Company expects that a portion of post-2022 foreign taxes paid will not be creditable in the United States. Furthermore, the impact of these regulations will result in the utilization of existing prior year foreign tax credit carryforwards for which the Company had previously recorded a valuation allowance. The valuation allowance related to the credits expected to be utilized has been released during the thirteen and twenty-six weeks ended June 26, 2022.</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effective income tax rate for the thirteen weeks ended June 26, 2022 was lower than the Company’s blended federal and state statutory rate of approximately 26%. The income tax rate includes the impact of nondeductible losses associated with the 2025 Notes Partial Repurchase which, relative to a pre-tax book loss during the quarter, resulted in a negative effective income tax rate.</w:t>
      </w:r>
    </w:p>
    <w:p>
      <w:pPr>
        <w:spacing w:after="0" w:line="20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effective income tax rate for the twenty-six weeks ended June 26, 2022 was higher than the statutory rate primarily due to the non-deductible losses associated with the 2025 Notes Partial Repurchase recorded during the twenty-six weeks ended June 26, 2022.</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effective income tax rates for the thirteen and twenty-six weeks ended June 27, 2021 were lower than the statutory rate primarily due to the benefit of FICA tax credits on certain employees’ tips.</w:t>
      </w:r>
    </w:p>
    <w:p>
      <w:pPr>
        <w:spacing w:after="0" w:line="19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7"/>
          <w:szCs w:val="17"/>
          <w:color w:val="auto"/>
        </w:rPr>
        <w:t>Commitments and Contingencies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 xml:space="preserve">Litigation and Other Matters </w:t>
      </w:r>
      <w:r>
        <w:rPr>
          <w:rFonts w:ascii="Arial" w:cs="Arial" w:eastAsia="Arial" w:hAnsi="Arial"/>
          <w:sz w:val="17"/>
          <w:szCs w:val="17"/>
          <w:color w:val="auto"/>
        </w:rPr>
        <w:t>- The Company is subject to legal proceedings, claims and liabilities, such as liquor liability, slip and fall cases, wage-and-hour and other employment-related litigation, which arise in the ordinary course of business. A reserve is recorded when it is both: (i) 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Company recorded reserves of $8.5 million and $7.1 million for certain of its outstanding legal proceedings as of June 26, 2022 and December 26, 2021, respectively, within Accrued and other current liabilities and Other long-term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Lease Guarantees </w:t>
      </w:r>
      <w:r>
        <w:rPr>
          <w:rFonts w:ascii="Arial" w:cs="Arial" w:eastAsia="Arial" w:hAnsi="Arial"/>
          <w:sz w:val="18"/>
          <w:szCs w:val="18"/>
          <w:color w:val="auto"/>
        </w:rPr>
        <w:t>- The Company assigned its interest, and is contingently liable, under certain real estate leases. These leases have varying terms,</w:t>
      </w:r>
      <w:r>
        <w:rPr>
          <w:rFonts w:ascii="Arial" w:cs="Arial" w:eastAsia="Arial" w:hAnsi="Arial"/>
          <w:sz w:val="18"/>
          <w:szCs w:val="18"/>
          <w:i w:val="1"/>
          <w:iCs w:val="1"/>
          <w:color w:val="auto"/>
        </w:rPr>
        <w:t xml:space="preserve"> </w:t>
      </w:r>
      <w:r>
        <w:rPr>
          <w:rFonts w:ascii="Arial" w:cs="Arial" w:eastAsia="Arial" w:hAnsi="Arial"/>
          <w:sz w:val="18"/>
          <w:szCs w:val="18"/>
          <w:color w:val="auto"/>
        </w:rPr>
        <w:t>the latest of which expires in 2032. As of June 26, 2022, the undiscounted payments that the Company could be required to make in the event of non-payment by the primary lessees was approximately $23.0 million. The present value of these potential payments discounted at the Company’s incremental borrowing rate as of June 26, 2022 was approximately $17.5 million. In the event of default, the indemnity clauses in the Company’s purchase and sale agreements govern its ability to pursue and recover damages incurred. As of June 26, 2022 and December 26, 2021, the Company’s recorded contingent lease liability was $8.4 million and $8.7 million,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7"/>
          <w:szCs w:val="17"/>
          <w:color w:val="auto"/>
        </w:rPr>
        <w:t>Segment Reporting</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reporting segments:</w:t>
      </w:r>
    </w:p>
    <w:p>
      <w:pPr>
        <w:sectPr>
          <w:pgSz w:w="11900" w:h="16838" w:orient="portrait"/>
          <w:cols w:equalWidth="0" w:num="1">
            <w:col w:w="11240"/>
          </w:cols>
          <w:pgMar w:left="320" w:top="121" w:right="339" w:bottom="1440" w:gutter="0" w:footer="0" w:header="0"/>
        </w:sectPr>
      </w:pPr>
    </w:p>
    <w:p>
      <w:pPr>
        <w:spacing w:after="0" w:line="1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REPORTABLE SEGMENT (1)</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5"/>
          <w:szCs w:val="15"/>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International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w:t>
      </w:r>
    </w:p>
    <w:p>
      <w:pPr>
        <w:spacing w:after="0" w:line="20" w:lineRule="exact"/>
        <w:rPr>
          <w:sz w:val="20"/>
          <w:szCs w:val="20"/>
          <w:color w:val="auto"/>
        </w:rPr>
      </w:pPr>
    </w:p>
    <w:p>
      <w:pPr>
        <w:ind w:left="620" w:hanging="617"/>
        <w:spacing w:after="0"/>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franchise locations.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18415</wp:posOffset>
            </wp:positionV>
            <wp:extent cx="4707255" cy="998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07255" cy="9988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Outback Steakhouse</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Carrabba’s Italian Grill</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Bonefish Grill</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Fleming’s Prime Steakhouse &amp; Wine Bar</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Outback Steakhouse</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Carrabba’s Italian Grill (Abbraccio)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2080"/>
        <w:spacing w:after="0"/>
        <w:rPr>
          <w:sz w:val="20"/>
          <w:szCs w:val="20"/>
          <w:color w:val="auto"/>
        </w:rPr>
      </w:pPr>
      <w:r>
        <w:rPr>
          <w:rFonts w:ascii="Arial" w:cs="Arial" w:eastAsia="Arial" w:hAnsi="Arial"/>
          <w:sz w:val="13"/>
          <w:szCs w:val="13"/>
          <w:b w:val="1"/>
          <w:bCs w:val="1"/>
          <w:color w:val="auto"/>
        </w:rPr>
        <w:t>GEOGRAPHIC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2439670" cy="9988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39670" cy="9988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2220"/>
        <w:spacing w:after="0"/>
        <w:rPr>
          <w:sz w:val="20"/>
          <w:szCs w:val="20"/>
          <w:color w:val="auto"/>
        </w:rPr>
      </w:pPr>
      <w:r>
        <w:rPr>
          <w:rFonts w:ascii="Arial" w:cs="Arial" w:eastAsia="Arial" w:hAnsi="Arial"/>
          <w:sz w:val="14"/>
          <w:szCs w:val="14"/>
          <w:color w:val="auto"/>
        </w:rPr>
        <w:t>United States of America</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Brazil, Hong Kong/China</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Brazil</w:t>
      </w:r>
    </w:p>
    <w:p>
      <w:pPr>
        <w:spacing w:after="0" w:line="664" w:lineRule="exact"/>
        <w:rPr>
          <w:sz w:val="20"/>
          <w:szCs w:val="20"/>
          <w:color w:val="auto"/>
        </w:rPr>
      </w:pPr>
    </w:p>
    <w:p>
      <w:pPr>
        <w:sectPr>
          <w:pgSz w:w="11900" w:h="16838" w:orient="portrait"/>
          <w:cols w:equalWidth="0" w:num="3">
            <w:col w:w="2380" w:space="380"/>
            <w:col w:w="3960" w:space="720"/>
            <w:col w:w="3800"/>
          </w:cols>
          <w:pgMar w:left="320" w:top="121" w:right="339" w:bottom="1440" w:gutter="0" w:footer="0" w:header="0"/>
          <w:type w:val="continuous"/>
        </w:sectPr>
      </w:pPr>
    </w:p>
    <w:p>
      <w:pPr>
        <w:spacing w:after="0" w:line="31"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 xml:space="preserve">Segment accounting policies are the same as those described in Note 2 - </w:t>
      </w:r>
      <w:r>
        <w:rPr>
          <w:rFonts w:ascii="Arial" w:cs="Arial" w:eastAsia="Arial" w:hAnsi="Arial"/>
          <w:sz w:val="19"/>
          <w:szCs w:val="19"/>
          <w:i w:val="1"/>
          <w:iCs w:val="1"/>
          <w:color w:val="auto"/>
        </w:rPr>
        <w:t>Summary of Significant Accounting Policies</w:t>
      </w:r>
      <w:r>
        <w:rPr>
          <w:rFonts w:ascii="Arial" w:cs="Arial" w:eastAsia="Arial" w:hAnsi="Arial"/>
          <w:sz w:val="19"/>
          <w:szCs w:val="19"/>
          <w:color w:val="auto"/>
        </w:rPr>
        <w:t xml:space="preserve"> in the Company’s Annual Report on Form 10-K for the year ended December 26, 2021.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 The following table is a summary of Total revenues by segment, for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820" w:type="dxa"/>
            <w:vAlign w:val="bottom"/>
            <w:gridSpan w:val="4"/>
          </w:tcPr>
          <w:p>
            <w:pPr>
              <w:jc w:val="right"/>
              <w:ind w:right="465"/>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8"/>
              </w:rPr>
              <w:t>JUNE 27, 2021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203"/>
        </w:trPr>
        <w:tc>
          <w:tcPr>
            <w:tcW w:w="5120" w:type="dxa"/>
            <w:vAlign w:val="bottom"/>
          </w:tcPr>
          <w:p>
            <w:pPr>
              <w:ind w:left="220"/>
              <w:spacing w:after="0"/>
              <w:rPr>
                <w:sz w:val="20"/>
                <w:szCs w:val="20"/>
                <w:color w:val="auto"/>
              </w:rPr>
            </w:pPr>
            <w:r>
              <w:rPr>
                <w:rFonts w:ascii="Arial" w:cs="Arial" w:eastAsia="Arial" w:hAnsi="Arial"/>
                <w:sz w:val="15"/>
                <w:szCs w:val="15"/>
                <w:color w:val="auto"/>
              </w:rPr>
              <w:t>U.S.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998,627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1,003,058</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2,035,034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1,907,976</w:t>
            </w:r>
          </w:p>
        </w:tc>
      </w:tr>
      <w:tr>
        <w:trPr>
          <w:trHeight w:val="215"/>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126,535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74,308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230,663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156,863</w:t>
            </w:r>
          </w:p>
        </w:tc>
      </w:tr>
      <w:tr>
        <w:trPr>
          <w:trHeight w:val="206"/>
        </w:trPr>
        <w:tc>
          <w:tcPr>
            <w:tcW w:w="512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1,125,162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1,077,366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2,265,697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2,064,839</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following table is a reconciliation of segment income from operations to (Loss) income before provision for income taxes,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820" w:type="dxa"/>
            <w:vAlign w:val="bottom"/>
            <w:gridSpan w:val="4"/>
          </w:tcPr>
          <w:p>
            <w:pPr>
              <w:jc w:val="right"/>
              <w:ind w:right="463"/>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8"/>
              </w:rPr>
              <w:t>JUNE 27, 2021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Segment income from operations</w:t>
            </w: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U.S.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104,620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165,297</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236,846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287,032</w:t>
            </w:r>
          </w:p>
        </w:tc>
      </w:tr>
      <w:tr>
        <w:trPr>
          <w:trHeight w:val="229"/>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6,007</w:t>
            </w:r>
          </w:p>
        </w:tc>
      </w:tr>
      <w:tr>
        <w:trPr>
          <w:trHeight w:val="189"/>
        </w:trPr>
        <w:tc>
          <w:tcPr>
            <w:tcW w:w="5120" w:type="dxa"/>
            <w:vAlign w:val="bottom"/>
          </w:tcPr>
          <w:p>
            <w:pPr>
              <w:ind w:left="320"/>
              <w:spacing w:after="0"/>
              <w:rPr>
                <w:sz w:val="20"/>
                <w:szCs w:val="20"/>
                <w:color w:val="auto"/>
              </w:rPr>
            </w:pPr>
            <w:r>
              <w:rPr>
                <w:rFonts w:ascii="Arial" w:cs="Arial" w:eastAsia="Arial" w:hAnsi="Arial"/>
                <w:sz w:val="15"/>
                <w:szCs w:val="15"/>
                <w:color w:val="auto"/>
              </w:rPr>
              <w:t>Total segment income from operations</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118,746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167,767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259,856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293,039</w:t>
            </w:r>
          </w:p>
        </w:tc>
      </w:tr>
      <w:tr>
        <w:trPr>
          <w:trHeight w:val="229"/>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Unallocated corporate operating expense</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(43,130)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(64,881)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(77,404)</w:t>
            </w:r>
          </w:p>
        </w:tc>
      </w:tr>
      <w:tr>
        <w:trPr>
          <w:trHeight w:val="189"/>
        </w:trPr>
        <w:tc>
          <w:tcPr>
            <w:tcW w:w="5120" w:type="dxa"/>
            <w:vAlign w:val="bottom"/>
          </w:tcPr>
          <w:p>
            <w:pPr>
              <w:ind w:left="320"/>
              <w:spacing w:after="0"/>
              <w:rPr>
                <w:sz w:val="20"/>
                <w:szCs w:val="20"/>
                <w:color w:val="auto"/>
              </w:rPr>
            </w:pPr>
            <w:r>
              <w:rPr>
                <w:rFonts w:ascii="Arial" w:cs="Arial" w:eastAsia="Arial" w:hAnsi="Arial"/>
                <w:sz w:val="15"/>
                <w:szCs w:val="15"/>
                <w:color w:val="auto"/>
              </w:rPr>
              <w:t>Total income from operations</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87,719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124,637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194,975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215,635</w:t>
            </w:r>
          </w:p>
        </w:tc>
      </w:tr>
      <w:tr>
        <w:trPr>
          <w:trHeight w:val="209"/>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and modification of debt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(107,630)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(107,630)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(2,073)</w:t>
            </w: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Loss on fair value adjustment of derivatives, net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(17,685)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(17,685)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income, net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212"/>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Interest expense, net</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(14,990)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(29,618)</w:t>
            </w:r>
          </w:p>
        </w:tc>
      </w:tr>
      <w:tr>
        <w:trPr>
          <w:trHeight w:val="231"/>
        </w:trPr>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(Loss) income before provision for income taxes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107,574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183,965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Depreciation and amortization expense by segment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820" w:type="dxa"/>
            <w:vAlign w:val="bottom"/>
            <w:gridSpan w:val="4"/>
          </w:tcPr>
          <w:p>
            <w:pPr>
              <w:jc w:val="right"/>
              <w:ind w:right="46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U.S.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33,544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33,578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68,303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67,223</w:t>
            </w: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11,286</w:t>
            </w:r>
          </w:p>
        </w:tc>
      </w:tr>
      <w:tr>
        <w:trPr>
          <w:trHeight w:val="212"/>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Corporate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3,256</w:t>
            </w:r>
          </w:p>
        </w:tc>
      </w:tr>
      <w:tr>
        <w:trPr>
          <w:trHeight w:val="231"/>
        </w:trPr>
        <w:tc>
          <w:tcPr>
            <w:tcW w:w="5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depreciation and amortization</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83,032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81,765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98" w:lineRule="exact"/>
        <w:rPr>
          <w:sz w:val="20"/>
          <w:szCs w:val="20"/>
          <w:color w:val="auto"/>
        </w:rPr>
      </w:pPr>
    </w:p>
    <w:p>
      <w:pPr>
        <w:ind w:left="460" w:hanging="457"/>
        <w:spacing w:after="0"/>
        <w:tabs>
          <w:tab w:leader="none" w:pos="4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Consumer reactions to public health and food safety issues;</w:t>
      </w:r>
    </w:p>
    <w:p>
      <w:pPr>
        <w:spacing w:after="0" w:line="232" w:lineRule="exact"/>
        <w:rPr>
          <w:rFonts w:ascii="Arial" w:cs="Arial" w:eastAsia="Arial" w:hAnsi="Arial"/>
          <w:sz w:val="19"/>
          <w:szCs w:val="19"/>
          <w:color w:val="auto"/>
        </w:rPr>
      </w:pPr>
    </w:p>
    <w:p>
      <w:pPr>
        <w:jc w:val="both"/>
        <w:ind w:left="460" w:hanging="457"/>
        <w:spacing w:after="0" w:line="252" w:lineRule="auto"/>
        <w:tabs>
          <w:tab w:leader="none" w:pos="459"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201" w:lineRule="exact"/>
        <w:rPr>
          <w:rFonts w:ascii="Arial" w:cs="Arial" w:eastAsia="Arial" w:hAnsi="Arial"/>
          <w:sz w:val="19"/>
          <w:szCs w:val="19"/>
          <w:color w:val="auto"/>
        </w:rPr>
      </w:pPr>
    </w:p>
    <w:p>
      <w:pPr>
        <w:ind w:left="460" w:hanging="457"/>
        <w:spacing w:after="0"/>
        <w:tabs>
          <w:tab w:leader="none" w:pos="4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Minimum wage increases, additional mandated employee benefits and fluctuations in the cost and availability of employees;</w:t>
      </w:r>
    </w:p>
    <w:p>
      <w:pPr>
        <w:spacing w:after="0" w:line="232" w:lineRule="exact"/>
        <w:rPr>
          <w:rFonts w:ascii="Arial" w:cs="Arial" w:eastAsia="Arial" w:hAnsi="Arial"/>
          <w:sz w:val="19"/>
          <w:szCs w:val="19"/>
          <w:color w:val="auto"/>
        </w:rPr>
      </w:pPr>
    </w:p>
    <w:p>
      <w:pPr>
        <w:ind w:left="460" w:hanging="457"/>
        <w:spacing w:after="0" w:line="264" w:lineRule="auto"/>
        <w:tabs>
          <w:tab w:leader="none" w:pos="449" w:val="left"/>
        </w:tabs>
        <w:numPr>
          <w:ilvl w:val="0"/>
          <w:numId w:val="29"/>
        </w:numPr>
        <w:rPr>
          <w:rFonts w:ascii="Arial" w:cs="Arial" w:eastAsia="Arial" w:hAnsi="Arial"/>
          <w:sz w:val="19"/>
          <w:szCs w:val="19"/>
          <w:color w:val="auto"/>
        </w:rPr>
      </w:pPr>
      <w:r>
        <w:rPr>
          <w:rFonts w:ascii="Arial" w:cs="Arial" w:eastAsia="Arial" w:hAnsi="Arial"/>
          <w:sz w:val="19"/>
          <w:szCs w:val="19"/>
          <w:color w:val="auto"/>
        </w:rPr>
        <w:t>Fluctuations in the price and availability of commodities, including supplier freight charges and restaurant distribution expenses, and other impacts of inflation;</w:t>
      </w:r>
    </w:p>
    <w:p>
      <w:pPr>
        <w:spacing w:after="0" w:line="189" w:lineRule="exact"/>
        <w:rPr>
          <w:rFonts w:ascii="Arial" w:cs="Arial" w:eastAsia="Arial" w:hAnsi="Arial"/>
          <w:sz w:val="19"/>
          <w:szCs w:val="19"/>
          <w:color w:val="auto"/>
        </w:rPr>
      </w:pPr>
    </w:p>
    <w:p>
      <w:pPr>
        <w:ind w:left="460" w:hanging="457"/>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ind w:left="460" w:hanging="457"/>
        <w:spacing w:after="0" w:line="264" w:lineRule="auto"/>
        <w:tabs>
          <w:tab w:leader="none" w:pos="449" w:val="left"/>
        </w:tabs>
        <w:numPr>
          <w:ilvl w:val="0"/>
          <w:numId w:val="30"/>
        </w:numPr>
        <w:rPr>
          <w:rFonts w:ascii="Arial" w:cs="Arial" w:eastAsia="Arial" w:hAnsi="Arial"/>
          <w:sz w:val="19"/>
          <w:szCs w:val="19"/>
          <w:color w:val="auto"/>
        </w:rPr>
      </w:pPr>
      <w:r>
        <w:rPr>
          <w:rFonts w:ascii="Arial" w:cs="Arial" w:eastAsia="Arial" w:hAnsi="Arial"/>
          <w:sz w:val="19"/>
          <w:szCs w:val="19"/>
          <w:color w:val="auto"/>
        </w:rPr>
        <w:t>Economic conditions and their effects on consumer confidence and discretionary spending, consumer traffic, the cost and availability of credit and interest rates;</w:t>
      </w:r>
    </w:p>
    <w:p>
      <w:pPr>
        <w:spacing w:after="0" w:line="189" w:lineRule="exact"/>
        <w:rPr>
          <w:rFonts w:ascii="Arial" w:cs="Arial" w:eastAsia="Arial" w:hAnsi="Arial"/>
          <w:sz w:val="19"/>
          <w:szCs w:val="19"/>
          <w:color w:val="auto"/>
        </w:rPr>
      </w:pPr>
    </w:p>
    <w:p>
      <w:pPr>
        <w:ind w:left="460" w:hanging="457"/>
        <w:spacing w:after="0"/>
        <w:tabs>
          <w:tab w:leader="none" w:pos="4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ability to recruit and retain high-quality leadership, restaurant-level management and team members;</w:t>
      </w:r>
    </w:p>
    <w:p>
      <w:pPr>
        <w:spacing w:after="0" w:line="232" w:lineRule="exact"/>
        <w:rPr>
          <w:rFonts w:ascii="Arial" w:cs="Arial" w:eastAsia="Arial" w:hAnsi="Arial"/>
          <w:sz w:val="19"/>
          <w:szCs w:val="19"/>
          <w:color w:val="auto"/>
        </w:rPr>
      </w:pPr>
    </w:p>
    <w:p>
      <w:pPr>
        <w:ind w:left="460" w:hanging="457"/>
        <w:spacing w:after="0" w:line="264" w:lineRule="auto"/>
        <w:tabs>
          <w:tab w:leader="none" w:pos="451"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189" w:lineRule="exact"/>
        <w:rPr>
          <w:rFonts w:ascii="Arial" w:cs="Arial" w:eastAsia="Arial" w:hAnsi="Arial"/>
          <w:sz w:val="19"/>
          <w:szCs w:val="19"/>
          <w:color w:val="auto"/>
        </w:rPr>
      </w:pPr>
    </w:p>
    <w:p>
      <w:pPr>
        <w:ind w:left="460" w:hanging="457"/>
        <w:spacing w:after="0" w:line="264" w:lineRule="auto"/>
        <w:tabs>
          <w:tab w:leader="none" w:pos="449"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ability to protect our information technology systems from interruption or security breach, including cyber security threats, and to protect consumer data and personal employee information;</w:t>
      </w:r>
    </w:p>
    <w:p>
      <w:pPr>
        <w:spacing w:after="0" w:line="189" w:lineRule="exact"/>
        <w:rPr>
          <w:rFonts w:ascii="Arial" w:cs="Arial" w:eastAsia="Arial" w:hAnsi="Arial"/>
          <w:sz w:val="19"/>
          <w:szCs w:val="19"/>
          <w:color w:val="auto"/>
        </w:rPr>
      </w:pPr>
    </w:p>
    <w:p>
      <w:pPr>
        <w:ind w:left="460" w:hanging="457"/>
        <w:spacing w:after="0"/>
        <w:tabs>
          <w:tab w:leader="none" w:pos="4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Dependence on a limited number of suppliers and distributors to meet our beef, chicken and other major product supply needs;</w:t>
      </w:r>
    </w:p>
    <w:p>
      <w:pPr>
        <w:spacing w:after="0" w:line="232" w:lineRule="exact"/>
        <w:rPr>
          <w:rFonts w:ascii="Arial" w:cs="Arial" w:eastAsia="Arial" w:hAnsi="Arial"/>
          <w:sz w:val="19"/>
          <w:szCs w:val="19"/>
          <w:color w:val="auto"/>
        </w:rPr>
      </w:pPr>
    </w:p>
    <w:p>
      <w:pPr>
        <w:ind w:left="460" w:hanging="457"/>
        <w:spacing w:after="0" w:line="264" w:lineRule="auto"/>
        <w:tabs>
          <w:tab w:leader="none" w:pos="449"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effects of international economic, political and social conditions and legal systems on our foreign operations and on foreign currency exchange rates;</w:t>
      </w:r>
    </w:p>
    <w:p>
      <w:pPr>
        <w:spacing w:after="0" w:line="189" w:lineRule="exact"/>
        <w:rPr>
          <w:rFonts w:ascii="Arial" w:cs="Arial" w:eastAsia="Arial" w:hAnsi="Arial"/>
          <w:sz w:val="19"/>
          <w:szCs w:val="19"/>
          <w:color w:val="auto"/>
        </w:rPr>
      </w:pPr>
    </w:p>
    <w:p>
      <w:pPr>
        <w:ind w:left="460" w:hanging="457"/>
        <w:spacing w:after="0" w:line="292" w:lineRule="auto"/>
        <w:tabs>
          <w:tab w:leader="none" w:pos="4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governmental laws and regulations, the costs of compliance with such laws and regulations and the effects of changes to applicable laws and regulations, including tax laws and unanticipated liabilities, and the impact of any litigation;</w:t>
      </w:r>
    </w:p>
    <w:p>
      <w:pPr>
        <w:spacing w:after="0" w:line="166" w:lineRule="exact"/>
        <w:rPr>
          <w:rFonts w:ascii="Arial" w:cs="Arial" w:eastAsia="Arial" w:hAnsi="Arial"/>
          <w:sz w:val="18"/>
          <w:szCs w:val="18"/>
          <w:color w:val="auto"/>
        </w:rPr>
      </w:pPr>
    </w:p>
    <w:p>
      <w:pPr>
        <w:ind w:left="460" w:hanging="457"/>
        <w:spacing w:after="0" w:line="264" w:lineRule="auto"/>
        <w:tabs>
          <w:tab w:leader="none" w:pos="451"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ability to effectively respond to changes in patterns of consumer traffic, consumer tastes and dietary habits, including by maintaining relationships with third party delivery apps and services;</w:t>
      </w:r>
    </w:p>
    <w:p>
      <w:pPr>
        <w:spacing w:after="0" w:line="189" w:lineRule="exact"/>
        <w:rPr>
          <w:rFonts w:ascii="Arial" w:cs="Arial" w:eastAsia="Arial" w:hAnsi="Arial"/>
          <w:sz w:val="19"/>
          <w:szCs w:val="19"/>
          <w:color w:val="auto"/>
        </w:rPr>
      </w:pPr>
    </w:p>
    <w:p>
      <w:pPr>
        <w:jc w:val="both"/>
        <w:ind w:left="460" w:hanging="457"/>
        <w:spacing w:after="0" w:line="252" w:lineRule="auto"/>
        <w:tabs>
          <w:tab w:leader="none" w:pos="453"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201" w:lineRule="exact"/>
        <w:rPr>
          <w:rFonts w:ascii="Arial" w:cs="Arial" w:eastAsia="Arial" w:hAnsi="Arial"/>
          <w:sz w:val="19"/>
          <w:szCs w:val="19"/>
          <w:color w:val="auto"/>
        </w:rPr>
      </w:pPr>
    </w:p>
    <w:p>
      <w:pPr>
        <w:ind w:left="460" w:hanging="457"/>
        <w:spacing w:after="0" w:line="264" w:lineRule="auto"/>
        <w:tabs>
          <w:tab w:leader="none" w:pos="452" w:val="left"/>
        </w:tabs>
        <w:numPr>
          <w:ilvl w:val="0"/>
          <w:numId w:val="30"/>
        </w:numPr>
        <w:rPr>
          <w:rFonts w:ascii="Arial" w:cs="Arial" w:eastAsia="Arial" w:hAnsi="Arial"/>
          <w:sz w:val="19"/>
          <w:szCs w:val="19"/>
          <w:color w:val="auto"/>
        </w:rPr>
      </w:pPr>
      <w:r>
        <w:rPr>
          <w:rFonts w:ascii="Arial" w:cs="Arial" w:eastAsia="Arial" w:hAnsi="Arial"/>
          <w:sz w:val="19"/>
          <w:szCs w:val="19"/>
          <w:color w:val="auto"/>
        </w:rPr>
        <w:t>Seasonal and periodic fluctuations in our results and the effects of significant adverse weather conditions and other disasters or unforeseen events;</w:t>
      </w:r>
    </w:p>
    <w:p>
      <w:pPr>
        <w:spacing w:after="0" w:line="189" w:lineRule="exact"/>
        <w:rPr>
          <w:rFonts w:ascii="Arial" w:cs="Arial" w:eastAsia="Arial" w:hAnsi="Arial"/>
          <w:sz w:val="19"/>
          <w:szCs w:val="19"/>
          <w:color w:val="auto"/>
        </w:rPr>
      </w:pPr>
    </w:p>
    <w:p>
      <w:pPr>
        <w:ind w:left="460" w:hanging="457"/>
        <w:spacing w:after="0" w:line="324" w:lineRule="auto"/>
        <w:tabs>
          <w:tab w:leader="none" w:pos="45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spacing w:after="0" w:line="142" w:lineRule="exact"/>
        <w:rPr>
          <w:rFonts w:ascii="Arial" w:cs="Arial" w:eastAsia="Arial" w:hAnsi="Arial"/>
          <w:sz w:val="17"/>
          <w:szCs w:val="17"/>
          <w:color w:val="auto"/>
        </w:rPr>
      </w:pPr>
    </w:p>
    <w:p>
      <w:pPr>
        <w:ind w:left="460" w:hanging="457"/>
        <w:spacing w:after="0" w:line="264" w:lineRule="auto"/>
        <w:tabs>
          <w:tab w:leader="none" w:pos="454"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impairment in the carrying value of our goodwill or other intangible or long-lived assets and its effect on our financial condition and results of operations; and</w:t>
      </w:r>
    </w:p>
    <w:p>
      <w:pPr>
        <w:spacing w:after="0" w:line="189" w:lineRule="exact"/>
        <w:rPr>
          <w:rFonts w:ascii="Arial" w:cs="Arial" w:eastAsia="Arial" w:hAnsi="Arial"/>
          <w:sz w:val="19"/>
          <w:szCs w:val="19"/>
          <w:color w:val="auto"/>
        </w:rPr>
      </w:pPr>
    </w:p>
    <w:p>
      <w:pPr>
        <w:ind w:left="540" w:hanging="537"/>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Such other factors as discussed in Part I, Item IA. Risk Factors of our Annual Report on Form 10-K for the year ended December 26, 2021.</w:t>
      </w:r>
    </w:p>
    <w:p>
      <w:pPr>
        <w:spacing w:after="0" w:line="25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are one of the largest casual dining restaurant companies in the world with a portfolio of leading, differentiated restaurant concepts. As of June 26, 2022, we owned and operated 1,169 full-service restaurants and off-premises only kitchens and franchised 332 full-service restaurants and off-premises only kitchens across 47 states, Guam and 15 countries. We have four founder-inspired concepts: Outback Steakhouse, Carrabba’s Italian Grill, Bonefish Grill and Fleming’s Prime Steakhouse &amp; Wine Bar.</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Highlights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Our financial highlights for the thirteen weeks ended June 26, 2022 include the following:</w:t>
      </w:r>
    </w:p>
    <w:p>
      <w:pPr>
        <w:spacing w:after="0" w:line="233"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U.S. combined and Outback Steakhouse comparable restaurant sales of (0.4)% and (1.1)%, respectively;</w:t>
      </w:r>
    </w:p>
    <w:p>
      <w:pPr>
        <w:spacing w:after="0" w:line="16" w:lineRule="exact"/>
        <w:rPr>
          <w:rFonts w:ascii="Arial" w:cs="Arial" w:eastAsia="Arial" w:hAnsi="Arial"/>
          <w:sz w:val="19"/>
          <w:szCs w:val="19"/>
          <w:color w:val="auto"/>
        </w:rPr>
      </w:pPr>
    </w:p>
    <w:p>
      <w:pPr>
        <w:ind w:left="620" w:hanging="307"/>
        <w:spacing w:after="0"/>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Increase in Total revenues of 4.4%, as compared to the second quarter of 2021;</w:t>
      </w:r>
    </w:p>
    <w:p>
      <w:pPr>
        <w:ind w:left="620" w:hanging="307"/>
        <w:spacing w:after="0"/>
        <w:tabs>
          <w:tab w:leader="none" w:pos="609" w:val="left"/>
        </w:tabs>
        <w:numPr>
          <w:ilvl w:val="0"/>
          <w:numId w:val="31"/>
        </w:numPr>
        <w:rPr>
          <w:rFonts w:ascii="Arial" w:cs="Arial" w:eastAsia="Arial" w:hAnsi="Arial"/>
          <w:sz w:val="19"/>
          <w:szCs w:val="19"/>
          <w:color w:val="auto"/>
        </w:rPr>
      </w:pPr>
      <w:r>
        <w:rPr>
          <w:rFonts w:ascii="Arial" w:cs="Arial" w:eastAsia="Arial" w:hAnsi="Arial"/>
          <w:sz w:val="19"/>
          <w:szCs w:val="19"/>
          <w:color w:val="auto"/>
        </w:rPr>
        <w:t>Operating income and restaurant-level operating margins of 7.8% and 15.5%, respectively, as compared to 11.6% and 20.3%, respectively, for the second quarter of 2021;</w:t>
      </w:r>
    </w:p>
    <w:p>
      <w:pPr>
        <w:spacing w:after="0" w:line="1" w:lineRule="exact"/>
        <w:rPr>
          <w:rFonts w:ascii="Arial" w:cs="Arial" w:eastAsia="Arial" w:hAnsi="Arial"/>
          <w:sz w:val="19"/>
          <w:szCs w:val="19"/>
          <w:color w:val="auto"/>
        </w:rPr>
      </w:pPr>
    </w:p>
    <w:p>
      <w:pPr>
        <w:ind w:left="620" w:hanging="307"/>
        <w:spacing w:after="0"/>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Income from operations of $87.7 million, as compared to $124.6 million in the second quarter of 2021;</w:t>
      </w:r>
    </w:p>
    <w:p>
      <w:pPr>
        <w:ind w:left="620" w:hanging="307"/>
        <w:spacing w:after="0"/>
        <w:tabs>
          <w:tab w:leader="none" w:pos="609" w:val="left"/>
        </w:tabs>
        <w:numPr>
          <w:ilvl w:val="0"/>
          <w:numId w:val="31"/>
        </w:numPr>
        <w:rPr>
          <w:rFonts w:ascii="Arial" w:cs="Arial" w:eastAsia="Arial" w:hAnsi="Arial"/>
          <w:sz w:val="19"/>
          <w:szCs w:val="19"/>
          <w:i w:val="1"/>
          <w:iCs w:val="1"/>
          <w:color w:val="252525"/>
        </w:rPr>
      </w:pPr>
      <w:r>
        <w:rPr>
          <w:rFonts w:ascii="Arial" w:cs="Arial" w:eastAsia="Arial" w:hAnsi="Arial"/>
          <w:sz w:val="19"/>
          <w:szCs w:val="19"/>
          <w:color w:val="auto"/>
        </w:rPr>
        <w:t>Loss on extinguishment of debt of $104.7 million and loss on fair value adjustment of derivatives, net, of $17.7 million in connection with the 2025 Notes Partial Repurchase; and</w:t>
      </w:r>
    </w:p>
    <w:p>
      <w:pPr>
        <w:spacing w:after="0" w:line="1" w:lineRule="exact"/>
        <w:rPr>
          <w:rFonts w:ascii="Arial" w:cs="Arial" w:eastAsia="Arial" w:hAnsi="Arial"/>
          <w:sz w:val="19"/>
          <w:szCs w:val="19"/>
          <w:i w:val="1"/>
          <w:iCs w:val="1"/>
          <w:color w:val="252525"/>
        </w:rPr>
      </w:pPr>
    </w:p>
    <w:p>
      <w:pPr>
        <w:ind w:left="620" w:hanging="307"/>
        <w:spacing w:after="0"/>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Diluted loss per share of $(0.72), as compared to diluted earnings per share of $0.75 for the second quarter of 2021.</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Financial Performance Indicators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Key measures that we use in evaluating our restaurants and assessing our business include the following:</w:t>
      </w:r>
    </w:p>
    <w:p>
      <w:pPr>
        <w:spacing w:after="0" w:line="233" w:lineRule="exact"/>
        <w:rPr>
          <w:sz w:val="20"/>
          <w:szCs w:val="20"/>
          <w:color w:val="auto"/>
        </w:rPr>
      </w:pPr>
    </w:p>
    <w:p>
      <w:pPr>
        <w:ind w:left="620" w:hanging="307"/>
        <w:spacing w:after="0" w:line="264" w:lineRule="auto"/>
        <w:tabs>
          <w:tab w:leader="none" w:pos="609"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 xml:space="preserve">Average restaurant unit volumes </w:t>
      </w:r>
      <w:r>
        <w:rPr>
          <w:rFonts w:ascii="Arial" w:cs="Arial" w:eastAsia="Arial" w:hAnsi="Arial"/>
          <w:sz w:val="19"/>
          <w:szCs w:val="19"/>
          <w:color w:val="auto"/>
        </w:rPr>
        <w:t>— average sales (excluding gift card breakage) per restaurant to measure changes in customer traffic,</w:t>
      </w:r>
      <w:r>
        <w:rPr>
          <w:rFonts w:ascii="Arial" w:cs="Arial" w:eastAsia="Arial" w:hAnsi="Arial"/>
          <w:sz w:val="19"/>
          <w:szCs w:val="19"/>
          <w:i w:val="1"/>
          <w:iCs w:val="1"/>
          <w:color w:val="auto"/>
        </w:rPr>
        <w:t xml:space="preserve"> </w:t>
      </w:r>
      <w:r>
        <w:rPr>
          <w:rFonts w:ascii="Arial" w:cs="Arial" w:eastAsia="Arial" w:hAnsi="Arial"/>
          <w:sz w:val="19"/>
          <w:szCs w:val="19"/>
          <w:color w:val="auto"/>
        </w:rPr>
        <w:t>pricing and development of the brand;</w:t>
      </w:r>
    </w:p>
    <w:p>
      <w:pPr>
        <w:spacing w:after="0" w:line="189" w:lineRule="exact"/>
        <w:rPr>
          <w:rFonts w:ascii="Arial" w:cs="Arial" w:eastAsia="Arial" w:hAnsi="Arial"/>
          <w:sz w:val="19"/>
          <w:szCs w:val="19"/>
          <w:color w:val="auto"/>
        </w:rPr>
      </w:pPr>
    </w:p>
    <w:p>
      <w:pPr>
        <w:jc w:val="both"/>
        <w:ind w:left="620" w:hanging="307"/>
        <w:spacing w:after="0" w:line="252" w:lineRule="auto"/>
        <w:tabs>
          <w:tab w:leader="none" w:pos="609" w:val="left"/>
        </w:tabs>
        <w:numPr>
          <w:ilvl w:val="0"/>
          <w:numId w:val="32"/>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Comparable restaurant sales </w:t>
      </w:r>
      <w:r>
        <w:rPr>
          <w:rFonts w:ascii="Arial" w:cs="Arial" w:eastAsia="Arial" w:hAnsi="Arial"/>
          <w:sz w:val="19"/>
          <w:szCs w:val="19"/>
          <w:color w:val="auto"/>
        </w:rPr>
        <w:t>— year-over-year comparison of the change in sales volumes (excluding gift card breakage) for Company-owned restaurants that are open 18 months or more in order to remove the impact of new restaurant openings in comparing the operations of existing restaurants;</w:t>
      </w:r>
    </w:p>
    <w:p>
      <w:pPr>
        <w:spacing w:after="0" w:line="201" w:lineRule="exact"/>
        <w:rPr>
          <w:rFonts w:ascii="Arial" w:cs="Arial" w:eastAsia="Arial" w:hAnsi="Arial"/>
          <w:sz w:val="19"/>
          <w:szCs w:val="19"/>
          <w:i w:val="1"/>
          <w:iCs w:val="1"/>
          <w:color w:val="auto"/>
        </w:rPr>
      </w:pPr>
    </w:p>
    <w:p>
      <w:pPr>
        <w:ind w:left="620" w:hanging="307"/>
        <w:spacing w:after="0" w:line="264" w:lineRule="auto"/>
        <w:tabs>
          <w:tab w:leader="none" w:pos="609"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 xml:space="preserve">System-wide sales </w:t>
      </w:r>
      <w:r>
        <w:rPr>
          <w:rFonts w:ascii="Arial" w:cs="Arial" w:eastAsia="Arial" w:hAnsi="Arial"/>
          <w:sz w:val="19"/>
          <w:szCs w:val="19"/>
          <w:color w:val="auto"/>
        </w:rPr>
        <w:t>— total restaurant sales volume for all Company-owned and franchise restaurants, regardless of ownership, to interpret</w:t>
      </w:r>
      <w:r>
        <w:rPr>
          <w:rFonts w:ascii="Arial" w:cs="Arial" w:eastAsia="Arial" w:hAnsi="Arial"/>
          <w:sz w:val="19"/>
          <w:szCs w:val="19"/>
          <w:i w:val="1"/>
          <w:iCs w:val="1"/>
          <w:color w:val="auto"/>
        </w:rPr>
        <w:t xml:space="preserve"> </w:t>
      </w:r>
      <w:r>
        <w:rPr>
          <w:rFonts w:ascii="Arial" w:cs="Arial" w:eastAsia="Arial" w:hAnsi="Arial"/>
          <w:sz w:val="19"/>
          <w:szCs w:val="19"/>
          <w:color w:val="auto"/>
        </w:rPr>
        <w:t>the overall health of our brands;</w:t>
      </w:r>
    </w:p>
    <w:p>
      <w:pPr>
        <w:spacing w:after="0" w:line="189" w:lineRule="exact"/>
        <w:rPr>
          <w:rFonts w:ascii="Arial" w:cs="Arial" w:eastAsia="Arial" w:hAnsi="Arial"/>
          <w:sz w:val="19"/>
          <w:szCs w:val="19"/>
          <w:color w:val="auto"/>
        </w:rPr>
      </w:pPr>
    </w:p>
    <w:p>
      <w:pPr>
        <w:ind w:left="620" w:hanging="307"/>
        <w:spacing w:after="0" w:line="264" w:lineRule="auto"/>
        <w:tabs>
          <w:tab w:leader="none" w:pos="609" w:val="left"/>
        </w:tabs>
        <w:numPr>
          <w:ilvl w:val="0"/>
          <w:numId w:val="32"/>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Restaurant-level operating margin, Income from operations, Net (loss) income and Diluted (loss) earnings per share </w:t>
      </w:r>
      <w:r>
        <w:rPr>
          <w:rFonts w:ascii="Arial" w:cs="Arial" w:eastAsia="Arial" w:hAnsi="Arial"/>
          <w:sz w:val="19"/>
          <w:szCs w:val="19"/>
          <w:color w:val="auto"/>
        </w:rPr>
        <w:t>— financial measures</w:t>
      </w:r>
      <w:r>
        <w:rPr>
          <w:rFonts w:ascii="Arial" w:cs="Arial" w:eastAsia="Arial" w:hAnsi="Arial"/>
          <w:sz w:val="19"/>
          <w:szCs w:val="19"/>
          <w:i w:val="1"/>
          <w:iCs w:val="1"/>
          <w:color w:val="auto"/>
        </w:rPr>
        <w:t xml:space="preserve"> </w:t>
      </w:r>
      <w:r>
        <w:rPr>
          <w:rFonts w:ascii="Arial" w:cs="Arial" w:eastAsia="Arial" w:hAnsi="Arial"/>
          <w:sz w:val="19"/>
          <w:szCs w:val="19"/>
          <w:color w:val="auto"/>
        </w:rPr>
        <w:t>utilized to evaluate our operating performance.</w:t>
      </w:r>
    </w:p>
    <w:p>
      <w:pPr>
        <w:spacing w:after="0" w:line="189" w:lineRule="exact"/>
        <w:rPr>
          <w:rFonts w:ascii="Arial" w:cs="Arial" w:eastAsia="Arial" w:hAnsi="Arial"/>
          <w:sz w:val="19"/>
          <w:szCs w:val="19"/>
          <w:i w:val="1"/>
          <w:iCs w:val="1"/>
          <w:color w:val="auto"/>
        </w:rPr>
      </w:pPr>
    </w:p>
    <w:p>
      <w:pPr>
        <w:jc w:val="both"/>
        <w:ind w:left="620"/>
        <w:spacing w:after="0" w:line="261" w:lineRule="auto"/>
        <w:rPr>
          <w:rFonts w:ascii="Arial" w:cs="Arial" w:eastAsia="Arial" w:hAnsi="Arial"/>
          <w:sz w:val="19"/>
          <w:szCs w:val="19"/>
          <w:i w:val="1"/>
          <w:iCs w:val="1"/>
          <w:color w:val="auto"/>
        </w:rPr>
      </w:pPr>
      <w:r>
        <w:rPr>
          <w:rFonts w:ascii="Arial" w:cs="Arial" w:eastAsia="Arial" w:hAnsi="Arial"/>
          <w:sz w:val="18"/>
          <w:szCs w:val="18"/>
          <w:color w:val="auto"/>
        </w:rPr>
        <w:t>Restaurant-level operating margin is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(Loss) Income. The following categories of our revenue and operating expenses are not included in restaurant-level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operating margin because we do not consider them reflective of operating performance at the restaurant-level within a period:</w:t>
      </w:r>
    </w:p>
    <w:p>
      <w:pPr>
        <w:spacing w:after="0" w:line="233" w:lineRule="exact"/>
        <w:rPr>
          <w:sz w:val="20"/>
          <w:szCs w:val="20"/>
          <w:color w:val="auto"/>
        </w:rPr>
      </w:pPr>
    </w:p>
    <w:p>
      <w:pPr>
        <w:ind w:left="1240" w:hanging="386"/>
        <w:spacing w:after="0" w:line="249" w:lineRule="auto"/>
        <w:tabs>
          <w:tab w:leader="none" w:pos="1238" w:val="left"/>
        </w:tabs>
        <w:numPr>
          <w:ilvl w:val="0"/>
          <w:numId w:val="33"/>
        </w:numPr>
        <w:rPr>
          <w:rFonts w:ascii="Arial" w:cs="Arial" w:eastAsia="Arial" w:hAnsi="Arial"/>
          <w:sz w:val="19"/>
          <w:szCs w:val="19"/>
          <w:color w:val="auto"/>
        </w:rPr>
      </w:pPr>
      <w:r>
        <w:rPr>
          <w:rFonts w:ascii="Arial" w:cs="Arial" w:eastAsia="Arial" w:hAnsi="Arial"/>
          <w:sz w:val="19"/>
          <w:szCs w:val="19"/>
          <w:color w:val="auto"/>
        </w:rPr>
        <w:t>Franchise and other revenues which are earned primarily from franchise royalties and other non-food and beverage revenue streams, such as rental and sublease income;</w:t>
      </w:r>
    </w:p>
    <w:p>
      <w:pPr>
        <w:ind w:left="1240" w:hanging="386"/>
        <w:spacing w:after="0"/>
        <w:tabs>
          <w:tab w:leader="none" w:pos="1239" w:val="left"/>
        </w:tabs>
        <w:numPr>
          <w:ilvl w:val="0"/>
          <w:numId w:val="33"/>
        </w:numPr>
        <w:rPr>
          <w:rFonts w:ascii="Arial" w:cs="Arial" w:eastAsia="Arial" w:hAnsi="Arial"/>
          <w:sz w:val="19"/>
          <w:szCs w:val="19"/>
          <w:color w:val="auto"/>
        </w:rPr>
      </w:pPr>
      <w:r>
        <w:rPr>
          <w:rFonts w:ascii="Arial" w:cs="Arial" w:eastAsia="Arial" w:hAnsi="Arial"/>
          <w:sz w:val="19"/>
          <w:szCs w:val="19"/>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Arial" w:cs="Arial" w:eastAsia="Arial" w:hAnsi="Arial"/>
          <w:sz w:val="19"/>
          <w:szCs w:val="19"/>
          <w:color w:val="auto"/>
        </w:rPr>
      </w:pPr>
    </w:p>
    <w:p>
      <w:pPr>
        <w:ind w:left="1240" w:hanging="386"/>
        <w:spacing w:after="0"/>
        <w:tabs>
          <w:tab w:leader="none" w:pos="12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General and administrative expense which includes primarily non-restaurant-level costs associated with support of the restaurants and other activities at our corporate offices; and</w:t>
      </w:r>
    </w:p>
    <w:p>
      <w:pPr>
        <w:spacing w:after="0" w:line="1" w:lineRule="exact"/>
        <w:rPr>
          <w:rFonts w:ascii="Arial" w:cs="Arial" w:eastAsia="Arial" w:hAnsi="Arial"/>
          <w:sz w:val="19"/>
          <w:szCs w:val="19"/>
          <w:color w:val="auto"/>
        </w:rPr>
      </w:pPr>
    </w:p>
    <w:p>
      <w:pPr>
        <w:ind w:left="1220" w:hanging="366"/>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28"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Restaurant-level operating margin excludes various expenses, as discussed above, that are essential to support the operations of our restaurants and may materially impact our Consolidated Statements of Operations and Comprehensive (Loss) Income. As a result, restaurant-level operating margin is not indicative of our consolidated results of operations and is presented exclusively as a supplement to, and not a substitute for, Net (loss) income or Income from operations. In addition, our presentation of restaurant-level operating margin may not be comparable to similarly titled measures used by other companies in our industry;</w:t>
      </w:r>
    </w:p>
    <w:p>
      <w:pPr>
        <w:spacing w:after="0" w:line="194"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Adjusted restaurant-level operating margin, Adjusted income from operations, Adjusted net income and Adjusted diluted earnings per share</w:t>
      </w:r>
    </w:p>
    <w:p>
      <w:pPr>
        <w:spacing w:after="0" w:line="39" w:lineRule="exact"/>
        <w:rPr>
          <w:rFonts w:ascii="Arial" w:cs="Arial" w:eastAsia="Arial" w:hAnsi="Arial"/>
          <w:sz w:val="17"/>
          <w:szCs w:val="17"/>
          <w:i w:val="1"/>
          <w:iCs w:val="1"/>
          <w:color w:val="auto"/>
        </w:rPr>
      </w:pPr>
    </w:p>
    <w:p>
      <w:pPr>
        <w:ind w:left="620"/>
        <w:spacing w:after="0"/>
        <w:rPr>
          <w:rFonts w:ascii="Arial" w:cs="Arial" w:eastAsia="Arial" w:hAnsi="Arial"/>
          <w:sz w:val="17"/>
          <w:szCs w:val="17"/>
          <w:i w:val="1"/>
          <w:iCs w:val="1"/>
          <w:color w:val="auto"/>
        </w:rPr>
      </w:pPr>
      <w:r>
        <w:rPr>
          <w:rFonts w:ascii="Arial" w:cs="Arial" w:eastAsia="Arial" w:hAnsi="Arial"/>
          <w:sz w:val="19"/>
          <w:szCs w:val="19"/>
          <w:color w:val="auto"/>
        </w:rPr>
        <w:t>— non-GAAP financial measures utilized to evaluate our operating performance.</w:t>
      </w:r>
    </w:p>
    <w:p>
      <w:pPr>
        <w:spacing w:after="0" w:line="204" w:lineRule="exact"/>
        <w:rPr>
          <w:sz w:val="20"/>
          <w:szCs w:val="20"/>
          <w:color w:val="auto"/>
        </w:rPr>
      </w:pPr>
    </w:p>
    <w:p>
      <w:pPr>
        <w:jc w:val="both"/>
        <w:ind w:left="620"/>
        <w:spacing w:after="0" w:line="278" w:lineRule="auto"/>
        <w:rPr>
          <w:sz w:val="20"/>
          <w:szCs w:val="20"/>
          <w:color w:val="auto"/>
        </w:rPr>
      </w:pPr>
      <w:r>
        <w:rPr>
          <w:rFonts w:ascii="Arial" w:cs="Arial" w:eastAsia="Arial" w:hAnsi="Arial"/>
          <w:sz w:val="17"/>
          <w:szCs w:val="17"/>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Selected Operating Data</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number of our full-service restaurants in operation as of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Number of restaurants (at end of the period):</w:t>
            </w:r>
          </w:p>
        </w:tc>
        <w:tc>
          <w:tcPr>
            <w:tcW w:w="1980" w:type="dxa"/>
            <w:vAlign w:val="bottom"/>
            <w:gridSpan w:val="2"/>
          </w:tcPr>
          <w:p>
            <w:pPr>
              <w:ind w:left="500"/>
              <w:spacing w:after="0"/>
              <w:rPr>
                <w:sz w:val="20"/>
                <w:szCs w:val="20"/>
                <w:color w:val="auto"/>
              </w:rPr>
            </w:pPr>
            <w:r>
              <w:rPr>
                <w:rFonts w:ascii="Arial" w:cs="Arial" w:eastAsia="Arial" w:hAnsi="Arial"/>
                <w:sz w:val="14"/>
                <w:szCs w:val="14"/>
                <w:b w:val="1"/>
                <w:bCs w:val="1"/>
                <w:color w:val="auto"/>
              </w:rPr>
              <w:t>JUNE 26, 2022</w:t>
            </w:r>
          </w:p>
        </w:tc>
        <w:tc>
          <w:tcPr>
            <w:tcW w:w="1900" w:type="dxa"/>
            <w:vAlign w:val="bottom"/>
          </w:tcPr>
          <w:p>
            <w:pPr>
              <w:jc w:val="right"/>
              <w:ind w:right="423"/>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19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Carrabba’s Italian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Aussie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 (1)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U.S.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1,160</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1,170</w:t>
            </w:r>
          </w:p>
        </w:tc>
        <w:tc>
          <w:tcPr>
            <w:tcW w:w="0" w:type="dxa"/>
            <w:vAlign w:val="bottom"/>
          </w:tcPr>
          <w:p>
            <w:pPr>
              <w:spacing w:after="0"/>
              <w:rPr>
                <w:sz w:val="1"/>
                <w:szCs w:val="1"/>
                <w:color w:val="auto"/>
              </w:rPr>
            </w:pPr>
          </w:p>
        </w:tc>
      </w:tr>
      <w:tr>
        <w:trPr>
          <w:trHeight w:val="193"/>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 - Brazil (2)</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Other (1)(2)(3)</w:t>
            </w:r>
          </w:p>
        </w:tc>
        <w:tc>
          <w:tcPr>
            <w:tcW w:w="188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Outback Steakhouse - South Korea (1)</w:t>
            </w:r>
          </w:p>
        </w:tc>
        <w:tc>
          <w:tcPr>
            <w:tcW w:w="188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International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31"/>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System-wide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1,449</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5"/>
                <w:szCs w:val="15"/>
                <w:color w:val="auto"/>
              </w:rPr>
              <w:t>System-wide total - Company-owned</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360" w:type="dxa"/>
            <w:vAlign w:val="bottom"/>
            <w:vMerge w:val="continue"/>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1,166</w:t>
            </w:r>
          </w:p>
        </w:tc>
        <w:tc>
          <w:tcPr>
            <w:tcW w:w="1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1,158</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System-wide total - Franchised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Previously presented restaurant counts as of June 27, 2021 have been adjusted to exclude off-premises only locations included in the table below.</w:t>
      </w:r>
    </w:p>
    <w:p>
      <w:pPr>
        <w:spacing w:after="0" w:line="8"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restaurant counts for Brazil, including Abbraccio restaurants within International Company-owned Other, are reported as of May 31, 2022 and 2021, respectively, to correspond with the balance sheet dates of this subsidiary.</w:t>
      </w:r>
    </w:p>
    <w:p>
      <w:pPr>
        <w:ind w:left="620" w:hanging="617"/>
        <w:spacing w:after="0" w:line="266"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International Company-owned Other included two Aussie Grill locations as of June 26, 2022 and June 27, 2021. International Franchised Other included three Aussie Grill locations as of June 26, 2022 and June 27, 2021.</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number of our off-premises only kitchens in operation as of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00" w:type="dxa"/>
            <w:vAlign w:val="bottom"/>
          </w:tcPr>
          <w:p>
            <w:pPr>
              <w:ind w:left="20"/>
              <w:spacing w:after="0"/>
              <w:rPr>
                <w:sz w:val="20"/>
                <w:szCs w:val="20"/>
                <w:color w:val="auto"/>
              </w:rPr>
            </w:pPr>
            <w:r>
              <w:rPr>
                <w:rFonts w:ascii="Arial" w:cs="Arial" w:eastAsia="Arial" w:hAnsi="Arial"/>
                <w:sz w:val="15"/>
                <w:szCs w:val="15"/>
                <w:b w:val="1"/>
                <w:bCs w:val="1"/>
                <w:color w:val="auto"/>
              </w:rPr>
              <w:t>Number of kitchens (at end of the period) (1):</w:t>
            </w:r>
          </w:p>
        </w:tc>
        <w:tc>
          <w:tcPr>
            <w:tcW w:w="2020" w:type="dxa"/>
            <w:vAlign w:val="bottom"/>
            <w:gridSpan w:val="2"/>
          </w:tcPr>
          <w:p>
            <w:pPr>
              <w:ind w:left="520"/>
              <w:spacing w:after="0"/>
              <w:rPr>
                <w:sz w:val="20"/>
                <w:szCs w:val="20"/>
                <w:color w:val="auto"/>
              </w:rPr>
            </w:pPr>
            <w:r>
              <w:rPr>
                <w:rFonts w:ascii="Arial" w:cs="Arial" w:eastAsia="Arial" w:hAnsi="Arial"/>
                <w:sz w:val="14"/>
                <w:szCs w:val="14"/>
                <w:b w:val="1"/>
                <w:bCs w:val="1"/>
                <w:color w:val="auto"/>
              </w:rPr>
              <w:t>JUNE 26, 2022</w:t>
            </w:r>
          </w:p>
        </w:tc>
        <w:tc>
          <w:tcPr>
            <w:tcW w:w="1920" w:type="dxa"/>
            <w:vAlign w:val="bottom"/>
          </w:tcPr>
          <w:p>
            <w:pPr>
              <w:jc w:val="right"/>
              <w:ind w:right="444"/>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03"/>
        </w:trPr>
        <w:tc>
          <w:tcPr>
            <w:tcW w:w="730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9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03"/>
        </w:trPr>
        <w:tc>
          <w:tcPr>
            <w:tcW w:w="730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9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Franchised - South Korea</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189"/>
        </w:trPr>
        <w:tc>
          <w:tcPr>
            <w:tcW w:w="7300" w:type="dxa"/>
            <w:vAlign w:val="bottom"/>
          </w:tcPr>
          <w:p>
            <w:pPr>
              <w:ind w:left="20"/>
              <w:spacing w:after="0"/>
              <w:rPr>
                <w:sz w:val="20"/>
                <w:szCs w:val="20"/>
                <w:color w:val="auto"/>
              </w:rPr>
            </w:pPr>
            <w:r>
              <w:rPr>
                <w:rFonts w:ascii="Arial" w:cs="Arial" w:eastAsia="Arial" w:hAnsi="Arial"/>
                <w:sz w:val="15"/>
                <w:szCs w:val="15"/>
                <w:color w:val="auto"/>
              </w:rPr>
              <w:t>System-wide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r>
      <w:tr>
        <w:trPr>
          <w:trHeight w:val="21"/>
        </w:trPr>
        <w:tc>
          <w:tcPr>
            <w:tcW w:w="73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Excludes virtual concepts that operate out of existing restaurants and sports venue locations.</w:t>
      </w:r>
    </w:p>
    <w:p>
      <w:pPr>
        <w:spacing w:after="0" w:line="200" w:lineRule="exact"/>
        <w:rPr>
          <w:rFonts w:ascii="Arial" w:cs="Arial" w:eastAsia="Arial" w:hAnsi="Arial"/>
          <w:sz w:val="15"/>
          <w:szCs w:val="15"/>
          <w:color w:val="auto"/>
        </w:rPr>
      </w:pPr>
    </w:p>
    <w:p>
      <w:pPr>
        <w:spacing w:after="0" w:line="358"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percentages of certain items in our Consolidated Statements of Operations in relation to Total revenues or</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Restaurant sales,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3240" w:type="dxa"/>
            <w:vAlign w:val="bottom"/>
            <w:gridSpan w:val="4"/>
          </w:tcPr>
          <w:p>
            <w:pPr>
              <w:ind w:left="680"/>
              <w:spacing w:after="0"/>
              <w:rPr>
                <w:sz w:val="20"/>
                <w:szCs w:val="20"/>
                <w:color w:val="auto"/>
              </w:rPr>
            </w:pPr>
            <w:r>
              <w:rPr>
                <w:rFonts w:ascii="Arial" w:cs="Arial" w:eastAsia="Arial" w:hAnsi="Arial"/>
                <w:sz w:val="14"/>
                <w:szCs w:val="14"/>
                <w:b w:val="1"/>
                <w:bCs w:val="1"/>
                <w:color w:val="auto"/>
              </w:rPr>
              <w:t>THIRTEEN WEEKS ENDED</w:t>
            </w:r>
          </w:p>
        </w:tc>
        <w:tc>
          <w:tcPr>
            <w:tcW w:w="314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60" w:type="dxa"/>
            <w:vAlign w:val="bottom"/>
          </w:tcPr>
          <w:p>
            <w:pPr>
              <w:spacing w:after="0"/>
              <w:rPr>
                <w:sz w:val="16"/>
                <w:szCs w:val="16"/>
                <w:color w:val="auto"/>
              </w:rPr>
            </w:pPr>
          </w:p>
        </w:tc>
        <w:tc>
          <w:tcPr>
            <w:tcW w:w="162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JUNE 26, 2022</w:t>
            </w:r>
          </w:p>
        </w:tc>
        <w:tc>
          <w:tcPr>
            <w:tcW w:w="152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JUNE 26, 2022</w:t>
            </w:r>
          </w:p>
        </w:tc>
        <w:tc>
          <w:tcPr>
            <w:tcW w:w="152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1520" w:type="dxa"/>
            <w:vAlign w:val="bottom"/>
          </w:tcPr>
          <w:p>
            <w:pPr>
              <w:jc w:val="right"/>
              <w:spacing w:after="0"/>
              <w:rPr>
                <w:sz w:val="20"/>
                <w:szCs w:val="20"/>
                <w:color w:val="auto"/>
              </w:rPr>
            </w:pPr>
            <w:r>
              <w:rPr>
                <w:rFonts w:ascii="Arial" w:cs="Arial" w:eastAsia="Arial" w:hAnsi="Arial"/>
                <w:sz w:val="15"/>
                <w:szCs w:val="15"/>
                <w:color w:val="auto"/>
              </w:rPr>
              <w:t>98.6 %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97.9 %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98.5 %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98.5 %</w:t>
            </w:r>
          </w:p>
        </w:tc>
      </w:tr>
      <w:tr>
        <w:trPr>
          <w:trHeight w:val="229"/>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1.5</w:t>
            </w:r>
          </w:p>
        </w:tc>
      </w:tr>
      <w:tr>
        <w:trPr>
          <w:trHeight w:val="189"/>
        </w:trPr>
        <w:tc>
          <w:tcPr>
            <w:tcW w:w="4860" w:type="dxa"/>
            <w:vAlign w:val="bottom"/>
          </w:tcPr>
          <w:p>
            <w:pPr>
              <w:ind w:left="760"/>
              <w:spacing w:after="0"/>
              <w:rPr>
                <w:sz w:val="20"/>
                <w:szCs w:val="20"/>
                <w:color w:val="auto"/>
              </w:rPr>
            </w:pPr>
            <w:r>
              <w:rPr>
                <w:rFonts w:ascii="Arial" w:cs="Arial" w:eastAsia="Arial" w:hAnsi="Arial"/>
                <w:sz w:val="15"/>
                <w:szCs w:val="15"/>
                <w:color w:val="auto"/>
              </w:rPr>
              <w:t>Total revenues</w:t>
            </w: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20" w:type="dxa"/>
            <w:vAlign w:val="bottom"/>
          </w:tcPr>
          <w:p>
            <w:pPr>
              <w:jc w:val="right"/>
              <w:ind w:right="103"/>
              <w:spacing w:after="0"/>
              <w:rPr>
                <w:sz w:val="20"/>
                <w:szCs w:val="20"/>
                <w:color w:val="auto"/>
              </w:rPr>
            </w:pPr>
            <w:r>
              <w:rPr>
                <w:rFonts w:ascii="Arial" w:cs="Arial" w:eastAsia="Arial" w:hAnsi="Arial"/>
                <w:sz w:val="15"/>
                <w:szCs w:val="15"/>
                <w:color w:val="auto"/>
              </w:rPr>
              <w:t>100.0</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Food and beverage costs (1)</w:t>
            </w: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32.9</w:t>
            </w:r>
          </w:p>
        </w:tc>
        <w:tc>
          <w:tcPr>
            <w:tcW w:w="100" w:type="dxa"/>
            <w:vAlign w:val="bottom"/>
          </w:tcPr>
          <w:p>
            <w:pPr>
              <w:spacing w:after="0"/>
              <w:rPr>
                <w:sz w:val="17"/>
                <w:szCs w:val="17"/>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7"/>
                <w:szCs w:val="17"/>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17"/>
                <w:szCs w:val="17"/>
                <w:color w:val="auto"/>
              </w:rPr>
            </w:pPr>
          </w:p>
        </w:tc>
        <w:tc>
          <w:tcPr>
            <w:tcW w:w="1520" w:type="dxa"/>
            <w:vAlign w:val="bottom"/>
          </w:tcPr>
          <w:p>
            <w:pPr>
              <w:jc w:val="right"/>
              <w:ind w:right="103"/>
              <w:spacing w:after="0"/>
              <w:rPr>
                <w:sz w:val="20"/>
                <w:szCs w:val="20"/>
                <w:color w:val="auto"/>
              </w:rPr>
            </w:pPr>
            <w:r>
              <w:rPr>
                <w:rFonts w:ascii="Arial" w:cs="Arial" w:eastAsia="Arial" w:hAnsi="Arial"/>
                <w:sz w:val="15"/>
                <w:szCs w:val="15"/>
                <w:color w:val="auto"/>
              </w:rPr>
              <w:t>29.7</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 (1)</w:t>
            </w: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28.0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28.0</w:t>
            </w: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Other restaurant operating (1)</w:t>
            </w: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7"/>
                <w:szCs w:val="17"/>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22.1</w:t>
            </w:r>
          </w:p>
        </w:tc>
        <w:tc>
          <w:tcPr>
            <w:tcW w:w="100" w:type="dxa"/>
            <w:vAlign w:val="bottom"/>
          </w:tcPr>
          <w:p>
            <w:pPr>
              <w:spacing w:after="0"/>
              <w:rPr>
                <w:sz w:val="17"/>
                <w:szCs w:val="17"/>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23.4</w:t>
            </w:r>
          </w:p>
        </w:tc>
        <w:tc>
          <w:tcPr>
            <w:tcW w:w="100" w:type="dxa"/>
            <w:vAlign w:val="bottom"/>
          </w:tcPr>
          <w:p>
            <w:pPr>
              <w:spacing w:after="0"/>
              <w:rPr>
                <w:sz w:val="17"/>
                <w:szCs w:val="17"/>
                <w:color w:val="auto"/>
              </w:rPr>
            </w:pPr>
          </w:p>
        </w:tc>
        <w:tc>
          <w:tcPr>
            <w:tcW w:w="1520" w:type="dxa"/>
            <w:vAlign w:val="bottom"/>
          </w:tcPr>
          <w:p>
            <w:pPr>
              <w:jc w:val="right"/>
              <w:ind w:right="103"/>
              <w:spacing w:after="0"/>
              <w:rPr>
                <w:sz w:val="20"/>
                <w:szCs w:val="20"/>
                <w:color w:val="auto"/>
              </w:rPr>
            </w:pPr>
            <w:r>
              <w:rPr>
                <w:rFonts w:ascii="Arial" w:cs="Arial" w:eastAsia="Arial" w:hAnsi="Arial"/>
                <w:sz w:val="15"/>
                <w:szCs w:val="15"/>
                <w:color w:val="auto"/>
              </w:rPr>
              <w:t>22.7</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4.0</w:t>
            </w: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520" w:type="dxa"/>
            <w:vAlign w:val="bottom"/>
          </w:tcPr>
          <w:p>
            <w:pPr>
              <w:jc w:val="right"/>
              <w:ind w:right="103"/>
              <w:spacing w:after="0"/>
              <w:rPr>
                <w:sz w:val="20"/>
                <w:szCs w:val="20"/>
                <w:color w:val="auto"/>
              </w:rPr>
            </w:pPr>
            <w:r>
              <w:rPr>
                <w:rFonts w:ascii="Arial" w:cs="Arial" w:eastAsia="Arial" w:hAnsi="Arial"/>
                <w:sz w:val="15"/>
                <w:szCs w:val="15"/>
                <w:color w:val="auto"/>
              </w:rPr>
              <w:t>6.0</w:t>
            </w:r>
          </w:p>
        </w:tc>
      </w:tr>
      <w:tr>
        <w:trPr>
          <w:trHeight w:val="202"/>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0.5</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0.4</w:t>
            </w:r>
          </w:p>
        </w:tc>
      </w:tr>
      <w:tr>
        <w:trPr>
          <w:trHeight w:val="212"/>
        </w:trPr>
        <w:tc>
          <w:tcPr>
            <w:tcW w:w="486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15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88.4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91.4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89.6</w:t>
            </w:r>
          </w:p>
        </w:tc>
      </w:tr>
      <w:tr>
        <w:trPr>
          <w:trHeight w:val="206"/>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10.4</w:t>
            </w:r>
          </w:p>
        </w:tc>
      </w:tr>
      <w:tr>
        <w:trPr>
          <w:trHeight w:val="203"/>
        </w:trPr>
        <w:tc>
          <w:tcPr>
            <w:tcW w:w="4860" w:type="dxa"/>
            <w:vAlign w:val="bottom"/>
          </w:tcPr>
          <w:p>
            <w:pPr>
              <w:ind w:left="20"/>
              <w:spacing w:after="0"/>
              <w:rPr>
                <w:sz w:val="20"/>
                <w:szCs w:val="20"/>
                <w:color w:val="auto"/>
              </w:rPr>
            </w:pPr>
            <w:r>
              <w:rPr>
                <w:rFonts w:ascii="Arial" w:cs="Arial" w:eastAsia="Arial" w:hAnsi="Arial"/>
                <w:sz w:val="15"/>
                <w:szCs w:val="15"/>
                <w:color w:val="auto"/>
              </w:rPr>
              <w:t>Loss on extinguishment and modification of debt</w:t>
            </w:r>
          </w:p>
        </w:tc>
        <w:tc>
          <w:tcPr>
            <w:tcW w:w="1520" w:type="dxa"/>
            <w:vAlign w:val="bottom"/>
          </w:tcPr>
          <w:p>
            <w:pPr>
              <w:jc w:val="right"/>
              <w:ind w:right="83"/>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1520" w:type="dxa"/>
            <w:vAlign w:val="bottom"/>
          </w:tcPr>
          <w:p>
            <w:pPr>
              <w:jc w:val="right"/>
              <w:ind w:right="63"/>
              <w:spacing w:after="0"/>
              <w:rPr>
                <w:sz w:val="20"/>
                <w:szCs w:val="20"/>
                <w:color w:val="auto"/>
              </w:rPr>
            </w:pPr>
            <w:r>
              <w:rPr>
                <w:rFonts w:ascii="Arial" w:cs="Arial" w:eastAsia="Arial" w:hAnsi="Arial"/>
                <w:sz w:val="15"/>
                <w:szCs w:val="15"/>
                <w:color w:val="auto"/>
              </w:rPr>
              <w:t>(0.1)</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fair value adjustment of derivatives, net</w:t>
            </w: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r>
      <w:tr>
        <w:trPr>
          <w:trHeight w:val="203"/>
        </w:trPr>
        <w:tc>
          <w:tcPr>
            <w:tcW w:w="4860" w:type="dxa"/>
            <w:vAlign w:val="bottom"/>
          </w:tcPr>
          <w:p>
            <w:pPr>
              <w:ind w:left="20"/>
              <w:spacing w:after="0"/>
              <w:rPr>
                <w:sz w:val="20"/>
                <w:szCs w:val="20"/>
                <w:color w:val="auto"/>
              </w:rPr>
            </w:pPr>
            <w:r>
              <w:rPr>
                <w:rFonts w:ascii="Arial" w:cs="Arial" w:eastAsia="Arial" w:hAnsi="Arial"/>
                <w:sz w:val="15"/>
                <w:szCs w:val="15"/>
                <w:color w:val="auto"/>
              </w:rPr>
              <w:t>Other income, net</w:t>
            </w:r>
          </w:p>
        </w:tc>
        <w:tc>
          <w:tcPr>
            <w:tcW w:w="16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w:t>
            </w:r>
          </w:p>
        </w:tc>
      </w:tr>
      <w:tr>
        <w:trPr>
          <w:trHeight w:val="189"/>
        </w:trPr>
        <w:tc>
          <w:tcPr>
            <w:tcW w:w="4860" w:type="dxa"/>
            <w:vAlign w:val="bottom"/>
          </w:tcPr>
          <w:p>
            <w:pPr>
              <w:ind w:left="20"/>
              <w:spacing w:after="0"/>
              <w:rPr>
                <w:sz w:val="20"/>
                <w:szCs w:val="20"/>
                <w:color w:val="auto"/>
              </w:rPr>
            </w:pPr>
            <w:r>
              <w:rPr>
                <w:rFonts w:ascii="Arial" w:cs="Arial" w:eastAsia="Arial" w:hAnsi="Arial"/>
                <w:sz w:val="15"/>
                <w:szCs w:val="15"/>
                <w:color w:val="auto"/>
              </w:rPr>
              <w:t>(Loss) income before provision for income taxes</w:t>
            </w:r>
          </w:p>
        </w:tc>
        <w:tc>
          <w:tcPr>
            <w:tcW w:w="1520" w:type="dxa"/>
            <w:vAlign w:val="bottom"/>
          </w:tcPr>
          <w:p>
            <w:pPr>
              <w:jc w:val="right"/>
              <w:ind w:right="83"/>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6"/>
                <w:szCs w:val="16"/>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1520" w:type="dxa"/>
            <w:vAlign w:val="bottom"/>
          </w:tcPr>
          <w:p>
            <w:pPr>
              <w:jc w:val="right"/>
              <w:ind w:right="103"/>
              <w:spacing w:after="0"/>
              <w:rPr>
                <w:sz w:val="20"/>
                <w:szCs w:val="20"/>
                <w:color w:val="auto"/>
              </w:rPr>
            </w:pPr>
            <w:r>
              <w:rPr>
                <w:rFonts w:ascii="Arial" w:cs="Arial" w:eastAsia="Arial" w:hAnsi="Arial"/>
                <w:sz w:val="15"/>
                <w:szCs w:val="15"/>
                <w:color w:val="auto"/>
              </w:rPr>
              <w:t>8.9</w:t>
            </w:r>
          </w:p>
        </w:tc>
      </w:tr>
      <w:tr>
        <w:trPr>
          <w:trHeight w:val="22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1.4</w:t>
            </w:r>
          </w:p>
        </w:tc>
      </w:tr>
      <w:tr>
        <w:trPr>
          <w:trHeight w:val="189"/>
        </w:trPr>
        <w:tc>
          <w:tcPr>
            <w:tcW w:w="486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1520" w:type="dxa"/>
            <w:vAlign w:val="bottom"/>
          </w:tcPr>
          <w:p>
            <w:pPr>
              <w:jc w:val="right"/>
              <w:ind w:right="83"/>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6"/>
                <w:szCs w:val="16"/>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6"/>
                <w:szCs w:val="16"/>
                <w:color w:val="auto"/>
              </w:rPr>
            </w:pPr>
          </w:p>
        </w:tc>
        <w:tc>
          <w:tcPr>
            <w:tcW w:w="1520" w:type="dxa"/>
            <w:vAlign w:val="bottom"/>
          </w:tcPr>
          <w:p>
            <w:pPr>
              <w:jc w:val="right"/>
              <w:ind w:right="12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6"/>
                <w:szCs w:val="16"/>
                <w:color w:val="auto"/>
              </w:rPr>
            </w:pPr>
          </w:p>
        </w:tc>
        <w:tc>
          <w:tcPr>
            <w:tcW w:w="1520" w:type="dxa"/>
            <w:vAlign w:val="bottom"/>
          </w:tcPr>
          <w:p>
            <w:pPr>
              <w:jc w:val="right"/>
              <w:ind w:right="103"/>
              <w:spacing w:after="0"/>
              <w:rPr>
                <w:sz w:val="20"/>
                <w:szCs w:val="20"/>
                <w:color w:val="auto"/>
              </w:rPr>
            </w:pPr>
            <w:r>
              <w:rPr>
                <w:rFonts w:ascii="Arial" w:cs="Arial" w:eastAsia="Arial" w:hAnsi="Arial"/>
                <w:sz w:val="15"/>
                <w:szCs w:val="15"/>
                <w:color w:val="auto"/>
              </w:rPr>
              <w:t>7.5</w:t>
            </w:r>
          </w:p>
        </w:tc>
      </w:tr>
      <w:tr>
        <w:trPr>
          <w:trHeight w:val="215"/>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Less: net income attributable to noncontrolling interests</w:t>
            </w: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0.2</w:t>
            </w:r>
          </w:p>
        </w:tc>
      </w:tr>
      <w:tr>
        <w:trPr>
          <w:trHeight w:val="206"/>
        </w:trPr>
        <w:tc>
          <w:tcPr>
            <w:tcW w:w="4860" w:type="dxa"/>
            <w:vAlign w:val="bottom"/>
          </w:tcPr>
          <w:p>
            <w:pPr>
              <w:ind w:left="20"/>
              <w:spacing w:after="0"/>
              <w:rPr>
                <w:sz w:val="20"/>
                <w:szCs w:val="20"/>
                <w:color w:val="auto"/>
              </w:rPr>
            </w:pPr>
            <w:r>
              <w:rPr>
                <w:rFonts w:ascii="Arial" w:cs="Arial" w:eastAsia="Arial" w:hAnsi="Arial"/>
                <w:sz w:val="15"/>
                <w:szCs w:val="15"/>
                <w:color w:val="auto"/>
              </w:rPr>
              <w:t>Net (loss) income attributable to Bloomin’ Brands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7.7 %</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0.5 %</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7.3 %</w:t>
            </w:r>
          </w:p>
        </w:tc>
      </w:tr>
      <w:tr>
        <w:trPr>
          <w:trHeight w:val="20"/>
        </w:trPr>
        <w:tc>
          <w:tcPr>
            <w:tcW w:w="4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16" w:lineRule="exact"/>
        <w:rPr>
          <w:sz w:val="20"/>
          <w:szCs w:val="20"/>
          <w:color w:val="auto"/>
        </w:rPr>
      </w:pPr>
    </w:p>
    <w:p>
      <w:pPr>
        <w:ind w:left="620" w:hanging="617"/>
        <w:spacing w:after="0"/>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 a percentage of Restaurant sales.</w:t>
      </w:r>
    </w:p>
    <w:p>
      <w:pPr>
        <w:ind w:left="620" w:hanging="617"/>
        <w:spacing w:after="0"/>
        <w:tabs>
          <w:tab w:leader="none" w:pos="6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Less than 1/10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of one percent of Total revenues.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REVENUES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Restaurant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246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2420" w:type="dxa"/>
            <w:vAlign w:val="bottom"/>
          </w:tcPr>
          <w:p>
            <w:pPr>
              <w:jc w:val="right"/>
              <w:ind w:right="284"/>
              <w:spacing w:after="0"/>
              <w:rPr>
                <w:sz w:val="20"/>
                <w:szCs w:val="20"/>
                <w:color w:val="auto"/>
              </w:rPr>
            </w:pPr>
            <w:r>
              <w:rPr>
                <w:rFonts w:ascii="Arial" w:cs="Arial" w:eastAsia="Arial" w:hAnsi="Arial"/>
                <w:sz w:val="14"/>
                <w:szCs w:val="14"/>
                <w:b w:val="1"/>
                <w:bCs w:val="1"/>
                <w:color w:val="auto"/>
              </w:rPr>
              <w:t>TWENTY-SIX WEEKS ENDED</w:t>
            </w:r>
          </w:p>
        </w:tc>
      </w:tr>
      <w:tr>
        <w:trPr>
          <w:trHeight w:val="20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27, 2021</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1,055.2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2,034.7</w:t>
            </w:r>
          </w:p>
        </w:tc>
      </w:tr>
      <w:tr>
        <w:trPr>
          <w:trHeight w:val="203"/>
        </w:trPr>
        <w:tc>
          <w:tcPr>
            <w:tcW w:w="586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9"/>
        </w:trPr>
        <w:tc>
          <w:tcPr>
            <w:tcW w:w="5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 (1)</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179.2</w:t>
            </w:r>
          </w:p>
        </w:tc>
      </w:tr>
      <w:tr>
        <w:trPr>
          <w:trHeight w:val="203"/>
        </w:trPr>
        <w:tc>
          <w:tcPr>
            <w:tcW w:w="5860" w:type="dxa"/>
            <w:vAlign w:val="bottom"/>
          </w:tcPr>
          <w:p>
            <w:pPr>
              <w:ind w:left="320"/>
              <w:spacing w:after="0"/>
              <w:rPr>
                <w:sz w:val="20"/>
                <w:szCs w:val="20"/>
                <w:color w:val="auto"/>
              </w:rPr>
            </w:pPr>
            <w:r>
              <w:rPr>
                <w:rFonts w:ascii="Arial" w:cs="Arial" w:eastAsia="Arial" w:hAnsi="Arial"/>
                <w:sz w:val="15"/>
                <w:szCs w:val="15"/>
                <w:color w:val="auto"/>
              </w:rPr>
              <w:t>Restaurant openings (1)</w:t>
            </w:r>
          </w:p>
        </w:tc>
        <w:tc>
          <w:tcPr>
            <w:tcW w:w="26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5"/>
                <w:szCs w:val="15"/>
                <w:color w:val="auto"/>
              </w:rPr>
              <w:t>26.7</w:t>
            </w:r>
          </w:p>
        </w:tc>
      </w:tr>
      <w:tr>
        <w:trPr>
          <w:trHeight w:val="209"/>
        </w:trPr>
        <w:tc>
          <w:tcPr>
            <w:tcW w:w="5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r>
      <w:tr>
        <w:trPr>
          <w:trHeight w:val="199"/>
        </w:trPr>
        <w:tc>
          <w:tcPr>
            <w:tcW w:w="58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Restaurant closures (1)</w:t>
            </w:r>
          </w:p>
        </w:tc>
        <w:tc>
          <w:tcPr>
            <w:tcW w:w="2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w:t>
            </w:r>
          </w:p>
        </w:tc>
      </w:tr>
      <w:tr>
        <w:trPr>
          <w:trHeight w:val="231"/>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26, 2022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2,232.5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21" w:lineRule="exact"/>
        <w:rPr>
          <w:sz w:val="20"/>
          <w:szCs w:val="20"/>
          <w:color w:val="auto"/>
        </w:rPr>
      </w:pPr>
    </w:p>
    <w:p>
      <w:pPr>
        <w:ind w:left="620" w:hanging="617"/>
        <w:spacing w:after="0" w:line="266" w:lineRule="auto"/>
        <w:tabs>
          <w:tab w:leader="none" w:pos="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Summation of quarterly changes for restaurant openings, closures and comparable restaurant sales will not total to annual amounts as the restaurants that meet the definition of each will differ each period based on when the restaurant opened or closed.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increase in Restaurant sales during the thirteen weeks ended June 26, 2022 was primarily due to: (i) higher comparable restaurant sales, primarily in Brazil, (ii) the opening of 42 new restaurants not included in our comparable restaurant sales base and (iii) the effect of foreign currency translation of the Brazilian Real relative to the U.S. dollar. The increase in Restaurant sales was partially offset by the closure of 21 restaurants since March 28, 2021.</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increase in Restaurant sales during the twenty-six weeks ended June 26, 2022 was primarily due to: (i) higher comparable restaurant sales, primarily attributable to increases in average check per person, (ii) the opening of 45 new restaurants not included in our comparable restaurant sales base and (iii) the effect of foreign currency translation of the Brazilian Real relative to the U.S. dollar. The increase in Restaurant sales was partially offset by the closure of 22 restaurants since December 27, 2020.</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Average Restaurant Unit Volumes and Operating Weeks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average restaurant unit volumes and operating weeks,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7"/>
                <w:szCs w:val="17"/>
                <w:color w:val="auto"/>
              </w:rPr>
            </w:pPr>
          </w:p>
        </w:tc>
        <w:tc>
          <w:tcPr>
            <w:tcW w:w="2580" w:type="dxa"/>
            <w:vAlign w:val="bottom"/>
            <w:gridSpan w:val="4"/>
          </w:tcPr>
          <w:p>
            <w:pPr>
              <w:jc w:val="right"/>
              <w:ind w:right="323"/>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5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26, 2022</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3"/>
              </w:rPr>
              <w:t>JUNE 27, 2021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26, 2022</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6"/>
              </w:rPr>
              <w:t>JUNE 27, 2021</w:t>
            </w:r>
          </w:p>
        </w:tc>
      </w:tr>
      <w:tr>
        <w:trPr>
          <w:trHeight w:val="19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Average restaurant unit volumes (weekly):</w:t>
            </w: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203"/>
        </w:trPr>
        <w:tc>
          <w:tcPr>
            <w:tcW w:w="5680" w:type="dxa"/>
            <w:vAlign w:val="bottom"/>
          </w:tcPr>
          <w:p>
            <w:pPr>
              <w:ind w:left="140"/>
              <w:spacing w:after="0"/>
              <w:rPr>
                <w:sz w:val="20"/>
                <w:szCs w:val="20"/>
                <w:color w:val="auto"/>
              </w:rPr>
            </w:pPr>
            <w:r>
              <w:rPr>
                <w:rFonts w:ascii="Arial" w:cs="Arial" w:eastAsia="Arial" w:hAnsi="Arial"/>
                <w:sz w:val="15"/>
                <w:szCs w:val="15"/>
                <w:color w:val="auto"/>
              </w:rPr>
              <w:t>U.S.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77,941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79,246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75,813</w:t>
            </w: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66,016</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66,258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66,954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63,605</w:t>
            </w:r>
          </w:p>
        </w:tc>
      </w:tr>
      <w:tr>
        <w:trPr>
          <w:trHeight w:val="209"/>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65,193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59,014</w:t>
            </w: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112,900</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105,891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115,141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93,204</w:t>
            </w:r>
          </w:p>
        </w:tc>
      </w:tr>
      <w:tr>
        <w:trPr>
          <w:trHeight w:val="209"/>
        </w:trPr>
        <w:tc>
          <w:tcPr>
            <w:tcW w:w="5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Outback Steakhouse - Brazil (1)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61,210</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29,569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57,645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36,205</w:t>
            </w: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weeks: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3"/>
        </w:trPr>
        <w:tc>
          <w:tcPr>
            <w:tcW w:w="5680" w:type="dxa"/>
            <w:vAlign w:val="bottom"/>
          </w:tcPr>
          <w:p>
            <w:pPr>
              <w:ind w:left="140"/>
              <w:spacing w:after="0"/>
              <w:rPr>
                <w:sz w:val="20"/>
                <w:szCs w:val="20"/>
                <w:color w:val="auto"/>
              </w:rPr>
            </w:pPr>
            <w:r>
              <w:rPr>
                <w:rFonts w:ascii="Arial" w:cs="Arial" w:eastAsia="Arial" w:hAnsi="Arial"/>
                <w:sz w:val="15"/>
                <w:szCs w:val="15"/>
                <w:color w:val="auto"/>
              </w:rPr>
              <w:t>U.S.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14,745</w:t>
            </w: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1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2,578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5,165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5,174</w:t>
            </w:r>
          </w:p>
        </w:tc>
      </w:tr>
      <w:tr>
        <w:trPr>
          <w:trHeight w:val="209"/>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4,677</w:t>
            </w: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1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832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1,657</w:t>
            </w:r>
          </w:p>
        </w:tc>
      </w:tr>
      <w:tr>
        <w:trPr>
          <w:trHeight w:val="209"/>
        </w:trPr>
        <w:tc>
          <w:tcPr>
            <w:tcW w:w="5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1"/>
        </w:trPr>
        <w:tc>
          <w:tcPr>
            <w:tcW w:w="5680" w:type="dxa"/>
            <w:vAlign w:val="bottom"/>
          </w:tcPr>
          <w:p>
            <w:pPr>
              <w:ind w:left="220"/>
              <w:spacing w:after="0"/>
              <w:rPr>
                <w:sz w:val="20"/>
                <w:szCs w:val="20"/>
                <w:color w:val="auto"/>
              </w:rPr>
            </w:pPr>
            <w:r>
              <w:rPr>
                <w:rFonts w:ascii="Arial" w:cs="Arial" w:eastAsia="Arial" w:hAnsi="Arial"/>
                <w:sz w:val="15"/>
                <w:szCs w:val="15"/>
                <w:color w:val="auto"/>
              </w:rPr>
              <w:t>Outback Steakhouse - Brazil</w:t>
            </w:r>
          </w:p>
        </w:tc>
        <w:tc>
          <w:tcPr>
            <w:tcW w:w="1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1,644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2,877</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Translated at average exchange rates of 4.89 and 5.45 for the thirteen weeks ended June 26, 2022 and June 27, 2021, respectively, and 5.15 and 5.36 for the twenty-six weeks ended June 26, 2022 and June 27,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Comparable Restaurant Sales, Traffic and Average Check Per Person (Decreases) Increases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comparable restaurant sales, traffic and average check per person (decreases) increases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3080" w:type="dxa"/>
            <w:vAlign w:val="bottom"/>
            <w:gridSpan w:val="4"/>
          </w:tcPr>
          <w:p>
            <w:pPr>
              <w:ind w:left="600"/>
              <w:spacing w:after="0"/>
              <w:rPr>
                <w:sz w:val="20"/>
                <w:szCs w:val="20"/>
                <w:color w:val="auto"/>
              </w:rPr>
            </w:pPr>
            <w:r>
              <w:rPr>
                <w:rFonts w:ascii="Arial" w:cs="Arial" w:eastAsia="Arial" w:hAnsi="Arial"/>
                <w:sz w:val="14"/>
                <w:szCs w:val="14"/>
                <w:b w:val="1"/>
                <w:bCs w:val="1"/>
                <w:color w:val="auto"/>
              </w:rPr>
              <w:t>THIRTEEN WEEKS ENDED</w:t>
            </w:r>
          </w:p>
        </w:tc>
        <w:tc>
          <w:tcPr>
            <w:tcW w:w="2960" w:type="dxa"/>
            <w:vAlign w:val="bottom"/>
            <w:gridSpan w:val="3"/>
          </w:tcPr>
          <w:p>
            <w:pPr>
              <w:jc w:val="right"/>
              <w:ind w:right="443"/>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5200" w:type="dxa"/>
            <w:vAlign w:val="bottom"/>
          </w:tcPr>
          <w:p>
            <w:pPr>
              <w:spacing w:after="0"/>
              <w:rPr>
                <w:sz w:val="15"/>
                <w:szCs w:val="15"/>
                <w:color w:val="auto"/>
              </w:rPr>
            </w:pPr>
          </w:p>
        </w:tc>
        <w:tc>
          <w:tcPr>
            <w:tcW w:w="154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JUNE 26, 2022</w:t>
            </w:r>
          </w:p>
        </w:tc>
        <w:tc>
          <w:tcPr>
            <w:tcW w:w="144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5"/>
                <w:szCs w:val="15"/>
                <w:color w:val="auto"/>
              </w:rPr>
            </w:pPr>
          </w:p>
        </w:tc>
        <w:tc>
          <w:tcPr>
            <w:tcW w:w="154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JUNE 26, 2022</w:t>
            </w:r>
          </w:p>
        </w:tc>
        <w:tc>
          <w:tcPr>
            <w:tcW w:w="142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Year over year percentage change:</w:t>
            </w: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r>
      <w:tr>
        <w:trPr>
          <w:trHeight w:val="203"/>
        </w:trPr>
        <w:tc>
          <w:tcPr>
            <w:tcW w:w="5200" w:type="dxa"/>
            <w:vAlign w:val="bottom"/>
          </w:tcPr>
          <w:p>
            <w:pPr>
              <w:ind w:left="140"/>
              <w:spacing w:after="0"/>
              <w:rPr>
                <w:sz w:val="20"/>
                <w:szCs w:val="20"/>
                <w:color w:val="auto"/>
              </w:rPr>
            </w:pPr>
            <w:r>
              <w:rPr>
                <w:rFonts w:ascii="Arial" w:cs="Arial" w:eastAsia="Arial" w:hAnsi="Arial"/>
                <w:sz w:val="15"/>
                <w:szCs w:val="15"/>
                <w:color w:val="auto"/>
              </w:rPr>
              <w:t>Comparable restaurant sales (stores open 18 months or more):</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(1)</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4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65.8 %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3.9 %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28.8 %</w:t>
            </w:r>
          </w:p>
        </w:tc>
      </w:tr>
      <w:tr>
        <w:trPr>
          <w:trHeight w:val="209"/>
        </w:trPr>
        <w:tc>
          <w:tcPr>
            <w:tcW w:w="5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38.4 %</w:t>
            </w: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4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141.2 %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9.2 %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43.5 %</w:t>
            </w:r>
          </w:p>
        </w:tc>
      </w:tr>
      <w:tr>
        <w:trPr>
          <w:trHeight w:val="209"/>
        </w:trPr>
        <w:tc>
          <w:tcPr>
            <w:tcW w:w="5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182.6 %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55.6 %</w:t>
            </w: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42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84.6 %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6.4 %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34.4 %</w:t>
            </w: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Outback Steakhouse - Brazil (2)</w:t>
            </w:r>
          </w:p>
        </w:tc>
        <w:tc>
          <w:tcPr>
            <w:tcW w:w="1420" w:type="dxa"/>
            <w:vAlign w:val="bottom"/>
          </w:tcPr>
          <w:p>
            <w:pPr>
              <w:jc w:val="right"/>
              <w:spacing w:after="0"/>
              <w:rPr>
                <w:sz w:val="20"/>
                <w:szCs w:val="20"/>
                <w:color w:val="auto"/>
              </w:rPr>
            </w:pPr>
            <w:r>
              <w:rPr>
                <w:rFonts w:ascii="Arial" w:cs="Arial" w:eastAsia="Arial" w:hAnsi="Arial"/>
                <w:sz w:val="15"/>
                <w:szCs w:val="15"/>
                <w:color w:val="auto"/>
              </w:rPr>
              <w:t>95.7 %</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78.8 %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61.1 %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2.7 %</w:t>
            </w:r>
          </w:p>
        </w:tc>
      </w:tr>
      <w:tr>
        <w:trPr>
          <w:trHeight w:val="261"/>
        </w:trPr>
        <w:tc>
          <w:tcPr>
            <w:tcW w:w="5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03"/>
        </w:trPr>
        <w:tc>
          <w:tcPr>
            <w:tcW w:w="5200" w:type="dxa"/>
            <w:vAlign w:val="bottom"/>
          </w:tcPr>
          <w:p>
            <w:pPr>
              <w:ind w:left="140"/>
              <w:spacing w:after="0"/>
              <w:rPr>
                <w:sz w:val="20"/>
                <w:szCs w:val="20"/>
                <w:color w:val="auto"/>
              </w:rPr>
            </w:pPr>
            <w:r>
              <w:rPr>
                <w:rFonts w:ascii="Arial" w:cs="Arial" w:eastAsia="Arial" w:hAnsi="Arial"/>
                <w:sz w:val="15"/>
                <w:szCs w:val="15"/>
                <w:color w:val="auto"/>
              </w:rPr>
              <w:t>Traffic:</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420" w:type="dxa"/>
            <w:vAlign w:val="bottom"/>
          </w:tcPr>
          <w:p>
            <w:pPr>
              <w:jc w:val="right"/>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51.4 %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21.9 %</w:t>
            </w:r>
          </w:p>
        </w:tc>
      </w:tr>
      <w:tr>
        <w:trPr>
          <w:trHeight w:val="209"/>
        </w:trPr>
        <w:tc>
          <w:tcPr>
            <w:tcW w:w="5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420" w:type="dxa"/>
            <w:vAlign w:val="bottom"/>
          </w:tcPr>
          <w:p>
            <w:pPr>
              <w:jc w:val="right"/>
              <w:spacing w:after="0"/>
              <w:rPr>
                <w:sz w:val="20"/>
                <w:szCs w:val="20"/>
                <w:color w:val="auto"/>
              </w:rPr>
            </w:pPr>
            <w:r>
              <w:rPr>
                <w:rFonts w:ascii="Arial" w:cs="Arial" w:eastAsia="Arial" w:hAnsi="Arial"/>
                <w:sz w:val="15"/>
                <w:szCs w:val="15"/>
                <w:color w:val="auto"/>
              </w:rPr>
              <w:t>(8.6)%</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52.4 %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22.4 %</w:t>
            </w:r>
          </w:p>
        </w:tc>
      </w:tr>
      <w:tr>
        <w:trPr>
          <w:trHeight w:val="209"/>
        </w:trPr>
        <w:tc>
          <w:tcPr>
            <w:tcW w:w="5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33.5 %</w:t>
            </w: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420" w:type="dxa"/>
            <w:vAlign w:val="bottom"/>
          </w:tcPr>
          <w:p>
            <w:pPr>
              <w:jc w:val="right"/>
              <w:spacing w:after="0"/>
              <w:rPr>
                <w:sz w:val="20"/>
                <w:szCs w:val="20"/>
                <w:color w:val="auto"/>
              </w:rPr>
            </w:pPr>
            <w:r>
              <w:rPr>
                <w:rFonts w:ascii="Arial" w:cs="Arial" w:eastAsia="Arial" w:hAnsi="Arial"/>
                <w:sz w:val="15"/>
                <w:szCs w:val="15"/>
                <w:color w:val="auto"/>
              </w:rPr>
              <w:t>(8.3)%</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53.6 %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23.2 %</w:t>
            </w: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Outback Steakhouse - Brazil</w:t>
            </w:r>
          </w:p>
        </w:tc>
        <w:tc>
          <w:tcPr>
            <w:tcW w:w="1420" w:type="dxa"/>
            <w:vAlign w:val="bottom"/>
          </w:tcPr>
          <w:p>
            <w:pPr>
              <w:jc w:val="right"/>
              <w:spacing w:after="0"/>
              <w:rPr>
                <w:sz w:val="20"/>
                <w:szCs w:val="20"/>
                <w:color w:val="auto"/>
              </w:rPr>
            </w:pPr>
            <w:r>
              <w:rPr>
                <w:rFonts w:ascii="Arial" w:cs="Arial" w:eastAsia="Arial" w:hAnsi="Arial"/>
                <w:sz w:val="15"/>
                <w:szCs w:val="15"/>
                <w:color w:val="auto"/>
              </w:rPr>
              <w:t>57.8 %</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63.0 %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42.0 %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8.9 %</w:t>
            </w:r>
          </w:p>
        </w:tc>
      </w:tr>
      <w:tr>
        <w:trPr>
          <w:trHeight w:val="209"/>
        </w:trPr>
        <w:tc>
          <w:tcPr>
            <w:tcW w:w="5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3"/>
        </w:trPr>
        <w:tc>
          <w:tcPr>
            <w:tcW w:w="5200" w:type="dxa"/>
            <w:vAlign w:val="bottom"/>
          </w:tcPr>
          <w:p>
            <w:pPr>
              <w:ind w:left="140"/>
              <w:spacing w:after="0"/>
              <w:rPr>
                <w:sz w:val="20"/>
                <w:szCs w:val="20"/>
                <w:color w:val="auto"/>
              </w:rPr>
            </w:pPr>
            <w:r>
              <w:rPr>
                <w:rFonts w:ascii="Arial" w:cs="Arial" w:eastAsia="Arial" w:hAnsi="Arial"/>
                <w:sz w:val="15"/>
                <w:szCs w:val="15"/>
                <w:color w:val="auto"/>
              </w:rPr>
              <w:t>Average check per person (3):</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420" w:type="dxa"/>
            <w:vAlign w:val="bottom"/>
          </w:tcPr>
          <w:p>
            <w:pPr>
              <w:jc w:val="right"/>
              <w:spacing w:after="0"/>
              <w:rPr>
                <w:sz w:val="20"/>
                <w:szCs w:val="20"/>
                <w:color w:val="auto"/>
              </w:rPr>
            </w:pPr>
            <w:r>
              <w:rPr>
                <w:rFonts w:ascii="Arial" w:cs="Arial" w:eastAsia="Arial" w:hAnsi="Arial"/>
                <w:sz w:val="15"/>
                <w:szCs w:val="15"/>
                <w:color w:val="auto"/>
              </w:rPr>
              <w:t>7.6 %</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14.4 %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8.9 %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6.9 %</w:t>
            </w:r>
          </w:p>
        </w:tc>
      </w:tr>
      <w:tr>
        <w:trPr>
          <w:trHeight w:val="209"/>
        </w:trPr>
        <w:tc>
          <w:tcPr>
            <w:tcW w:w="5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420" w:type="dxa"/>
            <w:vAlign w:val="bottom"/>
          </w:tcPr>
          <w:p>
            <w:pPr>
              <w:jc w:val="right"/>
              <w:spacing w:after="0"/>
              <w:rPr>
                <w:sz w:val="20"/>
                <w:szCs w:val="20"/>
                <w:color w:val="auto"/>
              </w:rPr>
            </w:pPr>
            <w:r>
              <w:rPr>
                <w:rFonts w:ascii="Arial" w:cs="Arial" w:eastAsia="Arial" w:hAnsi="Arial"/>
                <w:sz w:val="15"/>
                <w:szCs w:val="15"/>
                <w:color w:val="auto"/>
              </w:rPr>
              <w:t>7.5 %</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88.8 %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10.2 %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21.1 %</w:t>
            </w:r>
          </w:p>
        </w:tc>
      </w:tr>
      <w:tr>
        <w:trPr>
          <w:trHeight w:val="209"/>
        </w:trPr>
        <w:tc>
          <w:tcPr>
            <w:tcW w:w="5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22.1 %</w:t>
            </w:r>
          </w:p>
        </w:tc>
      </w:tr>
      <w:tr>
        <w:trPr>
          <w:trHeight w:val="203"/>
        </w:trPr>
        <w:tc>
          <w:tcPr>
            <w:tcW w:w="520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420" w:type="dxa"/>
            <w:vAlign w:val="bottom"/>
          </w:tcPr>
          <w:p>
            <w:pPr>
              <w:jc w:val="right"/>
              <w:spacing w:after="0"/>
              <w:rPr>
                <w:sz w:val="20"/>
                <w:szCs w:val="20"/>
                <w:color w:val="auto"/>
              </w:rPr>
            </w:pPr>
            <w:r>
              <w:rPr>
                <w:rFonts w:ascii="Arial" w:cs="Arial" w:eastAsia="Arial" w:hAnsi="Arial"/>
                <w:sz w:val="15"/>
                <w:szCs w:val="15"/>
                <w:color w:val="auto"/>
              </w:rPr>
              <w:t>7.9 %</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31.0 %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9.9 %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11.2 %</w:t>
            </w: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1"/>
        </w:trPr>
        <w:tc>
          <w:tcPr>
            <w:tcW w:w="5200" w:type="dxa"/>
            <w:vAlign w:val="bottom"/>
          </w:tcPr>
          <w:p>
            <w:pPr>
              <w:ind w:left="320"/>
              <w:spacing w:after="0"/>
              <w:rPr>
                <w:sz w:val="20"/>
                <w:szCs w:val="20"/>
                <w:color w:val="auto"/>
              </w:rPr>
            </w:pPr>
            <w:r>
              <w:rPr>
                <w:rFonts w:ascii="Arial" w:cs="Arial" w:eastAsia="Arial" w:hAnsi="Arial"/>
                <w:sz w:val="15"/>
                <w:szCs w:val="15"/>
                <w:color w:val="auto"/>
              </w:rPr>
              <w:t>Outback Steakhouse - Brazil</w:t>
            </w:r>
          </w:p>
        </w:tc>
        <w:tc>
          <w:tcPr>
            <w:tcW w:w="1420" w:type="dxa"/>
            <w:vAlign w:val="bottom"/>
          </w:tcPr>
          <w:p>
            <w:pPr>
              <w:jc w:val="right"/>
              <w:spacing w:after="0"/>
              <w:rPr>
                <w:sz w:val="20"/>
                <w:szCs w:val="20"/>
                <w:color w:val="auto"/>
              </w:rPr>
            </w:pPr>
            <w:r>
              <w:rPr>
                <w:rFonts w:ascii="Arial" w:cs="Arial" w:eastAsia="Arial" w:hAnsi="Arial"/>
                <w:sz w:val="15"/>
                <w:szCs w:val="15"/>
                <w:color w:val="auto"/>
              </w:rPr>
              <w:t>37.3 %</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22.2 %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19.2 %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(4.5)%</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Relocated restaurants closed more than 60 days are excluded from comparable restaurant sales until at least 18 months after reopening.</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Excludes the effect of fluctuations in foreign currency rates. Includes trading day impact from calendar period reporting.</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Average check per person 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Franchise and other revenues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940" w:type="dxa"/>
            <w:vAlign w:val="bottom"/>
            <w:gridSpan w:val="4"/>
          </w:tcPr>
          <w:p>
            <w:pPr>
              <w:jc w:val="right"/>
              <w:ind w:right="545"/>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revenues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w:t>
            </w:r>
          </w:p>
        </w:tc>
      </w:tr>
      <w:tr>
        <w:trPr>
          <w:trHeight w:val="21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revenues (1)</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r>
      <w:tr>
        <w:trPr>
          <w:trHeight w:val="231"/>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jc w:val="both"/>
        <w:ind w:left="620" w:hanging="617"/>
        <w:spacing w:after="0" w:line="259" w:lineRule="auto"/>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During the thirteen and twenty-six weeks ended June 27, 2021, we recognized $6.3 million of other revenues in connection with favorable court rulings in Brazil regarding the calculation methodology and taxable base of PIS and COFINS taxes. The amount recognized as a result of the favorable court rulings primarily represents refundable PIS and COFINS taxes for prior years, including accrued interest.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COSTS AND EXPENSES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Food and beverage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TWENTY-SIX WEEKS ENDED</w:t>
            </w:r>
          </w:p>
        </w:tc>
        <w:tc>
          <w:tcPr>
            <w:tcW w:w="1080" w:type="dxa"/>
            <w:vAlign w:val="bottom"/>
          </w:tcPr>
          <w:p>
            <w:pPr>
              <w:spacing w:after="0"/>
              <w:rPr>
                <w:sz w:val="17"/>
                <w:szCs w:val="17"/>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b w:val="1"/>
                <w:bCs w:val="1"/>
                <w:color w:val="auto"/>
              </w:rPr>
              <w:t>CHANGE</w:t>
            </w:r>
          </w:p>
        </w:tc>
      </w:tr>
      <w:tr>
        <w:trPr>
          <w:trHeight w:val="20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364.5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312.1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723.8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604.0</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1"/>
        </w:trPr>
        <w:tc>
          <w:tcPr>
            <w:tcW w:w="270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29.6 %</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29.7 %</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2.7 %</w:t>
            </w:r>
          </w:p>
        </w:tc>
      </w:tr>
    </w:tbl>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Food and beverage costs increased as a percentage of Restaurant sales during the thirteen weeks ended June 26, 2022 as compared to the thirteen weeks ended June 27, 2021 primarily due to 4.9% from commodity inflation, partially offset by a decrease as a percentage of Restaurant sales of 1.6% from increases in average check per person, primarily driven by an increase in menu pricing.</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Food and beverage costs increased as a percentage of Restaurant sales during the twenty-six weeks ended June 26, 2022 as compared to the twenty-six weeks ended June 27, 2021 primarily due to 4.2% from commodity inflation, partially offset by a decrease as a percentage of Restaurant sales of 1.5% from increases in average check per person, primarily driven by an increase in menu pricing.</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In aggregate, our menu pricing increases during 2022 are behind our current level of commodity inflation.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Labor and other related expenses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TWENTY-SIX WEEKS ENDED</w:t>
            </w:r>
          </w:p>
        </w:tc>
        <w:tc>
          <w:tcPr>
            <w:tcW w:w="1080" w:type="dxa"/>
            <w:vAlign w:val="bottom"/>
          </w:tcPr>
          <w:p>
            <w:pPr>
              <w:spacing w:after="0"/>
              <w:rPr>
                <w:sz w:val="17"/>
                <w:szCs w:val="17"/>
                <w:color w:val="auto"/>
              </w:rPr>
            </w:pPr>
          </w:p>
        </w:tc>
      </w:tr>
      <w:tr>
        <w:trPr>
          <w:trHeight w:val="186"/>
        </w:trPr>
        <w:tc>
          <w:tcPr>
            <w:tcW w:w="2700" w:type="dxa"/>
            <w:vAlign w:val="bottom"/>
          </w:tcPr>
          <w:p>
            <w:pPr>
              <w:jc w:val="right"/>
              <w:ind w:right="1466"/>
              <w:spacing w:after="0"/>
              <w:rPr>
                <w:sz w:val="20"/>
                <w:szCs w:val="20"/>
                <w:color w:val="auto"/>
              </w:rPr>
            </w:pPr>
            <w:r>
              <w:rPr>
                <w:rFonts w:ascii="Arial" w:cs="Arial" w:eastAsia="Arial" w:hAnsi="Arial"/>
                <w:sz w:val="14"/>
                <w:szCs w:val="14"/>
                <w:b w:val="1"/>
                <w:bCs w:val="1"/>
                <w:color w:val="auto"/>
                <w:w w:val="88"/>
              </w:rPr>
              <w:t>(dollars in millions)</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b w:val="1"/>
                <w:bCs w:val="1"/>
                <w:color w:val="auto"/>
              </w:rPr>
              <w:t>CHANGE</w:t>
            </w:r>
          </w:p>
        </w:tc>
      </w:tr>
      <w:tr>
        <w:trPr>
          <w:trHeight w:val="206"/>
        </w:trPr>
        <w:tc>
          <w:tcPr>
            <w:tcW w:w="2700" w:type="dxa"/>
            <w:vAlign w:val="bottom"/>
            <w:tcBorders>
              <w:top w:val="single" w:sz="8" w:color="CCEEFF"/>
            </w:tcBorders>
            <w:shd w:val="clear" w:color="auto" w:fill="CCEEFF"/>
          </w:tcPr>
          <w:p>
            <w:pPr>
              <w:jc w:val="right"/>
              <w:ind w:right="1166"/>
              <w:spacing w:after="0"/>
              <w:rPr>
                <w:sz w:val="20"/>
                <w:szCs w:val="20"/>
                <w:color w:val="auto"/>
              </w:rPr>
            </w:pPr>
            <w:r>
              <w:rPr>
                <w:rFonts w:ascii="Arial" w:cs="Arial" w:eastAsia="Arial" w:hAnsi="Arial"/>
                <w:sz w:val="15"/>
                <w:szCs w:val="15"/>
                <w:color w:val="auto"/>
                <w:w w:val="92"/>
              </w:rPr>
              <w:t>Labor and other related</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308.8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295.0</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621.3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569.6</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1"/>
        </w:trPr>
        <w:tc>
          <w:tcPr>
            <w:tcW w:w="2700" w:type="dxa"/>
            <w:vAlign w:val="bottom"/>
          </w:tcPr>
          <w:p>
            <w:pPr>
              <w:jc w:val="right"/>
              <w:ind w:right="1146"/>
              <w:spacing w:after="0"/>
              <w:rPr>
                <w:sz w:val="20"/>
                <w:szCs w:val="20"/>
                <w:color w:val="auto"/>
              </w:rPr>
            </w:pPr>
            <w:r>
              <w:rPr>
                <w:rFonts w:ascii="Arial" w:cs="Arial" w:eastAsia="Arial" w:hAnsi="Arial"/>
                <w:sz w:val="15"/>
                <w:szCs w:val="15"/>
                <w:color w:val="auto"/>
                <w:w w:val="99"/>
              </w:rPr>
              <w:t>% of Restaurant sales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27.8 %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27.8 %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(0.2)%</w:t>
            </w:r>
          </w:p>
        </w:tc>
      </w:tr>
    </w:tbl>
    <w:p>
      <w:pPr>
        <w:spacing w:after="0" w:line="31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Labor and other related expenses decreased as a percentage of Restaurant sales during the thirteen weeks ended June 26, 2022 as compared to the thirteen weeks ended June 27, 2021 primarily due to: (i) 2.3% from leveraging increased restaurant sales due to the net benefit of lapping the impact of COVID-19, primarily in Brazil, and increases in average check per person and (ii) 0.5% from the impact of certain cost saving initiatives. These decreases were partially offset by an increase as a percentage of Restaurant sales of 2.9% from higher labor costs primarily due to wage rate inflation.</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Labor and other related expenses decreased as a percentage of Restaurant sales during the twenty-six weeks ended June 26, 2022 as compared to the twenty-six weeks ended June 27, 2021 primarily due to: (i) 2.1% from leveraging increased restaurant sales due to increases in average check per person and the net benefit of lapping the impact of COVID-19, primarily in Brazil, and (ii) 0.4% from the impact of certain cost saving initiatives. These decreases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were partially offset by an increase as a percentage of Restaurant sales of 2.5% from higher labor cost primarily due to wage rate inflation.</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Other restaurant operating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TWENTY-SIX WEEKS ENDED</w:t>
            </w:r>
          </w:p>
        </w:tc>
        <w:tc>
          <w:tcPr>
            <w:tcW w:w="1080" w:type="dxa"/>
            <w:vAlign w:val="bottom"/>
          </w:tcPr>
          <w:p>
            <w:pPr>
              <w:spacing w:after="0"/>
              <w:rPr>
                <w:sz w:val="17"/>
                <w:szCs w:val="17"/>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b w:val="1"/>
                <w:bCs w:val="1"/>
                <w:color w:val="auto"/>
              </w:rPr>
              <w:t>CHANGE</w:t>
            </w:r>
          </w:p>
        </w:tc>
      </w:tr>
      <w:tr>
        <w:trPr>
          <w:trHeight w:val="20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263.5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233.5</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522.6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462.7</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1"/>
        </w:trPr>
        <w:tc>
          <w:tcPr>
            <w:tcW w:w="270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22.1 %</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22.7 %</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0.7 %</w:t>
            </w:r>
          </w:p>
        </w:tc>
      </w:tr>
    </w:tbl>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Other restaurant operating expenses increased as a percentage of Restaurant sales during the thirteen weeks ended June 26, 2022 as compared to the thirteen weeks ended June 27, 2021 primarily due to 2.4% from higher operating expenses including utilities, primarily due to inflation, and 0.6% from higher advertising expense, partially offset by a decrease as a percentage of Restaurant sales of 1.5% from leveraging increased restaurant sales due to the net benefit of lapping the impact of COVID-19, primarily in Brazil, and increases in average check per person.</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Other restaurant operating expenses increased as a percentage of Restaurant sales during the twenty-six weeks ended June 26, 2022 as compared to the twenty-six weeks ended June 27, 2021 primarily due to 1.9% from higher operating expenses including utilities, primarily due to inflation, and 0.6% from higher advertising expense, partially offset by a decrease as a percentage of Restaurant sales of 1.9% from leveraging increased restaurant sales due to increases in average check per person and the net benefit of lapping the impact of COVID-19, primarily in Brazil.</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General and administrative</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7"/>
                <w:szCs w:val="17"/>
                <w:color w:val="auto"/>
              </w:rPr>
            </w:pPr>
          </w:p>
        </w:tc>
        <w:tc>
          <w:tcPr>
            <w:tcW w:w="2480" w:type="dxa"/>
            <w:vAlign w:val="bottom"/>
          </w:tcPr>
          <w:p>
            <w:pPr>
              <w:jc w:val="right"/>
              <w:ind w:right="324"/>
              <w:spacing w:after="0"/>
              <w:rPr>
                <w:sz w:val="20"/>
                <w:szCs w:val="20"/>
                <w:color w:val="auto"/>
              </w:rPr>
            </w:pPr>
            <w:r>
              <w:rPr>
                <w:rFonts w:ascii="Arial" w:cs="Arial" w:eastAsia="Arial" w:hAnsi="Arial"/>
                <w:sz w:val="14"/>
                <w:szCs w:val="14"/>
                <w:b w:val="1"/>
                <w:bCs w:val="1"/>
                <w:color w:val="auto"/>
              </w:rPr>
              <w:t>TWENTY-SIX WEEKS ENDED</w:t>
            </w:r>
          </w:p>
        </w:tc>
      </w:tr>
      <w:tr>
        <w:trPr>
          <w:trHeight w:val="20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27, 2021</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w:t>
            </w:r>
          </w:p>
        </w:tc>
      </w:tr>
      <w:tr>
        <w:trPr>
          <w:trHeight w:val="203"/>
        </w:trPr>
        <w:tc>
          <w:tcPr>
            <w:tcW w:w="564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Incentive compensation</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Employee stock-based compensation</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Compensation, benefits and payroll tax</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Travel and entertainment</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15"/>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06"/>
        </w:trPr>
        <w:tc>
          <w:tcPr>
            <w:tcW w:w="5640" w:type="dxa"/>
            <w:vAlign w:val="bottom"/>
          </w:tcPr>
          <w:p>
            <w:pPr>
              <w:ind w:left="20"/>
              <w:spacing w:after="0"/>
              <w:rPr>
                <w:sz w:val="20"/>
                <w:szCs w:val="20"/>
                <w:color w:val="auto"/>
              </w:rPr>
            </w:pPr>
            <w:r>
              <w:rPr>
                <w:rFonts w:ascii="Arial" w:cs="Arial" w:eastAsia="Arial" w:hAnsi="Arial"/>
                <w:sz w:val="15"/>
                <w:szCs w:val="15"/>
                <w:color w:val="auto"/>
              </w:rPr>
              <w:t>For the periods ended June 26, 2022</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117.9</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Provision for impaired assets and restaurant closings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TWENTY-SIX WEEKS ENDED</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JUNE 26, 2022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JUNE 27, 2021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2022</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JUNE 27, 2021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0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7"/>
        </w:trPr>
        <w:tc>
          <w:tcPr>
            <w:tcW w:w="308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Provision for impaired assets and restaurant</w:t>
            </w:r>
          </w:p>
        </w:tc>
        <w:tc>
          <w:tcPr>
            <w:tcW w:w="1160" w:type="dxa"/>
            <w:vAlign w:val="bottom"/>
            <w:tcBorders>
              <w:top w:val="single" w:sz="8" w:color="auto"/>
            </w:tcBorders>
            <w:vMerge w:val="restart"/>
            <w:shd w:val="clear" w:color="auto" w:fill="CCEEFF"/>
          </w:tcPr>
          <w:p>
            <w:pPr>
              <w:jc w:val="right"/>
              <w:ind w:right="988"/>
              <w:spacing w:after="0"/>
              <w:rPr>
                <w:sz w:val="20"/>
                <w:szCs w:val="20"/>
                <w:color w:val="auto"/>
              </w:rPr>
            </w:pPr>
            <w:r>
              <w:rPr>
                <w:rFonts w:ascii="Arial" w:cs="Arial" w:eastAsia="Arial" w:hAnsi="Arial"/>
                <w:sz w:val="15"/>
                <w:szCs w:val="15"/>
                <w:color w:val="auto"/>
                <w:w w:val="95"/>
              </w:rPr>
              <w: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86"/>
              </w:rPr>
              <w:t>0.2</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ind w:right="987"/>
              <w:spacing w:after="0"/>
              <w:rPr>
                <w:sz w:val="20"/>
                <w:szCs w:val="20"/>
                <w:color w:val="auto"/>
              </w:rPr>
            </w:pPr>
            <w:r>
              <w:rPr>
                <w:rFonts w:ascii="Arial" w:cs="Arial" w:eastAsia="Arial" w:hAnsi="Arial"/>
                <w:sz w:val="15"/>
                <w:szCs w:val="15"/>
                <w:color w:val="auto"/>
                <w:w w:val="95"/>
              </w:rPr>
              <w: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86"/>
              </w:rPr>
              <w:t>5.2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86"/>
              </w:rPr>
              <w:t>7.4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1"/>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closings</w:t>
            </w:r>
          </w:p>
        </w:tc>
        <w:tc>
          <w:tcPr>
            <w:tcW w:w="11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Impairment and closure charges during the periods presented resulted primarily from locations identified for 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from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TWENTY-SIX WEEKS ENDED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26"/>
              <w:spacing w:after="0"/>
              <w:rPr>
                <w:sz w:val="20"/>
                <w:szCs w:val="20"/>
                <w:color w:val="auto"/>
              </w:rPr>
            </w:pPr>
            <w:r>
              <w:rPr>
                <w:rFonts w:ascii="Arial" w:cs="Arial" w:eastAsia="Arial" w:hAnsi="Arial"/>
                <w:sz w:val="14"/>
                <w:szCs w:val="14"/>
                <w:b w:val="1"/>
                <w:bCs w:val="1"/>
                <w:color w:val="auto"/>
                <w:w w:val="98"/>
              </w:rPr>
              <w:t>JUNE 27, 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66"/>
              <w:spacing w:after="0"/>
              <w:rPr>
                <w:sz w:val="20"/>
                <w:szCs w:val="20"/>
                <w:color w:val="auto"/>
              </w:rPr>
            </w:pPr>
            <w:r>
              <w:rPr>
                <w:rFonts w:ascii="Arial" w:cs="Arial" w:eastAsia="Arial" w:hAnsi="Arial"/>
                <w:sz w:val="14"/>
                <w:szCs w:val="14"/>
                <w:b w:val="1"/>
                <w:bCs w:val="1"/>
                <w:color w:val="auto"/>
              </w:rPr>
              <w:t>CHANGE</w:t>
            </w:r>
          </w:p>
        </w:tc>
      </w:tr>
      <w:tr>
        <w:trPr>
          <w:trHeight w:val="20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87.7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124.6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(36.9)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195.0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215.6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(20.6)</w:t>
            </w:r>
          </w:p>
        </w:tc>
      </w:tr>
      <w:tr>
        <w:trPr>
          <w:trHeight w:val="201"/>
        </w:trPr>
        <w:tc>
          <w:tcPr>
            <w:tcW w:w="2700" w:type="dxa"/>
            <w:vAlign w:val="bottom"/>
          </w:tcPr>
          <w:p>
            <w:pPr>
              <w:ind w:left="140"/>
              <w:spacing w:after="0"/>
              <w:rPr>
                <w:sz w:val="20"/>
                <w:szCs w:val="20"/>
                <w:color w:val="auto"/>
              </w:rPr>
            </w:pPr>
            <w:r>
              <w:rPr>
                <w:rFonts w:ascii="Arial" w:cs="Arial" w:eastAsia="Arial" w:hAnsi="Arial"/>
                <w:sz w:val="15"/>
                <w:szCs w:val="15"/>
                <w:color w:val="auto"/>
              </w:rPr>
              <w:t>% of Total revenues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w:t>
            </w:r>
          </w:p>
        </w:tc>
      </w:tr>
    </w:tbl>
    <w:p>
      <w:pPr>
        <w:spacing w:after="0" w:line="31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decrease in Income from operations generated during the thirteen weeks ended June 26, 2022 as compared to the thirteen weeks ended June 27, 2021 was primarily due to: (i) commodity inflation, (ii) higher operating expenses including utilities, (iii) higher labor costs primarily due to wage rate inflation, (iv) higher advertising expense and (v) the impact of favorable court rulings in Brazil related to value-added taxes recorded in other revenues during 2021. These decreases were partially offset by: (i) increases in average check per person, (ii) the net benefit of lapping the impact of COVID-19 in Brazil, (iii) lower incentive compensation and (iv) the impact of certain cost saving initiatives.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decrease in Income from operations generated during the twenty-six weeks ended June 26, 2022 as compared to the twenty-six weeks ended June 27, 2021 was primarily due to: (i) commodity inflation, (ii) higher labor costs primarily due to wage rate inflation, (iii) higher operating expenses including utilities and (iv) higher advertising expense. These decreases were partially offset by: (i) increases in average check per person, (ii) the net benefit of lapping the impact of COVID-19 in Brazil and (iii) the impact of certain cost saving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Loss on extinguishment and modification of debt and Loss on fair value adjustment of derivatives, net</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connection with the 2025 Notes Partial Repurchase, we recognized a loss on extinguishment of debt of $104.7 million and a loss on fair value adjustment of derivatives, net, of $17.7 million during the thirteen weeks ended June 26, 2022.</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See Note 8 - </w:t>
      </w:r>
      <w:r>
        <w:rPr>
          <w:rFonts w:ascii="Arial" w:cs="Arial" w:eastAsia="Arial" w:hAnsi="Arial"/>
          <w:sz w:val="19"/>
          <w:szCs w:val="19"/>
          <w:i w:val="1"/>
          <w:iCs w:val="1"/>
          <w:color w:val="auto"/>
        </w:rPr>
        <w:t>Convertible Senior Notes</w:t>
      </w:r>
      <w:r>
        <w:rPr>
          <w:rFonts w:ascii="Arial" w:cs="Arial" w:eastAsia="Arial" w:hAnsi="Arial"/>
          <w:sz w:val="19"/>
          <w:szCs w:val="19"/>
          <w:color w:val="auto"/>
        </w:rPr>
        <w:t xml:space="preserve"> of the Notes to Consolidated Financial Statements for further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Provision for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3160" w:type="dxa"/>
            <w:vAlign w:val="bottom"/>
            <w:gridSpan w:val="4"/>
          </w:tcPr>
          <w:p>
            <w:pPr>
              <w:ind w:left="640"/>
              <w:spacing w:after="0"/>
              <w:rPr>
                <w:sz w:val="20"/>
                <w:szCs w:val="20"/>
                <w:color w:val="auto"/>
              </w:rPr>
            </w:pPr>
            <w:r>
              <w:rPr>
                <w:rFonts w:ascii="Arial" w:cs="Arial" w:eastAsia="Arial" w:hAnsi="Arial"/>
                <w:sz w:val="14"/>
                <w:szCs w:val="14"/>
                <w:b w:val="1"/>
                <w:bCs w:val="1"/>
                <w:color w:val="auto"/>
              </w:rPr>
              <w:t>THIRTEEN WEEKS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gridSpan w:val="4"/>
          </w:tcPr>
          <w:p>
            <w:pPr>
              <w:ind w:left="560"/>
              <w:spacing w:after="0"/>
              <w:rPr>
                <w:sz w:val="20"/>
                <w:szCs w:val="20"/>
                <w:color w:val="auto"/>
              </w:rPr>
            </w:pPr>
            <w:r>
              <w:rPr>
                <w:rFonts w:ascii="Arial" w:cs="Arial" w:eastAsia="Arial" w:hAnsi="Arial"/>
                <w:sz w:val="14"/>
                <w:szCs w:val="14"/>
                <w:b w:val="1"/>
                <w:bCs w:val="1"/>
                <w:color w:val="auto"/>
              </w:rPr>
              <w:t>TWENTY-SIX WEEKS ENDED</w:t>
            </w:r>
          </w:p>
        </w:tc>
        <w:tc>
          <w:tcPr>
            <w:tcW w:w="1080" w:type="dxa"/>
            <w:vAlign w:val="bottom"/>
          </w:tcPr>
          <w:p>
            <w:pPr>
              <w:spacing w:after="0"/>
              <w:rPr>
                <w:sz w:val="17"/>
                <w:szCs w:val="17"/>
                <w:color w:val="auto"/>
              </w:rPr>
            </w:pPr>
          </w:p>
        </w:tc>
      </w:tr>
      <w:tr>
        <w:trPr>
          <w:trHeight w:val="173"/>
        </w:trPr>
        <w:tc>
          <w:tcPr>
            <w:tcW w:w="2680" w:type="dxa"/>
            <w:vAlign w:val="bottom"/>
          </w:tcPr>
          <w:p>
            <w:pPr>
              <w:spacing w:after="0"/>
              <w:rPr>
                <w:sz w:val="15"/>
                <w:szCs w:val="15"/>
                <w:color w:val="auto"/>
              </w:rPr>
            </w:pPr>
          </w:p>
        </w:tc>
        <w:tc>
          <w:tcPr>
            <w:tcW w:w="158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JUNE 26, 2022</w:t>
            </w:r>
          </w:p>
        </w:tc>
        <w:tc>
          <w:tcPr>
            <w:tcW w:w="1460" w:type="dxa"/>
            <w:vAlign w:val="bottom"/>
            <w:tcBorders>
              <w:top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JUNE 27, 2021</w:t>
            </w:r>
          </w:p>
        </w:tc>
        <w:tc>
          <w:tcPr>
            <w:tcW w:w="12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JUNE 26, 2022</w:t>
            </w:r>
          </w:p>
        </w:tc>
        <w:tc>
          <w:tcPr>
            <w:tcW w:w="1480" w:type="dxa"/>
            <w:vAlign w:val="bottom"/>
            <w:tcBorders>
              <w:top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5"/>
                <w:szCs w:val="15"/>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b w:val="1"/>
                <w:bCs w:val="1"/>
                <w:color w:val="auto"/>
              </w:rPr>
              <w:t>CHANGE</w:t>
            </w:r>
          </w:p>
        </w:tc>
      </w:tr>
      <w:tr>
        <w:trPr>
          <w:trHeight w:val="20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21.1 %</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63.2 %</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15.9 %</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47.3 %</w:t>
            </w:r>
          </w:p>
        </w:tc>
      </w:tr>
    </w:tbl>
    <w:p>
      <w:pPr>
        <w:spacing w:after="0" w:line="30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effective income tax rate for the thirteen weeks ended June 26, 2022 includes the impact of nondeductible losses associated with the 2025 Notes Partial Repurchase which, relative to a pre-tax book loss during the quarter, resulted in a negative effective income tax rate.</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effective income tax rate for the twenty-six weeks ended June 26, 2022 increased by 47.3 percentage points as compared to the twenty-six weeks ended June 27, 2021. The increase was primarily due to the non-deductible losses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associated with the 2025 Notes Partial Repurchase recorded during the twenty-six weeks ended June 26, 2022.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SEGMENT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reporting segments: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U.S.</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45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3820" w:type="dxa"/>
            <w:vAlign w:val="bottom"/>
            <w:tcBorders>
              <w:top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Bonefish Grill</w:t>
            </w:r>
          </w:p>
        </w:tc>
        <w:tc>
          <w:tcPr>
            <w:tcW w:w="100" w:type="dxa"/>
            <w:vAlign w:val="bottom"/>
            <w:tcBorders>
              <w:right w:val="single" w:sz="8" w:color="auto"/>
            </w:tcBorders>
            <w:shd w:val="clear" w:color="auto" w:fill="CCEEFF"/>
          </w:tcPr>
          <w:p>
            <w:pPr>
              <w:spacing w:after="0"/>
              <w:rPr>
                <w:sz w:val="8"/>
                <w:szCs w:val="8"/>
                <w:color w:val="auto"/>
              </w:rPr>
            </w:pPr>
          </w:p>
        </w:tc>
        <w:tc>
          <w:tcPr>
            <w:tcW w:w="3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60" w:type="dxa"/>
            <w:vAlign w:val="bottom"/>
            <w:tcBorders>
              <w:left w:val="single" w:sz="8" w:color="auto"/>
              <w:right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58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3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International</w:t>
            </w: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 Hong Kong/China</w:t>
            </w: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Arial" w:cs="Arial" w:eastAsia="Arial" w:hAnsi="Arial"/>
                <w:sz w:val="15"/>
                <w:szCs w:val="15"/>
                <w:color w:val="auto"/>
              </w:rPr>
              <w:t>_________________</w:t>
            </w:r>
          </w:p>
        </w:tc>
        <w:tc>
          <w:tcPr>
            <w:tcW w:w="10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Includes franchise locations.</w:t>
      </w:r>
    </w:p>
    <w:p>
      <w:pPr>
        <w:spacing w:after="0" w:line="219"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01" w:lineRule="exact"/>
        <w:rPr>
          <w:sz w:val="20"/>
          <w:szCs w:val="20"/>
          <w:color w:val="auto"/>
        </w:rPr>
      </w:pPr>
    </w:p>
    <w:p>
      <w:pPr>
        <w:jc w:val="both"/>
        <w:ind w:right="20"/>
        <w:spacing w:after="0" w:line="264" w:lineRule="auto"/>
        <w:rPr>
          <w:sz w:val="20"/>
          <w:szCs w:val="20"/>
          <w:color w:val="auto"/>
        </w:rPr>
      </w:pPr>
      <w:r>
        <w:rPr>
          <w:rFonts w:ascii="Arial" w:cs="Arial" w:eastAsia="Arial" w:hAnsi="Arial"/>
          <w:sz w:val="19"/>
          <w:szCs w:val="19"/>
          <w:color w:val="auto"/>
        </w:rPr>
        <w:t xml:space="preserve">Refer to Note 16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Segment Reporting</w:t>
      </w:r>
      <w:r>
        <w:rPr>
          <w:rFonts w:ascii="Arial" w:cs="Arial" w:eastAsia="Arial" w:hAnsi="Arial"/>
          <w:sz w:val="19"/>
          <w:szCs w:val="19"/>
          <w:color w:val="auto"/>
        </w:rPr>
        <w:t xml:space="preserve"> of the Notes to Consolidated Financial Statements for reconciliations of segment income from operations to the consolidated operating results.</w:t>
      </w:r>
    </w:p>
    <w:p>
      <w:pPr>
        <w:spacing w:after="0" w:line="190"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18"/>
          <w:szCs w:val="18"/>
          <w:i w:val="1"/>
          <w:iCs w:val="1"/>
          <w:color w:val="auto"/>
        </w:rPr>
        <w:t xml:space="preserve">Overview-Key Financial Performance Indicators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Non-GAAP Financial Measures </w:t>
      </w:r>
      <w:r>
        <w:rPr>
          <w:rFonts w:ascii="Arial" w:cs="Arial" w:eastAsia="Arial" w:hAnsi="Arial"/>
          <w:sz w:val="18"/>
          <w:szCs w:val="18"/>
          <w:color w:val="auto"/>
        </w:rPr>
        <w:t>sections of Management’s Discussion and Analysis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and Results of Operations for additional details regarding the calculation of restaurant-level operating margin.</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96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203"/>
        </w:trPr>
        <w:tc>
          <w:tcPr>
            <w:tcW w:w="480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25"/>
              <w:spacing w:after="0"/>
              <w:rPr>
                <w:sz w:val="20"/>
                <w:szCs w:val="20"/>
                <w:color w:val="auto"/>
              </w:rPr>
            </w:pPr>
            <w:r>
              <w:rPr>
                <w:rFonts w:ascii="Arial" w:cs="Arial" w:eastAsia="Arial" w:hAnsi="Arial"/>
                <w:sz w:val="15"/>
                <w:szCs w:val="15"/>
                <w:color w:val="auto"/>
              </w:rPr>
              <w:t>985,927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990,293</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2,009,562</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1,890,352</w:t>
            </w:r>
          </w:p>
        </w:tc>
      </w:tr>
      <w:tr>
        <w:trPr>
          <w:trHeight w:val="229"/>
        </w:trPr>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12,700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12,765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25,472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17,624</w:t>
            </w:r>
          </w:p>
        </w:tc>
      </w:tr>
      <w:tr>
        <w:trPr>
          <w:trHeight w:val="185"/>
        </w:trPr>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998,627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1,003,058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2,035,034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1,907,976</w:t>
            </w:r>
          </w:p>
        </w:tc>
      </w:tr>
      <w:tr>
        <w:trPr>
          <w:trHeight w:val="206"/>
        </w:trPr>
        <w:tc>
          <w:tcPr>
            <w:tcW w:w="4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20.5 %</w:t>
            </w:r>
          </w:p>
        </w:tc>
      </w:tr>
      <w:tr>
        <w:trPr>
          <w:trHeight w:val="203"/>
        </w:trPr>
        <w:tc>
          <w:tcPr>
            <w:tcW w:w="4800" w:type="dxa"/>
            <w:vAlign w:val="bottom"/>
          </w:tcPr>
          <w:p>
            <w:pPr>
              <w:ind w:left="140"/>
              <w:spacing w:after="0"/>
              <w:rPr>
                <w:sz w:val="20"/>
                <w:szCs w:val="20"/>
                <w:color w:val="auto"/>
              </w:rPr>
            </w:pPr>
            <w:r>
              <w:rPr>
                <w:rFonts w:ascii="Arial" w:cs="Arial" w:eastAsia="Arial" w:hAnsi="Arial"/>
                <w:sz w:val="15"/>
                <w:szCs w:val="15"/>
                <w:color w:val="auto"/>
              </w:rPr>
              <w:t>Income from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25"/>
              <w:spacing w:after="0"/>
              <w:rPr>
                <w:sz w:val="20"/>
                <w:szCs w:val="20"/>
                <w:color w:val="auto"/>
              </w:rPr>
            </w:pPr>
            <w:r>
              <w:rPr>
                <w:rFonts w:ascii="Arial" w:cs="Arial" w:eastAsia="Arial" w:hAnsi="Arial"/>
                <w:sz w:val="15"/>
                <w:szCs w:val="15"/>
                <w:color w:val="auto"/>
              </w:rPr>
              <w:t>104,620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165,297</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236,846</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4"/>
              <w:spacing w:after="0"/>
              <w:rPr>
                <w:sz w:val="20"/>
                <w:szCs w:val="20"/>
                <w:color w:val="auto"/>
              </w:rPr>
            </w:pPr>
            <w:r>
              <w:rPr>
                <w:rFonts w:ascii="Arial" w:cs="Arial" w:eastAsia="Arial" w:hAnsi="Arial"/>
                <w:sz w:val="15"/>
                <w:szCs w:val="15"/>
                <w:color w:val="auto"/>
              </w:rPr>
              <w:t>287,032</w:t>
            </w:r>
          </w:p>
        </w:tc>
      </w:tr>
      <w:tr>
        <w:trPr>
          <w:trHeight w:val="209"/>
        </w:trPr>
        <w:tc>
          <w:tcPr>
            <w:tcW w:w="4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margin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U.S. segment Restaurant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2640" w:type="dxa"/>
            <w:vAlign w:val="bottom"/>
          </w:tcPr>
          <w:p>
            <w:pPr>
              <w:jc w:val="right"/>
              <w:ind w:right="304"/>
              <w:spacing w:after="0"/>
              <w:rPr>
                <w:sz w:val="20"/>
                <w:szCs w:val="20"/>
                <w:color w:val="auto"/>
              </w:rPr>
            </w:pPr>
            <w:r>
              <w:rPr>
                <w:rFonts w:ascii="Arial" w:cs="Arial" w:eastAsia="Arial" w:hAnsi="Arial"/>
                <w:sz w:val="14"/>
                <w:szCs w:val="14"/>
                <w:b w:val="1"/>
                <w:bCs w:val="1"/>
                <w:color w:val="auto"/>
              </w:rPr>
              <w:t>TWENTY-SIX WEEKS ENDED (1)</w:t>
            </w:r>
          </w:p>
        </w:tc>
      </w:tr>
      <w:tr>
        <w:trPr>
          <w:trHeight w:val="206"/>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27, 2021</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990.3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1,890.4</w:t>
            </w:r>
          </w:p>
        </w:tc>
      </w:tr>
      <w:tr>
        <w:trPr>
          <w:trHeight w:val="203"/>
        </w:trPr>
        <w:tc>
          <w:tcPr>
            <w:tcW w:w="550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9"/>
        </w:trPr>
        <w:tc>
          <w:tcPr>
            <w:tcW w:w="5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Restaurant closures</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r>
      <w:tr>
        <w:trPr>
          <w:trHeight w:val="203"/>
        </w:trPr>
        <w:tc>
          <w:tcPr>
            <w:tcW w:w="5500" w:type="dxa"/>
            <w:vAlign w:val="bottom"/>
          </w:tcPr>
          <w:p>
            <w:pPr>
              <w:ind w:left="320"/>
              <w:spacing w:after="0"/>
              <w:rPr>
                <w:sz w:val="20"/>
                <w:szCs w:val="20"/>
                <w:color w:val="auto"/>
              </w:rPr>
            </w:pPr>
            <w:r>
              <w:rPr>
                <w:rFonts w:ascii="Arial" w:cs="Arial" w:eastAsia="Arial" w:hAnsi="Arial"/>
                <w:sz w:val="15"/>
                <w:szCs w:val="15"/>
                <w:color w:val="auto"/>
              </w:rPr>
              <w:t>Comparable restaurant sales</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5"/>
                <w:szCs w:val="15"/>
                <w:color w:val="auto"/>
              </w:rPr>
              <w:t>122.2</w:t>
            </w:r>
          </w:p>
        </w:tc>
      </w:tr>
      <w:tr>
        <w:trPr>
          <w:trHeight w:val="215"/>
        </w:trPr>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Restaurant openings</w:t>
            </w:r>
          </w:p>
        </w:tc>
        <w:tc>
          <w:tcPr>
            <w:tcW w:w="30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r>
      <w:tr>
        <w:trPr>
          <w:trHeight w:val="206"/>
        </w:trPr>
        <w:tc>
          <w:tcPr>
            <w:tcW w:w="5500" w:type="dxa"/>
            <w:vAlign w:val="bottom"/>
          </w:tcPr>
          <w:p>
            <w:pPr>
              <w:ind w:left="20"/>
              <w:spacing w:after="0"/>
              <w:rPr>
                <w:sz w:val="20"/>
                <w:szCs w:val="20"/>
                <w:color w:val="auto"/>
              </w:rPr>
            </w:pPr>
            <w:r>
              <w:rPr>
                <w:rFonts w:ascii="Arial" w:cs="Arial" w:eastAsia="Arial" w:hAnsi="Arial"/>
                <w:sz w:val="15"/>
                <w:szCs w:val="15"/>
                <w:color w:val="auto"/>
              </w:rPr>
              <w:t>For the periods ended June 26, 2022</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985.9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2,009.6</w:t>
            </w: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21" w:lineRule="exact"/>
        <w:rPr>
          <w:sz w:val="20"/>
          <w:szCs w:val="20"/>
          <w:color w:val="auto"/>
        </w:rPr>
      </w:pPr>
    </w:p>
    <w:p>
      <w:pPr>
        <w:ind w:left="620" w:hanging="617"/>
        <w:spacing w:after="0" w:line="266" w:lineRule="auto"/>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Summation of quarterly changes will not total to annual amounts as the restaurants that meet the definition of each change category will differ each period based on when the restaurant opened or closed.</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decrease in U.S. Restaurant sales during the thirteen weeks ended June 26, 2022 was primarily due to the closure of 21 restaurants since March 28, 2021, partially offset by the opening of 14 new restaurants not included in our comparable restaurant sales base.</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increase in U.S. Restaurant sales during the twenty-six weeks ended June 26, 2022 was primarily due to: (i) higher comparable restaurant sales, primarily attributable to increases in average check per person and (ii) the opening of 15 new restaurants not included in our comparable restaurant sales base. The increase in U.S. Restaurant sales was partially offset by the closure of 22 restaurants since December 27, 2020.</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from operations</w:t>
      </w: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decrease in U.S. Income from operations generated during the thirteen and twenty-six weeks ended June 26, 2022 as compared to the thirteen and twenty-six weeks ended June 27, 2021 was primarily due to: (i) commodity inflation, (ii) higher labor cost primarily due to wage rate inflation,</w:t>
      </w:r>
    </w:p>
    <w:p>
      <w:pPr>
        <w:spacing w:after="0" w:line="1" w:lineRule="exact"/>
        <w:rPr>
          <w:sz w:val="20"/>
          <w:szCs w:val="20"/>
          <w:color w:val="auto"/>
        </w:rPr>
      </w:pPr>
    </w:p>
    <w:p>
      <w:pPr>
        <w:ind w:firstLine="3"/>
        <w:spacing w:after="0" w:line="247" w:lineRule="auto"/>
        <w:tabs>
          <w:tab w:leader="none" w:pos="358" w:val="left"/>
        </w:tabs>
        <w:numPr>
          <w:ilvl w:val="0"/>
          <w:numId w:val="45"/>
        </w:numPr>
        <w:rPr>
          <w:rFonts w:ascii="Arial" w:cs="Arial" w:eastAsia="Arial" w:hAnsi="Arial"/>
          <w:sz w:val="19"/>
          <w:szCs w:val="19"/>
          <w:color w:val="auto"/>
        </w:rPr>
      </w:pPr>
      <w:r>
        <w:rPr>
          <w:rFonts w:ascii="Arial" w:cs="Arial" w:eastAsia="Arial" w:hAnsi="Arial"/>
          <w:sz w:val="19"/>
          <w:szCs w:val="19"/>
          <w:color w:val="auto"/>
        </w:rPr>
        <w:t>higher operating expenses including utilities and (iv) higher advertising expense. These decreases were partially offset by: (i) increases in average check per person and (ii) the impact of certain cost saving initiatives.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306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26, 2022</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26, 2022</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27, 2021</w:t>
            </w:r>
          </w:p>
        </w:tc>
      </w:tr>
      <w:tr>
        <w:trPr>
          <w:trHeight w:val="19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05"/>
              <w:spacing w:after="0"/>
              <w:rPr>
                <w:sz w:val="20"/>
                <w:szCs w:val="20"/>
                <w:color w:val="auto"/>
              </w:rPr>
            </w:pPr>
            <w:r>
              <w:rPr>
                <w:rFonts w:ascii="Arial" w:cs="Arial" w:eastAsia="Arial" w:hAnsi="Arial"/>
                <w:sz w:val="15"/>
                <w:szCs w:val="15"/>
                <w:color w:val="auto"/>
              </w:rPr>
              <w:t>122,991</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64,934</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222,931</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144,326</w:t>
            </w:r>
          </w:p>
        </w:tc>
      </w:tr>
      <w:tr>
        <w:trPr>
          <w:trHeight w:val="229"/>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3,544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9,374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7,732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12,537</w:t>
            </w:r>
          </w:p>
        </w:tc>
      </w:tr>
      <w:tr>
        <w:trPr>
          <w:trHeight w:val="185"/>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126,535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74,308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230,663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156,863</w:t>
            </w:r>
          </w:p>
        </w:tc>
      </w:tr>
      <w:tr>
        <w:trPr>
          <w:trHeight w:val="206"/>
        </w:trPr>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9.3 %</w:t>
            </w: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Income from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05"/>
              <w:spacing w:after="0"/>
              <w:rPr>
                <w:sz w:val="20"/>
                <w:szCs w:val="20"/>
                <w:color w:val="auto"/>
              </w:rPr>
            </w:pPr>
            <w:r>
              <w:rPr>
                <w:rFonts w:ascii="Arial" w:cs="Arial" w:eastAsia="Arial" w:hAnsi="Arial"/>
                <w:sz w:val="15"/>
                <w:szCs w:val="15"/>
                <w:color w:val="auto"/>
              </w:rPr>
              <w:t>14,126</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2,470</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23,010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6,007</w:t>
            </w:r>
          </w:p>
        </w:tc>
      </w:tr>
      <w:tr>
        <w:trPr>
          <w:trHeight w:val="209"/>
        </w:trPr>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margin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international segment Restaurant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7"/>
                <w:szCs w:val="17"/>
                <w:color w:val="auto"/>
              </w:rPr>
            </w:pPr>
          </w:p>
        </w:tc>
        <w:tc>
          <w:tcPr>
            <w:tcW w:w="2480" w:type="dxa"/>
            <w:vAlign w:val="bottom"/>
          </w:tcPr>
          <w:p>
            <w:pPr>
              <w:jc w:val="right"/>
              <w:ind w:right="324"/>
              <w:spacing w:after="0"/>
              <w:rPr>
                <w:sz w:val="20"/>
                <w:szCs w:val="20"/>
                <w:color w:val="auto"/>
              </w:rPr>
            </w:pPr>
            <w:r>
              <w:rPr>
                <w:rFonts w:ascii="Arial" w:cs="Arial" w:eastAsia="Arial" w:hAnsi="Arial"/>
                <w:sz w:val="14"/>
                <w:szCs w:val="14"/>
                <w:b w:val="1"/>
                <w:bCs w:val="1"/>
                <w:color w:val="auto"/>
              </w:rPr>
              <w:t>TWENTY-SIX WEEKS ENDED</w:t>
            </w:r>
          </w:p>
        </w:tc>
      </w:tr>
      <w:tr>
        <w:trPr>
          <w:trHeight w:val="20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June 27, 2021</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144.3</w:t>
            </w:r>
          </w:p>
        </w:tc>
      </w:tr>
      <w:tr>
        <w:trPr>
          <w:trHeight w:val="203"/>
        </w:trPr>
        <w:tc>
          <w:tcPr>
            <w:tcW w:w="564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 (1)</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202"/>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Restaurant openings (1)</w:t>
            </w:r>
          </w:p>
        </w:tc>
        <w:tc>
          <w:tcPr>
            <w:tcW w:w="3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206"/>
        </w:trPr>
        <w:tc>
          <w:tcPr>
            <w:tcW w:w="5640" w:type="dxa"/>
            <w:vAlign w:val="bottom"/>
          </w:tcPr>
          <w:p>
            <w:pPr>
              <w:ind w:left="20"/>
              <w:spacing w:after="0"/>
              <w:rPr>
                <w:sz w:val="20"/>
                <w:szCs w:val="20"/>
                <w:color w:val="auto"/>
              </w:rPr>
            </w:pPr>
            <w:r>
              <w:rPr>
                <w:rFonts w:ascii="Arial" w:cs="Arial" w:eastAsia="Arial" w:hAnsi="Arial"/>
                <w:sz w:val="15"/>
                <w:szCs w:val="15"/>
                <w:color w:val="auto"/>
              </w:rPr>
              <w:t>For the periods ended June 26, 2022</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222.9</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21" w:lineRule="exact"/>
        <w:rPr>
          <w:sz w:val="20"/>
          <w:szCs w:val="20"/>
          <w:color w:val="auto"/>
        </w:rPr>
      </w:pPr>
    </w:p>
    <w:p>
      <w:pPr>
        <w:ind w:left="620" w:hanging="617"/>
        <w:spacing w:after="0" w:line="266" w:lineRule="auto"/>
        <w:tabs>
          <w:tab w:leader="none" w:pos="6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Summation of quarterly changes for restaurant openings and comparable restaurant sales will not total to annual amounts as the restaurants that meet the definition of each will differ each period based on when the restaurant opened.</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increase in international Restaurant sales during the thirteen weeks ended June 26, 2022 was primarily due to: (i) higher comparable restaurant sales in Brazil, (ii) the effect of foreign currency translation of the Brazilian Real relative to the U.S. dollar and (iii) the opening of 28 new restaurants not included in our comparable restaurant sales base.</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increase in international Restaurant sales during the twenty-six weeks ended June 26, 2022 was primarily due to: (i) higher comparable restaurant sales in Brazil, (ii) the opening of 30 new restaurants not included in our comparable restaurant sales base and (iii) the effect of foreign currency translation of the Brazilian Real relative to the U.S. dollar.</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from operations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international Income from operations generated during the thirteen and twenty-six weeks ended June 26, 2022 as compared to the thirteen and twenty-six weeks ended June 27, 2021 was primarily due to an increase in restaurant-level operating margin, which includes: (i) the recovery of in-restaurant dining in Brazil and the net impact of the COVID-19 pandemic during 2021, and (ii) increases in average check per person, partially offset by commodity inflation. The increase from international restaurant-level operating margin was partially offset by the impact of favorable court rulings in Brazil related to value-added taxes recorded in other revenues during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239"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Restaurant-level operating margin </w:t>
      </w:r>
      <w:r>
        <w:rPr>
          <w:rFonts w:ascii="Arial" w:cs="Arial" w:eastAsia="Arial" w:hAnsi="Arial"/>
          <w:sz w:val="19"/>
          <w:szCs w:val="19"/>
          <w:color w:val="auto"/>
        </w:rPr>
        <w:t>- The following tables reconcile consolidated and segment Income from operations and the corresponding</w:t>
      </w:r>
      <w:r>
        <w:rPr>
          <w:rFonts w:ascii="Arial" w:cs="Arial" w:eastAsia="Arial" w:hAnsi="Arial"/>
          <w:sz w:val="19"/>
          <w:szCs w:val="19"/>
          <w:i w:val="1"/>
          <w:iCs w:val="1"/>
          <w:color w:val="auto"/>
        </w:rPr>
        <w:t xml:space="preserve"> </w:t>
      </w:r>
      <w:r>
        <w:rPr>
          <w:rFonts w:ascii="Arial" w:cs="Arial" w:eastAsia="Arial" w:hAnsi="Arial"/>
          <w:sz w:val="19"/>
          <w:szCs w:val="19"/>
          <w:color w:val="auto"/>
        </w:rPr>
        <w:t>margins to restaurant-level operating income and the corresponding margins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Consolidated</w:t>
            </w:r>
          </w:p>
        </w:tc>
        <w:tc>
          <w:tcPr>
            <w:tcW w:w="220" w:type="dxa"/>
            <w:vAlign w:val="bottom"/>
          </w:tcPr>
          <w:p>
            <w:pPr>
              <w:spacing w:after="0"/>
              <w:rPr>
                <w:sz w:val="18"/>
                <w:szCs w:val="18"/>
                <w:color w:val="auto"/>
              </w:rPr>
            </w:pPr>
          </w:p>
        </w:tc>
        <w:tc>
          <w:tcPr>
            <w:tcW w:w="31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8"/>
                <w:szCs w:val="18"/>
                <w:color w:val="auto"/>
              </w:rPr>
            </w:pPr>
          </w:p>
        </w:tc>
        <w:tc>
          <w:tcPr>
            <w:tcW w:w="306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26, 2022</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26, 2022</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87,719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124,637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194,975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215,635</w:t>
            </w: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8.6 %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10.4 %</w:t>
            </w: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22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16,244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22,139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33,204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30,161</w:t>
            </w: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41,257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40,539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83,032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81,765</w:t>
            </w:r>
          </w:p>
        </w:tc>
      </w:tr>
      <w:tr>
        <w:trPr>
          <w:trHeight w:val="209"/>
        </w:trPr>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66,462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117,920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123,710</w:t>
            </w:r>
          </w:p>
        </w:tc>
      </w:tr>
      <w:tr>
        <w:trPr>
          <w:trHeight w:val="212"/>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5,177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2,032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7,377</w:t>
            </w:r>
          </w:p>
        </w:tc>
      </w:tr>
      <w:tr>
        <w:trPr>
          <w:trHeight w:val="22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172,171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214,676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364,755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398,326</w:t>
            </w:r>
          </w:p>
        </w:tc>
      </w:tr>
      <w:tr>
        <w:trPr>
          <w:trHeight w:val="186"/>
        </w:trPr>
        <w:tc>
          <w:tcPr>
            <w:tcW w:w="458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20.3 %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19.6 %</w:t>
            </w:r>
          </w:p>
        </w:tc>
      </w:tr>
      <w:tr>
        <w:trPr>
          <w:trHeight w:val="463"/>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U.S.</w:t>
            </w:r>
          </w:p>
        </w:tc>
        <w:tc>
          <w:tcPr>
            <w:tcW w:w="220" w:type="dxa"/>
            <w:vAlign w:val="bottom"/>
          </w:tcPr>
          <w:p>
            <w:pPr>
              <w:spacing w:after="0"/>
              <w:rPr>
                <w:sz w:val="24"/>
                <w:szCs w:val="24"/>
                <w:color w:val="auto"/>
              </w:rPr>
            </w:pPr>
          </w:p>
        </w:tc>
        <w:tc>
          <w:tcPr>
            <w:tcW w:w="31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24"/>
                <w:szCs w:val="24"/>
                <w:color w:val="auto"/>
              </w:rPr>
            </w:pPr>
          </w:p>
        </w:tc>
        <w:tc>
          <w:tcPr>
            <w:tcW w:w="306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26, 2022</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26, 2022</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104,620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165,297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236,846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287,032</w:t>
            </w: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11.6 %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15.0 %</w:t>
            </w: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22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12,700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12,765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25,472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17,624</w:t>
            </w: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33,545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33,579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68,303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67,224</w:t>
            </w:r>
          </w:p>
        </w:tc>
      </w:tr>
      <w:tr>
        <w:trPr>
          <w:trHeight w:val="209"/>
        </w:trPr>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23,648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22,953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47,093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44,045</w:t>
            </w:r>
          </w:p>
        </w:tc>
      </w:tr>
      <w:tr>
        <w:trPr>
          <w:trHeight w:val="212"/>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5,676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7,139</w:t>
            </w:r>
          </w:p>
        </w:tc>
      </w:tr>
      <w:tr>
        <w:trPr>
          <w:trHeight w:val="22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149,304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214,740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327,019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387,816</w:t>
            </w:r>
          </w:p>
        </w:tc>
      </w:tr>
      <w:tr>
        <w:trPr>
          <w:trHeight w:val="186"/>
        </w:trPr>
        <w:tc>
          <w:tcPr>
            <w:tcW w:w="458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20.5 %</w:t>
            </w:r>
          </w:p>
        </w:tc>
      </w:tr>
      <w:tr>
        <w:trPr>
          <w:trHeight w:val="463"/>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International</w:t>
            </w:r>
          </w:p>
        </w:tc>
        <w:tc>
          <w:tcPr>
            <w:tcW w:w="220" w:type="dxa"/>
            <w:vAlign w:val="bottom"/>
          </w:tcPr>
          <w:p>
            <w:pPr>
              <w:spacing w:after="0"/>
              <w:rPr>
                <w:sz w:val="24"/>
                <w:szCs w:val="24"/>
                <w:color w:val="auto"/>
              </w:rPr>
            </w:pPr>
          </w:p>
        </w:tc>
        <w:tc>
          <w:tcPr>
            <w:tcW w:w="31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24"/>
                <w:szCs w:val="24"/>
                <w:color w:val="auto"/>
              </w:rPr>
            </w:pPr>
          </w:p>
        </w:tc>
        <w:tc>
          <w:tcPr>
            <w:tcW w:w="306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26, 2022</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26, 2022</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14,126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2,470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23,010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6,007</w:t>
            </w: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3.8 %</w:t>
            </w: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22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3,544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9,374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7,732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12,537</w:t>
            </w:r>
          </w:p>
        </w:tc>
      </w:tr>
      <w:tr>
        <w:trPr>
          <w:trHeight w:val="209"/>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5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6,020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5,565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11,556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11,285</w:t>
            </w:r>
          </w:p>
        </w:tc>
      </w:tr>
      <w:tr>
        <w:trPr>
          <w:trHeight w:val="209"/>
        </w:trPr>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10,259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8,721</w:t>
            </w:r>
          </w:p>
        </w:tc>
      </w:tr>
      <w:tr>
        <w:trPr>
          <w:trHeight w:val="212"/>
        </w:trPr>
        <w:tc>
          <w:tcPr>
            <w:tcW w:w="4580" w:type="dxa"/>
            <w:vAlign w:val="bottom"/>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2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(708)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1,775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(1)</w:t>
            </w:r>
          </w:p>
        </w:tc>
      </w:tr>
      <w:tr>
        <w:trPr>
          <w:trHeight w:val="22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21,933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2,069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38,868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13,475</w:t>
            </w:r>
          </w:p>
        </w:tc>
      </w:tr>
      <w:tr>
        <w:trPr>
          <w:trHeight w:val="186"/>
        </w:trPr>
        <w:tc>
          <w:tcPr>
            <w:tcW w:w="458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17.8 %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17.4 %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tables present the percentages of certain operating cost financial statement line items in relation to Restaurant sales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370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THIRTEEN WEEKS ENDED</w:t>
            </w:r>
          </w:p>
        </w:tc>
      </w:tr>
      <w:tr>
        <w:trPr>
          <w:trHeight w:val="173"/>
        </w:trPr>
        <w:tc>
          <w:tcPr>
            <w:tcW w:w="7540" w:type="dxa"/>
            <w:vAlign w:val="bottom"/>
          </w:tcPr>
          <w:p>
            <w:pPr>
              <w:spacing w:after="0"/>
              <w:rPr>
                <w:sz w:val="15"/>
                <w:szCs w:val="15"/>
                <w:color w:val="auto"/>
              </w:rPr>
            </w:pPr>
          </w:p>
        </w:tc>
        <w:tc>
          <w:tcPr>
            <w:tcW w:w="192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26, 2022</w:t>
            </w:r>
          </w:p>
        </w:tc>
        <w:tc>
          <w:tcPr>
            <w:tcW w:w="1780" w:type="dxa"/>
            <w:vAlign w:val="bottom"/>
          </w:tcPr>
          <w:p>
            <w:pPr>
              <w:jc w:val="right"/>
              <w:ind w:right="384"/>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 sales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6"/>
        </w:trPr>
        <w:tc>
          <w:tcPr>
            <w:tcW w:w="7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32.9 %</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29.6 %</w:t>
            </w:r>
          </w:p>
        </w:tc>
      </w:tr>
      <w:tr>
        <w:trPr>
          <w:trHeight w:val="203"/>
        </w:trPr>
        <w:tc>
          <w:tcPr>
            <w:tcW w:w="7540" w:type="dxa"/>
            <w:vAlign w:val="bottom"/>
          </w:tcPr>
          <w:p>
            <w:pPr>
              <w:ind w:left="20"/>
              <w:spacing w:after="0"/>
              <w:rPr>
                <w:sz w:val="20"/>
                <w:szCs w:val="20"/>
                <w:color w:val="auto"/>
              </w:rPr>
            </w:pPr>
            <w:r>
              <w:rPr>
                <w:rFonts w:ascii="Arial" w:cs="Arial" w:eastAsia="Arial" w:hAnsi="Arial"/>
                <w:sz w:val="15"/>
                <w:szCs w:val="15"/>
                <w:color w:val="auto"/>
              </w:rPr>
              <w:t>Labor and other related</w:t>
            </w:r>
          </w:p>
        </w:tc>
        <w:tc>
          <w:tcPr>
            <w:tcW w:w="1800" w:type="dxa"/>
            <w:vAlign w:val="bottom"/>
          </w:tcPr>
          <w:p>
            <w:pPr>
              <w:jc w:val="right"/>
              <w:spacing w:after="0"/>
              <w:rPr>
                <w:sz w:val="20"/>
                <w:szCs w:val="20"/>
                <w:color w:val="auto"/>
              </w:rPr>
            </w:pPr>
            <w:r>
              <w:rPr>
                <w:rFonts w:ascii="Arial" w:cs="Arial" w:eastAsia="Arial" w:hAnsi="Arial"/>
                <w:sz w:val="15"/>
                <w:szCs w:val="15"/>
                <w:color w:val="auto"/>
              </w:rPr>
              <w:t>27.8 %</w:t>
            </w:r>
          </w:p>
        </w:tc>
        <w:tc>
          <w:tcPr>
            <w:tcW w:w="1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28.0 %</w:t>
            </w:r>
          </w:p>
        </w:tc>
      </w:tr>
      <w:tr>
        <w:trPr>
          <w:trHeight w:val="209"/>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23.8 %</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22.1 %</w:t>
            </w:r>
          </w:p>
        </w:tc>
      </w:tr>
      <w:tr>
        <w:trPr>
          <w:trHeight w:val="206"/>
        </w:trPr>
        <w:tc>
          <w:tcPr>
            <w:tcW w:w="7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Restaurant-level operating margin</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15.5 %</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20.3 %</w:t>
            </w:r>
          </w:p>
        </w:tc>
      </w:tr>
      <w:tr>
        <w:trPr>
          <w:trHeight w:val="393"/>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4"/>
                <w:szCs w:val="14"/>
                <w:b w:val="1"/>
                <w:bCs w:val="1"/>
                <w:color w:val="auto"/>
              </w:rPr>
              <w:t>TWENTY-SIX WEEKS ENDED</w:t>
            </w:r>
          </w:p>
        </w:tc>
      </w:tr>
      <w:tr>
        <w:trPr>
          <w:trHeight w:val="173"/>
        </w:trPr>
        <w:tc>
          <w:tcPr>
            <w:tcW w:w="7540" w:type="dxa"/>
            <w:vAlign w:val="bottom"/>
          </w:tcPr>
          <w:p>
            <w:pPr>
              <w:spacing w:after="0"/>
              <w:rPr>
                <w:sz w:val="15"/>
                <w:szCs w:val="15"/>
                <w:color w:val="auto"/>
              </w:rPr>
            </w:pPr>
          </w:p>
        </w:tc>
        <w:tc>
          <w:tcPr>
            <w:tcW w:w="192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26, 2022</w:t>
            </w:r>
          </w:p>
        </w:tc>
        <w:tc>
          <w:tcPr>
            <w:tcW w:w="1780" w:type="dxa"/>
            <w:vAlign w:val="bottom"/>
          </w:tcPr>
          <w:p>
            <w:pPr>
              <w:jc w:val="right"/>
              <w:ind w:right="384"/>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 sales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45"/>
        </w:trPr>
        <w:tc>
          <w:tcPr>
            <w:tcW w:w="7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32.4 %</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29.7 %</w:t>
            </w:r>
          </w:p>
        </w:tc>
      </w:tr>
      <w:tr>
        <w:trPr>
          <w:trHeight w:val="203"/>
        </w:trPr>
        <w:tc>
          <w:tcPr>
            <w:tcW w:w="7540" w:type="dxa"/>
            <w:vAlign w:val="bottom"/>
          </w:tcPr>
          <w:p>
            <w:pPr>
              <w:ind w:left="20"/>
              <w:spacing w:after="0"/>
              <w:rPr>
                <w:sz w:val="20"/>
                <w:szCs w:val="20"/>
                <w:color w:val="auto"/>
              </w:rPr>
            </w:pPr>
            <w:r>
              <w:rPr>
                <w:rFonts w:ascii="Arial" w:cs="Arial" w:eastAsia="Arial" w:hAnsi="Arial"/>
                <w:sz w:val="15"/>
                <w:szCs w:val="15"/>
                <w:color w:val="auto"/>
              </w:rPr>
              <w:t>Labor and other related</w:t>
            </w:r>
          </w:p>
        </w:tc>
        <w:tc>
          <w:tcPr>
            <w:tcW w:w="1800" w:type="dxa"/>
            <w:vAlign w:val="bottom"/>
          </w:tcPr>
          <w:p>
            <w:pPr>
              <w:jc w:val="right"/>
              <w:spacing w:after="0"/>
              <w:rPr>
                <w:sz w:val="20"/>
                <w:szCs w:val="20"/>
                <w:color w:val="auto"/>
              </w:rPr>
            </w:pPr>
            <w:r>
              <w:rPr>
                <w:rFonts w:ascii="Arial" w:cs="Arial" w:eastAsia="Arial" w:hAnsi="Arial"/>
                <w:sz w:val="15"/>
                <w:szCs w:val="15"/>
                <w:color w:val="auto"/>
              </w:rPr>
              <w:t>27.8 %</w:t>
            </w:r>
          </w:p>
        </w:tc>
        <w:tc>
          <w:tcPr>
            <w:tcW w:w="1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28.0 %</w:t>
            </w:r>
          </w:p>
        </w:tc>
      </w:tr>
      <w:tr>
        <w:trPr>
          <w:trHeight w:val="209"/>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23.4 %</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22.7 %</w:t>
            </w:r>
          </w:p>
        </w:tc>
      </w:tr>
      <w:tr>
        <w:trPr>
          <w:trHeight w:val="245"/>
        </w:trPr>
        <w:tc>
          <w:tcPr>
            <w:tcW w:w="7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Restaurant-level operating margin</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16.3 %</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Adjusted income from operations, Adjusted net income and Adjusted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800" w:type="dxa"/>
            <w:vAlign w:val="bottom"/>
            <w:gridSpan w:val="4"/>
          </w:tcPr>
          <w:p>
            <w:pPr>
              <w:jc w:val="right"/>
              <w:ind w:right="46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20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87,719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124,637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194,975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215,635</w:t>
            </w:r>
          </w:p>
        </w:tc>
        <w:tc>
          <w:tcPr>
            <w:tcW w:w="0" w:type="dxa"/>
            <w:vAlign w:val="bottom"/>
          </w:tcPr>
          <w:p>
            <w:pPr>
              <w:spacing w:after="0"/>
              <w:rPr>
                <w:sz w:val="1"/>
                <w:szCs w:val="1"/>
                <w:color w:val="auto"/>
              </w:rPr>
            </w:pPr>
          </w:p>
        </w:tc>
      </w:tr>
      <w:tr>
        <w:trPr>
          <w:trHeight w:val="203"/>
        </w:trPr>
        <w:tc>
          <w:tcPr>
            <w:tcW w:w="514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10.4 %</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Legal and other matters (1)</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(6,337)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(6,337)</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income from operations adjustments</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(6,337)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(6,337)</w:t>
            </w:r>
          </w:p>
        </w:tc>
        <w:tc>
          <w:tcPr>
            <w:tcW w:w="0" w:type="dxa"/>
            <w:vAlign w:val="bottom"/>
          </w:tcPr>
          <w:p>
            <w:pPr>
              <w:spacing w:after="0"/>
              <w:rPr>
                <w:sz w:val="1"/>
                <w:szCs w:val="1"/>
                <w:color w:val="auto"/>
              </w:rPr>
            </w:pPr>
          </w:p>
        </w:tc>
      </w:tr>
      <w:tr>
        <w:trPr>
          <w:trHeight w:val="212"/>
        </w:trPr>
        <w:tc>
          <w:tcPr>
            <w:tcW w:w="514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5"/>
                <w:szCs w:val="15"/>
                <w:color w:val="auto"/>
              </w:rPr>
              <w:t>Adjusted income from operations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rPr>
              <w:t>87,719</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rPr>
              <w:t>118,300</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194,975</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209,298</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Adjusted operating income margin</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10.2 %</w:t>
            </w: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net (loss) income attributable to Bloomin’ Brands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(63,635)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82,545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11,876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152,098</w:t>
            </w:r>
          </w:p>
        </w:tc>
        <w:tc>
          <w:tcPr>
            <w:tcW w:w="0" w:type="dxa"/>
            <w:vAlign w:val="bottom"/>
          </w:tcPr>
          <w:p>
            <w:pPr>
              <w:spacing w:after="0"/>
              <w:rPr>
                <w:sz w:val="1"/>
                <w:szCs w:val="1"/>
                <w:color w:val="auto"/>
              </w:rPr>
            </w:pPr>
          </w:p>
        </w:tc>
      </w:tr>
      <w:tr>
        <w:trPr>
          <w:trHeight w:val="212"/>
        </w:trPr>
        <w:tc>
          <w:tcPr>
            <w:tcW w:w="5140" w:type="dxa"/>
            <w:vAlign w:val="bottom"/>
          </w:tcPr>
          <w:p>
            <w:pPr>
              <w:ind w:left="120"/>
              <w:spacing w:after="0"/>
              <w:rPr>
                <w:sz w:val="20"/>
                <w:szCs w:val="20"/>
                <w:color w:val="auto"/>
              </w:rPr>
            </w:pPr>
            <w:r>
              <w:rPr>
                <w:rFonts w:ascii="Arial" w:cs="Arial" w:eastAsia="Arial" w:hAnsi="Arial"/>
                <w:sz w:val="15"/>
                <w:szCs w:val="15"/>
                <w:color w:val="auto"/>
                <w:w w:val="95"/>
              </w:rPr>
              <w:t>Convertible senior notes if-converted method interest adjustment, net of tax (2)</w:t>
            </w:r>
          </w:p>
        </w:tc>
        <w:tc>
          <w:tcPr>
            <w:tcW w:w="2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691</w:t>
            </w:r>
          </w:p>
        </w:tc>
        <w:tc>
          <w:tcPr>
            <w:tcW w:w="0" w:type="dxa"/>
            <w:vAlign w:val="bottom"/>
          </w:tcPr>
          <w:p>
            <w:pPr>
              <w:spacing w:after="0"/>
              <w:rPr>
                <w:sz w:val="1"/>
                <w:szCs w:val="1"/>
                <w:color w:val="auto"/>
              </w:rPr>
            </w:pPr>
          </w:p>
        </w:tc>
      </w:tr>
      <w:tr>
        <w:trPr>
          <w:trHeight w:val="226"/>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income attributable to Bloomin’ Brands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(63,635)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82,545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11,876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151,407</w:t>
            </w:r>
          </w:p>
        </w:tc>
        <w:tc>
          <w:tcPr>
            <w:tcW w:w="0" w:type="dxa"/>
            <w:vAlign w:val="bottom"/>
          </w:tcPr>
          <w:p>
            <w:pPr>
              <w:spacing w:after="0"/>
              <w:rPr>
                <w:sz w:val="1"/>
                <w:szCs w:val="1"/>
                <w:color w:val="auto"/>
              </w:rPr>
            </w:pPr>
          </w:p>
        </w:tc>
      </w:tr>
      <w:tr>
        <w:trPr>
          <w:trHeight w:val="176"/>
        </w:trPr>
        <w:tc>
          <w:tcPr>
            <w:tcW w:w="514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from operations adjustments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(6,337)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(6,337)</w:t>
            </w:r>
          </w:p>
        </w:tc>
        <w:tc>
          <w:tcPr>
            <w:tcW w:w="0" w:type="dxa"/>
            <w:vAlign w:val="bottom"/>
          </w:tcPr>
          <w:p>
            <w:pPr>
              <w:spacing w:after="0"/>
              <w:rPr>
                <w:sz w:val="1"/>
                <w:szCs w:val="1"/>
                <w:color w:val="auto"/>
              </w:rPr>
            </w:pPr>
          </w:p>
        </w:tc>
      </w:tr>
      <w:tr>
        <w:trPr>
          <w:trHeight w:val="203"/>
        </w:trPr>
        <w:tc>
          <w:tcPr>
            <w:tcW w:w="5140" w:type="dxa"/>
            <w:vAlign w:val="bottom"/>
          </w:tcPr>
          <w:p>
            <w:pPr>
              <w:ind w:left="140"/>
              <w:spacing w:after="0"/>
              <w:rPr>
                <w:sz w:val="20"/>
                <w:szCs w:val="20"/>
                <w:color w:val="auto"/>
              </w:rPr>
            </w:pPr>
            <w:r>
              <w:rPr>
                <w:rFonts w:ascii="Arial" w:cs="Arial" w:eastAsia="Arial" w:hAnsi="Arial"/>
                <w:sz w:val="15"/>
                <w:szCs w:val="15"/>
                <w:color w:val="auto"/>
              </w:rPr>
              <w:t>Loss on extinguishment and modification of debt (3)</w:t>
            </w:r>
          </w:p>
        </w:tc>
        <w:tc>
          <w:tcPr>
            <w:tcW w:w="200" w:type="dxa"/>
            <w:vAlign w:val="bottom"/>
          </w:tcPr>
          <w:p>
            <w:pPr>
              <w:spacing w:after="0"/>
              <w:rPr>
                <w:sz w:val="17"/>
                <w:szCs w:val="17"/>
                <w:color w:val="auto"/>
              </w:rPr>
            </w:pP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107,630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2,073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03"/>
              <w:spacing w:after="0"/>
              <w:rPr>
                <w:sz w:val="20"/>
                <w:szCs w:val="20"/>
                <w:color w:val="auto"/>
              </w:rPr>
            </w:pPr>
            <w:r>
              <w:rPr>
                <w:rFonts w:ascii="Arial" w:cs="Arial" w:eastAsia="Arial" w:hAnsi="Arial"/>
                <w:sz w:val="15"/>
                <w:szCs w:val="15"/>
                <w:color w:val="auto"/>
              </w:rPr>
              <w:t>107,630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2,073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fair value adjustment of derivatives, net (4)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17,685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17,685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14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Total adjustments, before income taxes</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rPr>
              <w:t>125,315</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(4,264)</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rPr>
              <w:t>125,315</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rPr>
              <w:t>(4,264)</w:t>
            </w:r>
          </w:p>
        </w:tc>
        <w:tc>
          <w:tcPr>
            <w:tcW w:w="0" w:type="dxa"/>
            <w:vAlign w:val="bottom"/>
          </w:tcPr>
          <w:p>
            <w:pPr>
              <w:spacing w:after="0"/>
              <w:rPr>
                <w:sz w:val="1"/>
                <w:szCs w:val="1"/>
                <w:color w:val="auto"/>
              </w:rPr>
            </w:pPr>
          </w:p>
        </w:tc>
      </w:tr>
      <w:tr>
        <w:trPr>
          <w:trHeight w:val="202"/>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Adjustment to provision for income taxes (5)</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1,322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1,243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1,322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1,243</w:t>
            </w:r>
          </w:p>
        </w:tc>
        <w:tc>
          <w:tcPr>
            <w:tcW w:w="0" w:type="dxa"/>
            <w:vAlign w:val="bottom"/>
          </w:tcPr>
          <w:p>
            <w:pPr>
              <w:spacing w:after="0"/>
              <w:rPr>
                <w:sz w:val="1"/>
                <w:szCs w:val="1"/>
                <w:color w:val="auto"/>
              </w:rPr>
            </w:pPr>
          </w:p>
        </w:tc>
      </w:tr>
      <w:tr>
        <w:trPr>
          <w:trHeight w:val="212"/>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adjustments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126,637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126,637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(3,021)</w:t>
            </w: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net income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63,002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79,524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138,513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148,386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(loss) earnings per share (6)</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(0.72)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40" w:type="dxa"/>
            <w:vAlign w:val="bottom"/>
          </w:tcPr>
          <w:p>
            <w:pPr>
              <w:ind w:left="20"/>
              <w:spacing w:after="0"/>
              <w:rPr>
                <w:sz w:val="20"/>
                <w:szCs w:val="20"/>
                <w:color w:val="auto"/>
              </w:rPr>
            </w:pPr>
            <w:r>
              <w:rPr>
                <w:rFonts w:ascii="Arial" w:cs="Arial" w:eastAsia="Arial" w:hAnsi="Arial"/>
                <w:sz w:val="15"/>
                <w:szCs w:val="15"/>
                <w:color w:val="auto"/>
              </w:rPr>
              <w:t>Adjusted diluted earnings per share (7)</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0.68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0.81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Diluted weighted average common shares outstanding (6)</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88,898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109,805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102,045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110,223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diluted weighted average common shares outstanding (7)</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92,863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98,574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93,792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97,011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20" w:hanging="617"/>
        <w:spacing w:after="0" w:line="251" w:lineRule="auto"/>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thirteen and twenty-six weeks ended June 27, 2021 include the recognition of recoverable PIS and COFINS taxes, including accrued interest, within other revenues as a result of favorable court rulings in Brazil during the second quarter of 2021.</w:t>
      </w:r>
    </w:p>
    <w:p>
      <w:pPr>
        <w:ind w:left="620" w:hanging="617"/>
        <w:spacing w:after="0" w:line="251" w:lineRule="auto"/>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Adjustment for interest expense related to the 2025 Notes weighted for the portion of the period prior to our election under the 2025 Notes indenture to settle the principal portion of the 2025 Notes in cash.</w:t>
      </w:r>
    </w:p>
    <w:p>
      <w:pPr>
        <w:ind w:left="620" w:hanging="617"/>
        <w:spacing w:after="0" w:line="251" w:lineRule="auto"/>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 xml:space="preserve">The thirteen and twenty-six weeks ended June 26, 2022 include losses in connection with the 2025 Notes Partial Repurchase and Amended Credit Agreement. See Note 8 - </w:t>
      </w:r>
      <w:r>
        <w:rPr>
          <w:rFonts w:ascii="Arial" w:cs="Arial" w:eastAsia="Arial" w:hAnsi="Arial"/>
          <w:sz w:val="15"/>
          <w:szCs w:val="15"/>
          <w:i w:val="1"/>
          <w:iCs w:val="1"/>
          <w:color w:val="auto"/>
        </w:rPr>
        <w:t xml:space="preserve">Convertible Senior Notes </w:t>
      </w:r>
      <w:r>
        <w:rPr>
          <w:rFonts w:ascii="Arial" w:cs="Arial" w:eastAsia="Arial" w:hAnsi="Arial"/>
          <w:sz w:val="15"/>
          <w:szCs w:val="15"/>
          <w:color w:val="auto"/>
        </w:rPr>
        <w:t>and Note 7 -</w:t>
      </w:r>
      <w:r>
        <w:rPr>
          <w:rFonts w:ascii="Arial" w:cs="Arial" w:eastAsia="Arial" w:hAnsi="Arial"/>
          <w:sz w:val="15"/>
          <w:szCs w:val="15"/>
          <w:i w:val="1"/>
          <w:iCs w:val="1"/>
          <w:color w:val="auto"/>
        </w:rPr>
        <w:t xml:space="preserve"> Long-term Debt, Net</w:t>
      </w:r>
      <w:r>
        <w:rPr>
          <w:rFonts w:ascii="Arial" w:cs="Arial" w:eastAsia="Arial" w:hAnsi="Arial"/>
          <w:sz w:val="15"/>
          <w:szCs w:val="15"/>
          <w:color w:val="auto"/>
        </w:rPr>
        <w:t>, respectively, of the Notes to Consolidated Financial Statements for additional details.</w:t>
      </w:r>
    </w:p>
    <w:p>
      <w:pPr>
        <w:ind w:left="620" w:hanging="617"/>
        <w:spacing w:after="0" w:line="269" w:lineRule="auto"/>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Fair value adjustments to the conversion feature of the 2025 Notes repurchased, as well as the settlements of the related convertible senior note hedges and warrants in connection with the 2025 Notes Partial Repurchase. See Note 8 - </w:t>
      </w:r>
      <w:r>
        <w:rPr>
          <w:rFonts w:ascii="Arial" w:cs="Arial" w:eastAsia="Arial" w:hAnsi="Arial"/>
          <w:sz w:val="14"/>
          <w:szCs w:val="14"/>
          <w:i w:val="1"/>
          <w:iCs w:val="1"/>
          <w:color w:val="auto"/>
        </w:rPr>
        <w:t>Convertible Senior Notes</w:t>
      </w:r>
      <w:r>
        <w:rPr>
          <w:rFonts w:ascii="Arial" w:cs="Arial" w:eastAsia="Arial" w:hAnsi="Arial"/>
          <w:sz w:val="14"/>
          <w:szCs w:val="14"/>
          <w:color w:val="auto"/>
        </w:rPr>
        <w:t xml:space="preserve"> of the Notes to Consolidated Financial Statements for additional details.</w:t>
      </w:r>
    </w:p>
    <w:p>
      <w:pPr>
        <w:ind w:left="620" w:hanging="617"/>
        <w:spacing w:after="0" w:line="251" w:lineRule="auto"/>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Income tax effect of the adjustments for the periods presented. For the thirteen and twenty-six weeks ended June 26, 2022, the primary difference between the GAAP and adjusted effective income tax rates relate to certain non-deductible losses and other tax costs associated with the 2025 Notes Partial Repurchase.</w:t>
      </w:r>
    </w:p>
    <w:p>
      <w:pPr>
        <w:ind w:left="620" w:hanging="617"/>
        <w:spacing w:after="0"/>
        <w:tabs>
          <w:tab w:leader="none" w:pos="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Due to the GAAP net loss, the effect of dilutive securities was excluded from the calculation of GAAP diluted loss per share for the thirteen weeks ended June 26, 2022.</w:t>
      </w:r>
    </w:p>
    <w:p>
      <w:pPr>
        <w:spacing w:after="0" w:line="19" w:lineRule="exact"/>
        <w:rPr>
          <w:rFonts w:ascii="Arial" w:cs="Arial" w:eastAsia="Arial" w:hAnsi="Arial"/>
          <w:sz w:val="14"/>
          <w:szCs w:val="14"/>
          <w:color w:val="auto"/>
        </w:rPr>
      </w:pPr>
    </w:p>
    <w:p>
      <w:pPr>
        <w:jc w:val="both"/>
        <w:ind w:left="620" w:hanging="617"/>
        <w:spacing w:after="0" w:line="254" w:lineRule="auto"/>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Adjusted diluted weighted average common shares outstanding was calculated excluding the dilutive effect of 7,774 and 11,231 shares for the thirteen weeks ended June 26, 2022 and June 27, 2021, respectively, and 8,253 and 10,442 shares for the twenty-six weeks ended June 26, 2022 and June 27, 2021, respectively, to be issued upon conversion of the 2025 Notes to satisfy the amount in excess of the principal since our convertible note hedge offsets the dilutive impact of the shares underlying the 2025 Notes. For the twenty-six weeks ended June 27, 2021, adjusted diluted weighted average common shares outstanding was also calculated assuming our February 2021 election to settle the principal portion of the 2025 Notes in cash was in effect for the entire period. For adjusted diluted earnings per share, the calculation includes 3,965 dilutive shares for the thirteen weeks ended June 26, 2022, primarily related to outstanding warrants.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System-Wide Sales - </w:t>
      </w:r>
      <w:r>
        <w:rPr>
          <w:rFonts w:ascii="Arial" w:cs="Arial" w:eastAsia="Arial" w:hAnsi="Arial"/>
          <w:sz w:val="17"/>
          <w:szCs w:val="17"/>
          <w:color w:val="auto"/>
        </w:rPr>
        <w:t>System-wide sales is a non-GAAP financial measure that includes sales of all restaurants operating under our brand names,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Consolidated Financial Statements.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820" w:type="dxa"/>
            <w:vAlign w:val="bottom"/>
            <w:gridSpan w:val="4"/>
          </w:tcPr>
          <w:p>
            <w:pPr>
              <w:jc w:val="right"/>
              <w:ind w:right="464"/>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Bonefish Grill</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 South Korea</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206"/>
        </w:trPr>
        <w:tc>
          <w:tcPr>
            <w:tcW w:w="5100" w:type="dxa"/>
            <w:vAlign w:val="bottom"/>
          </w:tcPr>
          <w:p>
            <w:pPr>
              <w:ind w:left="20"/>
              <w:spacing w:after="0"/>
              <w:rPr>
                <w:sz w:val="20"/>
                <w:szCs w:val="20"/>
                <w:color w:val="auto"/>
              </w:rPr>
            </w:pPr>
            <w:r>
              <w:rPr>
                <w:rFonts w:ascii="Arial" w:cs="Arial" w:eastAsia="Arial" w:hAnsi="Arial"/>
                <w:sz w:val="15"/>
                <w:szCs w:val="15"/>
                <w:color w:val="auto"/>
              </w:rPr>
              <w:t>Total franchise sales (1)</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5"/>
                <w:szCs w:val="15"/>
                <w:color w:val="auto"/>
              </w:rPr>
              <w:t>_____________________</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Franchise sales are not included in Total revenues in the Consolidated Statements of Operations and Comprehensive (Loss) Income.</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Cash and Cash Equivalents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June 26, 2022, we had $95.3 million in cash and cash equivalents, of which $41.8 million was held by foreign affiliates. The international jurisdictions in which we have significant cash do not have any known restrictions that would prohibit repatriation.</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As of June 26, 2022, we had aggregate accumulated foreign earnings of approximately $37.9 million. This amount consisted primarily of historical earnings from 2017 and prior that were previously taxed in the U.S. under the 2017 Tax Cuts and Jobs Act and post-2017 foreign earnings, which we may repatriate to the U.S. without additional material U.S. federal income tax. These amounts are not considered indefinitely reinvested in our foreign subsidiaries.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Borrowing Capacity and Debt Service</w:t>
      </w:r>
    </w:p>
    <w:p>
      <w:pPr>
        <w:spacing w:after="0" w:line="233"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Credit Facilities </w:t>
      </w:r>
      <w:r>
        <w:rPr>
          <w:rFonts w:ascii="Arial" w:cs="Arial" w:eastAsia="Arial" w:hAnsi="Arial"/>
          <w:sz w:val="19"/>
          <w:szCs w:val="19"/>
          <w:color w:val="auto"/>
        </w:rPr>
        <w:t>- Following is a summary of our outstanding credit facilities as of the dates indicated and principal payments and debt issuance</w:t>
      </w:r>
      <w:r>
        <w:rPr>
          <w:rFonts w:ascii="Arial" w:cs="Arial" w:eastAsia="Arial" w:hAnsi="Arial"/>
          <w:sz w:val="19"/>
          <w:szCs w:val="19"/>
          <w:i w:val="1"/>
          <w:iCs w:val="1"/>
          <w:color w:val="auto"/>
        </w:rPr>
        <w:t xml:space="preserve"> </w:t>
      </w:r>
      <w:r>
        <w:rPr>
          <w:rFonts w:ascii="Arial" w:cs="Arial" w:eastAsia="Arial" w:hAnsi="Arial"/>
          <w:sz w:val="19"/>
          <w:szCs w:val="19"/>
          <w:color w:val="auto"/>
        </w:rPr>
        <w:t>during the period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4"/>
                <w:szCs w:val="14"/>
                <w:b w:val="1"/>
                <w:bCs w:val="1"/>
                <w:color w:val="auto"/>
              </w:rPr>
              <w:t>SENIOR SECURED CREDIT FACILITY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TERM LOAN A</w:t>
            </w:r>
          </w:p>
        </w:tc>
        <w:tc>
          <w:tcPr>
            <w:tcW w:w="10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REVOLVING FACILITY</w:t>
            </w:r>
          </w:p>
        </w:tc>
        <w:tc>
          <w:tcPr>
            <w:tcW w:w="20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2025 NOTES</w:t>
            </w:r>
          </w:p>
        </w:tc>
        <w:tc>
          <w:tcPr>
            <w:tcW w:w="20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2029 NOTES</w:t>
            </w:r>
          </w:p>
        </w:tc>
        <w:tc>
          <w:tcPr>
            <w:tcW w:w="120" w:type="dxa"/>
            <w:vAlign w:val="bottom"/>
          </w:tcPr>
          <w:p>
            <w:pPr>
              <w:spacing w:after="0"/>
              <w:rPr>
                <w:sz w:val="13"/>
                <w:szCs w:val="13"/>
                <w:color w:val="auto"/>
              </w:rPr>
            </w:pPr>
          </w:p>
        </w:tc>
        <w:tc>
          <w:tcPr>
            <w:tcW w:w="1260" w:type="dxa"/>
            <w:vAlign w:val="bottom"/>
          </w:tcPr>
          <w:p>
            <w:pPr>
              <w:jc w:val="center"/>
              <w:ind w:right="46"/>
              <w:spacing w:after="0" w:line="155" w:lineRule="exact"/>
              <w:rPr>
                <w:sz w:val="20"/>
                <w:szCs w:val="20"/>
                <w:color w:val="auto"/>
              </w:rPr>
            </w:pPr>
            <w:r>
              <w:rPr>
                <w:rFonts w:ascii="Arial" w:cs="Arial" w:eastAsia="Arial" w:hAnsi="Arial"/>
                <w:sz w:val="14"/>
                <w:szCs w:val="14"/>
                <w:b w:val="1"/>
                <w:bCs w:val="1"/>
                <w:color w:val="auto"/>
                <w:w w:val="99"/>
              </w:rPr>
              <w:t>TOTAL CREDIT</w:t>
            </w:r>
          </w:p>
        </w:tc>
        <w:tc>
          <w:tcPr>
            <w:tcW w:w="0" w:type="dxa"/>
            <w:vAlign w:val="bottom"/>
          </w:tcPr>
          <w:p>
            <w:pPr>
              <w:spacing w:after="0"/>
              <w:rPr>
                <w:sz w:val="1"/>
                <w:szCs w:val="1"/>
                <w:color w:val="auto"/>
              </w:rPr>
            </w:pPr>
          </w:p>
        </w:tc>
      </w:tr>
      <w:tr>
        <w:trPr>
          <w:trHeight w:val="186"/>
        </w:trPr>
        <w:tc>
          <w:tcPr>
            <w:tcW w:w="3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46"/>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0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December 26, 2021</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195,000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80,000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230,000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center"/>
              <w:ind w:left="566"/>
              <w:spacing w:after="0"/>
              <w:rPr>
                <w:sz w:val="20"/>
                <w:szCs w:val="20"/>
                <w:color w:val="auto"/>
              </w:rPr>
            </w:pPr>
            <w:r>
              <w:rPr>
                <w:rFonts w:ascii="Arial" w:cs="Arial" w:eastAsia="Arial" w:hAnsi="Arial"/>
                <w:sz w:val="15"/>
                <w:szCs w:val="15"/>
                <w:color w:val="auto"/>
                <w:w w:val="92"/>
              </w:rPr>
              <w:t>805,000</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rPr>
                <w:sz w:val="20"/>
                <w:szCs w:val="20"/>
                <w:color w:val="auto"/>
              </w:rPr>
            </w:pPr>
            <w:r>
              <w:rPr>
                <w:rFonts w:ascii="Arial" w:cs="Arial" w:eastAsia="Arial" w:hAnsi="Arial"/>
                <w:sz w:val="15"/>
                <w:szCs w:val="15"/>
                <w:color w:val="auto"/>
              </w:rPr>
              <w:t>2022 new debt</w:t>
            </w:r>
          </w:p>
        </w:tc>
        <w:tc>
          <w:tcPr>
            <w:tcW w:w="2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624,500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tcPr>
          <w:p>
            <w:pPr>
              <w:jc w:val="center"/>
              <w:ind w:left="566"/>
              <w:spacing w:after="0"/>
              <w:rPr>
                <w:sz w:val="20"/>
                <w:szCs w:val="20"/>
                <w:color w:val="auto"/>
              </w:rPr>
            </w:pPr>
            <w:r>
              <w:rPr>
                <w:rFonts w:ascii="Arial" w:cs="Arial" w:eastAsia="Arial" w:hAnsi="Arial"/>
                <w:sz w:val="15"/>
                <w:szCs w:val="15"/>
                <w:color w:val="auto"/>
                <w:w w:val="92"/>
              </w:rPr>
              <w:t>624,500</w:t>
            </w: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2022 payments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(195,000)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(304,500)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(125,000)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ind w:left="546"/>
              <w:spacing w:after="0"/>
              <w:rPr>
                <w:sz w:val="20"/>
                <w:szCs w:val="20"/>
                <w:color w:val="auto"/>
              </w:rPr>
            </w:pPr>
            <w:r>
              <w:rPr>
                <w:rFonts w:ascii="Arial" w:cs="Arial" w:eastAsia="Arial" w:hAnsi="Arial"/>
                <w:sz w:val="15"/>
                <w:szCs w:val="15"/>
                <w:color w:val="auto"/>
                <w:w w:val="93"/>
              </w:rPr>
              <w:t>(624,500)</w:t>
            </w:r>
          </w:p>
        </w:tc>
        <w:tc>
          <w:tcPr>
            <w:tcW w:w="0" w:type="dxa"/>
            <w:vAlign w:val="bottom"/>
          </w:tcPr>
          <w:p>
            <w:pPr>
              <w:spacing w:after="0"/>
              <w:rPr>
                <w:sz w:val="1"/>
                <w:szCs w:val="1"/>
                <w:color w:val="auto"/>
              </w:rPr>
            </w:pPr>
          </w:p>
        </w:tc>
      </w:tr>
      <w:tr>
        <w:trPr>
          <w:trHeight w:val="206"/>
        </w:trPr>
        <w:tc>
          <w:tcPr>
            <w:tcW w:w="3360" w:type="dxa"/>
            <w:vAlign w:val="bottom"/>
          </w:tcPr>
          <w:p>
            <w:pPr>
              <w:ind w:left="20"/>
              <w:spacing w:after="0"/>
              <w:rPr>
                <w:sz w:val="20"/>
                <w:szCs w:val="20"/>
                <w:color w:val="auto"/>
              </w:rPr>
            </w:pPr>
            <w:r>
              <w:rPr>
                <w:rFonts w:ascii="Arial" w:cs="Arial" w:eastAsia="Arial" w:hAnsi="Arial"/>
                <w:sz w:val="15"/>
                <w:szCs w:val="15"/>
                <w:color w:val="auto"/>
              </w:rPr>
              <w:t>Balance as of June 26, 2022</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400,000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105,000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center"/>
              <w:ind w:left="566"/>
              <w:spacing w:after="0"/>
              <w:rPr>
                <w:sz w:val="20"/>
                <w:szCs w:val="20"/>
                <w:color w:val="auto"/>
              </w:rPr>
            </w:pPr>
            <w:r>
              <w:rPr>
                <w:rFonts w:ascii="Arial" w:cs="Arial" w:eastAsia="Arial" w:hAnsi="Arial"/>
                <w:sz w:val="15"/>
                <w:szCs w:val="15"/>
                <w:color w:val="auto"/>
                <w:w w:val="92"/>
              </w:rPr>
              <w:t>805,000</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5"/>
                <w:szCs w:val="15"/>
                <w:color w:val="auto"/>
              </w:rPr>
              <w:t>Interest rates, as of June 26, 2022 (1)</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2.74 %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maturity date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April 2026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May 2025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April 2029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Interest rate for revolving credit facility represents the weighted average interest rate as of June 26, 2022.</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June 26, 2022, we had $580.0 million in available unused borrowing capacity under our revolving credit facility, net of letters of credit of $20.0 million.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Credit Agreement Amendment - </w:t>
      </w:r>
      <w:r>
        <w:rPr>
          <w:rFonts w:ascii="Arial" w:cs="Arial" w:eastAsia="Arial" w:hAnsi="Arial"/>
          <w:sz w:val="18"/>
          <w:szCs w:val="18"/>
          <w:color w:val="auto"/>
        </w:rPr>
        <w:t>On April 26, 2022, we and OSI entered into the Amended Credit Agreement, which included an increase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revolving credit facility from $800.0 million to $1.0 billion and a transition from LIBOR to SOFR as the benchmark rate for purposes of calculating interest under the Senior Secured Credit Facility. At closing, an incremental $192.5 million was drawn on the revolving credit facility to fully repay the outstanding balance of Term loan A. Our total indebtedness remained unchanged as a result of the Amended Credit Agreement. The transition to SOFR did not materially impact the interest rate applied to our borrowings.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See Note 7 - </w:t>
      </w:r>
      <w:r>
        <w:rPr>
          <w:rFonts w:ascii="Arial" w:cs="Arial" w:eastAsia="Arial" w:hAnsi="Arial"/>
          <w:sz w:val="19"/>
          <w:szCs w:val="19"/>
          <w:i w:val="1"/>
          <w:iCs w:val="1"/>
          <w:color w:val="auto"/>
        </w:rPr>
        <w:t>Long-term Debt, Net</w:t>
      </w:r>
      <w:r>
        <w:rPr>
          <w:rFonts w:ascii="Arial" w:cs="Arial" w:eastAsia="Arial" w:hAnsi="Arial"/>
          <w:sz w:val="19"/>
          <w:szCs w:val="19"/>
          <w:color w:val="auto"/>
        </w:rPr>
        <w:t xml:space="preserve"> of the Notes to Consolidated Financial Statements for additional details regarding the Amended Credit Agreement.</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Our Amended Credit Agreement contains various financial and non-financial covenants. A violation of these covenants could negatively impact our liquidity by restricting our ability to borrow under the revolving credit facility and cause an acceleration of the amounts due under the credit facilities. See Note 13 - </w:t>
      </w:r>
      <w:r>
        <w:rPr>
          <w:rFonts w:ascii="Arial" w:cs="Arial" w:eastAsia="Arial" w:hAnsi="Arial"/>
          <w:sz w:val="17"/>
          <w:szCs w:val="17"/>
          <w:i w:val="1"/>
          <w:iCs w:val="1"/>
          <w:color w:val="auto"/>
        </w:rPr>
        <w:t>Long-term Debt, Net</w:t>
      </w:r>
      <w:r>
        <w:rPr>
          <w:rFonts w:ascii="Arial" w:cs="Arial" w:eastAsia="Arial" w:hAnsi="Arial"/>
          <w:sz w:val="17"/>
          <w:szCs w:val="17"/>
          <w:color w:val="auto"/>
        </w:rPr>
        <w:t xml:space="preserve"> in our Annual Report on Form 10-K for the year ended December 26, 2021 for further information.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June 26, 2022 and December 26, 2021, we were in compliance with our debt covenants. We believe that we will remain in compliance with our debt covenants during the next 12 months.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2025 Notes </w:t>
      </w:r>
      <w:r>
        <w:rPr>
          <w:rFonts w:ascii="Arial" w:cs="Arial" w:eastAsia="Arial" w:hAnsi="Arial"/>
          <w:sz w:val="19"/>
          <w:szCs w:val="19"/>
          <w:color w:val="auto"/>
        </w:rPr>
        <w:t>- On May 25, 2022, we and the Noteholders entered into the Exchange Agreements in which the Noteholders agreed to exchange</w:t>
      </w:r>
      <w:r>
        <w:rPr>
          <w:rFonts w:ascii="Arial" w:cs="Arial" w:eastAsia="Arial" w:hAnsi="Arial"/>
          <w:sz w:val="19"/>
          <w:szCs w:val="19"/>
          <w:i w:val="1"/>
          <w:iCs w:val="1"/>
          <w:color w:val="auto"/>
        </w:rPr>
        <w:t xml:space="preserve"> </w:t>
      </w:r>
      <w:r>
        <w:rPr>
          <w:rFonts w:ascii="Arial" w:cs="Arial" w:eastAsia="Arial" w:hAnsi="Arial"/>
          <w:sz w:val="19"/>
          <w:szCs w:val="19"/>
          <w:color w:val="auto"/>
        </w:rPr>
        <w:t>$125.0 million in aggregate principal amount of our outstanding 2025 Notes for $196.9 million in cash, plus accrued interest, and approximately 2.3 million shares of our common stock.</w:t>
      </w:r>
    </w:p>
    <w:p>
      <w:pPr>
        <w:spacing w:after="0" w:line="20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 xml:space="preserve">Convertible Note Hedge and Warrant Transactions </w:t>
      </w:r>
      <w:r>
        <w:rPr>
          <w:rFonts w:ascii="Arial" w:cs="Arial" w:eastAsia="Arial" w:hAnsi="Arial"/>
          <w:sz w:val="17"/>
          <w:szCs w:val="17"/>
          <w:color w:val="252525"/>
        </w:rPr>
        <w:t>-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2025 Notes Partial Repurchase, we entered into the Note Hedge Early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Agreements and the Warrant Early Termination Agreements. Upon settlement, we received $131.9 million for the Note Hedge Early Termination Agreements and paid $114.8 million for the Warrant Early Termination Agreements during the thirteen weeks ended June 26, 2022.</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See Note 8 - </w:t>
      </w:r>
      <w:r>
        <w:rPr>
          <w:rFonts w:ascii="Arial" w:cs="Arial" w:eastAsia="Arial" w:hAnsi="Arial"/>
          <w:sz w:val="19"/>
          <w:szCs w:val="19"/>
          <w:i w:val="1"/>
          <w:iCs w:val="1"/>
          <w:color w:val="auto"/>
        </w:rPr>
        <w:t>Convertible Senior Notes</w:t>
      </w:r>
      <w:r>
        <w:rPr>
          <w:rFonts w:ascii="Arial" w:cs="Arial" w:eastAsia="Arial" w:hAnsi="Arial"/>
          <w:sz w:val="19"/>
          <w:szCs w:val="19"/>
          <w:color w:val="auto"/>
        </w:rPr>
        <w:t xml:space="preserve"> of the Notes to Consolidated Financial Statements for additional details regarding the 2025 Notes Partial Repurchase and related Note Hedge Early Termination Agreements and Warrant Early Termination Agreements.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Use of Cash</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Cash flows generated from operating activities and availability under our revolving credit facility are our principal sources of liquidity, which we use for operating expenses, debt payments, share repurchases and dividend payments, development of new restaurants, remodeling or relocating older restaurants and investment in technology.</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Capital Expenditures </w:t>
      </w:r>
      <w:r>
        <w:rPr>
          <w:rFonts w:ascii="Arial" w:cs="Arial" w:eastAsia="Arial" w:hAnsi="Arial"/>
          <w:sz w:val="19"/>
          <w:szCs w:val="19"/>
          <w:color w:val="auto"/>
        </w:rPr>
        <w:t>- We estimate that our capital expenditures will total approximately $200 million to $210 million in 2022. The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actual capital expenditures may be affected by general economic, financial, competitive, legislative and regulatory factors, among other things, including raw material constraints.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Dividends and Share Repurchases </w:t>
      </w:r>
      <w:r>
        <w:rPr>
          <w:rFonts w:ascii="Arial" w:cs="Arial" w:eastAsia="Arial" w:hAnsi="Arial"/>
          <w:sz w:val="17"/>
          <w:szCs w:val="17"/>
          <w:color w:val="auto"/>
        </w:rPr>
        <w:t>- In July 2022, our Board declared a quarterly cash dividend of $0.14 per share, payable on August 24, 2022.</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Future dividend payments are dependent on our earnings, financial condition, capital expenditure requirements, surplus and other factors that our</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Board considers relevant, as well as continued compliance with the financial covenants in our debt agreements.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On February 8, 2022, our Board approved the 2022 Share Repurchase Program under which we are authorized to repurchase up to $125.0 million of our outstanding common stock. The 2022 Share Repurchase Program will expire on August 9, 2023. As of June 26, 2022, we had $77.5 million remaining available for repurchase under the 2022 Share Repurchase Program.</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dividends and share repurchases from fiscal year 2015 through June 26,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1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SHARE REPURCHASES</w:t>
            </w:r>
          </w:p>
        </w:tc>
        <w:tc>
          <w:tcPr>
            <w:tcW w:w="360" w:type="dxa"/>
            <w:vAlign w:val="bottom"/>
          </w:tcPr>
          <w:p>
            <w:pPr>
              <w:spacing w:after="0"/>
              <w:rPr>
                <w:sz w:val="17"/>
                <w:szCs w:val="17"/>
                <w:color w:val="auto"/>
              </w:rPr>
            </w:pPr>
          </w:p>
        </w:tc>
        <w:tc>
          <w:tcPr>
            <w:tcW w:w="1380" w:type="dxa"/>
            <w:vAlign w:val="bottom"/>
          </w:tcPr>
          <w:p>
            <w:pPr>
              <w:jc w:val="right"/>
              <w:ind w:right="5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Fiscal year 2015</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169,999</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199,331</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2016</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31,379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309,887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341,266</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2017</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303,724</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2018</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33,312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113,967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147,279</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2019</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142,726</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2020</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17,480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17,480</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2021</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First fiscal quarter 2022</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12,559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11,702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24,261</w:t>
            </w:r>
          </w:p>
        </w:tc>
        <w:tc>
          <w:tcPr>
            <w:tcW w:w="0" w:type="dxa"/>
            <w:vAlign w:val="bottom"/>
          </w:tcPr>
          <w:p>
            <w:pPr>
              <w:spacing w:after="0"/>
              <w:rPr>
                <w:sz w:val="1"/>
                <w:szCs w:val="1"/>
                <w:color w:val="auto"/>
              </w:rPr>
            </w:pPr>
          </w:p>
        </w:tc>
      </w:tr>
      <w:tr>
        <w:trPr>
          <w:trHeight w:val="20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Second fiscal quarter 2022</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35,749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48,167</w:t>
            </w:r>
          </w:p>
        </w:tc>
        <w:tc>
          <w:tcPr>
            <w:tcW w:w="0" w:type="dxa"/>
            <w:vAlign w:val="bottom"/>
          </w:tcPr>
          <w:p>
            <w:pPr>
              <w:spacing w:after="0"/>
              <w:rPr>
                <w:sz w:val="1"/>
                <w:szCs w:val="1"/>
                <w:color w:val="auto"/>
              </w:rPr>
            </w:pPr>
          </w:p>
        </w:tc>
      </w:tr>
      <w:tr>
        <w:trPr>
          <w:trHeight w:val="206"/>
        </w:trPr>
        <w:tc>
          <w:tcPr>
            <w:tcW w:w="5780" w:type="dxa"/>
            <w:vAlign w:val="bottom"/>
          </w:tcPr>
          <w:p>
            <w:pPr>
              <w:ind w:left="120"/>
              <w:spacing w:after="0"/>
              <w:rPr>
                <w:sz w:val="20"/>
                <w:szCs w:val="20"/>
                <w:color w:val="auto"/>
              </w:rPr>
            </w:pPr>
            <w:r>
              <w:rPr>
                <w:rFonts w:ascii="Arial" w:cs="Arial" w:eastAsia="Arial" w:hAnsi="Arial"/>
                <w:sz w:val="15"/>
                <w:szCs w:val="15"/>
                <w:color w:val="auto"/>
              </w:rPr>
              <w:t>Total (1)</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203,202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1,021,032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1,224,234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Subsequent to June 26, 2022, we repurchased $14.9 million of our common stock under a Rule 10b5-1 plan through July 28, 2022.</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Deferred Compensation Programs - </w:t>
      </w:r>
      <w:r>
        <w:rPr>
          <w:rFonts w:ascii="Arial" w:cs="Arial" w:eastAsia="Arial" w:hAnsi="Arial"/>
          <w:sz w:val="19"/>
          <w:szCs w:val="19"/>
          <w:color w:val="auto"/>
        </w:rPr>
        <w:t>The deferred compensation obligation due to managing and chef partners was $7.5 million and $15.5 million as</w:t>
      </w:r>
      <w:r>
        <w:rPr>
          <w:rFonts w:ascii="Arial" w:cs="Arial" w:eastAsia="Arial" w:hAnsi="Arial"/>
          <w:sz w:val="19"/>
          <w:szCs w:val="19"/>
          <w:i w:val="1"/>
          <w:iCs w:val="1"/>
          <w:color w:val="auto"/>
        </w:rPr>
        <w:t xml:space="preserve"> </w:t>
      </w:r>
      <w:r>
        <w:rPr>
          <w:rFonts w:ascii="Arial" w:cs="Arial" w:eastAsia="Arial" w:hAnsi="Arial"/>
          <w:sz w:val="19"/>
          <w:szCs w:val="19"/>
          <w:color w:val="auto"/>
        </w:rPr>
        <w:t>of June 26, 2022 and December 26, 2021, respectively. We invest in various corporate-owned life insurance policies, which are held within an irrevocable grantor or rabbi trust account for settlement of our obligations under the deferred compensation plans. The obligation for managing and chef partners’ deferred compensation was fully funded as of June 26, 2022.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Summary of Cash Flows and Financial Condition</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Cash Flows </w:t>
      </w:r>
      <w:r>
        <w:rPr>
          <w:rFonts w:ascii="Arial" w:cs="Arial" w:eastAsia="Arial" w:hAnsi="Arial"/>
          <w:sz w:val="19"/>
          <w:szCs w:val="19"/>
          <w:color w:val="auto"/>
        </w:rPr>
        <w:t>- The following table presents a summary of our cash flows provided by (used in) operating, investing and financing activities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4"/>
                <w:szCs w:val="14"/>
                <w:b w:val="1"/>
                <w:bCs w:val="1"/>
                <w:color w:val="auto"/>
              </w:rPr>
              <w:t>TWENTY-SIX WEEKS ENDED</w:t>
            </w: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20" w:type="dxa"/>
            <w:vAlign w:val="bottom"/>
          </w:tcPr>
          <w:p>
            <w:pPr>
              <w:spacing w:after="0"/>
              <w:rPr>
                <w:sz w:val="16"/>
                <w:szCs w:val="16"/>
                <w:color w:val="auto"/>
              </w:rPr>
            </w:pPr>
          </w:p>
        </w:tc>
        <w:tc>
          <w:tcPr>
            <w:tcW w:w="1300" w:type="dxa"/>
            <w:vAlign w:val="bottom"/>
          </w:tcPr>
          <w:p>
            <w:pPr>
              <w:jc w:val="right"/>
              <w:ind w:right="244"/>
              <w:spacing w:after="0"/>
              <w:rPr>
                <w:sz w:val="20"/>
                <w:szCs w:val="20"/>
                <w:color w:val="auto"/>
              </w:rPr>
            </w:pPr>
            <w:r>
              <w:rPr>
                <w:rFonts w:ascii="Arial" w:cs="Arial" w:eastAsia="Arial" w:hAnsi="Arial"/>
                <w:sz w:val="14"/>
                <w:szCs w:val="14"/>
                <w:b w:val="1"/>
                <w:bCs w:val="1"/>
                <w:color w:val="auto"/>
              </w:rPr>
              <w:t>JUNE 27, 2021</w:t>
            </w:r>
          </w:p>
        </w:tc>
      </w:tr>
      <w:tr>
        <w:trPr>
          <w:trHeight w:val="206"/>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218,818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283,182</w:t>
            </w:r>
          </w:p>
        </w:tc>
      </w:tr>
      <w:tr>
        <w:trPr>
          <w:trHeight w:val="203"/>
        </w:trPr>
        <w:tc>
          <w:tcPr>
            <w:tcW w:w="812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(75,738)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(42,625)</w:t>
            </w:r>
          </w:p>
        </w:tc>
      </w:tr>
      <w:tr>
        <w:trPr>
          <w:trHeight w:val="209"/>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(140,922)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(248,018)</w:t>
            </w:r>
          </w:p>
        </w:tc>
      </w:tr>
      <w:tr>
        <w:trPr>
          <w:trHeight w:val="19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w:t>
            </w:r>
          </w:p>
        </w:tc>
      </w:tr>
      <w:tr>
        <w:trPr>
          <w:trHeight w:val="231"/>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(7,333)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Operating activities </w:t>
      </w:r>
      <w:r>
        <w:rPr>
          <w:rFonts w:ascii="Arial" w:cs="Arial" w:eastAsia="Arial" w:hAnsi="Arial"/>
          <w:sz w:val="19"/>
          <w:szCs w:val="19"/>
          <w:color w:val="auto"/>
        </w:rPr>
        <w:t>- The decrease in net cash provided by operating activities during the twenty-six weeks ended June 26, 2022 as compared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twenty-six weeks ended June 27, 2021 was primarily due to the timing of operational payments and receipts and increased employee compensation payments.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Investing activities - </w:t>
      </w:r>
      <w:r>
        <w:rPr>
          <w:rFonts w:ascii="Arial" w:cs="Arial" w:eastAsia="Arial" w:hAnsi="Arial"/>
          <w:sz w:val="19"/>
          <w:szCs w:val="19"/>
          <w:color w:val="auto"/>
        </w:rPr>
        <w:t>The increase in net cash used in investing activities during the twenty-six weeks ended June 26, 2022 as compared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twenty-six weeks ended June 27, 2021 was primarily due to higher capital expenditures.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Financing activities - </w:t>
      </w:r>
      <w:r>
        <w:rPr>
          <w:rFonts w:ascii="Arial" w:cs="Arial" w:eastAsia="Arial" w:hAnsi="Arial"/>
          <w:sz w:val="18"/>
          <w:szCs w:val="18"/>
          <w:color w:val="auto"/>
        </w:rPr>
        <w:t>The decrease in net cash used in financing activities during the twenty-six weeks ended June 26, 2022 as compared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June 27, 2021 was primarily due to net draws on the revolving credit facility during 2022, generally used to settle certain outstanding debt obligations, including the 2025 Notes Partial Repurchase and the related Note Hedge Early Termination Agreements, partially offset by the repurchase of common stock and payment of cash dividends on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 Following is a summary of our current assets, current liabilities and working capital (deficit) as of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center"/>
              <w:ind w:left="945"/>
              <w:spacing w:after="0"/>
              <w:rPr>
                <w:sz w:val="20"/>
                <w:szCs w:val="20"/>
                <w:color w:val="auto"/>
              </w:rPr>
            </w:pPr>
            <w:r>
              <w:rPr>
                <w:rFonts w:ascii="Arial" w:cs="Arial" w:eastAsia="Arial" w:hAnsi="Arial"/>
                <w:sz w:val="15"/>
                <w:szCs w:val="15"/>
                <w:color w:val="auto"/>
                <w:w w:val="92"/>
              </w:rPr>
              <w:t>292,926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center"/>
              <w:ind w:left="1065"/>
              <w:spacing w:after="0"/>
              <w:rPr>
                <w:sz w:val="20"/>
                <w:szCs w:val="20"/>
                <w:color w:val="auto"/>
              </w:rPr>
            </w:pPr>
            <w:r>
              <w:rPr>
                <w:rFonts w:ascii="Arial" w:cs="Arial" w:eastAsia="Arial" w:hAnsi="Arial"/>
                <w:sz w:val="15"/>
                <w:szCs w:val="15"/>
                <w:color w:val="auto"/>
                <w:w w:val="92"/>
              </w:rPr>
              <w:t>352,792</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Current liabilities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left="945"/>
              <w:spacing w:after="0"/>
              <w:rPr>
                <w:sz w:val="20"/>
                <w:szCs w:val="20"/>
                <w:color w:val="auto"/>
              </w:rPr>
            </w:pPr>
            <w:r>
              <w:rPr>
                <w:rFonts w:ascii="Arial" w:cs="Arial" w:eastAsia="Arial" w:hAnsi="Arial"/>
                <w:sz w:val="15"/>
                <w:szCs w:val="15"/>
                <w:color w:val="auto"/>
                <w:w w:val="92"/>
              </w:rPr>
              <w:t>909,850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065"/>
              <w:spacing w:after="0"/>
              <w:rPr>
                <w:sz w:val="20"/>
                <w:szCs w:val="20"/>
                <w:color w:val="auto"/>
              </w:rPr>
            </w:pPr>
            <w:r>
              <w:rPr>
                <w:rFonts w:ascii="Arial" w:cs="Arial" w:eastAsia="Arial" w:hAnsi="Arial"/>
                <w:sz w:val="15"/>
                <w:szCs w:val="15"/>
                <w:color w:val="auto"/>
                <w:w w:val="92"/>
              </w:rPr>
              <w:t>984,625</w:t>
            </w:r>
          </w:p>
        </w:tc>
      </w:tr>
      <w:tr>
        <w:trPr>
          <w:trHeight w:val="231"/>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Working capital (deficit)</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center"/>
              <w:ind w:left="925"/>
              <w:spacing w:after="0"/>
              <w:rPr>
                <w:sz w:val="20"/>
                <w:szCs w:val="20"/>
                <w:color w:val="auto"/>
              </w:rPr>
            </w:pPr>
            <w:r>
              <w:rPr>
                <w:rFonts w:ascii="Arial" w:cs="Arial" w:eastAsia="Arial" w:hAnsi="Arial"/>
                <w:sz w:val="15"/>
                <w:szCs w:val="15"/>
                <w:color w:val="auto"/>
                <w:w w:val="93"/>
              </w:rPr>
              <w:t>(616,924)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center"/>
              <w:ind w:left="1045"/>
              <w:spacing w:after="0"/>
              <w:rPr>
                <w:sz w:val="20"/>
                <w:szCs w:val="20"/>
                <w:color w:val="auto"/>
              </w:rPr>
            </w:pPr>
            <w:r>
              <w:rPr>
                <w:rFonts w:ascii="Arial" w:cs="Arial" w:eastAsia="Arial" w:hAnsi="Arial"/>
                <w:sz w:val="15"/>
                <w:szCs w:val="15"/>
                <w:color w:val="auto"/>
                <w:w w:val="93"/>
              </w:rPr>
              <w:t>(631,833)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Working capital (deficit) includes: (i) Unearned revenue primarily from unredeemed gift cards of $309.9 million and $398.8 million as of June 26, 2022 and December 26, 2021, respectively, and (ii) current operating lease liabilities of $178.8 million and $177.0 million as of June 26, 2022 and December 26, 2021,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Financial Accounting Standards</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For a description of recently issued Financial Accounting Standards that we adopted during the twenty-six weeks ended June 26, 2022 and, that are applicable to us and likely to have material effect on our consolidated financial statements, but have not yet been adopted, see Note 1 -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the Business and Basis of Presentation </w:t>
      </w:r>
      <w:r>
        <w:rPr>
          <w:rFonts w:ascii="Arial" w:cs="Arial" w:eastAsia="Arial" w:hAnsi="Arial"/>
          <w:sz w:val="17"/>
          <w:szCs w:val="17"/>
          <w:color w:val="auto"/>
        </w:rPr>
        <w:t>of the Notes to Consolidated Financial Statements of this Quarterly Report on Form 10-Q.</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are exposed to market risk from changes in interest rates, changes in foreign currency exchange rates and changes in commodity prices. We believe that there have been no material changes in our market risk since December 26, 2021. See Part II, Item 7A., “Quantitative and Qualitative Disclosures about Market Risk,” in our Annual Report on Form 10-K for the year ended December 26, 2021 for further information regarding market risk.</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Securities Exchange Act of 1934, as amended (the “Exchange Act”)) as of the end of the period covered by this report. Based on that evaluation, the Chief Executive Officer and Chief Financial Officer concluded that our disclosure controls and procedures were effective as of June 26, 2022.</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There have been no changes in our internal control over financial reporting (as defined in Rule 13a-15(f) under the Exchange Act) during the thirteen weeks ended June 26,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 OTHER INFORMATION</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For a description of our legal proceedings, see Note 15 -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of the Notes to Consolidated Financial Statements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to the other information discussed in this report, please consider the factors described in Part I, Item 1A., “Risk Factors” in our 2021 Form 10-K which could materially affect our business, financial condition or future results. There have not been any material changes to the risk factors described in our 2021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In connection with the 2025 Notes Partial Repurchase, which is described in further detail within Note 8 - </w:t>
      </w:r>
      <w:r>
        <w:rPr>
          <w:rFonts w:ascii="Arial" w:cs="Arial" w:eastAsia="Arial" w:hAnsi="Arial"/>
          <w:sz w:val="19"/>
          <w:szCs w:val="19"/>
          <w:i w:val="1"/>
          <w:iCs w:val="1"/>
          <w:color w:val="auto"/>
        </w:rPr>
        <w:t>Convertible Senior Notes</w:t>
      </w:r>
      <w:r>
        <w:rPr>
          <w:rFonts w:ascii="Arial" w:cs="Arial" w:eastAsia="Arial" w:hAnsi="Arial"/>
          <w:sz w:val="19"/>
          <w:szCs w:val="19"/>
          <w:color w:val="auto"/>
        </w:rPr>
        <w:t xml:space="preserve"> of the Notes to the Consolidated Financial Statements, the Company delivered to the Noteholders an aggregate amount of 2,313,374 shares of its common stock and $196.9 million, plus accrued interest, in cash in exchange for an aggregate principal amount of $125.0 million of the 2025 Notes. The 2025 Notes Partial Repurchase transaction closed on June 14, 2022.</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Company’s shares of common stock issued in connection with the 2025 Notes Partial Repurchase were not registered under the Securities Act of 1933, as amended (the “Securities Act”), and were issued in reliance on the exemption from the registration requirements thereof provided by Section 4(a)(2) of the Securities Act in a transaction by an issuer not involving a public offering.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other sales of equity securities during the thirteen weeks ended June 26, 2022 that were not registered under the Securities Act.</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information regarding our purchases of common stock during the thirteen weeks ended June 26, 2022: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8"/>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APPROXIMATE DOLLAR</w:t>
            </w: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SHARES PURCHASED 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ind w:right="28"/>
              <w:spacing w:after="0" w:line="129" w:lineRule="exact"/>
              <w:rPr>
                <w:sz w:val="20"/>
                <w:szCs w:val="20"/>
                <w:color w:val="auto"/>
              </w:rPr>
            </w:pPr>
            <w:r>
              <w:rPr>
                <w:rFonts w:ascii="Arial" w:cs="Arial" w:eastAsia="Arial" w:hAnsi="Arial"/>
                <w:sz w:val="14"/>
                <w:szCs w:val="14"/>
                <w:b w:val="1"/>
                <w:bCs w:val="1"/>
                <w:color w:val="auto"/>
                <w:w w:val="96"/>
              </w:rPr>
              <w:t>VALUE OF SHARES THAT</w:t>
            </w: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PART OF PUBLICLY</w:t>
            </w:r>
          </w:p>
        </w:tc>
        <w:tc>
          <w:tcPr>
            <w:tcW w:w="100" w:type="dxa"/>
            <w:vAlign w:val="bottom"/>
          </w:tcPr>
          <w:p>
            <w:pPr>
              <w:spacing w:after="0"/>
              <w:rPr>
                <w:sz w:val="11"/>
                <w:szCs w:val="11"/>
                <w:color w:val="auto"/>
              </w:rPr>
            </w:pPr>
          </w:p>
        </w:tc>
        <w:tc>
          <w:tcPr>
            <w:tcW w:w="1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7"/>
              </w:rPr>
              <w:t>MAY YET BE PURCHASED</w:t>
            </w:r>
          </w:p>
        </w:tc>
        <w:tc>
          <w:tcPr>
            <w:tcW w:w="0" w:type="dxa"/>
            <w:vAlign w:val="bottom"/>
          </w:tcPr>
          <w:p>
            <w:pPr>
              <w:spacing w:after="0"/>
              <w:rPr>
                <w:sz w:val="1"/>
                <w:szCs w:val="1"/>
                <w:color w:val="auto"/>
              </w:rPr>
            </w:pPr>
          </w:p>
        </w:tc>
      </w:tr>
      <w:tr>
        <w:trPr>
          <w:trHeight w:val="12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REPORTING PERIOD</w:t>
            </w:r>
          </w:p>
        </w:tc>
        <w:tc>
          <w:tcPr>
            <w:tcW w:w="100" w:type="dxa"/>
            <w:vAlign w:val="bottom"/>
            <w:vMerge w:val="restart"/>
          </w:tcPr>
          <w:p>
            <w:pPr>
              <w:spacing w:after="0"/>
              <w:rPr>
                <w:sz w:val="11"/>
                <w:szCs w:val="11"/>
                <w:color w:val="auto"/>
              </w:rPr>
            </w:pPr>
          </w:p>
        </w:tc>
        <w:tc>
          <w:tcPr>
            <w:tcW w:w="1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ANNOUNCED PLANS 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ind w:right="8"/>
              <w:spacing w:after="0" w:line="129" w:lineRule="exact"/>
              <w:rPr>
                <w:sz w:val="20"/>
                <w:szCs w:val="20"/>
                <w:color w:val="auto"/>
              </w:rPr>
            </w:pPr>
            <w:r>
              <w:rPr>
                <w:rFonts w:ascii="Arial" w:cs="Arial" w:eastAsia="Arial" w:hAnsi="Arial"/>
                <w:sz w:val="14"/>
                <w:szCs w:val="14"/>
                <w:b w:val="1"/>
                <w:bCs w:val="1"/>
                <w:color w:val="auto"/>
                <w:w w:val="97"/>
              </w:rPr>
              <w:t>UNDER THE PLANS OR</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PROGRAMS (1)</w:t>
            </w: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March 28, 2022 through April 24, 2022</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575,005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21.48</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575,005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100,948,905</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5"/>
                <w:szCs w:val="15"/>
                <w:color w:val="auto"/>
              </w:rPr>
              <w:t>April 25, 2022 through May 22, 2022</w:t>
            </w:r>
          </w:p>
        </w:tc>
        <w:tc>
          <w:tcPr>
            <w:tcW w:w="1800" w:type="dxa"/>
            <w:vAlign w:val="bottom"/>
          </w:tcPr>
          <w:p>
            <w:pPr>
              <w:jc w:val="right"/>
              <w:spacing w:after="0"/>
              <w:rPr>
                <w:sz w:val="20"/>
                <w:szCs w:val="20"/>
                <w:color w:val="auto"/>
              </w:rPr>
            </w:pPr>
            <w:r>
              <w:rPr>
                <w:rFonts w:ascii="Arial" w:cs="Arial" w:eastAsia="Arial" w:hAnsi="Arial"/>
                <w:sz w:val="15"/>
                <w:szCs w:val="15"/>
                <w:color w:val="auto"/>
              </w:rPr>
              <w:t>397,542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21.26</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397,542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20" w:type="dxa"/>
            <w:vAlign w:val="bottom"/>
          </w:tcPr>
          <w:p>
            <w:pPr>
              <w:jc w:val="right"/>
              <w:spacing w:after="0"/>
              <w:rPr>
                <w:sz w:val="20"/>
                <w:szCs w:val="20"/>
                <w:color w:val="auto"/>
              </w:rPr>
            </w:pPr>
            <w:r>
              <w:rPr>
                <w:rFonts w:ascii="Arial" w:cs="Arial" w:eastAsia="Arial" w:hAnsi="Arial"/>
                <w:sz w:val="15"/>
                <w:szCs w:val="15"/>
                <w:color w:val="auto"/>
              </w:rPr>
              <w:t>92,499,003</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May 23, 2022 through June 26,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788,382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18.96</w:t>
            </w: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788,382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77,549,262</w:t>
            </w:r>
          </w:p>
        </w:tc>
        <w:tc>
          <w:tcPr>
            <w:tcW w:w="0" w:type="dxa"/>
            <w:vAlign w:val="bottom"/>
          </w:tcPr>
          <w:p>
            <w:pPr>
              <w:spacing w:after="0"/>
              <w:rPr>
                <w:sz w:val="1"/>
                <w:szCs w:val="1"/>
                <w:color w:val="auto"/>
              </w:rPr>
            </w:pPr>
          </w:p>
        </w:tc>
      </w:tr>
      <w:tr>
        <w:trPr>
          <w:trHeight w:val="206"/>
        </w:trPr>
        <w:tc>
          <w:tcPr>
            <w:tcW w:w="3980" w:type="dxa"/>
            <w:vAlign w:val="bottom"/>
            <w:gridSpan w:val="2"/>
          </w:tcPr>
          <w:p>
            <w:pPr>
              <w:ind w:left="220"/>
              <w:spacing w:after="0"/>
              <w:rPr>
                <w:sz w:val="20"/>
                <w:szCs w:val="20"/>
                <w:color w:val="auto"/>
              </w:rPr>
            </w:pPr>
            <w:r>
              <w:rPr>
                <w:rFonts w:ascii="Arial" w:cs="Arial" w:eastAsia="Arial" w:hAnsi="Arial"/>
                <w:sz w:val="15"/>
                <w:szCs w:val="15"/>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1,760,929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1,760,929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5"/>
                <w:szCs w:val="15"/>
                <w:color w:val="auto"/>
              </w:rPr>
              <w:t>____________________</w:t>
            </w: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line="266" w:lineRule="auto"/>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On February 8, 2022, our Board of Directors authorized the repurchase of $125.0 million of our outstanding common stock as announced in our press release issued on February 18, 2022 (the “2022 Share Repurchase Program”). The 2022 Share Repurchase Program will expire on August 9,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EXHIBIT</w:t>
            </w: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940" w:type="dxa"/>
            <w:vAlign w:val="bottom"/>
            <w:gridSpan w:val="14"/>
            <w:vMerge w:val="restart"/>
          </w:tcPr>
          <w:p>
            <w:pPr>
              <w:ind w:left="640"/>
              <w:spacing w:after="0"/>
              <w:rPr>
                <w:sz w:val="20"/>
                <w:szCs w:val="20"/>
                <w:color w:val="auto"/>
              </w:rPr>
            </w:pPr>
            <w:r>
              <w:rPr>
                <w:rFonts w:ascii="Arial" w:cs="Arial" w:eastAsia="Arial" w:hAnsi="Arial"/>
                <w:sz w:val="15"/>
                <w:szCs w:val="15"/>
                <w:b w:val="1"/>
                <w:bCs w:val="1"/>
                <w:color w:val="auto"/>
              </w:rPr>
              <w:t>DESCRIPTION OF EXHIBITS</w:t>
            </w: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rPr>
              <w:t>FILINGS REFERENCED FOR</w:t>
            </w:r>
          </w:p>
        </w:tc>
        <w:tc>
          <w:tcPr>
            <w:tcW w:w="0" w:type="dxa"/>
            <w:vAlign w:val="bottom"/>
          </w:tcPr>
          <w:p>
            <w:pPr>
              <w:spacing w:after="0"/>
              <w:rPr>
                <w:sz w:val="1"/>
                <w:szCs w:val="1"/>
                <w:color w:val="auto"/>
              </w:rPr>
            </w:pPr>
          </w:p>
        </w:tc>
      </w:tr>
      <w:tr>
        <w:trPr>
          <w:trHeight w:val="212"/>
        </w:trPr>
        <w:tc>
          <w:tcPr>
            <w:tcW w:w="1180" w:type="dxa"/>
            <w:vAlign w:val="bottom"/>
            <w:gridSpan w:val="2"/>
          </w:tcPr>
          <w:p>
            <w:pPr>
              <w:ind w:left="200"/>
              <w:spacing w:after="0"/>
              <w:rPr>
                <w:sz w:val="20"/>
                <w:szCs w:val="20"/>
                <w:color w:val="auto"/>
              </w:rPr>
            </w:pPr>
            <w:r>
              <w:rPr>
                <w:rFonts w:ascii="Arial" w:cs="Arial" w:eastAsia="Arial" w:hAnsi="Arial"/>
                <w:sz w:val="15"/>
                <w:szCs w:val="15"/>
                <w:b w:val="1"/>
                <w:bCs w:val="1"/>
                <w:color w:val="auto"/>
              </w:rPr>
              <w:t>NUMBER</w:t>
            </w: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940" w:type="dxa"/>
            <w:vAlign w:val="bottom"/>
            <w:gridSpan w:val="14"/>
            <w:vMerge w:val="continue"/>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rPr>
              <w:t>INCORPORATION BY REFERENCE</w:t>
            </w:r>
          </w:p>
        </w:tc>
        <w:tc>
          <w:tcPr>
            <w:tcW w:w="0" w:type="dxa"/>
            <w:vAlign w:val="bottom"/>
          </w:tcPr>
          <w:p>
            <w:pPr>
              <w:spacing w:after="0"/>
              <w:rPr>
                <w:sz w:val="1"/>
                <w:szCs w:val="1"/>
                <w:color w:val="auto"/>
              </w:rPr>
            </w:pPr>
          </w:p>
        </w:tc>
      </w:tr>
      <w:tr>
        <w:trPr>
          <w:trHeight w:val="232"/>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3.1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40" w:type="dxa"/>
            <w:vAlign w:val="bottom"/>
            <w:tcBorders>
              <w:top w:val="single" w:sz="8" w:color="auto"/>
              <w:bottom w:val="single" w:sz="8" w:color="0000FF"/>
            </w:tcBorders>
            <w:gridSpan w:val="3"/>
          </w:tcPr>
          <w:p>
            <w:pPr>
              <w:spacing w:after="0"/>
              <w:rPr>
                <w:rFonts w:ascii="Arial" w:cs="Arial" w:eastAsia="Arial" w:hAnsi="Arial"/>
                <w:sz w:val="19"/>
                <w:szCs w:val="19"/>
                <w:color w:val="0000FF"/>
                <w:w w:val="90"/>
              </w:rPr>
            </w:pPr>
            <w:hyperlink r:id="rId72">
              <w:r>
                <w:rPr>
                  <w:rFonts w:ascii="Arial" w:cs="Arial" w:eastAsia="Arial" w:hAnsi="Arial"/>
                  <w:sz w:val="19"/>
                  <w:szCs w:val="19"/>
                  <w:color w:val="0000FF"/>
                  <w:w w:val="90"/>
                </w:rPr>
                <w:t>Fourth Amended and Restated Certificate of Incorporation</w:t>
              </w:r>
            </w:hyperlink>
          </w:p>
        </w:tc>
        <w:tc>
          <w:tcPr>
            <w:tcW w:w="1900" w:type="dxa"/>
            <w:vAlign w:val="bottom"/>
            <w:tcBorders>
              <w:top w:val="single" w:sz="8" w:color="auto"/>
            </w:tcBorders>
            <w:gridSpan w:val="12"/>
          </w:tcPr>
          <w:p>
            <w:pPr>
              <w:spacing w:after="0"/>
              <w:rPr>
                <w:sz w:val="20"/>
                <w:szCs w:val="20"/>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April 20, 2022, Form 8-K, Exhibit 3.1</w:t>
            </w: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5"/>
              </w:rPr>
            </w:pPr>
            <w:hyperlink r:id="rId73">
              <w:r>
                <w:rPr>
                  <w:rFonts w:ascii="Arial" w:cs="Arial" w:eastAsia="Arial" w:hAnsi="Arial"/>
                  <w:sz w:val="19"/>
                  <w:szCs w:val="19"/>
                  <w:color w:val="0000FF"/>
                  <w:w w:val="95"/>
                </w:rPr>
                <w:t>First Amendment to the Second Amended and Restated Credit Agreement and</w:t>
              </w:r>
            </w:hyperlink>
          </w:p>
        </w:tc>
        <w:tc>
          <w:tcPr>
            <w:tcW w:w="3700" w:type="dxa"/>
            <w:vAlign w:val="bottom"/>
          </w:tcPr>
          <w:p>
            <w:pPr>
              <w:spacing w:after="0"/>
              <w:rPr>
                <w:sz w:val="20"/>
                <w:szCs w:val="20"/>
                <w:color w:val="auto"/>
              </w:rPr>
            </w:pPr>
            <w:r>
              <w:rPr>
                <w:rFonts w:ascii="Arial" w:cs="Arial" w:eastAsia="Arial" w:hAnsi="Arial"/>
                <w:sz w:val="19"/>
                <w:szCs w:val="19"/>
                <w:color w:val="auto"/>
              </w:rPr>
              <w:t>April 29, 2022, Form 8-K, Exhibit 10.1</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80" w:type="dxa"/>
            <w:vAlign w:val="bottom"/>
            <w:tcBorders>
              <w:top w:val="single" w:sz="8" w:color="0000FF"/>
            </w:tcBorders>
            <w:gridSpan w:val="12"/>
          </w:tcPr>
          <w:p>
            <w:pPr>
              <w:spacing w:after="0" w:line="173" w:lineRule="exact"/>
              <w:rPr>
                <w:rFonts w:ascii="Arial" w:cs="Arial" w:eastAsia="Arial" w:hAnsi="Arial"/>
                <w:sz w:val="19"/>
                <w:szCs w:val="19"/>
                <w:color w:val="0000FF"/>
                <w:w w:val="93"/>
              </w:rPr>
            </w:pPr>
            <w:hyperlink r:id="rId73">
              <w:r>
                <w:rPr>
                  <w:rFonts w:ascii="Arial" w:cs="Arial" w:eastAsia="Arial" w:hAnsi="Arial"/>
                  <w:sz w:val="19"/>
                  <w:szCs w:val="19"/>
                  <w:color w:val="0000FF"/>
                  <w:w w:val="93"/>
                </w:rPr>
                <w:t>Incremental Amendment, dated April 26, 2022, by and among Bloomin’ Brands,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10"/>
          </w:tcPr>
          <w:p>
            <w:pPr>
              <w:spacing w:after="0" w:line="173" w:lineRule="exact"/>
              <w:rPr>
                <w:rFonts w:ascii="Arial" w:cs="Arial" w:eastAsia="Arial" w:hAnsi="Arial"/>
                <w:sz w:val="19"/>
                <w:szCs w:val="19"/>
                <w:color w:val="0000FF"/>
                <w:w w:val="89"/>
              </w:rPr>
            </w:pPr>
            <w:hyperlink r:id="rId73">
              <w:r>
                <w:rPr>
                  <w:rFonts w:ascii="Arial" w:cs="Arial" w:eastAsia="Arial" w:hAnsi="Arial"/>
                  <w:sz w:val="19"/>
                  <w:szCs w:val="19"/>
                  <w:color w:val="0000FF"/>
                  <w:w w:val="89"/>
                </w:rPr>
                <w:t>Inc., OSI Restaurant Partners, LLC, the guarantors party thereto, the lenders party</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80" w:type="dxa"/>
            <w:vAlign w:val="bottom"/>
            <w:tcBorders>
              <w:bottom w:val="single" w:sz="8" w:color="0000FF"/>
            </w:tcBorders>
            <w:gridSpan w:val="6"/>
          </w:tcPr>
          <w:p>
            <w:pPr>
              <w:spacing w:after="0" w:line="173" w:lineRule="exact"/>
              <w:rPr>
                <w:rFonts w:ascii="Arial" w:cs="Arial" w:eastAsia="Arial" w:hAnsi="Arial"/>
                <w:sz w:val="19"/>
                <w:szCs w:val="19"/>
                <w:color w:val="0000FF"/>
                <w:w w:val="90"/>
              </w:rPr>
            </w:pPr>
            <w:hyperlink r:id="rId73">
              <w:r>
                <w:rPr>
                  <w:rFonts w:ascii="Arial" w:cs="Arial" w:eastAsia="Arial" w:hAnsi="Arial"/>
                  <w:sz w:val="19"/>
                  <w:szCs w:val="19"/>
                  <w:color w:val="0000FF"/>
                  <w:w w:val="90"/>
                </w:rPr>
                <w:t>thereto, and Wells Fargo Bank, National Association, as administrative Agent</w:t>
              </w:r>
            </w:hyperlink>
          </w:p>
        </w:tc>
        <w:tc>
          <w:tcPr>
            <w:tcW w:w="44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spacing w:after="0"/>
              <w:rPr>
                <w:sz w:val="20"/>
                <w:szCs w:val="20"/>
                <w:color w:val="auto"/>
              </w:rPr>
            </w:pPr>
            <w:r>
              <w:rPr>
                <w:rFonts w:ascii="Arial" w:cs="Arial" w:eastAsia="Arial" w:hAnsi="Arial"/>
                <w:sz w:val="19"/>
                <w:szCs w:val="19"/>
                <w:color w:val="auto"/>
                <w:w w:val="86"/>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15"/>
          </w:tcPr>
          <w:p>
            <w:pPr>
              <w:spacing w:after="0"/>
              <w:rPr>
                <w:rFonts w:ascii="Arial" w:cs="Arial" w:eastAsia="Arial" w:hAnsi="Arial"/>
                <w:sz w:val="19"/>
                <w:szCs w:val="19"/>
                <w:color w:val="0000FF"/>
              </w:rPr>
            </w:pPr>
            <w:hyperlink r:id="rId74">
              <w:r>
                <w:rPr>
                  <w:rFonts w:ascii="Arial" w:cs="Arial" w:eastAsia="Arial" w:hAnsi="Arial"/>
                  <w:sz w:val="19"/>
                  <w:szCs w:val="19"/>
                  <w:color w:val="0000FF"/>
                </w:rPr>
                <w:t>Form of Exchange Agreement, dated as of May 25, 2022, by and between</w:t>
              </w:r>
            </w:hyperlink>
          </w:p>
        </w:tc>
        <w:tc>
          <w:tcPr>
            <w:tcW w:w="3700" w:type="dxa"/>
            <w:vAlign w:val="bottom"/>
          </w:tcPr>
          <w:p>
            <w:pPr>
              <w:spacing w:after="0"/>
              <w:rPr>
                <w:sz w:val="20"/>
                <w:szCs w:val="20"/>
                <w:color w:val="auto"/>
              </w:rPr>
            </w:pPr>
            <w:r>
              <w:rPr>
                <w:rFonts w:ascii="Arial" w:cs="Arial" w:eastAsia="Arial" w:hAnsi="Arial"/>
                <w:sz w:val="19"/>
                <w:szCs w:val="19"/>
                <w:color w:val="auto"/>
              </w:rPr>
              <w:t>May 26, 2022, Form 8-K, Exhibit 10.1</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2"/>
          </w:tcPr>
          <w:p>
            <w:pPr>
              <w:spacing w:after="0" w:line="161" w:lineRule="exact"/>
              <w:rPr>
                <w:rFonts w:ascii="Arial" w:cs="Arial" w:eastAsia="Arial" w:hAnsi="Arial"/>
                <w:sz w:val="18"/>
                <w:szCs w:val="18"/>
                <w:color w:val="0000FF"/>
                <w:w w:val="96"/>
              </w:rPr>
            </w:pPr>
            <w:hyperlink r:id="rId74">
              <w:r>
                <w:rPr>
                  <w:rFonts w:ascii="Arial" w:cs="Arial" w:eastAsia="Arial" w:hAnsi="Arial"/>
                  <w:sz w:val="18"/>
                  <w:szCs w:val="18"/>
                  <w:color w:val="0000FF"/>
                  <w:w w:val="96"/>
                </w:rPr>
                <w:t>Bloomin’ Brands, Inc. and the applicable Noteholder</w:t>
              </w:r>
            </w:hyperlink>
          </w:p>
        </w:tc>
        <w:tc>
          <w:tcPr>
            <w:tcW w:w="21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4"/>
              </w:rPr>
            </w:pPr>
            <w:hyperlink w:anchor="page52">
              <w:r>
                <w:rPr>
                  <w:rFonts w:ascii="Arial" w:cs="Arial" w:eastAsia="Arial" w:hAnsi="Arial"/>
                  <w:sz w:val="19"/>
                  <w:szCs w:val="19"/>
                  <w:color w:val="0000FF"/>
                  <w:w w:val="94"/>
                </w:rPr>
                <w:t>Certification of Chief Executive Officer pursuant to Section 302 of the Sarbanes-</w:t>
              </w:r>
            </w:hyperlink>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0000FF"/>
            </w:tcBorders>
            <w:gridSpan w:val="9"/>
          </w:tcPr>
          <w:p>
            <w:pPr>
              <w:spacing w:after="0" w:line="161" w:lineRule="exact"/>
              <w:rPr>
                <w:rFonts w:ascii="Arial" w:cs="Arial" w:eastAsia="Arial" w:hAnsi="Arial"/>
                <w:sz w:val="18"/>
                <w:szCs w:val="18"/>
                <w:color w:val="0000FF"/>
              </w:rPr>
            </w:pPr>
            <w:hyperlink w:anchor="page52">
              <w:r>
                <w:rPr>
                  <w:rFonts w:ascii="Arial" w:cs="Arial" w:eastAsia="Arial" w:hAnsi="Arial"/>
                  <w:sz w:val="18"/>
                  <w:szCs w:val="18"/>
                  <w:color w:val="0000FF"/>
                </w:rPr>
                <w:t>Oxley Act of 2002</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4"/>
              </w:rPr>
            </w:pPr>
            <w:hyperlink w:anchor="page53">
              <w:r>
                <w:rPr>
                  <w:rFonts w:ascii="Arial" w:cs="Arial" w:eastAsia="Arial" w:hAnsi="Arial"/>
                  <w:sz w:val="19"/>
                  <w:szCs w:val="19"/>
                  <w:color w:val="0000FF"/>
                  <w:w w:val="94"/>
                </w:rPr>
                <w:t>Certification of Chief Financial Officer pursuant to Section 302 of the Sarbanes-</w:t>
              </w:r>
            </w:hyperlink>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tcBorders>
            <w:gridSpan w:val="7"/>
          </w:tcPr>
          <w:p>
            <w:pPr>
              <w:spacing w:after="0" w:line="161" w:lineRule="exact"/>
              <w:rPr>
                <w:rFonts w:ascii="Arial" w:cs="Arial" w:eastAsia="Arial" w:hAnsi="Arial"/>
                <w:sz w:val="18"/>
                <w:szCs w:val="18"/>
                <w:color w:val="0000FF"/>
              </w:rPr>
            </w:pPr>
            <w:hyperlink w:anchor="page53">
              <w:r>
                <w:rPr>
                  <w:rFonts w:ascii="Arial" w:cs="Arial" w:eastAsia="Arial" w:hAnsi="Arial"/>
                  <w:sz w:val="18"/>
                  <w:szCs w:val="18"/>
                  <w:color w:val="0000FF"/>
                </w:rPr>
                <w:t>Oxley Act of 2002</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6"/>
              </w:rPr>
            </w:pPr>
            <w:hyperlink w:anchor="page54">
              <w:r>
                <w:rPr>
                  <w:rFonts w:ascii="Arial" w:cs="Arial" w:eastAsia="Arial" w:hAnsi="Arial"/>
                  <w:sz w:val="19"/>
                  <w:szCs w:val="19"/>
                  <w:color w:val="0000FF"/>
                  <w:w w:val="96"/>
                </w:rPr>
                <w:t>Certification of Chief Executive Officer pursuant to 18 U.S.C. Section 1350, as</w:t>
              </w:r>
            </w:hyperlink>
          </w:p>
        </w:tc>
        <w:tc>
          <w:tcPr>
            <w:tcW w:w="3700" w:type="dxa"/>
            <w:vAlign w:val="bottom"/>
          </w:tcPr>
          <w:p>
            <w:pPr>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5"/>
          </w:tcPr>
          <w:p>
            <w:pPr>
              <w:spacing w:after="0" w:line="161" w:lineRule="exact"/>
              <w:rPr>
                <w:rFonts w:ascii="Arial" w:cs="Arial" w:eastAsia="Arial" w:hAnsi="Arial"/>
                <w:sz w:val="18"/>
                <w:szCs w:val="18"/>
                <w:color w:val="0000FF"/>
                <w:w w:val="95"/>
              </w:rPr>
            </w:pPr>
            <w:hyperlink w:anchor="page54">
              <w:r>
                <w:rPr>
                  <w:rFonts w:ascii="Arial" w:cs="Arial" w:eastAsia="Arial" w:hAnsi="Arial"/>
                  <w:sz w:val="18"/>
                  <w:szCs w:val="18"/>
                  <w:color w:val="0000FF"/>
                  <w:w w:val="95"/>
                </w:rPr>
                <w:t>adopted pursuant to Section 906 of the Sarbanes-Oxley Act of 2002 (1)</w:t>
              </w:r>
            </w:hyperlink>
          </w:p>
        </w:tc>
        <w:tc>
          <w:tcPr>
            <w:tcW w:w="8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5"/>
          </w:tcPr>
          <w:p>
            <w:pPr>
              <w:spacing w:after="0"/>
              <w:rPr>
                <w:rFonts w:ascii="Arial" w:cs="Arial" w:eastAsia="Arial" w:hAnsi="Arial"/>
                <w:sz w:val="19"/>
                <w:szCs w:val="19"/>
                <w:color w:val="0000FF"/>
                <w:w w:val="97"/>
              </w:rPr>
            </w:pPr>
            <w:hyperlink w:anchor="page55">
              <w:r>
                <w:rPr>
                  <w:rFonts w:ascii="Arial" w:cs="Arial" w:eastAsia="Arial" w:hAnsi="Arial"/>
                  <w:sz w:val="19"/>
                  <w:szCs w:val="19"/>
                  <w:color w:val="0000FF"/>
                  <w:w w:val="97"/>
                </w:rPr>
                <w:t>Certification of Chief Financial Officer pursuant to 18 U.S.C. Section 1350, as</w:t>
              </w:r>
            </w:hyperlink>
          </w:p>
        </w:tc>
        <w:tc>
          <w:tcPr>
            <w:tcW w:w="3700" w:type="dxa"/>
            <w:vAlign w:val="bottom"/>
          </w:tcPr>
          <w:p>
            <w:pPr>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4"/>
              </w:rPr>
            </w:pPr>
            <w:hyperlink w:anchor="page55">
              <w:r>
                <w:rPr>
                  <w:rFonts w:ascii="Arial" w:cs="Arial" w:eastAsia="Arial" w:hAnsi="Arial"/>
                  <w:sz w:val="18"/>
                  <w:szCs w:val="18"/>
                  <w:color w:val="0000FF"/>
                  <w:w w:val="94"/>
                </w:rPr>
                <w:t>adopted pursuant to Section 906 of the Sarbanes-Oxley Act of 2002 (1)</w:t>
              </w:r>
            </w:hyperlink>
          </w:p>
        </w:tc>
        <w:tc>
          <w:tcPr>
            <w:tcW w:w="860" w:type="dxa"/>
            <w:vAlign w:val="bottom"/>
            <w:tcBorders>
              <w:top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180" w:type="dxa"/>
            <w:vAlign w:val="bottom"/>
            <w:gridSpan w:val="2"/>
          </w:tcPr>
          <w:p>
            <w:pPr>
              <w:ind w:left="220"/>
              <w:spacing w:after="0"/>
              <w:rPr>
                <w:sz w:val="20"/>
                <w:szCs w:val="20"/>
                <w:color w:val="auto"/>
              </w:rPr>
            </w:pPr>
            <w:r>
              <w:rPr>
                <w:rFonts w:ascii="Arial" w:cs="Arial" w:eastAsia="Arial" w:hAnsi="Arial"/>
                <w:sz w:val="19"/>
                <w:szCs w:val="19"/>
                <w:color w:val="auto"/>
              </w:rPr>
              <w:t>101.INS</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Instance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101.SCH</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Schema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101.CAL</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Calculation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101.DEF</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Definition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101.LAB</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Label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101.PRE</w:t>
            </w:r>
          </w:p>
        </w:tc>
        <w:tc>
          <w:tcPr>
            <w:tcW w:w="20" w:type="dxa"/>
            <w:vAlign w:val="bottom"/>
          </w:tcPr>
          <w:p>
            <w:pPr>
              <w:spacing w:after="0"/>
              <w:rPr>
                <w:sz w:val="24"/>
                <w:szCs w:val="24"/>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Inline XBRL Taxonomy Extension Presentation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28"/>
        </w:trPr>
        <w:tc>
          <w:tcPr>
            <w:tcW w:w="1080" w:type="dxa"/>
            <w:vAlign w:val="bottom"/>
          </w:tcPr>
          <w:p>
            <w:pPr>
              <w:jc w:val="center"/>
              <w:spacing w:after="0"/>
              <w:rPr>
                <w:sz w:val="20"/>
                <w:szCs w:val="20"/>
                <w:color w:val="auto"/>
              </w:rPr>
            </w:pPr>
            <w:r>
              <w:rPr>
                <w:rFonts w:ascii="Arial" w:cs="Arial" w:eastAsia="Arial" w:hAnsi="Arial"/>
                <w:sz w:val="19"/>
                <w:szCs w:val="19"/>
                <w:color w:val="auto"/>
                <w:w w:val="88"/>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w w:val="98"/>
              </w:rPr>
              <w:t>Cover Page Interactive Data File (formatted as inline XBRL and contained in</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15"/>
          </w:tcPr>
          <w:p>
            <w:pPr>
              <w:spacing w:after="0"/>
              <w:rPr>
                <w:sz w:val="20"/>
                <w:szCs w:val="20"/>
                <w:color w:val="auto"/>
              </w:rPr>
            </w:pPr>
            <w:r>
              <w:rPr>
                <w:rFonts w:ascii="Arial" w:cs="Arial" w:eastAsia="Arial" w:hAnsi="Arial"/>
                <w:sz w:val="19"/>
                <w:szCs w:val="19"/>
                <w:color w:val="auto"/>
              </w:rPr>
              <w:t>Exhibit 101)</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20" w:right="20"/>
        <w:spacing w:after="0" w:line="220" w:lineRule="auto"/>
        <w:tabs>
          <w:tab w:leader="none" w:pos="303"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3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20"/>
        <w:spacing w:after="0"/>
        <w:tabs>
          <w:tab w:leader="none" w:pos="640" w:val="left"/>
          <w:tab w:leader="none" w:pos="4640" w:val="left"/>
        </w:tabs>
        <w:rPr>
          <w:sz w:val="20"/>
          <w:szCs w:val="20"/>
          <w:color w:val="auto"/>
        </w:rPr>
      </w:pPr>
      <w:r>
        <w:rPr>
          <w:rFonts w:ascii="Arial" w:cs="Arial" w:eastAsia="Arial" w:hAnsi="Arial"/>
          <w:sz w:val="19"/>
          <w:szCs w:val="19"/>
          <w:color w:val="auto"/>
        </w:rPr>
        <w:t>Date:</w:t>
        <w:tab/>
        <w:t>August 2, 2022</w:t>
      </w:r>
      <w:r>
        <w:rPr>
          <w:sz w:val="20"/>
          <w:szCs w:val="20"/>
          <w:color w:val="auto"/>
        </w:rPr>
        <w:tab/>
      </w:r>
      <w:r>
        <w:rPr>
          <w:rFonts w:ascii="Arial" w:cs="Arial" w:eastAsia="Arial" w:hAnsi="Arial"/>
          <w:sz w:val="18"/>
          <w:szCs w:val="18"/>
          <w:color w:val="auto"/>
        </w:rPr>
        <w:t>BLOOMIN’ BRANDS, INC.</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(Registrant)</w:t>
      </w:r>
    </w:p>
    <w:p>
      <w:pPr>
        <w:spacing w:after="0" w:line="108"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By: /s/ Philip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10795</wp:posOffset>
            </wp:positionV>
            <wp:extent cx="41668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4166870" cy="1651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9"/>
          <w:szCs w:val="19"/>
          <w:color w:val="auto"/>
        </w:rPr>
        <w:t>Philip Pace</w:t>
      </w:r>
    </w:p>
    <w:p>
      <w:pPr>
        <w:ind w:left="5120"/>
        <w:spacing w:after="0" w:line="198" w:lineRule="auto"/>
        <w:rPr>
          <w:sz w:val="20"/>
          <w:szCs w:val="20"/>
          <w:color w:val="auto"/>
        </w:rPr>
      </w:pPr>
      <w:r>
        <w:rPr>
          <w:rFonts w:ascii="Arial" w:cs="Arial" w:eastAsia="Arial" w:hAnsi="Arial"/>
          <w:sz w:val="19"/>
          <w:szCs w:val="19"/>
          <w:color w:val="auto"/>
        </w:rPr>
        <w:t>Senior Vice President, Chief Accounting Officer</w:t>
      </w:r>
    </w:p>
    <w:p>
      <w:pPr>
        <w:ind w:left="5120"/>
        <w:spacing w:after="0"/>
        <w:rPr>
          <w:sz w:val="20"/>
          <w:szCs w:val="20"/>
          <w:color w:val="auto"/>
        </w:rPr>
      </w:pPr>
      <w:r>
        <w:rPr>
          <w:rFonts w:ascii="Arial" w:cs="Arial" w:eastAsia="Arial" w:hAnsi="Arial"/>
          <w:sz w:val="19"/>
          <w:szCs w:val="19"/>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9"/>
          <w:szCs w:val="19"/>
          <w:b w:val="1"/>
          <w:bCs w:val="1"/>
          <w:color w:val="auto"/>
        </w:rPr>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David J. Deno, certify that:</w:t>
      </w:r>
    </w:p>
    <w:p>
      <w:pPr>
        <w:spacing w:after="0" w:line="233" w:lineRule="exact"/>
        <w:rPr>
          <w:sz w:val="20"/>
          <w:szCs w:val="20"/>
          <w:color w:val="auto"/>
        </w:rPr>
      </w:pPr>
    </w:p>
    <w:p>
      <w:pPr>
        <w:ind w:left="540" w:hanging="537"/>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32" w:lineRule="exact"/>
        <w:rPr>
          <w:rFonts w:ascii="Arial" w:cs="Arial" w:eastAsia="Arial" w:hAnsi="Arial"/>
          <w:sz w:val="19"/>
          <w:szCs w:val="19"/>
          <w:color w:val="auto"/>
        </w:rPr>
      </w:pPr>
    </w:p>
    <w:p>
      <w:pPr>
        <w:jc w:val="both"/>
        <w:ind w:left="540" w:hanging="537"/>
        <w:spacing w:after="0" w:line="252"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540" w:hanging="537"/>
        <w:spacing w:after="0" w:line="278"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16" w:lineRule="exact"/>
        <w:rPr>
          <w:rFonts w:ascii="Arial" w:cs="Arial" w:eastAsia="Arial" w:hAnsi="Arial"/>
          <w:sz w:val="17"/>
          <w:szCs w:val="17"/>
          <w:color w:val="auto"/>
        </w:rPr>
      </w:pPr>
    </w:p>
    <w:p>
      <w:pPr>
        <w:jc w:val="both"/>
        <w:ind w:left="1240" w:hanging="463"/>
        <w:spacing w:after="0" w:line="273" w:lineRule="auto"/>
        <w:tabs>
          <w:tab w:leader="none" w:pos="123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hanging="463"/>
        <w:spacing w:after="0" w:line="252" w:lineRule="auto"/>
        <w:tabs>
          <w:tab w:leader="none" w:pos="1228" w:val="left"/>
        </w:tabs>
        <w:numPr>
          <w:ilvl w:val="1"/>
          <w:numId w:val="5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240" w:hanging="463"/>
        <w:spacing w:after="0" w:line="252" w:lineRule="auto"/>
        <w:tabs>
          <w:tab w:leader="none" w:pos="1230" w:val="left"/>
        </w:tabs>
        <w:numPr>
          <w:ilvl w:val="1"/>
          <w:numId w:val="53"/>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color w:val="auto"/>
        </w:rPr>
      </w:pPr>
    </w:p>
    <w:p>
      <w:pPr>
        <w:jc w:val="both"/>
        <w:ind w:left="1240" w:hanging="463"/>
        <w:spacing w:after="0" w:line="273" w:lineRule="auto"/>
        <w:tabs>
          <w:tab w:leader="none" w:pos="122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40" w:hanging="537"/>
        <w:spacing w:after="0" w:line="252"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9"/>
          <w:szCs w:val="19"/>
          <w:color w:val="auto"/>
        </w:rPr>
      </w:pPr>
    </w:p>
    <w:p>
      <w:pPr>
        <w:ind w:left="1240" w:hanging="463"/>
        <w:spacing w:after="0" w:line="324" w:lineRule="auto"/>
        <w:tabs>
          <w:tab w:leader="none" w:pos="123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53"/>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August 2, 2022</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10795</wp:posOffset>
            </wp:positionV>
            <wp:extent cx="357759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David J. Deno</w:t>
      </w:r>
    </w:p>
    <w:p>
      <w:pPr>
        <w:ind w:left="5000"/>
        <w:spacing w:after="0" w:line="230" w:lineRule="auto"/>
        <w:rPr>
          <w:sz w:val="20"/>
          <w:szCs w:val="20"/>
          <w:color w:val="auto"/>
        </w:rPr>
      </w:pPr>
      <w:r>
        <w:rPr>
          <w:rFonts w:ascii="Arial" w:cs="Arial" w:eastAsia="Arial" w:hAnsi="Arial"/>
          <w:sz w:val="19"/>
          <w:szCs w:val="19"/>
          <w:color w:val="auto"/>
        </w:rPr>
        <w:t>Chief Executive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11240"/>
          </w:cols>
          <w:pgMar w:left="320" w:top="349"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9"/>
          <w:szCs w:val="19"/>
          <w:b w:val="1"/>
          <w:bCs w:val="1"/>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Christopher Meyer, certify that:</w:t>
      </w:r>
    </w:p>
    <w:p>
      <w:pPr>
        <w:spacing w:after="0" w:line="233" w:lineRule="exact"/>
        <w:rPr>
          <w:sz w:val="20"/>
          <w:szCs w:val="20"/>
          <w:color w:val="auto"/>
        </w:rPr>
      </w:pPr>
    </w:p>
    <w:p>
      <w:pPr>
        <w:ind w:left="540" w:hanging="537"/>
        <w:spacing w:after="0"/>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32" w:lineRule="exact"/>
        <w:rPr>
          <w:rFonts w:ascii="Arial" w:cs="Arial" w:eastAsia="Arial" w:hAnsi="Arial"/>
          <w:sz w:val="19"/>
          <w:szCs w:val="19"/>
          <w:color w:val="auto"/>
        </w:rPr>
      </w:pPr>
    </w:p>
    <w:p>
      <w:pPr>
        <w:jc w:val="both"/>
        <w:ind w:left="540" w:hanging="537"/>
        <w:spacing w:after="0" w:line="252" w:lineRule="auto"/>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540" w:hanging="537"/>
        <w:spacing w:after="0" w:line="278"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16" w:lineRule="exact"/>
        <w:rPr>
          <w:rFonts w:ascii="Arial" w:cs="Arial" w:eastAsia="Arial" w:hAnsi="Arial"/>
          <w:sz w:val="17"/>
          <w:szCs w:val="17"/>
          <w:color w:val="auto"/>
        </w:rPr>
      </w:pPr>
    </w:p>
    <w:p>
      <w:pPr>
        <w:jc w:val="both"/>
        <w:ind w:left="1240" w:hanging="463"/>
        <w:spacing w:after="0" w:line="273" w:lineRule="auto"/>
        <w:tabs>
          <w:tab w:leader="none" w:pos="12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hanging="463"/>
        <w:spacing w:after="0" w:line="252" w:lineRule="auto"/>
        <w:tabs>
          <w:tab w:leader="none" w:pos="1228" w:val="left"/>
        </w:tabs>
        <w:numPr>
          <w:ilvl w:val="1"/>
          <w:numId w:val="5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240" w:hanging="463"/>
        <w:spacing w:after="0" w:line="252" w:lineRule="auto"/>
        <w:tabs>
          <w:tab w:leader="none" w:pos="1230" w:val="left"/>
        </w:tabs>
        <w:numPr>
          <w:ilvl w:val="1"/>
          <w:numId w:val="54"/>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color w:val="auto"/>
        </w:rPr>
      </w:pPr>
    </w:p>
    <w:p>
      <w:pPr>
        <w:jc w:val="both"/>
        <w:ind w:left="1240" w:hanging="463"/>
        <w:spacing w:after="0" w:line="273" w:lineRule="auto"/>
        <w:tabs>
          <w:tab w:leader="none" w:pos="12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40" w:hanging="537"/>
        <w:spacing w:after="0" w:line="252" w:lineRule="auto"/>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9"/>
          <w:szCs w:val="19"/>
          <w:color w:val="auto"/>
        </w:rPr>
      </w:pPr>
    </w:p>
    <w:p>
      <w:pPr>
        <w:ind w:left="1240" w:hanging="463"/>
        <w:spacing w:after="0" w:line="324" w:lineRule="auto"/>
        <w:tabs>
          <w:tab w:leader="none" w:pos="123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5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August 2, 2022</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10795</wp:posOffset>
            </wp:positionV>
            <wp:extent cx="357759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Christopher Meyer</w:t>
      </w:r>
    </w:p>
    <w:p>
      <w:pPr>
        <w:ind w:left="5000"/>
        <w:spacing w:after="0" w:line="230" w:lineRule="auto"/>
        <w:rPr>
          <w:sz w:val="20"/>
          <w:szCs w:val="20"/>
          <w:color w:val="auto"/>
        </w:rPr>
      </w:pPr>
      <w:r>
        <w:rPr>
          <w:rFonts w:ascii="Arial" w:cs="Arial" w:eastAsia="Arial" w:hAnsi="Arial"/>
          <w:sz w:val="19"/>
          <w:szCs w:val="19"/>
          <w:color w:val="auto"/>
        </w:rPr>
        <w:t>Executive Vice President and 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(Principal Financial Officer)</w:t>
      </w:r>
    </w:p>
    <w:p>
      <w:pPr>
        <w:sectPr>
          <w:pgSz w:w="11900" w:h="16838" w:orient="portrait"/>
          <w:cols w:equalWidth="0" w:num="1">
            <w:col w:w="11240"/>
          </w:cols>
          <w:pgMar w:left="320" w:top="34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71"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June 26, 2022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06" w:lineRule="exact"/>
        <w:rPr>
          <w:sz w:val="20"/>
          <w:szCs w:val="20"/>
          <w:color w:val="auto"/>
        </w:rPr>
      </w:pPr>
    </w:p>
    <w:p>
      <w:pPr>
        <w:ind w:left="620" w:hanging="307"/>
        <w:spacing w:after="0"/>
        <w:tabs>
          <w:tab w:leader="none" w:pos="6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64" w:lineRule="auto"/>
        <w:tabs>
          <w:tab w:leader="none" w:pos="608"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54"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August 2, 2022</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401955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19"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David J. Deno</w:t>
      </w:r>
    </w:p>
    <w:p>
      <w:pPr>
        <w:ind w:left="4920"/>
        <w:spacing w:after="0" w:line="230" w:lineRule="auto"/>
        <w:rPr>
          <w:sz w:val="20"/>
          <w:szCs w:val="20"/>
          <w:color w:val="auto"/>
        </w:rPr>
      </w:pPr>
      <w:r>
        <w:rPr>
          <w:rFonts w:ascii="Arial" w:cs="Arial" w:eastAsia="Arial" w:hAnsi="Arial"/>
          <w:sz w:val="19"/>
          <w:szCs w:val="19"/>
          <w:color w:val="auto"/>
        </w:rPr>
        <w:t>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(Principal Executive Officer)</w:t>
      </w:r>
    </w:p>
    <w:p>
      <w:pPr>
        <w:spacing w:after="0" w:line="30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85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71"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June 26, 2022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06" w:lineRule="exact"/>
        <w:rPr>
          <w:sz w:val="20"/>
          <w:szCs w:val="20"/>
          <w:color w:val="auto"/>
        </w:rPr>
      </w:pPr>
    </w:p>
    <w:p>
      <w:pPr>
        <w:ind w:left="620" w:hanging="307"/>
        <w:spacing w:after="0"/>
        <w:tabs>
          <w:tab w:leader="none" w:pos="6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64" w:lineRule="auto"/>
        <w:tabs>
          <w:tab w:leader="none" w:pos="608"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54"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August 2, 2022</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401955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19"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Christopher Meyer</w:t>
      </w:r>
    </w:p>
    <w:p>
      <w:pPr>
        <w:ind w:left="4920"/>
        <w:spacing w:after="0" w:line="230" w:lineRule="auto"/>
        <w:rPr>
          <w:sz w:val="20"/>
          <w:szCs w:val="20"/>
          <w:color w:val="auto"/>
        </w:rPr>
      </w:pPr>
      <w:r>
        <w:rPr>
          <w:rFonts w:ascii="Arial" w:cs="Arial" w:eastAsia="Arial" w:hAnsi="Arial"/>
          <w:sz w:val="19"/>
          <w:szCs w:val="19"/>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(Principal Financial Officer)</w:t>
      </w:r>
    </w:p>
    <w:p>
      <w:pPr>
        <w:spacing w:after="0" w:line="30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8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3"/>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4"/>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5"/>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7"/>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8"/>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lowerRoman"/>
      <w:start w:val="1"/>
    </w:lvl>
  </w:abstractNum>
  <w:abstractNum w:abstractNumId="29">
    <w:nsid w:val="2A487CB0"/>
    <w:multiLevelType w:val="hybridMultilevel"/>
    <w:lvl w:ilvl="0">
      <w:lvlJc w:val="left"/>
      <w:lvlText w:val="(%1)"/>
      <w:numFmt w:val="lowerRoman"/>
      <w:start w:val="6"/>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lowerRoman"/>
      <w:start w:val="1"/>
    </w:lvl>
  </w:abstractNum>
  <w:abstractNum w:abstractNumId="33">
    <w:nsid w:val="57E4CCAF"/>
    <w:multiLevelType w:val="hybridMultilevel"/>
    <w:lvl w:ilvl="0">
      <w:lvlJc w:val="left"/>
      <w:lvlText w:val="•"/>
      <w:numFmt w:val="bullet"/>
      <w:start w:val="1"/>
    </w:lvl>
    <w:lvl w:ilvl="1">
      <w:lvlJc w:val="left"/>
      <w:lvlText w:val="\emdash "/>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lowerRoman"/>
      <w:start w:val="3"/>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72" Type="http://schemas.openxmlformats.org/officeDocument/2006/relationships/hyperlink" Target="http://www.sec.gov/Archives/edgar/data/1546417/000154641722000038/blmn-042022_ex31.htm" TargetMode="External"/><Relationship Id="rId73" Type="http://schemas.openxmlformats.org/officeDocument/2006/relationships/hyperlink" Target="http://www.sec.gov/Archives/edgar/data/1546417/000119312522130055/d142506dex101.htm" TargetMode="External"/><Relationship Id="rId74" Type="http://schemas.openxmlformats.org/officeDocument/2006/relationships/hyperlink" Target="http://www.sec.gov/Archives/edgar/data/1546417/000154641722000064/ex101-formofexchange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2022-08-02T15:20:59Z</dcterms:created>
  <dcterms:modified xsi:type="dcterms:W3CDTF">2022-08-02T15:20:59Z</dcterms:modified>
</cp:coreProperties>
</file>