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10-K</w:t>
      </w:r>
    </w:p>
    <w:p>
      <w:pPr>
        <w:spacing w:after="0" w:line="148" w:lineRule="exact"/>
        <w:rPr>
          <w:sz w:val="24"/>
          <w:szCs w:val="24"/>
          <w:color w:val="auto"/>
        </w:rPr>
      </w:pPr>
    </w:p>
    <w:p>
      <w:pPr>
        <w:ind w:left="160"/>
        <w:spacing w:after="0"/>
        <w:rPr>
          <w:sz w:val="20"/>
          <w:szCs w:val="20"/>
          <w:color w:val="auto"/>
        </w:rPr>
      </w:pPr>
      <w:r>
        <w:rPr>
          <w:rFonts w:ascii="Arial" w:cs="Arial" w:eastAsia="Arial" w:hAnsi="Arial"/>
          <w:sz w:val="20"/>
          <w:szCs w:val="20"/>
          <w:b w:val="1"/>
          <w:bCs w:val="1"/>
          <w:color w:val="auto"/>
        </w:rPr>
        <w:t>(Mark One)</w:t>
      </w:r>
    </w:p>
    <w:p>
      <w:pPr>
        <w:ind w:left="1340" w:hanging="826"/>
        <w:spacing w:after="0" w:line="218" w:lineRule="auto"/>
        <w:tabs>
          <w:tab w:leader="none" w:pos="134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45" w:lineRule="exact"/>
        <w:rPr>
          <w:sz w:val="24"/>
          <w:szCs w:val="24"/>
          <w:color w:val="auto"/>
        </w:rPr>
      </w:pPr>
    </w:p>
    <w:p>
      <w:pPr>
        <w:ind w:left="1740"/>
        <w:spacing w:after="0"/>
        <w:rPr>
          <w:sz w:val="20"/>
          <w:szCs w:val="20"/>
          <w:color w:val="auto"/>
        </w:rPr>
      </w:pPr>
      <w:r>
        <w:rPr>
          <w:rFonts w:ascii="Arial" w:cs="Arial" w:eastAsia="Arial" w:hAnsi="Arial"/>
          <w:sz w:val="20"/>
          <w:szCs w:val="20"/>
          <w:color w:val="auto"/>
        </w:rPr>
        <w:t>For the fiscal year ended December 25, 2022</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or</w:t>
      </w:r>
    </w:p>
    <w:p>
      <w:pPr>
        <w:spacing w:after="0" w:line="20" w:lineRule="exact"/>
        <w:rPr>
          <w:sz w:val="24"/>
          <w:szCs w:val="24"/>
          <w:color w:val="auto"/>
        </w:rPr>
      </w:pPr>
    </w:p>
    <w:p>
      <w:pPr>
        <w:ind w:left="1340" w:right="160" w:hanging="826"/>
        <w:spacing w:after="0" w:line="264" w:lineRule="auto"/>
        <w:tabs>
          <w:tab w:leader="none" w:pos="1340" w:val="left"/>
        </w:tabs>
        <w:numPr>
          <w:ilvl w:val="0"/>
          <w:numId w:val="2"/>
        </w:numPr>
        <w:rPr>
          <w:rFonts w:ascii="MS PGothic" w:cs="MS PGothic" w:eastAsia="MS PGothic" w:hAnsi="MS PGothic"/>
          <w:sz w:val="32"/>
          <w:szCs w:val="32"/>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 </w:t>
      </w:r>
      <w:r>
        <w:rPr>
          <w:rFonts w:ascii="Arial" w:cs="Arial" w:eastAsia="Arial" w:hAnsi="Arial"/>
          <w:sz w:val="20"/>
          <w:szCs w:val="20"/>
          <w:color w:val="auto"/>
        </w:rPr>
        <w:t>For the transition period from ______ to ______</w:t>
      </w: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7"/>
          <w:szCs w:val="17"/>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176530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BLOOMIN’ BRANDS, INC.</w:t>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20"/>
          </w:cols>
          <w:pgMar w:left="320" w:top="670" w:right="459" w:bottom="191" w:gutter="0" w:footer="0" w:header="0"/>
        </w:sectPr>
      </w:pPr>
    </w:p>
    <w:p>
      <w:pPr>
        <w:spacing w:after="0" w:line="15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20-8023465</w:t>
      </w:r>
    </w:p>
    <w:p>
      <w:pPr>
        <w:spacing w:after="0" w:line="43" w:lineRule="exact"/>
        <w:rPr>
          <w:sz w:val="24"/>
          <w:szCs w:val="24"/>
          <w:color w:val="auto"/>
        </w:rPr>
      </w:pPr>
    </w:p>
    <w:p>
      <w:pPr>
        <w:sectPr>
          <w:pgSz w:w="11900" w:h="16838" w:orient="portrait"/>
          <w:cols w:equalWidth="0" w:num="2">
            <w:col w:w="7540" w:space="720"/>
            <w:col w:w="2860"/>
          </w:cols>
          <w:pgMar w:left="320" w:top="670" w:right="459" w:bottom="191" w:gutter="0" w:footer="0" w:header="0"/>
          <w:type w:val="continuous"/>
        </w:sectPr>
      </w:pPr>
    </w:p>
    <w:p>
      <w:pPr>
        <w:spacing w:after="0" w:line="7" w:lineRule="exact"/>
        <w:rPr>
          <w:sz w:val="24"/>
          <w:szCs w:val="24"/>
          <w:color w:val="auto"/>
        </w:r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109" w:lineRule="exact"/>
        <w:rPr>
          <w:sz w:val="24"/>
          <w:szCs w:val="24"/>
          <w:color w:val="auto"/>
        </w:rPr>
      </w:pPr>
    </w:p>
    <w:p>
      <w:pPr>
        <w:sectPr>
          <w:pgSz w:w="11900" w:h="16838" w:orient="portrait"/>
          <w:cols w:equalWidth="0" w:num="2">
            <w:col w:w="7440" w:space="720"/>
            <w:col w:w="2960"/>
          </w:cols>
          <w:pgMar w:left="320" w:top="670" w:right="459" w:bottom="191"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2202 North West Shore Boulevard, Suite 500, Tampa, FL 33607</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(813) 282-1225</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20"/>
          </w:cols>
          <w:pgMar w:left="320" w:top="670" w:right="459" w:bottom="191" w:gutter="0" w:footer="0" w:header="0"/>
          <w:type w:val="continuous"/>
        </w:sectPr>
      </w:pPr>
    </w:p>
    <w:p>
      <w:pPr>
        <w:spacing w:after="0" w:line="200" w:lineRule="exact"/>
        <w:rPr>
          <w:sz w:val="24"/>
          <w:szCs w:val="24"/>
          <w:color w:val="auto"/>
        </w:rPr>
      </w:pPr>
    </w:p>
    <w:p>
      <w:pPr>
        <w:spacing w:after="0" w:line="362" w:lineRule="exact"/>
        <w:rPr>
          <w:sz w:val="24"/>
          <w:szCs w:val="24"/>
          <w:color w:val="auto"/>
        </w:rPr>
      </w:pPr>
    </w:p>
    <w:p>
      <w:pPr>
        <w:ind w:left="840" w:right="40" w:firstLine="527"/>
        <w:spacing w:after="0" w:line="389" w:lineRule="auto"/>
        <w:rPr>
          <w:sz w:val="20"/>
          <w:szCs w:val="20"/>
          <w:color w:val="auto"/>
        </w:rPr>
      </w:pPr>
      <w:r>
        <w:rPr>
          <w:rFonts w:ascii="Arial" w:cs="Arial" w:eastAsia="Arial" w:hAnsi="Arial"/>
          <w:sz w:val="14"/>
          <w:szCs w:val="14"/>
          <w:color w:val="auto"/>
        </w:rPr>
        <w:t xml:space="preserve">Title of each class </w:t>
      </w: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Trading Symbol(s)</w:t>
      </w:r>
    </w:p>
    <w:p>
      <w:pPr>
        <w:spacing w:after="0" w:line="28"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2" w:lineRule="exact"/>
        <w:rPr>
          <w:sz w:val="24"/>
          <w:szCs w:val="24"/>
          <w:color w:val="auto"/>
        </w:rPr>
      </w:pPr>
    </w:p>
    <w:p>
      <w:pPr>
        <w:jc w:val="center"/>
        <w:ind w:right="500"/>
        <w:spacing w:after="0" w:line="261" w:lineRule="auto"/>
        <w:rPr>
          <w:sz w:val="20"/>
          <w:szCs w:val="20"/>
          <w:color w:val="auto"/>
        </w:rPr>
      </w:pPr>
      <w:r>
        <w:rPr>
          <w:rFonts w:ascii="Arial" w:cs="Arial" w:eastAsia="Arial" w:hAnsi="Arial"/>
          <w:sz w:val="16"/>
          <w:szCs w:val="16"/>
          <w:color w:val="auto"/>
        </w:rPr>
        <w:t xml:space="preserve">Name of each exchange on which registered </w:t>
      </w:r>
      <w:r>
        <w:rPr>
          <w:rFonts w:ascii="Arial" w:cs="Arial" w:eastAsia="Arial" w:hAnsi="Arial"/>
          <w:sz w:val="16"/>
          <w:szCs w:val="16"/>
          <w:b w:val="1"/>
          <w:bCs w:val="1"/>
          <w:color w:val="auto"/>
        </w:rPr>
        <w:t>The Nasdaq Stock Market LLC (Nasdaq Global Select Market)</w:t>
      </w:r>
    </w:p>
    <w:p>
      <w:pPr>
        <w:spacing w:after="0" w:line="71" w:lineRule="exact"/>
        <w:rPr>
          <w:sz w:val="24"/>
          <w:szCs w:val="24"/>
          <w:color w:val="auto"/>
        </w:rPr>
      </w:pPr>
    </w:p>
    <w:p>
      <w:pPr>
        <w:sectPr>
          <w:pgSz w:w="11900" w:h="16838" w:orient="portrait"/>
          <w:cols w:equalWidth="0" w:num="3">
            <w:col w:w="3040" w:space="720"/>
            <w:col w:w="3740" w:space="260"/>
            <w:col w:w="3360"/>
          </w:cols>
          <w:pgMar w:left="320" w:top="670" w:right="459" w:bottom="191"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98" w:lineRule="exact"/>
        <w:rPr>
          <w:sz w:val="24"/>
          <w:szCs w:val="24"/>
          <w:color w:val="auto"/>
        </w:rPr>
      </w:pPr>
    </w:p>
    <w:p>
      <w:pPr>
        <w:ind w:right="1320"/>
        <w:spacing w:after="0" w:line="4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p>
    <w:p>
      <w:pPr>
        <w:spacing w:after="0" w:line="193" w:lineRule="exact"/>
        <w:rPr>
          <w:sz w:val="24"/>
          <w:szCs w:val="24"/>
          <w:color w:val="auto"/>
        </w:rPr>
      </w:pPr>
    </w:p>
    <w:p>
      <w:pPr>
        <w:ind w:right="18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56"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Non-accelerated Filer </w:t>
      </w:r>
      <w:r>
        <w:rPr>
          <w:rFonts w:ascii="MS PGothic" w:cs="MS PGothic" w:eastAsia="MS PGothic" w:hAnsi="MS PGothic"/>
          <w:sz w:val="25"/>
          <w:szCs w:val="25"/>
          <w:color w:val="auto"/>
        </w:rPr>
        <w:t>☐</w:t>
      </w:r>
    </w:p>
    <w:p>
      <w:pPr>
        <w:spacing w:after="0" w:line="70"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ectPr>
          <w:pgSz w:w="11900" w:h="16838" w:orient="portrait"/>
          <w:cols w:equalWidth="0" w:num="1">
            <w:col w:w="11120"/>
          </w:cols>
          <w:pgMar w:left="320" w:top="670" w:right="459" w:bottom="191" w:gutter="0" w:footer="0" w:header="0"/>
          <w:type w:val="continuous"/>
        </w:sectPr>
      </w:pPr>
    </w:p>
    <w:bookmarkStart w:id="1" w:name="page2"/>
    <w:bookmarkEnd w:id="1"/>
    <w:p>
      <w:pPr>
        <w:ind w:right="160"/>
        <w:spacing w:after="0" w:line="28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25"/>
          <w:szCs w:val="25"/>
          <w:color w:val="auto"/>
        </w:rPr>
        <w:t>☒</w:t>
      </w:r>
    </w:p>
    <w:p>
      <w:pPr>
        <w:spacing w:after="0" w:line="256" w:lineRule="exact"/>
        <w:rPr>
          <w:sz w:val="20"/>
          <w:szCs w:val="20"/>
          <w:color w:val="auto"/>
        </w:rPr>
      </w:pPr>
    </w:p>
    <w:p>
      <w:pPr>
        <w:spacing w:after="0" w:line="282"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5"/>
          <w:szCs w:val="25"/>
          <w:color w:val="auto"/>
        </w:rPr>
        <w:t>☐</w:t>
      </w:r>
    </w:p>
    <w:p>
      <w:pPr>
        <w:spacing w:after="0" w:line="194" w:lineRule="exact"/>
        <w:rPr>
          <w:sz w:val="20"/>
          <w:szCs w:val="20"/>
          <w:color w:val="auto"/>
        </w:rPr>
      </w:pPr>
    </w:p>
    <w:p>
      <w:pPr>
        <w:spacing w:after="0" w:line="282"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5"/>
          <w:szCs w:val="25"/>
          <w:color w:val="auto"/>
        </w:rPr>
        <w:t>☐</w:t>
      </w:r>
    </w:p>
    <w:p>
      <w:pPr>
        <w:spacing w:after="0" w:line="157"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3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$1.6 billion.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16, 2023, 87,098,993 shares of common stock of the registrant were outstanding.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Portions of the registrant’s definitive Proxy Statement for its 2023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8"/>
          </w:tcPr>
          <w:p>
            <w:pPr>
              <w:jc w:val="center"/>
              <w:ind w:right="3020"/>
              <w:spacing w:after="0"/>
              <w:rPr>
                <w:sz w:val="20"/>
                <w:szCs w:val="20"/>
                <w:color w:val="auto"/>
              </w:rPr>
            </w:pPr>
            <w:r>
              <w:rPr>
                <w:rFonts w:ascii="Arial" w:cs="Arial" w:eastAsia="Arial" w:hAnsi="Arial"/>
                <w:sz w:val="20"/>
                <w:szCs w:val="20"/>
                <w:b w:val="1"/>
                <w:bCs w:val="1"/>
                <w:color w:val="auto"/>
                <w:w w:val="99"/>
              </w:rPr>
              <w:t>BLOOMIN’ BRANDS, INC.</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934"/>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10"/>
          </w:tcPr>
          <w:p>
            <w:pPr>
              <w:jc w:val="center"/>
              <w:ind w:right="2180"/>
              <w:spacing w:after="0"/>
              <w:rPr>
                <w:sz w:val="20"/>
                <w:szCs w:val="20"/>
                <w:color w:val="auto"/>
              </w:rPr>
            </w:pPr>
            <w:r>
              <w:rPr>
                <w:rFonts w:ascii="Arial" w:cs="Arial" w:eastAsia="Arial" w:hAnsi="Arial"/>
                <w:sz w:val="20"/>
                <w:szCs w:val="20"/>
                <w:b w:val="1"/>
                <w:bCs w:val="1"/>
                <w:color w:val="auto"/>
                <w:w w:val="99"/>
              </w:rPr>
              <w:t>INDEX TO ANNUAL REPORT ON FORM 10-K</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8"/>
          </w:tcPr>
          <w:p>
            <w:pPr>
              <w:jc w:val="center"/>
              <w:ind w:right="3020"/>
              <w:spacing w:after="0"/>
              <w:rPr>
                <w:sz w:val="20"/>
                <w:szCs w:val="20"/>
                <w:color w:val="auto"/>
              </w:rPr>
            </w:pPr>
            <w:r>
              <w:rPr>
                <w:rFonts w:ascii="Arial" w:cs="Arial" w:eastAsia="Arial" w:hAnsi="Arial"/>
                <w:sz w:val="20"/>
                <w:szCs w:val="20"/>
                <w:b w:val="1"/>
                <w:bCs w:val="1"/>
                <w:color w:val="auto"/>
                <w:w w:val="89"/>
              </w:rPr>
              <w:t>For Fiscal Year 2022</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7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40" w:type="dxa"/>
            <w:vAlign w:val="bottom"/>
            <w:gridSpan w:val="8"/>
          </w:tcPr>
          <w:p>
            <w:pPr>
              <w:jc w:val="center"/>
              <w:ind w:right="3040"/>
              <w:spacing w:after="0"/>
              <w:rPr>
                <w:sz w:val="20"/>
                <w:szCs w:val="20"/>
                <w:color w:val="auto"/>
              </w:rPr>
            </w:pPr>
            <w:r>
              <w:rPr>
                <w:rFonts w:ascii="Arial" w:cs="Arial" w:eastAsia="Arial" w:hAnsi="Arial"/>
                <w:sz w:val="20"/>
                <w:szCs w:val="20"/>
                <w:b w:val="1"/>
                <w:bCs w:val="1"/>
                <w:color w:val="auto"/>
                <w:w w:val="98"/>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7"/>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PAGE NO.</w:t>
            </w:r>
          </w:p>
        </w:tc>
      </w:tr>
      <w:tr>
        <w:trPr>
          <w:trHeight w:val="196"/>
        </w:trPr>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w w:val="99"/>
              </w:rPr>
              <w:t>PART I</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2"/>
        </w:trPr>
        <w:tc>
          <w:tcPr>
            <w:tcW w:w="9920" w:type="dxa"/>
            <w:vAlign w:val="bottom"/>
            <w:gridSpan w:val="24"/>
          </w:tcPr>
          <w:p>
            <w:pPr>
              <w:spacing w:after="0" w:line="181" w:lineRule="exact"/>
              <w:rPr>
                <w:sz w:val="20"/>
                <w:szCs w:val="20"/>
                <w:color w:val="auto"/>
              </w:rPr>
            </w:pPr>
            <w:r>
              <w:rPr>
                <w:rFonts w:ascii="Arial" w:cs="Arial" w:eastAsia="Arial" w:hAnsi="Arial"/>
                <w:sz w:val="16"/>
                <w:szCs w:val="16"/>
                <w:color w:val="0000FF"/>
              </w:rPr>
              <w:t>Item 1. Business</w:t>
            </w:r>
          </w:p>
        </w:tc>
        <w:tc>
          <w:tcPr>
            <w:tcW w:w="660" w:type="dxa"/>
            <w:vAlign w:val="bottom"/>
            <w:gridSpan w:val="2"/>
          </w:tcPr>
          <w:p>
            <w:pPr>
              <w:jc w:val="center"/>
              <w:ind w:left="499"/>
              <w:spacing w:after="0" w:line="181" w:lineRule="exact"/>
              <w:rPr>
                <w:sz w:val="20"/>
                <w:szCs w:val="20"/>
                <w:color w:val="auto"/>
              </w:rPr>
            </w:pPr>
            <w:r>
              <w:rPr>
                <w:rFonts w:ascii="Arial" w:cs="Arial" w:eastAsia="Arial" w:hAnsi="Arial"/>
                <w:sz w:val="16"/>
                <w:szCs w:val="16"/>
                <w:color w:val="0000FF"/>
                <w:w w:val="89"/>
              </w:rPr>
              <w:t>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Arial" w:cs="Arial" w:eastAsia="Arial" w:hAnsi="Arial"/>
                <w:sz w:val="16"/>
                <w:szCs w:val="16"/>
                <w:color w:val="0000FF"/>
              </w:rPr>
              <w:t>Item 1A. Risk Factors</w:t>
            </w:r>
          </w:p>
        </w:tc>
        <w:tc>
          <w:tcPr>
            <w:tcW w:w="660" w:type="dxa"/>
            <w:vAlign w:val="bottom"/>
            <w:gridSpan w:val="2"/>
          </w:tcPr>
          <w:p>
            <w:pPr>
              <w:jc w:val="center"/>
              <w:ind w:left="419"/>
              <w:spacing w:after="0"/>
              <w:rPr>
                <w:sz w:val="20"/>
                <w:szCs w:val="20"/>
                <w:color w:val="auto"/>
              </w:rPr>
            </w:pPr>
            <w:r>
              <w:rPr>
                <w:rFonts w:ascii="Arial" w:cs="Arial" w:eastAsia="Arial" w:hAnsi="Arial"/>
                <w:sz w:val="16"/>
                <w:szCs w:val="16"/>
                <w:color w:val="0000FF"/>
                <w:w w:val="89"/>
              </w:rPr>
              <w:t>18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1"/>
              </w:rPr>
              <w:t>Item 1B. Unresolved Staff Comments</w:t>
            </w:r>
          </w:p>
        </w:tc>
        <w:tc>
          <w:tcPr>
            <w:tcW w:w="714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2. Properties</w:t>
            </w:r>
          </w:p>
        </w:tc>
        <w:tc>
          <w:tcPr>
            <w:tcW w:w="660" w:type="dxa"/>
            <w:vAlign w:val="bottom"/>
            <w:gridSpan w:val="2"/>
          </w:tcPr>
          <w:p>
            <w:pPr>
              <w:jc w:val="center"/>
              <w:ind w:left="419"/>
              <w:spacing w:after="0"/>
              <w:rPr>
                <w:sz w:val="20"/>
                <w:szCs w:val="20"/>
                <w:color w:val="auto"/>
              </w:rPr>
            </w:pPr>
            <w:r>
              <w:rPr>
                <w:rFonts w:ascii="Arial" w:cs="Arial" w:eastAsia="Arial" w:hAnsi="Arial"/>
                <w:sz w:val="16"/>
                <w:szCs w:val="16"/>
                <w:color w:val="0000FF"/>
                <w:w w:val="89"/>
              </w:rPr>
              <w:t>33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3. Legal Proceedings</w:t>
            </w:r>
          </w:p>
        </w:tc>
        <w:tc>
          <w:tcPr>
            <w:tcW w:w="660" w:type="dxa"/>
            <w:vAlign w:val="bottom"/>
            <w:gridSpan w:val="2"/>
          </w:tcPr>
          <w:p>
            <w:pPr>
              <w:jc w:val="center"/>
              <w:ind w:left="419"/>
              <w:spacing w:after="0"/>
              <w:rPr>
                <w:sz w:val="20"/>
                <w:szCs w:val="20"/>
                <w:color w:val="auto"/>
              </w:rPr>
            </w:pPr>
            <w:r>
              <w:rPr>
                <w:rFonts w:ascii="Arial" w:cs="Arial" w:eastAsia="Arial" w:hAnsi="Arial"/>
                <w:sz w:val="16"/>
                <w:szCs w:val="16"/>
                <w:color w:val="0000FF"/>
                <w:w w:val="89"/>
              </w:rPr>
              <w:t>33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4. Mine Safety Disclosures</w:t>
            </w:r>
          </w:p>
        </w:tc>
        <w:tc>
          <w:tcPr>
            <w:tcW w:w="660" w:type="dxa"/>
            <w:vAlign w:val="bottom"/>
            <w:gridSpan w:val="2"/>
          </w:tcPr>
          <w:p>
            <w:pPr>
              <w:jc w:val="center"/>
              <w:ind w:left="419"/>
              <w:spacing w:after="0"/>
              <w:rPr>
                <w:sz w:val="20"/>
                <w:szCs w:val="20"/>
                <w:color w:val="auto"/>
              </w:rPr>
            </w:pPr>
            <w:r>
              <w:rPr>
                <w:rFonts w:ascii="Arial" w:cs="Arial" w:eastAsia="Arial" w:hAnsi="Arial"/>
                <w:sz w:val="16"/>
                <w:szCs w:val="16"/>
                <w:color w:val="0000FF"/>
                <w:w w:val="89"/>
              </w:rPr>
              <w:t>33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1"/>
        </w:trPr>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rPr>
              <w:t>PART II</w:t>
            </w:r>
          </w:p>
        </w:tc>
        <w:tc>
          <w:tcPr>
            <w:tcW w:w="5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1"/>
        </w:trPr>
        <w:tc>
          <w:tcPr>
            <w:tcW w:w="7780" w:type="dxa"/>
            <w:vAlign w:val="bottom"/>
            <w:tcBorders>
              <w:bottom w:val="single" w:sz="8" w:color="0000FF"/>
            </w:tcBorders>
            <w:gridSpan w:val="23"/>
          </w:tcPr>
          <w:p>
            <w:pPr>
              <w:spacing w:after="0" w:line="181" w:lineRule="exact"/>
              <w:rPr>
                <w:sz w:val="20"/>
                <w:szCs w:val="20"/>
                <w:color w:val="auto"/>
              </w:rPr>
            </w:pPr>
            <w:r>
              <w:rPr>
                <w:rFonts w:ascii="Arial" w:cs="Arial" w:eastAsia="Arial" w:hAnsi="Arial"/>
                <w:sz w:val="16"/>
                <w:szCs w:val="16"/>
                <w:color w:val="0000FF"/>
                <w:w w:val="91"/>
              </w:rPr>
              <w:t>Item 5. Market for Registrant’s Common Equity, Related Stockholder Matters and Issuer Purchases of Equity Securities</w:t>
            </w: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12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1"/>
              </w:rPr>
              <w:t>Item 6. [Reserved]</w:t>
            </w:r>
          </w:p>
        </w:tc>
        <w:tc>
          <w:tcPr>
            <w:tcW w:w="870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632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2"/>
              </w:rPr>
              <w:t>Item 7. Management’s Discussion and Analysis of Financial Condition and Results of Operations</w:t>
            </w:r>
          </w:p>
        </w:tc>
        <w:tc>
          <w:tcPr>
            <w:tcW w:w="360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Arial" w:cs="Arial" w:eastAsia="Arial" w:hAnsi="Arial"/>
                <w:sz w:val="16"/>
                <w:szCs w:val="16"/>
                <w:color w:val="0000FF"/>
              </w:rPr>
              <w:t>Item 7A. Quantitative and Qualitative Disclosures About Market Risk</w:t>
            </w:r>
          </w:p>
        </w:tc>
        <w:tc>
          <w:tcPr>
            <w:tcW w:w="660" w:type="dxa"/>
            <w:vAlign w:val="bottom"/>
            <w:gridSpan w:val="2"/>
          </w:tcPr>
          <w:p>
            <w:pPr>
              <w:jc w:val="center"/>
              <w:ind w:left="419"/>
              <w:spacing w:after="0"/>
              <w:rPr>
                <w:sz w:val="20"/>
                <w:szCs w:val="20"/>
                <w:color w:val="auto"/>
              </w:rPr>
            </w:pPr>
            <w:r>
              <w:rPr>
                <w:rFonts w:ascii="Arial" w:cs="Arial" w:eastAsia="Arial" w:hAnsi="Arial"/>
                <w:sz w:val="16"/>
                <w:szCs w:val="16"/>
                <w:color w:val="0000FF"/>
                <w:w w:val="89"/>
              </w:rPr>
              <w:t>60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8. Financial Statements and Supplementary Data</w:t>
            </w:r>
          </w:p>
        </w:tc>
        <w:tc>
          <w:tcPr>
            <w:tcW w:w="660" w:type="dxa"/>
            <w:vAlign w:val="bottom"/>
            <w:gridSpan w:val="2"/>
          </w:tcPr>
          <w:p>
            <w:pPr>
              <w:jc w:val="center"/>
              <w:ind w:left="419"/>
              <w:spacing w:after="0"/>
              <w:rPr>
                <w:sz w:val="20"/>
                <w:szCs w:val="20"/>
                <w:color w:val="auto"/>
              </w:rPr>
            </w:pPr>
            <w:r>
              <w:rPr>
                <w:rFonts w:ascii="Arial" w:cs="Arial" w:eastAsia="Arial" w:hAnsi="Arial"/>
                <w:sz w:val="16"/>
                <w:szCs w:val="16"/>
                <w:color w:val="0000FF"/>
                <w:w w:val="89"/>
              </w:rPr>
              <w:t>62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34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w w:val="91"/>
              </w:rPr>
              <w:t>Item 9. Changes in and Disagreements with Accountants on Accounting and Financial Disclosure</w:t>
            </w: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Arial" w:cs="Arial" w:eastAsia="Arial" w:hAnsi="Arial"/>
                <w:sz w:val="13"/>
                <w:szCs w:val="13"/>
                <w:color w:val="0000FF"/>
                <w:w w:val="73"/>
              </w:rPr>
              <w:t>115</w:t>
            </w: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2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0"/>
              </w:rPr>
              <w:t>Item 9A. Controls and Procedures</w:t>
            </w:r>
          </w:p>
        </w:tc>
        <w:tc>
          <w:tcPr>
            <w:tcW w:w="7380" w:type="dxa"/>
            <w:vAlign w:val="bottom"/>
            <w:gridSpan w:val="13"/>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Arial" w:cs="Arial" w:eastAsia="Arial" w:hAnsi="Arial"/>
                <w:sz w:val="13"/>
                <w:szCs w:val="13"/>
                <w:color w:val="0000FF"/>
                <w:w w:val="73"/>
              </w:rPr>
              <w:t>115</w:t>
            </w: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Arial" w:cs="Arial" w:eastAsia="Arial" w:hAnsi="Arial"/>
                <w:sz w:val="16"/>
                <w:szCs w:val="16"/>
                <w:color w:val="0000FF"/>
              </w:rPr>
              <w:t>Item 9B. Other Information</w:t>
            </w:r>
          </w:p>
        </w:tc>
        <w:tc>
          <w:tcPr>
            <w:tcW w:w="740" w:type="dxa"/>
            <w:vAlign w:val="bottom"/>
            <w:gridSpan w:val="3"/>
          </w:tcPr>
          <w:p>
            <w:pPr>
              <w:jc w:val="center"/>
              <w:ind w:left="419"/>
              <w:spacing w:after="0"/>
              <w:rPr>
                <w:sz w:val="20"/>
                <w:szCs w:val="20"/>
                <w:color w:val="auto"/>
              </w:rPr>
            </w:pPr>
            <w:r>
              <w:rPr>
                <w:rFonts w:ascii="Arial" w:cs="Arial" w:eastAsia="Arial" w:hAnsi="Arial"/>
                <w:sz w:val="16"/>
                <w:szCs w:val="16"/>
                <w:color w:val="0000FF"/>
                <w:w w:val="89"/>
              </w:rPr>
              <w:t>115</w:t>
            </w: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Arial" w:cs="Arial" w:eastAsia="Arial" w:hAnsi="Arial"/>
                <w:sz w:val="16"/>
                <w:szCs w:val="16"/>
                <w:color w:val="0000FF"/>
              </w:rPr>
              <w:t>Item 9C. Disclosure Regarding Foreign Jurisdictions that Prevent Inspections</w:t>
            </w:r>
          </w:p>
        </w:tc>
        <w:tc>
          <w:tcPr>
            <w:tcW w:w="740" w:type="dxa"/>
            <w:vAlign w:val="bottom"/>
            <w:gridSpan w:val="3"/>
          </w:tcPr>
          <w:p>
            <w:pPr>
              <w:jc w:val="center"/>
              <w:ind w:left="419"/>
              <w:spacing w:after="0"/>
              <w:rPr>
                <w:sz w:val="20"/>
                <w:szCs w:val="20"/>
                <w:color w:val="auto"/>
              </w:rPr>
            </w:pPr>
            <w:r>
              <w:rPr>
                <w:rFonts w:ascii="Arial" w:cs="Arial" w:eastAsia="Arial" w:hAnsi="Arial"/>
                <w:sz w:val="16"/>
                <w:szCs w:val="16"/>
                <w:color w:val="0000FF"/>
                <w:w w:val="89"/>
              </w:rPr>
              <w:t>115</w:t>
            </w: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7"/>
          </w:tcPr>
          <w:p>
            <w:pPr>
              <w:jc w:val="center"/>
              <w:ind w:right="3600"/>
              <w:spacing w:after="0"/>
              <w:rPr>
                <w:sz w:val="20"/>
                <w:szCs w:val="20"/>
                <w:color w:val="auto"/>
              </w:rPr>
            </w:pPr>
            <w:r>
              <w:rPr>
                <w:rFonts w:ascii="Arial" w:cs="Arial" w:eastAsia="Arial" w:hAnsi="Arial"/>
                <w:sz w:val="16"/>
                <w:szCs w:val="16"/>
                <w:b w:val="1"/>
                <w:bCs w:val="1"/>
                <w:color w:val="auto"/>
              </w:rPr>
              <w:t>PART III</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1"/>
        </w:trPr>
        <w:tc>
          <w:tcPr>
            <w:tcW w:w="4280" w:type="dxa"/>
            <w:vAlign w:val="bottom"/>
            <w:tcBorders>
              <w:bottom w:val="single" w:sz="8" w:color="0000FF"/>
            </w:tcBorders>
            <w:gridSpan w:val="16"/>
          </w:tcPr>
          <w:p>
            <w:pPr>
              <w:spacing w:after="0" w:line="181" w:lineRule="exact"/>
              <w:rPr>
                <w:sz w:val="20"/>
                <w:szCs w:val="20"/>
                <w:color w:val="auto"/>
              </w:rPr>
            </w:pPr>
            <w:r>
              <w:rPr>
                <w:rFonts w:ascii="Arial" w:cs="Arial" w:eastAsia="Arial" w:hAnsi="Arial"/>
                <w:sz w:val="16"/>
                <w:szCs w:val="16"/>
                <w:color w:val="0000FF"/>
                <w:w w:val="92"/>
              </w:rPr>
              <w:t>Item 10. Directors, Executive Officers and Corporate Governance</w:t>
            </w:r>
          </w:p>
        </w:tc>
        <w:tc>
          <w:tcPr>
            <w:tcW w:w="564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Arial" w:cs="Arial" w:eastAsia="Arial" w:hAnsi="Arial"/>
                <w:sz w:val="13"/>
                <w:szCs w:val="13"/>
                <w:color w:val="0000FF"/>
                <w:w w:val="73"/>
              </w:rPr>
              <w:t>116</w:t>
            </w:r>
          </w:p>
        </w:tc>
        <w:tc>
          <w:tcPr>
            <w:tcW w:w="520" w:type="dxa"/>
            <w:vAlign w:val="bottom"/>
          </w:tcPr>
          <w:p>
            <w:pPr>
              <w:spacing w:after="0"/>
              <w:rPr>
                <w:sz w:val="15"/>
                <w:szCs w:val="15"/>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11. Executive Compensation</w:t>
            </w:r>
          </w:p>
        </w:tc>
        <w:tc>
          <w:tcPr>
            <w:tcW w:w="740" w:type="dxa"/>
            <w:vAlign w:val="bottom"/>
            <w:gridSpan w:val="3"/>
          </w:tcPr>
          <w:p>
            <w:pPr>
              <w:jc w:val="center"/>
              <w:ind w:left="419"/>
              <w:spacing w:after="0"/>
              <w:rPr>
                <w:sz w:val="20"/>
                <w:szCs w:val="20"/>
                <w:color w:val="auto"/>
              </w:rPr>
            </w:pPr>
            <w:r>
              <w:rPr>
                <w:rFonts w:ascii="Arial" w:cs="Arial" w:eastAsia="Arial" w:hAnsi="Arial"/>
                <w:sz w:val="16"/>
                <w:szCs w:val="16"/>
                <w:color w:val="0000FF"/>
                <w:w w:val="89"/>
              </w:rPr>
              <w:t>116</w:t>
            </w:r>
          </w:p>
        </w:tc>
        <w:tc>
          <w:tcPr>
            <w:tcW w:w="520" w:type="dxa"/>
            <w:vAlign w:val="bottom"/>
          </w:tcPr>
          <w:p>
            <w:pPr>
              <w:spacing w:after="0"/>
              <w:rPr>
                <w:sz w:val="17"/>
                <w:szCs w:val="17"/>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12. Security Ownership of Certain Beneficial Owners and Management and Related Stockholder Matters</w:t>
            </w:r>
          </w:p>
        </w:tc>
        <w:tc>
          <w:tcPr>
            <w:tcW w:w="740" w:type="dxa"/>
            <w:vAlign w:val="bottom"/>
            <w:gridSpan w:val="3"/>
          </w:tcPr>
          <w:p>
            <w:pPr>
              <w:jc w:val="center"/>
              <w:ind w:left="419"/>
              <w:spacing w:after="0"/>
              <w:rPr>
                <w:sz w:val="20"/>
                <w:szCs w:val="20"/>
                <w:color w:val="auto"/>
              </w:rPr>
            </w:pPr>
            <w:r>
              <w:rPr>
                <w:rFonts w:ascii="Arial" w:cs="Arial" w:eastAsia="Arial" w:hAnsi="Arial"/>
                <w:sz w:val="16"/>
                <w:szCs w:val="16"/>
                <w:color w:val="0000FF"/>
                <w:w w:val="89"/>
              </w:rPr>
              <w:t>116</w:t>
            </w:r>
          </w:p>
        </w:tc>
        <w:tc>
          <w:tcPr>
            <w:tcW w:w="520" w:type="dxa"/>
            <w:vAlign w:val="bottom"/>
          </w:tcPr>
          <w:p>
            <w:pPr>
              <w:spacing w:after="0"/>
              <w:rPr>
                <w:sz w:val="17"/>
                <w:szCs w:val="17"/>
                <w:color w:val="auto"/>
              </w:rPr>
            </w:pPr>
          </w:p>
        </w:tc>
      </w:tr>
      <w:tr>
        <w:trPr>
          <w:trHeight w:val="196"/>
        </w:trPr>
        <w:tc>
          <w:tcPr>
            <w:tcW w:w="550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w w:val="90"/>
              </w:rPr>
              <w:t>Item 13. Certain Relationships and Related Transactions, and Director Independence</w:t>
            </w:r>
          </w:p>
        </w:tc>
        <w:tc>
          <w:tcPr>
            <w:tcW w:w="1640" w:type="dxa"/>
            <w:vAlign w:val="bottom"/>
            <w:tcBorders>
              <w:top w:val="single" w:sz="8" w:color="0000FF"/>
            </w:tcBorders>
            <w:gridSpan w:val="3"/>
          </w:tcPr>
          <w:p>
            <w:pPr>
              <w:spacing w:after="0"/>
              <w:rPr>
                <w:sz w:val="17"/>
                <w:szCs w:val="17"/>
                <w:color w:val="auto"/>
              </w:rPr>
            </w:pPr>
          </w:p>
        </w:tc>
        <w:tc>
          <w:tcPr>
            <w:tcW w:w="27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3"/>
                <w:szCs w:val="13"/>
                <w:color w:val="0000FF"/>
                <w:w w:val="73"/>
              </w:rPr>
              <w:t>116</w:t>
            </w:r>
          </w:p>
        </w:tc>
        <w:tc>
          <w:tcPr>
            <w:tcW w:w="520" w:type="dxa"/>
            <w:vAlign w:val="bottom"/>
          </w:tcPr>
          <w:p>
            <w:pPr>
              <w:spacing w:after="0"/>
              <w:rPr>
                <w:sz w:val="17"/>
                <w:szCs w:val="17"/>
                <w:color w:val="auto"/>
              </w:rPr>
            </w:pPr>
          </w:p>
        </w:tc>
      </w:tr>
      <w:tr>
        <w:trPr>
          <w:trHeight w:val="196"/>
        </w:trPr>
        <w:tc>
          <w:tcPr>
            <w:tcW w:w="9920" w:type="dxa"/>
            <w:vAlign w:val="bottom"/>
            <w:gridSpan w:val="24"/>
          </w:tcPr>
          <w:p>
            <w:pPr>
              <w:spacing w:after="0"/>
              <w:rPr>
                <w:sz w:val="20"/>
                <w:szCs w:val="20"/>
                <w:color w:val="auto"/>
              </w:rPr>
            </w:pPr>
            <w:r>
              <w:rPr>
                <w:rFonts w:ascii="Arial" w:cs="Arial" w:eastAsia="Arial" w:hAnsi="Arial"/>
                <w:sz w:val="16"/>
                <w:szCs w:val="16"/>
                <w:color w:val="0000FF"/>
              </w:rPr>
              <w:t>Item 14. Principal Accounting Fees and Services</w:t>
            </w:r>
          </w:p>
        </w:tc>
        <w:tc>
          <w:tcPr>
            <w:tcW w:w="740" w:type="dxa"/>
            <w:vAlign w:val="bottom"/>
            <w:gridSpan w:val="3"/>
          </w:tcPr>
          <w:p>
            <w:pPr>
              <w:jc w:val="center"/>
              <w:ind w:left="419"/>
              <w:spacing w:after="0"/>
              <w:rPr>
                <w:sz w:val="20"/>
                <w:szCs w:val="20"/>
                <w:color w:val="auto"/>
              </w:rPr>
            </w:pPr>
            <w:r>
              <w:rPr>
                <w:rFonts w:ascii="Arial" w:cs="Arial" w:eastAsia="Arial" w:hAnsi="Arial"/>
                <w:sz w:val="16"/>
                <w:szCs w:val="16"/>
                <w:color w:val="0000FF"/>
                <w:w w:val="89"/>
              </w:rPr>
              <w:t>116</w:t>
            </w:r>
          </w:p>
        </w:tc>
        <w:tc>
          <w:tcPr>
            <w:tcW w:w="520" w:type="dxa"/>
            <w:vAlign w:val="bottom"/>
          </w:tcPr>
          <w:p>
            <w:pPr>
              <w:spacing w:after="0"/>
              <w:rPr>
                <w:sz w:val="17"/>
                <w:szCs w:val="17"/>
                <w:color w:val="auto"/>
              </w:rPr>
            </w:pPr>
          </w:p>
        </w:tc>
      </w:tr>
      <w:tr>
        <w:trPr>
          <w:trHeight w:val="230"/>
        </w:trPr>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rPr>
              <w:t>PART IV</w:t>
            </w:r>
          </w:p>
        </w:tc>
        <w:tc>
          <w:tcPr>
            <w:tcW w:w="5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r>
      <w:tr>
        <w:trPr>
          <w:trHeight w:val="181"/>
        </w:trPr>
        <w:tc>
          <w:tcPr>
            <w:tcW w:w="9920" w:type="dxa"/>
            <w:vAlign w:val="bottom"/>
            <w:gridSpan w:val="24"/>
          </w:tcPr>
          <w:p>
            <w:pPr>
              <w:spacing w:after="0" w:line="181" w:lineRule="exact"/>
              <w:rPr>
                <w:sz w:val="20"/>
                <w:szCs w:val="20"/>
                <w:color w:val="auto"/>
              </w:rPr>
            </w:pPr>
            <w:r>
              <w:rPr>
                <w:rFonts w:ascii="Arial" w:cs="Arial" w:eastAsia="Arial" w:hAnsi="Arial"/>
                <w:sz w:val="16"/>
                <w:szCs w:val="16"/>
                <w:color w:val="0000FF"/>
              </w:rPr>
              <w:t>Item 15. Exhibits and Financial Statement Schedules</w:t>
            </w:r>
          </w:p>
        </w:tc>
        <w:tc>
          <w:tcPr>
            <w:tcW w:w="740" w:type="dxa"/>
            <w:vAlign w:val="bottom"/>
            <w:gridSpan w:val="3"/>
          </w:tcPr>
          <w:p>
            <w:pPr>
              <w:jc w:val="center"/>
              <w:ind w:left="419"/>
              <w:spacing w:after="0" w:line="181" w:lineRule="exact"/>
              <w:rPr>
                <w:sz w:val="20"/>
                <w:szCs w:val="20"/>
                <w:color w:val="auto"/>
              </w:rPr>
            </w:pPr>
            <w:r>
              <w:rPr>
                <w:rFonts w:ascii="Arial" w:cs="Arial" w:eastAsia="Arial" w:hAnsi="Arial"/>
                <w:sz w:val="16"/>
                <w:szCs w:val="16"/>
                <w:color w:val="0000FF"/>
                <w:w w:val="89"/>
              </w:rPr>
              <w:t>117</w:t>
            </w:r>
          </w:p>
        </w:tc>
        <w:tc>
          <w:tcPr>
            <w:tcW w:w="520" w:type="dxa"/>
            <w:vAlign w:val="bottom"/>
          </w:tcPr>
          <w:p>
            <w:pPr>
              <w:spacing w:after="0"/>
              <w:rPr>
                <w:sz w:val="15"/>
                <w:szCs w:val="15"/>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20" w:type="dxa"/>
            <w:vAlign w:val="bottom"/>
            <w:gridSpan w:val="14"/>
          </w:tcPr>
          <w:p>
            <w:pPr>
              <w:spacing w:after="0"/>
              <w:rPr>
                <w:sz w:val="20"/>
                <w:szCs w:val="20"/>
                <w:color w:val="auto"/>
              </w:rPr>
            </w:pPr>
            <w:r>
              <w:rPr>
                <w:rFonts w:ascii="Arial" w:cs="Arial" w:eastAsia="Arial" w:hAnsi="Arial"/>
                <w:sz w:val="16"/>
                <w:szCs w:val="16"/>
                <w:color w:val="0000FF"/>
              </w:rPr>
              <w:t>Item 16. Form 10-K Summary</w:t>
            </w:r>
          </w:p>
        </w:tc>
        <w:tc>
          <w:tcPr>
            <w:tcW w:w="650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Arial" w:cs="Arial" w:eastAsia="Arial" w:hAnsi="Arial"/>
                <w:sz w:val="13"/>
                <w:szCs w:val="13"/>
                <w:color w:val="0000FF"/>
                <w:w w:val="73"/>
              </w:rPr>
              <w:t>121</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sz w:val="20"/>
                <w:szCs w:val="20"/>
                <w:color w:val="auto"/>
              </w:rPr>
            </w:pPr>
            <w:r>
              <w:rPr>
                <w:rFonts w:ascii="Arial" w:cs="Arial" w:eastAsia="Arial" w:hAnsi="Arial"/>
                <w:sz w:val="16"/>
                <w:szCs w:val="16"/>
                <w:color w:val="0000FF"/>
                <w:w w:val="88"/>
              </w:rPr>
              <w:t>Signatures</w:t>
            </w:r>
          </w:p>
        </w:tc>
        <w:tc>
          <w:tcPr>
            <w:tcW w:w="1280" w:type="dxa"/>
            <w:vAlign w:val="bottom"/>
            <w:gridSpan w:val="5"/>
          </w:tcPr>
          <w:p>
            <w:pPr>
              <w:spacing w:after="0"/>
              <w:rPr>
                <w:sz w:val="17"/>
                <w:szCs w:val="17"/>
                <w:color w:val="auto"/>
              </w:rPr>
            </w:pPr>
          </w:p>
        </w:tc>
        <w:tc>
          <w:tcPr>
            <w:tcW w:w="7940" w:type="dxa"/>
            <w:vAlign w:val="bottom"/>
            <w:gridSpan w:val="17"/>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Arial" w:cs="Arial" w:eastAsia="Arial" w:hAnsi="Arial"/>
                <w:sz w:val="13"/>
                <w:szCs w:val="13"/>
                <w:color w:val="0000FF"/>
                <w:w w:val="73"/>
              </w:rPr>
              <w:t>122</w:t>
            </w: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20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56"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Minimum wage increases, additional mandated employee benefits and fluctuations in the cost and availability of employees;</w:t>
      </w:r>
    </w:p>
    <w:p>
      <w:pPr>
        <w:spacing w:after="0" w:line="267" w:lineRule="exact"/>
        <w:rPr>
          <w:rFonts w:ascii="Arial" w:cs="Arial" w:eastAsia="Arial" w:hAnsi="Arial"/>
          <w:sz w:val="19"/>
          <w:szCs w:val="19"/>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recruit and retain high-quality leadership, restaurant-level management and team members;</w:t>
      </w:r>
    </w:p>
    <w:p>
      <w:pPr>
        <w:spacing w:after="0" w:line="242" w:lineRule="exact"/>
        <w:rPr>
          <w:rFonts w:ascii="Arial" w:cs="Arial" w:eastAsia="Arial" w:hAnsi="Arial"/>
          <w:sz w:val="20"/>
          <w:szCs w:val="20"/>
          <w:color w:val="auto"/>
        </w:rPr>
      </w:pPr>
    </w:p>
    <w:p>
      <w:pPr>
        <w:ind w:left="660" w:right="20" w:hanging="652"/>
        <w:spacing w:after="0" w:line="274"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90" w:lineRule="exact"/>
        <w:rPr>
          <w:rFonts w:ascii="Arial" w:cs="Arial" w:eastAsia="Arial" w:hAnsi="Arial"/>
          <w:sz w:val="20"/>
          <w:szCs w:val="20"/>
          <w:color w:val="auto"/>
        </w:rPr>
      </w:pPr>
    </w:p>
    <w:p>
      <w:pPr>
        <w:ind w:left="660" w:right="20" w:hanging="652"/>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in the highly competitive restaurant industry with many well-established competitors and new market entrants;</w:t>
      </w:r>
    </w:p>
    <w:p>
      <w:pPr>
        <w:spacing w:after="0" w:line="203" w:lineRule="exact"/>
        <w:rPr>
          <w:rFonts w:ascii="Arial" w:cs="Arial" w:eastAsia="Arial" w:hAnsi="Arial"/>
          <w:sz w:val="20"/>
          <w:szCs w:val="20"/>
          <w:color w:val="auto"/>
        </w:rPr>
      </w:pPr>
    </w:p>
    <w:p>
      <w:pPr>
        <w:ind w:left="660" w:right="20" w:hanging="652"/>
        <w:spacing w:after="0" w:line="260"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17" w:lineRule="exact"/>
        <w:rPr>
          <w:rFonts w:ascii="Arial" w:cs="Arial" w:eastAsia="Arial" w:hAnsi="Arial"/>
          <w:sz w:val="20"/>
          <w:szCs w:val="20"/>
          <w:color w:val="auto"/>
        </w:rPr>
      </w:pPr>
    </w:p>
    <w:p>
      <w:pPr>
        <w:jc w:val="both"/>
        <w:ind w:left="660" w:hanging="652"/>
        <w:spacing w:after="0" w:line="257"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 including supplier freight charges and restaurant distribution expenses, and other impacts of inflation and our dependence on a limited number of suppliers and distributors to meet our beef, chicken and other major product supply needs;</w:t>
      </w:r>
    </w:p>
    <w:p>
      <w:pPr>
        <w:spacing w:after="0" w:line="219" w:lineRule="exact"/>
        <w:rPr>
          <w:rFonts w:ascii="Arial" w:cs="Arial" w:eastAsia="Arial" w:hAnsi="Arial"/>
          <w:sz w:val="20"/>
          <w:szCs w:val="20"/>
          <w:color w:val="auto"/>
        </w:rPr>
      </w:pPr>
    </w:p>
    <w:p>
      <w:pPr>
        <w:jc w:val="both"/>
        <w:ind w:left="660" w:hanging="652"/>
        <w:spacing w:after="0" w:line="257"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severity, extent and duration of the COVID-19 pandemic, its impacts on our business and results of operations, financial condition and liquidity, including any adverse impact on our stock price and on the other factors listed in this Report, and the responses of domestic and foreign federal, state and local governments to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ind w:left="660" w:right="20" w:hanging="652"/>
        <w:spacing w:after="0" w:line="274"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90" w:lineRule="exact"/>
        <w:rPr>
          <w:rFonts w:ascii="Arial" w:cs="Arial" w:eastAsia="Arial" w:hAnsi="Arial"/>
          <w:sz w:val="20"/>
          <w:szCs w:val="20"/>
          <w:color w:val="auto"/>
        </w:rPr>
      </w:pPr>
    </w:p>
    <w:p>
      <w:pPr>
        <w:ind w:left="660" w:hanging="652"/>
        <w:spacing w:after="0" w:line="27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74"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comply with new environmental, social and governance (“ESG”) requirements or our failure to achieve any goals, targets or objectives with respect to ESG matters;</w:t>
      </w:r>
    </w:p>
    <w:p>
      <w:pPr>
        <w:spacing w:after="0" w:line="203" w:lineRule="exact"/>
        <w:rPr>
          <w:rFonts w:ascii="Arial" w:cs="Arial" w:eastAsia="Arial" w:hAnsi="Arial"/>
          <w:sz w:val="20"/>
          <w:szCs w:val="20"/>
          <w:color w:val="auto"/>
        </w:rPr>
      </w:pPr>
    </w:p>
    <w:p>
      <w:pPr>
        <w:ind w:left="660" w:hanging="652"/>
        <w:spacing w:after="0" w:line="260"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 including by maintaining relationships with third party delivery apps and services;</w:t>
      </w:r>
    </w:p>
    <w:p>
      <w:pPr>
        <w:spacing w:after="0" w:line="217" w:lineRule="exact"/>
        <w:rPr>
          <w:rFonts w:ascii="Arial" w:cs="Arial" w:eastAsia="Arial" w:hAnsi="Arial"/>
          <w:sz w:val="20"/>
          <w:szCs w:val="20"/>
          <w:color w:val="auto"/>
        </w:rPr>
      </w:pPr>
    </w:p>
    <w:p>
      <w:pPr>
        <w:ind w:left="660" w:hanging="652"/>
        <w:spacing w:after="0" w:line="316" w:lineRule="auto"/>
        <w:tabs>
          <w:tab w:leader="none" w:pos="65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70" w:lineRule="exact"/>
        <w:rPr>
          <w:rFonts w:ascii="Arial" w:cs="Arial" w:eastAsia="Arial" w:hAnsi="Arial"/>
          <w:sz w:val="18"/>
          <w:szCs w:val="18"/>
          <w:color w:val="auto"/>
        </w:rPr>
      </w:pPr>
    </w:p>
    <w:p>
      <w:pPr>
        <w:jc w:val="both"/>
        <w:ind w:left="660" w:hanging="652"/>
        <w:spacing w:after="0" w:line="251" w:lineRule="auto"/>
        <w:tabs>
          <w:tab w:leader="none" w:pos="653"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spacing w:after="0" w:line="228" w:lineRule="exact"/>
        <w:rPr>
          <w:rFonts w:ascii="Arial" w:cs="Arial" w:eastAsia="Arial" w:hAnsi="Arial"/>
          <w:sz w:val="20"/>
          <w:szCs w:val="20"/>
          <w:color w:val="auto"/>
        </w:rPr>
      </w:pPr>
    </w:p>
    <w:p>
      <w:pPr>
        <w:ind w:left="660" w:right="20" w:hanging="652"/>
        <w:spacing w:after="0" w:line="274" w:lineRule="auto"/>
        <w:tabs>
          <w:tab w:leader="none" w:pos="652" w:val="left"/>
        </w:tabs>
        <w:numPr>
          <w:ilvl w:val="0"/>
          <w:numId w:val="4"/>
        </w:numPr>
        <w:rPr>
          <w:rFonts w:ascii="Arial" w:cs="Arial" w:eastAsia="Arial" w:hAnsi="Arial"/>
          <w:sz w:val="20"/>
          <w:szCs w:val="20"/>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20"/>
          <w:szCs w:val="20"/>
          <w:color w:val="auto"/>
        </w:rPr>
      </w:pPr>
    </w:p>
    <w:p>
      <w:pPr>
        <w:jc w:val="both"/>
        <w:ind w:left="660" w:hanging="652"/>
        <w:spacing w:after="0" w:line="257" w:lineRule="auto"/>
        <w:tabs>
          <w:tab w:leader="none" w:pos="653"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 and</w:t>
      </w:r>
    </w:p>
    <w:p>
      <w:pPr>
        <w:spacing w:after="0" w:line="219" w:lineRule="exact"/>
        <w:rPr>
          <w:rFonts w:ascii="Arial" w:cs="Arial" w:eastAsia="Arial" w:hAnsi="Arial"/>
          <w:sz w:val="20"/>
          <w:szCs w:val="20"/>
          <w:color w:val="auto"/>
        </w:rPr>
      </w:pPr>
    </w:p>
    <w:p>
      <w:pPr>
        <w:ind w:left="660" w:hanging="652"/>
        <w:spacing w:after="0" w:line="260" w:lineRule="auto"/>
        <w:tabs>
          <w:tab w:leader="none" w:pos="654"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62"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Bloomin’ Brands, Inc. (“Bloomin’ Brands,” the “Company,” “we,” “us,” and “our” and similar terms mean Bloomin’ 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 OSI Restaurant Partners, LLC (“OSI”), a wholly-owned subsidiary of Bloomin’ Brands, is our primary operating entity.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MARKETS</w:t>
      </w:r>
    </w:p>
    <w:p>
      <w:pPr>
        <w:spacing w:after="0" w:line="25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December 25, 2022, we owned and operated 1,186 full-service restaurants and off-premises only kitchens and franchised 321 full-service restaurants and off-premises only kitchens across 47 states, Guam and 13 countries.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Segments</w:t>
      </w:r>
    </w:p>
    <w:p>
      <w:pPr>
        <w:spacing w:after="0" w:line="262"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We consider each of our restaurant concepts and international markets to be operating segments, which reflects how we manage our business, review operating performance and allocate resources. We aggregate our operating segments into two reportable segments, U.S. and international. The U.S. segment includes all restaurants operating in the U.S. while restaurants operating outside the U.S. are included in the international segment. Following is a summary of reportable segments as of December 25, 2022:</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96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19"/>
                <w:szCs w:val="19"/>
                <w:color w:val="auto"/>
              </w:rPr>
            </w:pPr>
          </w:p>
        </w:tc>
        <w:tc>
          <w:tcPr>
            <w:tcW w:w="39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Includes franchise locations. See Item 2.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for disclosure of our restaurant count by country and territory.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 Segment</w:t>
      </w:r>
    </w:p>
    <w:p>
      <w:pPr>
        <w:spacing w:after="0" w:line="256"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As of December 25, 2022, in our U.S. segment, we owned and operated 1,011 full-service restaurants and off-premises only kitchens and franchised 153 full-service restaurants across 47 states.</w:t>
      </w:r>
    </w:p>
    <w:p>
      <w:pPr>
        <w:spacing w:after="0" w:line="217"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Outback Steakhouse is a casual steakhouse restaurant concept focused on steaks, bold flavors and Australian decor.</w:t>
      </w:r>
      <w:r>
        <w:rPr>
          <w:rFonts w:ascii="Arial" w:cs="Arial" w:eastAsia="Arial" w:hAnsi="Arial"/>
          <w:sz w:val="20"/>
          <w:szCs w:val="20"/>
          <w:i w:val="1"/>
          <w:iCs w:val="1"/>
          <w:color w:val="auto"/>
        </w:rPr>
        <w:t xml:space="preserve"> </w:t>
      </w:r>
      <w:r>
        <w:rPr>
          <w:rFonts w:ascii="Arial" w:cs="Arial" w:eastAsia="Arial" w:hAnsi="Arial"/>
          <w:sz w:val="20"/>
          <w:szCs w:val="20"/>
          <w:color w:val="auto"/>
        </w:rPr>
        <w:t>The Outback Steakhouse menu offers seasoned and seared or wood-fire grilled steaks, chops, chicken, seafood, pasta, salads and seasonal specials. The menu also offers a selection of specialty appetizers, including our signature Bloomin’ Onion</w:t>
      </w:r>
      <w:r>
        <w:rPr>
          <w:rFonts w:ascii="Arial" w:cs="Arial" w:eastAsia="Arial" w:hAnsi="Arial"/>
          <w:sz w:val="25"/>
          <w:szCs w:val="25"/>
          <w:color w:val="auto"/>
          <w:vertAlign w:val="superscript"/>
        </w:rPr>
        <w:t>®</w:t>
      </w:r>
      <w:r>
        <w:rPr>
          <w:rFonts w:ascii="Arial" w:cs="Arial" w:eastAsia="Arial" w:hAnsi="Arial"/>
          <w:sz w:val="20"/>
          <w:szCs w:val="20"/>
          <w:color w:val="auto"/>
        </w:rPr>
        <w:t>, and desserts, together with full bar service.</w:t>
      </w:r>
    </w:p>
    <w:p>
      <w:pPr>
        <w:spacing w:after="0" w:line="223"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i w:val="1"/>
          <w:iCs w:val="1"/>
          <w:color w:val="auto"/>
        </w:rPr>
        <w:t xml:space="preserve">Carrabba’s Italian Grill - </w:t>
      </w:r>
      <w:r>
        <w:rPr>
          <w:rFonts w:ascii="Arial" w:cs="Arial" w:eastAsia="Arial" w:hAnsi="Arial"/>
          <w:sz w:val="19"/>
          <w:szCs w:val="19"/>
          <w:color w:val="auto"/>
        </w:rPr>
        <w:t>Offering authentic Italian cuisine passed down from its founders’ family recipes, Carrabba’s Italian Grill uses high</w:t>
      </w:r>
      <w:r>
        <w:rPr>
          <w:rFonts w:ascii="Arial" w:cs="Arial" w:eastAsia="Arial" w:hAnsi="Arial"/>
          <w:sz w:val="19"/>
          <w:szCs w:val="19"/>
          <w:i w:val="1"/>
          <w:iCs w:val="1"/>
          <w:color w:val="auto"/>
        </w:rPr>
        <w:t xml:space="preserve"> </w:t>
      </w:r>
      <w:r>
        <w:rPr>
          <w:rFonts w:ascii="Arial" w:cs="Arial" w:eastAsia="Arial" w:hAnsi="Arial"/>
          <w:sz w:val="19"/>
          <w:szCs w:val="19"/>
          <w:color w:val="auto"/>
        </w:rPr>
        <w:t>quality ingredients to prepare fresh and handmade dishes cooked to order in a lively exhibition kitchen. Featuring a wood-burning grill inspired by the many tastes of Italy, guests can enjoy signature dishes such as Chicken Bryan and Pollo Rosa Maria, wood-fire grilled steaks and chops, small plates and classic Italian pasta dishes in a welcoming, contemporary atmosphere.</w:t>
      </w:r>
    </w:p>
    <w:p>
      <w:pPr>
        <w:spacing w:after="0" w:line="20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i w:val="1"/>
          <w:iCs w:val="1"/>
          <w:color w:val="auto"/>
        </w:rPr>
        <w:t xml:space="preserve">Bonefish Grill - </w:t>
      </w:r>
      <w:r>
        <w:rPr>
          <w:rFonts w:ascii="Arial" w:cs="Arial" w:eastAsia="Arial" w:hAnsi="Arial"/>
          <w:sz w:val="20"/>
          <w:szCs w:val="20"/>
          <w:color w:val="auto"/>
        </w:rPr>
        <w:t>Bonefish Grill specializes in fish from around the world, hand-cut in-house every day, savory wood-grilled specialties, and</w:t>
      </w:r>
      <w:r>
        <w:rPr>
          <w:rFonts w:ascii="Arial" w:cs="Arial" w:eastAsia="Arial" w:hAnsi="Arial"/>
          <w:sz w:val="20"/>
          <w:szCs w:val="20"/>
          <w:i w:val="1"/>
          <w:iCs w:val="1"/>
          <w:color w:val="auto"/>
        </w:rPr>
        <w:t xml:space="preserve"> </w:t>
      </w:r>
      <w:r>
        <w:rPr>
          <w:rFonts w:ascii="Arial" w:cs="Arial" w:eastAsia="Arial" w:hAnsi="Arial"/>
          <w:sz w:val="20"/>
          <w:szCs w:val="20"/>
          <w:color w:val="auto"/>
        </w:rPr>
        <w:t>locally created, seasonal Partner Selection dishes featuring high-quality and fresh ingredients. Offering a selection of classic and signature hand-crafted cocktails, using fresh juices, edible garnishes</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and house infusions, Bonefish Grill also features a distinct list of wines, which are the perfect match for any food pairing.</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Fleming’s Prime Steakhouse &amp; Wine Bar - </w:t>
      </w:r>
      <w:r>
        <w:rPr>
          <w:rFonts w:ascii="Arial" w:cs="Arial" w:eastAsia="Arial" w:hAnsi="Arial"/>
          <w:sz w:val="20"/>
          <w:szCs w:val="20"/>
          <w:color w:val="auto"/>
        </w:rPr>
        <w:t>Fleming’s Prime Steakhouse &amp; Wine Bar is a contemporary interpretation of the classic American</w:t>
      </w:r>
      <w:r>
        <w:rPr>
          <w:rFonts w:ascii="Arial" w:cs="Arial" w:eastAsia="Arial" w:hAnsi="Arial"/>
          <w:sz w:val="20"/>
          <w:szCs w:val="20"/>
          <w:i w:val="1"/>
          <w:iCs w:val="1"/>
          <w:color w:val="auto"/>
        </w:rPr>
        <w:t xml:space="preserve"> </w:t>
      </w:r>
      <w:r>
        <w:rPr>
          <w:rFonts w:ascii="Arial" w:cs="Arial" w:eastAsia="Arial" w:hAnsi="Arial"/>
          <w:sz w:val="20"/>
          <w:szCs w:val="20"/>
          <w:color w:val="auto"/>
        </w:rPr>
        <w:t>steakhouse, boasting culinary mastery, signature style and unrivaled attentive service to create memorable dining experiences in a welcoming and lively atmosphere. Hospitality is at the heart of Fleming’s mission, but guests will see passion for prime steak, seafood, storied wines and handcrafted cocktails reflected across their range of menus.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International Segment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have local management to support and grow restaurants in each of the countries where we have Company-owned operations. Our international operations are integrated with our corporate headquarters to leverage enterprise-wide capabilities, including marketing, finance, real estate, information technology, legal, human resources, supply chain management and productivity.</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 xml:space="preserve">As of December 25, 2022, in our international segment, we owned and operated 175 full-service restaurants and franchised 168 full-service restaurants and off-premises only kitchens across 13 countries and Guam. See Item 2. </w:t>
      </w:r>
      <w:r>
        <w:rPr>
          <w:rFonts w:ascii="Arial" w:cs="Arial" w:eastAsia="Arial" w:hAnsi="Arial"/>
          <w:sz w:val="20"/>
          <w:szCs w:val="20"/>
          <w:i w:val="1"/>
          <w:iCs w:val="1"/>
          <w:color w:val="auto"/>
        </w:rPr>
        <w:t>Properties</w:t>
      </w:r>
      <w:r>
        <w:rPr>
          <w:rFonts w:ascii="Arial" w:cs="Arial" w:eastAsia="Arial" w:hAnsi="Arial"/>
          <w:sz w:val="20"/>
          <w:szCs w:val="20"/>
          <w:color w:val="auto"/>
        </w:rPr>
        <w:t xml:space="preserve"> for disclosure of our international restaurant count by country and territory.</w:t>
      </w:r>
    </w:p>
    <w:p>
      <w:pPr>
        <w:spacing w:after="0" w:line="20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i w:val="1"/>
          <w:iCs w:val="1"/>
          <w:color w:val="auto"/>
        </w:rPr>
        <w:t xml:space="preserve">Outback Steakhouse </w:t>
      </w:r>
      <w:r>
        <w:rPr>
          <w:rFonts w:ascii="Arial" w:cs="Arial" w:eastAsia="Arial" w:hAnsi="Arial"/>
          <w:sz w:val="18"/>
          <w:szCs w:val="18"/>
          <w:color w:val="auto"/>
        </w:rPr>
        <w:t>- Our international Outback Steakhouse restaurants have a menu similar to our U.S. menu with additional variety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local taste preferences. In addition to the traditional Outback Special sirloin, a typical international menu may feature local beef cuts.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Carrabba’s Italian Grill (Abbraccio Cucina Italiana) </w:t>
      </w:r>
      <w:r>
        <w:rPr>
          <w:rFonts w:ascii="Arial" w:cs="Arial" w:eastAsia="Arial" w:hAnsi="Arial"/>
          <w:sz w:val="20"/>
          <w:szCs w:val="20"/>
          <w:color w:val="auto"/>
        </w:rPr>
        <w:t>- Abbraccio Cucina Italiana, our international Carrabba’s Italian Grill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 offers a blend of traditional and modern Italian dishes. The menu varies, with additional pasta and pizza offerings, to account for local tastes and customs. Abbraccio Cucina Italiana also has a range of beverage options, including classically inspired cocktails and local favorites with an Italian twist.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Development</w:t>
      </w:r>
    </w:p>
    <w:p>
      <w:pPr>
        <w:spacing w:after="0" w:line="24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We utilize the ownership structure and market entry strategy that best fits the needs for a particular market, including Company-owned units and franchises, as determined by demand, cost structure and economic conditions.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U.S. Development - </w:t>
      </w:r>
      <w:r>
        <w:rPr>
          <w:rFonts w:ascii="Arial" w:cs="Arial" w:eastAsia="Arial" w:hAnsi="Arial"/>
          <w:sz w:val="19"/>
          <w:szCs w:val="19"/>
          <w:color w:val="auto"/>
        </w:rPr>
        <w:t>We opportunistically pursue unit growth across our concepts through existing geography fill-in and market expansion</w:t>
      </w:r>
      <w:r>
        <w:rPr>
          <w:rFonts w:ascii="Arial" w:cs="Arial" w:eastAsia="Arial" w:hAnsi="Arial"/>
          <w:sz w:val="19"/>
          <w:szCs w:val="19"/>
          <w:i w:val="1"/>
          <w:iCs w:val="1"/>
          <w:color w:val="auto"/>
        </w:rPr>
        <w:t xml:space="preserve"> </w:t>
      </w:r>
      <w:r>
        <w:rPr>
          <w:rFonts w:ascii="Arial" w:cs="Arial" w:eastAsia="Arial" w:hAnsi="Arial"/>
          <w:sz w:val="19"/>
          <w:szCs w:val="19"/>
          <w:color w:val="auto"/>
        </w:rPr>
        <w:t>opportunities. During 2021, we opened our first U.S. Outback Steakhouse utilizing a smaller-scaled “Joey” prototype. The Joey prototype was designed to increase return on investment through a reduced restaurant footprint with a more efficient layout. We opened five Joey Outback Steakhouse restaurants during 2022 and plan to open additional locations throughout 2023.</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2022, we continued to test our fast-casual concept, Aussie Grill by Outback (“Aussie Grill”). Originally created for our international franchisees, Aussie Grill offers steak, burgers, chicken and salad with fast-casual convenience.</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 xml:space="preserve">International Development - </w:t>
      </w:r>
      <w:r>
        <w:rPr>
          <w:rFonts w:ascii="Arial" w:cs="Arial" w:eastAsia="Arial" w:hAnsi="Arial"/>
          <w:sz w:val="19"/>
          <w:szCs w:val="19"/>
          <w:color w:val="auto"/>
        </w:rPr>
        <w:t>We continue to pursue international expansion opportunities, leveraging established equity and franchise</w:t>
      </w:r>
      <w:r>
        <w:rPr>
          <w:rFonts w:ascii="Arial" w:cs="Arial" w:eastAsia="Arial" w:hAnsi="Arial"/>
          <w:sz w:val="19"/>
          <w:szCs w:val="19"/>
          <w:i w:val="1"/>
          <w:iCs w:val="1"/>
          <w:color w:val="auto"/>
        </w:rPr>
        <w:t xml:space="preserve"> </w:t>
      </w:r>
      <w:r>
        <w:rPr>
          <w:rFonts w:ascii="Arial" w:cs="Arial" w:eastAsia="Arial" w:hAnsi="Arial"/>
          <w:sz w:val="19"/>
          <w:szCs w:val="19"/>
          <w:color w:val="auto"/>
        </w:rPr>
        <w:t>markets in South America and Asia, and in strategically selected emerging and high-growth developed markets, with a focus on Brazil. All Outback Steakhouse restaurants opened in Brazil since the beginning of 2021 were built utilizing the Joey prototype design.</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2022, we introduced Aussie Grill in Brazil, opening the first two restaurants in that market. We plan to open additional Aussie Grill restaurants in Brazil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System-wide Restaurant Summary - </w:t>
      </w:r>
      <w:r>
        <w:rPr>
          <w:rFonts w:ascii="Arial" w:cs="Arial" w:eastAsia="Arial" w:hAnsi="Arial"/>
          <w:sz w:val="19"/>
          <w:szCs w:val="19"/>
          <w:color w:val="auto"/>
        </w:rPr>
        <w:t>Following is a system-wide rollforward of our full-service restaurants in operation during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26,</w:t>
            </w:r>
          </w:p>
        </w:tc>
        <w:tc>
          <w:tcPr>
            <w:tcW w:w="23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2022 ACTIVITY</w:t>
            </w:r>
          </w:p>
        </w:tc>
        <w:tc>
          <w:tcPr>
            <w:tcW w:w="100" w:type="dxa"/>
            <w:vAlign w:val="bottom"/>
          </w:tcPr>
          <w:p>
            <w:pPr>
              <w:spacing w:after="0"/>
              <w:rPr>
                <w:sz w:val="19"/>
                <w:szCs w:val="19"/>
                <w:color w:val="auto"/>
              </w:rPr>
            </w:pPr>
          </w:p>
        </w:tc>
        <w:tc>
          <w:tcPr>
            <w:tcW w:w="156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25,</w:t>
            </w:r>
          </w:p>
        </w:tc>
        <w:tc>
          <w:tcPr>
            <w:tcW w:w="120" w:type="dxa"/>
            <w:vAlign w:val="bottom"/>
          </w:tcPr>
          <w:p>
            <w:pPr>
              <w:spacing w:after="0"/>
              <w:rPr>
                <w:sz w:val="19"/>
                <w:szCs w:val="19"/>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U.S. STATE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Number of restaurants:</w:t>
            </w:r>
          </w:p>
        </w:tc>
        <w:tc>
          <w:tcPr>
            <w:tcW w:w="1620" w:type="dxa"/>
            <w:vAlign w:val="bottom"/>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OPENINGS</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CLOSURES</w:t>
            </w:r>
          </w:p>
        </w:tc>
        <w:tc>
          <w:tcPr>
            <w:tcW w:w="1560" w:type="dxa"/>
            <w:vAlign w:val="bottom"/>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COUNT</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43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Carrabba’s Italian Grill</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6"/>
                <w:szCs w:val="16"/>
                <w:color w:val="auto"/>
              </w:rPr>
              <w:t>Franchised</w:t>
            </w:r>
          </w:p>
        </w:tc>
        <w:tc>
          <w:tcPr>
            <w:tcW w:w="16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Bonefish Grill</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43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Aussie Grill</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bottom w:val="single" w:sz="8" w:color="CCEEFF"/>
            </w:tcBorders>
          </w:tcPr>
          <w:p>
            <w:pPr>
              <w:ind w:left="560"/>
              <w:spacing w:after="0"/>
              <w:rPr>
                <w:sz w:val="20"/>
                <w:szCs w:val="20"/>
                <w:color w:val="auto"/>
              </w:rPr>
            </w:pPr>
            <w:r>
              <w:rPr>
                <w:rFonts w:ascii="Arial" w:cs="Arial" w:eastAsia="Arial" w:hAnsi="Arial"/>
                <w:sz w:val="16"/>
                <w:szCs w:val="16"/>
                <w:color w:val="auto"/>
              </w:rPr>
              <w:t>U.S. 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2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Outback Steakhouse - Brazil (1)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Other (1)(2)</w:t>
            </w:r>
          </w:p>
        </w:tc>
        <w:tc>
          <w:tcPr>
            <w:tcW w:w="16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Outback Steakhouse - South Korea</w:t>
            </w:r>
          </w:p>
        </w:tc>
        <w:tc>
          <w:tcPr>
            <w:tcW w:w="16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International 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System-wide 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System-wide total - Company-owned</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System-wide total - Franchised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5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restaurant counts for Brazil, including Abbraccio and Aussie Grill restaurants within International Company-owned Other, are reported as of November 30, 2021 and 2022, respectively, to correspond with the balance sheet dates of this subsidiary.</w:t>
      </w:r>
    </w:p>
    <w:p>
      <w:pPr>
        <w:ind w:left="660" w:hanging="652"/>
        <w:spacing w:after="0" w:line="25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International Company-owned Other included two and four Aussie Grill locations as of December 26, 2021 and December 25, 2022, respectively. International Franchised Other included three and four Aussie Grill locations as of December 26, 2021 and December 25, 2022,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system-wide rollforward of our off-premises only kitchens in operation during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36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DECEMBER 26,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ind w:left="620"/>
              <w:spacing w:after="0"/>
              <w:rPr>
                <w:sz w:val="20"/>
                <w:szCs w:val="20"/>
                <w:color w:val="auto"/>
              </w:rPr>
            </w:pPr>
            <w:r>
              <w:rPr>
                <w:rFonts w:ascii="Arial" w:cs="Arial" w:eastAsia="Arial" w:hAnsi="Arial"/>
                <w:sz w:val="14"/>
                <w:szCs w:val="14"/>
                <w:b w:val="1"/>
                <w:bCs w:val="1"/>
                <w:color w:val="auto"/>
              </w:rPr>
              <w:t>2022 ACTIVITY</w:t>
            </w:r>
          </w:p>
        </w:tc>
        <w:tc>
          <w:tcPr>
            <w:tcW w:w="14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Number of kitchens (1):</w:t>
            </w:r>
          </w:p>
        </w:tc>
        <w:tc>
          <w:tcPr>
            <w:tcW w:w="13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562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OPENINGS</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CLOSURES</w:t>
            </w: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Franchised - South Korea</w:t>
            </w: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0"/>
        </w:trPr>
        <w:tc>
          <w:tcPr>
            <w:tcW w:w="5620" w:type="dxa"/>
            <w:vAlign w:val="bottom"/>
          </w:tcPr>
          <w:p>
            <w:pPr>
              <w:ind w:left="20"/>
              <w:spacing w:after="0"/>
              <w:rPr>
                <w:sz w:val="20"/>
                <w:szCs w:val="20"/>
                <w:color w:val="auto"/>
              </w:rPr>
            </w:pPr>
            <w:r>
              <w:rPr>
                <w:rFonts w:ascii="Arial" w:cs="Arial" w:eastAsia="Arial" w:hAnsi="Arial"/>
                <w:sz w:val="16"/>
                <w:szCs w:val="16"/>
                <w:color w:val="auto"/>
              </w:rPr>
              <w:t>System-wide total</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virtual concepts that operate out of existing restaurants and sports venue locations.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Pandemic Impact on Our Business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a result of the COVID-19 pandemic (“COVID-19”), traffic was significantly reduced in our restaurants which negatively impacted our operating results in 2020. During 2021, the recovery of U.S. in-restaurant dining continued while we retained a significant portion of the incremental off-premises volume we achieved during 2020. Internationally, COVID-19-related capacity constraints continued in 2021 during periods of increased case counts and new variants until the middle of 2022 when in-restaurant dining was operating without COVID-19-related capacity constraints.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In addition, improving product offerings and convenience options from quick service and fast-casual restaurants, “ghost” or “dark” kitchens where meals are prepared at a separate takeaway premises rather than a restaurant, and the expansion of home delivery services, together with negative economic conditions, could cause consumers to choose less expensive alternatives than our restaurants. Internationally, we face competition due to the number of casual dining restaurant options in the markets in which we operate.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REVENUE GENERATING ACTIVITIES</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generate our revenues from our Company-owned restaurants and through sales of franchise rights and ongoing royalties and other fees from our franchised restaurants.</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i w:val="1"/>
          <w:iCs w:val="1"/>
          <w:color w:val="auto"/>
        </w:rPr>
        <w:t xml:space="preserve">Company-owned Restaurants - </w:t>
      </w:r>
      <w:r>
        <w:rPr>
          <w:rFonts w:ascii="Arial" w:cs="Arial" w:eastAsia="Arial" w:hAnsi="Arial"/>
          <w:sz w:val="18"/>
          <w:szCs w:val="18"/>
          <w:color w:val="auto"/>
        </w:rPr>
        <w:t>Company-owned restaurants are restaurants wholly-owned by us or in which we have a majority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results of operations of Company-owned restaurants are included in our consolidated operating results and the portion of income or loss attributable to the noncontrolling interests is eliminated in our Consolidated Statements of Operations and Comprehensive Income (Loss).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Historically, we paid royalties that ranged from 0.5% to 1.5% of U.S. sales on the majority of our Carrabba’s Italian Grill restaurants, pursuant to agreements we entered into with the Carrabba’s Italian Grill founders (“Carrabba’s Founders”). Each Carrabba’s Italian Grill restaurant located outside the U.S. paid a one-time lump sum fee to the Carrabba’s Founders in place of a continuing royalty fee. In August 2021, we entered into the Purchase and Sale of Royalty Payment Stream and Termination of Royalty Agreement (the “Royalty Termination Agreement”) with the Carrabba’s Founders, pursuant to which our obligation to pay future royalties and lump sum royalty fees on Carrabba’s Italian Grill (and Abbraccio) restaurants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Following is a summary of sales by occasion, sales mix by product type and average check per person for Company-owned restaurants during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U.S.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center"/>
              <w:ind w:right="222"/>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Outback</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301"/>
              <w:spacing w:after="0"/>
              <w:rPr>
                <w:sz w:val="20"/>
                <w:szCs w:val="20"/>
                <w:color w:val="auto"/>
              </w:rPr>
            </w:pPr>
            <w:r>
              <w:rPr>
                <w:rFonts w:ascii="Arial" w:cs="Arial" w:eastAsia="Arial" w:hAnsi="Arial"/>
                <w:sz w:val="14"/>
                <w:szCs w:val="14"/>
                <w:b w:val="1"/>
                <w:bCs w:val="1"/>
                <w:color w:val="auto"/>
              </w:rPr>
              <w:t>Carrabba’s</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center"/>
              <w:ind w:right="142"/>
              <w:spacing w:after="0" w:line="139" w:lineRule="exact"/>
              <w:rPr>
                <w:sz w:val="20"/>
                <w:szCs w:val="20"/>
                <w:color w:val="auto"/>
              </w:rPr>
            </w:pPr>
            <w:r>
              <w:rPr>
                <w:rFonts w:ascii="Arial" w:cs="Arial" w:eastAsia="Arial" w:hAnsi="Arial"/>
                <w:sz w:val="14"/>
                <w:szCs w:val="14"/>
                <w:b w:val="1"/>
                <w:bCs w:val="1"/>
                <w:color w:val="auto"/>
                <w:w w:val="91"/>
              </w:rPr>
              <w:t>Fleming’s</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center"/>
              <w:ind w:right="242"/>
              <w:spacing w:after="0" w:line="139" w:lineRule="exact"/>
              <w:rPr>
                <w:sz w:val="20"/>
                <w:szCs w:val="20"/>
                <w:color w:val="auto"/>
              </w:rPr>
            </w:pPr>
            <w:r>
              <w:rPr>
                <w:rFonts w:ascii="Arial" w:cs="Arial" w:eastAsia="Arial" w:hAnsi="Arial"/>
                <w:sz w:val="14"/>
                <w:szCs w:val="14"/>
                <w:b w:val="1"/>
                <w:bCs w:val="1"/>
                <w:color w:val="auto"/>
                <w:w w:val="92"/>
              </w:rPr>
              <w:t>Outback</w:t>
            </w:r>
          </w:p>
        </w:tc>
        <w:tc>
          <w:tcPr>
            <w:tcW w:w="0" w:type="dxa"/>
            <w:vAlign w:val="bottom"/>
          </w:tcPr>
          <w:p>
            <w:pPr>
              <w:spacing w:after="0"/>
              <w:rPr>
                <w:sz w:val="1"/>
                <w:szCs w:val="1"/>
                <w:color w:val="auto"/>
              </w:rPr>
            </w:pPr>
          </w:p>
        </w:tc>
      </w:tr>
      <w:tr>
        <w:trPr>
          <w:trHeight w:val="144"/>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Occasion:</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Prime Steakhouse</w:t>
            </w:r>
          </w:p>
        </w:tc>
        <w:tc>
          <w:tcPr>
            <w:tcW w:w="320" w:type="dxa"/>
            <w:vAlign w:val="bottom"/>
          </w:tcPr>
          <w:p>
            <w:pPr>
              <w:spacing w:after="0"/>
              <w:rPr>
                <w:sz w:val="12"/>
                <w:szCs w:val="12"/>
                <w:color w:val="auto"/>
              </w:rPr>
            </w:pPr>
          </w:p>
        </w:tc>
        <w:tc>
          <w:tcPr>
            <w:tcW w:w="1760" w:type="dxa"/>
            <w:vAlign w:val="bottom"/>
          </w:tcPr>
          <w:p>
            <w:pPr>
              <w:jc w:val="center"/>
              <w:ind w:right="242"/>
              <w:spacing w:after="0" w:line="145" w:lineRule="exact"/>
              <w:rPr>
                <w:sz w:val="20"/>
                <w:szCs w:val="20"/>
                <w:color w:val="auto"/>
              </w:rPr>
            </w:pPr>
            <w:r>
              <w:rPr>
                <w:rFonts w:ascii="Arial" w:cs="Arial" w:eastAsia="Arial" w:hAnsi="Arial"/>
                <w:sz w:val="14"/>
                <w:szCs w:val="14"/>
                <w:b w:val="1"/>
                <w:bCs w:val="1"/>
                <w:color w:val="auto"/>
                <w:w w:val="86"/>
              </w:rPr>
              <w:t>Steakhouse</w:t>
            </w:r>
          </w:p>
        </w:tc>
        <w:tc>
          <w:tcPr>
            <w:tcW w:w="0" w:type="dxa"/>
            <w:vAlign w:val="bottom"/>
          </w:tcPr>
          <w:p>
            <w:pPr>
              <w:spacing w:after="0"/>
              <w:rPr>
                <w:sz w:val="1"/>
                <w:szCs w:val="1"/>
                <w:color w:val="auto"/>
              </w:rPr>
            </w:pPr>
          </w:p>
        </w:tc>
      </w:tr>
      <w:tr>
        <w:trPr>
          <w:trHeight w:val="209"/>
        </w:trPr>
        <w:tc>
          <w:tcPr>
            <w:tcW w:w="2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Steakhouse</w:t>
            </w:r>
          </w:p>
        </w:tc>
        <w:tc>
          <w:tcPr>
            <w:tcW w:w="240" w:type="dxa"/>
            <w:vAlign w:val="bottom"/>
          </w:tcPr>
          <w:p>
            <w:pPr>
              <w:spacing w:after="0"/>
              <w:rPr>
                <w:sz w:val="18"/>
                <w:szCs w:val="18"/>
                <w:color w:val="auto"/>
              </w:rPr>
            </w:pPr>
          </w:p>
        </w:tc>
        <w:tc>
          <w:tcPr>
            <w:tcW w:w="1240" w:type="dxa"/>
            <w:vAlign w:val="bottom"/>
          </w:tcPr>
          <w:p>
            <w:pPr>
              <w:jc w:val="right"/>
              <w:ind w:right="281"/>
              <w:spacing w:after="0"/>
              <w:rPr>
                <w:sz w:val="20"/>
                <w:szCs w:val="20"/>
                <w:color w:val="auto"/>
              </w:rPr>
            </w:pPr>
            <w:r>
              <w:rPr>
                <w:rFonts w:ascii="Arial" w:cs="Arial" w:eastAsia="Arial" w:hAnsi="Arial"/>
                <w:sz w:val="14"/>
                <w:szCs w:val="14"/>
                <w:b w:val="1"/>
                <w:bCs w:val="1"/>
                <w:color w:val="auto"/>
              </w:rPr>
              <w:t>Italian Grill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Bonefish Grill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Wine Bar</w:t>
            </w:r>
          </w:p>
        </w:tc>
        <w:tc>
          <w:tcPr>
            <w:tcW w:w="320" w:type="dxa"/>
            <w:vAlign w:val="bottom"/>
          </w:tcPr>
          <w:p>
            <w:pPr>
              <w:spacing w:after="0"/>
              <w:rPr>
                <w:sz w:val="18"/>
                <w:szCs w:val="18"/>
                <w:color w:val="auto"/>
              </w:rPr>
            </w:pPr>
          </w:p>
        </w:tc>
        <w:tc>
          <w:tcPr>
            <w:tcW w:w="1760" w:type="dxa"/>
            <w:vAlign w:val="bottom"/>
          </w:tcPr>
          <w:p>
            <w:pPr>
              <w:jc w:val="center"/>
              <w:ind w:right="242"/>
              <w:spacing w:after="0"/>
              <w:rPr>
                <w:sz w:val="20"/>
                <w:szCs w:val="20"/>
                <w:color w:val="auto"/>
              </w:rPr>
            </w:pPr>
            <w:r>
              <w:rPr>
                <w:rFonts w:ascii="Arial" w:cs="Arial" w:eastAsia="Arial" w:hAnsi="Arial"/>
                <w:sz w:val="14"/>
                <w:szCs w:val="14"/>
                <w:b w:val="1"/>
                <w:bCs w:val="1"/>
                <w:color w:val="auto"/>
                <w:w w:val="94"/>
              </w:rPr>
              <w:t>Brazil</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In-restaurant sales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Off-premises sales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Sales mix by product type: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Food &amp; non-alcoholic beverage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2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Alcoholic beverage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Average check per person ($USD)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2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check per person (R$)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w:t>
            </w:r>
          </w:p>
        </w:tc>
        <w:tc>
          <w:tcPr>
            <w:tcW w:w="17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Delivery </w:t>
      </w:r>
      <w:r>
        <w:rPr>
          <w:rFonts w:ascii="Arial" w:cs="Arial" w:eastAsia="Arial" w:hAnsi="Arial"/>
          <w:sz w:val="20"/>
          <w:szCs w:val="20"/>
          <w:color w:val="auto"/>
        </w:rPr>
        <w:t>- In March 2020, we pivoted to an off-premises only model in response to the COVID-19 pandemic. While our dining rooms were</w:t>
      </w:r>
      <w:r>
        <w:rPr>
          <w:rFonts w:ascii="Arial" w:cs="Arial" w:eastAsia="Arial" w:hAnsi="Arial"/>
          <w:sz w:val="20"/>
          <w:szCs w:val="20"/>
          <w:i w:val="1"/>
          <w:iCs w:val="1"/>
          <w:color w:val="auto"/>
        </w:rPr>
        <w:t xml:space="preserve"> </w:t>
      </w:r>
      <w:r>
        <w:rPr>
          <w:rFonts w:ascii="Arial" w:cs="Arial" w:eastAsia="Arial" w:hAnsi="Arial"/>
          <w:sz w:val="20"/>
          <w:szCs w:val="20"/>
          <w:color w:val="auto"/>
        </w:rPr>
        <w:t>closed in the U.S., we tripled our off-premises sales per restaurant and, since reopening our restaurant dining rooms in May 2020, have maintained strong retention of off-premises sales.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Unaffiliated Franchise Program </w:t>
      </w:r>
      <w:r>
        <w:rPr>
          <w:rFonts w:ascii="Arial" w:cs="Arial" w:eastAsia="Arial" w:hAnsi="Arial"/>
          <w:sz w:val="20"/>
          <w:szCs w:val="20"/>
          <w:color w:val="auto"/>
        </w:rPr>
        <w:t>- Our unaffiliated franchise agreements grant third parties rights to establish and operate a restaurant using</w:t>
      </w:r>
      <w:r>
        <w:rPr>
          <w:rFonts w:ascii="Arial" w:cs="Arial" w:eastAsia="Arial" w:hAnsi="Arial"/>
          <w:sz w:val="20"/>
          <w:szCs w:val="20"/>
          <w:i w:val="1"/>
          <w:iCs w:val="1"/>
          <w:color w:val="auto"/>
        </w:rPr>
        <w:t xml:space="preserve"> </w:t>
      </w:r>
      <w:r>
        <w:rPr>
          <w:rFonts w:ascii="Arial" w:cs="Arial" w:eastAsia="Arial" w:hAnsi="Arial"/>
          <w:sz w:val="20"/>
          <w:szCs w:val="20"/>
          <w:color w:val="auto"/>
        </w:rPr>
        <w:t>one of our concepts. Franchised restaurants are required to be operated in accordance with the franchise agreement and in compliance with their respective concept’s standards and specifications.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Under our franchise agreements, each franchisee is required to pay an initial franchise fee and monthly royalties based on a percentage of gross restaurant sales. Initial franchise fees for full-service restaurants are generally $40,000 for U.S. franchisees and range between $30,000 and $75,000 for international franchisees, depending on the market. Initial franchise fees for international delivery-only kitchens are generally $10,000. Some franchisees may also pay advertising and administration fees based on a percentage of gross restaurant sales. Following is a summary of royalty fee percentages based on our existing unaffiliated franchise agreements: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a % of gross Restaurant sales)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MONTHLY ROYALTY FEE</w:t>
            </w:r>
          </w:p>
        </w:tc>
        <w:tc>
          <w:tcPr>
            <w:tcW w:w="0" w:type="dxa"/>
            <w:vAlign w:val="bottom"/>
          </w:tcPr>
          <w:p>
            <w:pPr>
              <w:spacing w:after="0"/>
              <w:rPr>
                <w:sz w:val="1"/>
                <w:szCs w:val="1"/>
                <w:color w:val="auto"/>
              </w:rPr>
            </w:pPr>
          </w:p>
        </w:tc>
      </w:tr>
      <w:tr>
        <w:trPr>
          <w:trHeight w:val="210"/>
        </w:trPr>
        <w:tc>
          <w:tcPr>
            <w:tcW w:w="892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franchisees (1)</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3.50% - 5.75%</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Arial" w:cs="Arial" w:eastAsia="Arial" w:hAnsi="Arial"/>
                <w:sz w:val="16"/>
                <w:szCs w:val="16"/>
                <w:color w:val="auto"/>
              </w:rPr>
              <w:t>International franchisees (2)</w:t>
            </w:r>
          </w:p>
        </w:tc>
        <w:tc>
          <w:tcPr>
            <w:tcW w:w="2320" w:type="dxa"/>
            <w:vAlign w:val="bottom"/>
          </w:tcPr>
          <w:p>
            <w:pPr>
              <w:jc w:val="center"/>
              <w:spacing w:after="0"/>
              <w:rPr>
                <w:sz w:val="20"/>
                <w:szCs w:val="20"/>
                <w:color w:val="auto"/>
              </w:rPr>
            </w:pPr>
            <w:r>
              <w:rPr>
                <w:rFonts w:ascii="Arial" w:cs="Arial" w:eastAsia="Arial" w:hAnsi="Arial"/>
                <w:sz w:val="16"/>
                <w:szCs w:val="16"/>
                <w:color w:val="auto"/>
                <w:w w:val="91"/>
              </w:rPr>
              <w:t>2.00% - 5.00%</w:t>
            </w:r>
          </w:p>
        </w:tc>
        <w:tc>
          <w:tcPr>
            <w:tcW w:w="0" w:type="dxa"/>
            <w:vAlign w:val="bottom"/>
          </w:tcPr>
          <w:p>
            <w:pPr>
              <w:spacing w:after="0"/>
              <w:rPr>
                <w:sz w:val="1"/>
                <w:szCs w:val="1"/>
                <w:color w:val="auto"/>
              </w:rPr>
            </w:pPr>
          </w:p>
        </w:tc>
      </w:tr>
      <w:tr>
        <w:trPr>
          <w:trHeight w:val="283"/>
        </w:trPr>
        <w:tc>
          <w:tcPr>
            <w:tcW w:w="8920" w:type="dxa"/>
            <w:vAlign w:val="bottom"/>
          </w:tcPr>
          <w:p>
            <w:pPr>
              <w:spacing w:after="0"/>
              <w:rPr>
                <w:sz w:val="20"/>
                <w:szCs w:val="20"/>
                <w:color w:val="auto"/>
              </w:rPr>
            </w:pPr>
            <w:r>
              <w:rPr>
                <w:rFonts w:ascii="Arial" w:cs="Arial" w:eastAsia="Arial" w:hAnsi="Arial"/>
                <w:sz w:val="16"/>
                <w:szCs w:val="16"/>
                <w:color w:val="auto"/>
              </w:rPr>
              <w:t>_________________</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7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U.S. franchisees must also contribute a percentage of gross sales for national marketing programs and spend a certain percentage of gross sales on local advertising. For most U.S. franchisees, there is a maximum of 8.0% of gross restaurant sales for combined national marketing and local advertising.</w:t>
      </w: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International franchisees must spend a certain percentage of gross sales on local advertising, which varies depending on the market.</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On December 27, 2020, we entered into an agreement (the “Resolution Agreement”) with Cerca Trova Southwest Restaurant Group, LLC (d/b/a Out West Restaurant Group) and certain of its affiliates (collectively, “Out West”), a franchisee of 79 Outback Steakhouse restaurants in the western United States as of December 25, 2022. Under the terms of the agreement, advertising fees were reduced to 2.25% of gross sales until December 31, 2023 or upon the earlier occurrence of certain specified events, including the sale of all or substantially all of the assets or equity of Out West, bankruptcy or a liquidation event.</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Out West also entered into a forbearance agreement with its lenders that, in conjunction with the Resolution Agreement, among other things, provides for a pre-determined calculation of available monthly cash (“Available Cash”) that Out West may use to settle its obligations due to us and its lenders. Under the Resolution Agreement, if</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Out West is unable to satisfy monthly royalty or advertising fees with Available Cash, such amounts will be automatically deferred and payable under the terms of the Resolution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of the Notes to Consolidated Financial Statements for further details regarding the Resolution Agreement.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RESOURCES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Sourcing and Supply - </w:t>
      </w:r>
      <w:r>
        <w:rPr>
          <w:rFonts w:ascii="Arial" w:cs="Arial" w:eastAsia="Arial" w:hAnsi="Arial"/>
          <w:sz w:val="19"/>
          <w:szCs w:val="19"/>
          <w:color w:val="auto"/>
        </w:rPr>
        <w:t>We take a global approach to procurement and supply chain management, with our corporate team serving all U.S. and</w:t>
      </w:r>
      <w:r>
        <w:rPr>
          <w:rFonts w:ascii="Arial" w:cs="Arial" w:eastAsia="Arial" w:hAnsi="Arial"/>
          <w:sz w:val="19"/>
          <w:szCs w:val="19"/>
          <w:i w:val="1"/>
          <w:iCs w:val="1"/>
          <w:color w:val="auto"/>
        </w:rPr>
        <w:t xml:space="preserve"> </w:t>
      </w:r>
      <w:r>
        <w:rPr>
          <w:rFonts w:ascii="Arial" w:cs="Arial" w:eastAsia="Arial" w:hAnsi="Arial"/>
          <w:sz w:val="19"/>
          <w:szCs w:val="19"/>
          <w:color w:val="auto"/>
        </w:rPr>
        <w:t>international concepts. In addition, we have dedicated supply chain management personnel for our Company-owned international operations in South America and Asia. The global supply chain management organization is responsible for all food and operating supply purchases as well as a large percentage of purchases of field and corporate services.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address the end-to-end costs associated with the products and goods we purchase by utilizing a combination of global, regional and local suppliers to capture efficiencies and economies of scale. This “total cost of ownership” (“TCO”) approach focuses on the initial purchase price, coupled with the cost structure underlying the procurement and order fulfillment process. The TCO approach includes monitoring commodity markets and trends to execute product purchases at the most advantageous times.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have a distribution program that includes food, non-alcoholic beverage, smallwares and packaging goods in all major markets. Where applicable, this program is managed by two custom distribution companies that only provide products approved for our system. These customized relationships enable our staff to effectively manage and prioritize our supply chain.</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Beef represents the majority of purchased proteins. In 2022, we purchased our beef raw materials primarily from four beef suppliers in the U.S. and Brazil. Due to the nature of our industry, we expect to continue purchasing a substantial amount of beef from a small number of suppliers. Other major commodity categories purchased include seafood, poultry, produce, dairy, bread, oils and pasta and energy sources to operate our restaurants, such as natural gas and electricity. The cost of such commodities may fluctuate widely due to government policy and regulation, changing weather patterns and conditions, climate change and other supply and/or demand impacting events such as the COVID-19 pandemic, macroeconomic conditions, geopolitical events or other unforeseen circumstances.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Serving safe and high-quality food has always been our priority. We utilize both an internal food safety team responsible for supplier evaluations and external third parties who inspect supplier adherence and restaurant practices to monitor quality, food safety and product specifications. All of our restaurants implement best practices for food handling, monitoring and innovating to improve procedures. Our restaurant teams have many touch points to seek to ensure food safety, quality and freshness through all phases of preparation.</w:t>
      </w:r>
    </w:p>
    <w:p>
      <w:pPr>
        <w:spacing w:after="0" w:line="19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We are committed to building long-term partnerships with suppliers who are dedicated to delivering safe, high quality ingredients in a sustainable way. All suppliers are required to comply with our Supplier Code of Ethics and we strive to source only products that are raised in a sustainable, ethical and humane manner.</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Information Systems </w:t>
      </w:r>
      <w:r>
        <w:rPr>
          <w:rFonts w:ascii="Arial" w:cs="Arial" w:eastAsia="Arial" w:hAnsi="Arial"/>
          <w:sz w:val="20"/>
          <w:szCs w:val="20"/>
          <w:color w:val="auto"/>
        </w:rPr>
        <w:t>- We leverage technology to support areas such as digital marketing and customer engagement, business analytics and</w:t>
      </w:r>
      <w:r>
        <w:rPr>
          <w:rFonts w:ascii="Arial" w:cs="Arial" w:eastAsia="Arial" w:hAnsi="Arial"/>
          <w:sz w:val="20"/>
          <w:szCs w:val="20"/>
          <w:i w:val="1"/>
          <w:iCs w:val="1"/>
          <w:color w:val="auto"/>
        </w:rPr>
        <w:t xml:space="preserve"> </w:t>
      </w:r>
      <w:r>
        <w:rPr>
          <w:rFonts w:ascii="Arial" w:cs="Arial" w:eastAsia="Arial" w:hAnsi="Arial"/>
          <w:sz w:val="20"/>
          <w:szCs w:val="20"/>
          <w:color w:val="auto"/>
        </w:rPr>
        <w:t>decision support, restaurant operations and productivity initiatives related to optimizing our staffing, food waste management and supply chain efficiency.</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To drive customer engagement, we continue to invest in data and technology infrastructure, including brand websites, digital marketing, online ordering and mobile apps. To increase customer convenience, we are leveraging our online ordering infrastructure to facilitate expanded off-premises dining systems. Additionally, we developed systems to support our customer loyalty program with a focus on increasing traffic to our restaurants. In recent years, we have made investments in a supply chain management system to improve inventory forecasting and replenishment in our restaurants, which helps us manage food quality and cost and reduce food waste. We also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continue to invest in a range of tools and infrastructure to support risk management and cyber security. We maintain a robust incident response plan, conduct periodic tabletop scenarios and present cyber security program updates to our Audit Committee on a quarterly basis.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integrated point-of-sale system allows us to transact business in our restaurants and communicate sales data through a secure corporate network to our enterprise resource planning system and data warehouse. Our Company-owned restaurants, and most of our franchised restaurants, are connected through a portal that provides our employees and franchise partners with access to business information and tools that allow them to collaborate, communicate, train and share information.</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We maintain a robust system to ensure network security and safeguard against data loss. 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additional discussion of our cyber security measures.</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 xml:space="preserve">Advertising and Marketing </w:t>
      </w:r>
      <w:r>
        <w:rPr>
          <w:rFonts w:ascii="Arial" w:cs="Arial" w:eastAsia="Arial" w:hAnsi="Arial"/>
          <w:sz w:val="18"/>
          <w:szCs w:val="18"/>
          <w:color w:val="auto"/>
        </w:rPr>
        <w:t>- We advertise through a diverse set of media channels including, but not limited to, national/spot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radio, social media, search engines and other digital tactics. Our concepts have active public relations programs and also rely on national promotions, site visibility, local marketing, digital marketing, direct mail, billboards and point-of-sale materials to promote our restaurants. We focus on data segmentation and personalization, customer relationship management and digital advertising to be more efficient and relevant with our advertising expenditures. Internationally, we have teams in our developed markets that engage local agencies to tailor advertising to each market and develop relevant and timely promotions based on local consumer demand.</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Our multi-branded U.S. loyalty program, Dine Rewards, is designed to drive incremental traffic and provide data for customer segmentation and personalization opportunities.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Restaurant Management - </w:t>
      </w:r>
      <w:r>
        <w:rPr>
          <w:rFonts w:ascii="Arial" w:cs="Arial" w:eastAsia="Arial" w:hAnsi="Arial"/>
          <w:sz w:val="20"/>
          <w:szCs w:val="20"/>
          <w:color w:val="auto"/>
        </w:rPr>
        <w:t>The Restaurant Managing Partner has primary responsibility for the day-to-day operation of the restaurant and is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to follow Company-established operating standards. Area Operating Partners for our casual dining concepts oversee restaurant operations and Restaurant Managing Partners within a specific region. For our Outback Steakhouse brand, Market Vice Presidents oversee multiple Area Operating Partner regions.</w:t>
      </w:r>
    </w:p>
    <w:p>
      <w:pPr>
        <w:spacing w:after="0" w:line="22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addition to base salary, Market Vice Presidents, Area Operating Partners, Restaurant Managing Partners and Chef Partners (“Restaurant Partners”) generally receive performance-based bonuses for providing management and supervisory services to their restaurants, certain of which may be based on a percentage of their restaurants’ monthly operating results or cash flows and/or total controllable income.</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Trademarks </w:t>
      </w:r>
      <w:r>
        <w:rPr>
          <w:rFonts w:ascii="Arial" w:cs="Arial" w:eastAsia="Arial" w:hAnsi="Arial"/>
          <w:sz w:val="18"/>
          <w:szCs w:val="18"/>
          <w:color w:val="auto"/>
        </w:rPr>
        <w:t>- We regard our Outback</w:t>
      </w:r>
      <w:r>
        <w:rPr>
          <w:rFonts w:ascii="Arial" w:cs="Arial" w:eastAsia="Arial" w:hAnsi="Arial"/>
          <w:sz w:val="23"/>
          <w:szCs w:val="23"/>
          <w:color w:val="auto"/>
          <w:vertAlign w:val="superscript"/>
        </w:rPr>
        <w:t>®</w:t>
      </w:r>
      <w:r>
        <w:rPr>
          <w:rFonts w:ascii="Arial" w:cs="Arial" w:eastAsia="Arial" w:hAnsi="Arial"/>
          <w:sz w:val="18"/>
          <w:szCs w:val="18"/>
          <w:color w:val="auto"/>
        </w:rPr>
        <w:t>, Outback Steakhouse</w:t>
      </w:r>
      <w:r>
        <w:rPr>
          <w:rFonts w:ascii="Arial" w:cs="Arial" w:eastAsia="Arial" w:hAnsi="Arial"/>
          <w:sz w:val="23"/>
          <w:szCs w:val="23"/>
          <w:color w:val="auto"/>
          <w:vertAlign w:val="superscript"/>
        </w:rPr>
        <w:t>®</w:t>
      </w:r>
      <w:r>
        <w:rPr>
          <w:rFonts w:ascii="Arial" w:cs="Arial" w:eastAsia="Arial" w:hAnsi="Arial"/>
          <w:sz w:val="18"/>
          <w:szCs w:val="18"/>
          <w:color w:val="auto"/>
        </w:rPr>
        <w:t>, Carrabba’s Italian Grill</w:t>
      </w:r>
      <w:r>
        <w:rPr>
          <w:rFonts w:ascii="Arial" w:cs="Arial" w:eastAsia="Arial" w:hAnsi="Arial"/>
          <w:sz w:val="23"/>
          <w:szCs w:val="23"/>
          <w:color w:val="auto"/>
          <w:vertAlign w:val="superscript"/>
        </w:rPr>
        <w:t>®</w:t>
      </w:r>
      <w:r>
        <w:rPr>
          <w:rFonts w:ascii="Arial" w:cs="Arial" w:eastAsia="Arial" w:hAnsi="Arial"/>
          <w:sz w:val="18"/>
          <w:szCs w:val="18"/>
          <w:color w:val="auto"/>
        </w:rPr>
        <w:t>, Bonefish Grill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Fleming’s Prime Steakhouse &amp;</w:t>
      </w:r>
      <w:r>
        <w:rPr>
          <w:rFonts w:ascii="Arial" w:cs="Arial" w:eastAsia="Arial" w:hAnsi="Arial"/>
          <w:sz w:val="18"/>
          <w:szCs w:val="18"/>
          <w:i w:val="1"/>
          <w:iCs w:val="1"/>
          <w:color w:val="auto"/>
        </w:rPr>
        <w:t xml:space="preserve"> </w:t>
      </w:r>
      <w:r>
        <w:rPr>
          <w:rFonts w:ascii="Arial" w:cs="Arial" w:eastAsia="Arial" w:hAnsi="Arial"/>
          <w:sz w:val="18"/>
          <w:szCs w:val="18"/>
          <w:color w:val="auto"/>
        </w:rPr>
        <w:t>Wine Bar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 marks and our Bloomin’ Onion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trademark as having significant value and as being important factors in the marketing of our restaurants. We have also obtained trademarks and service marks for these and several of our other menu items and various advertising slogans both in the U.S. and in other countries where we operate. We are aware of names and marks similar to the service marks of ours used by other persons in certain geographic areas in which we have restaurants. However, we believe such uses will not adversely affect us. Our policy is to, whenever possible, pursue registration of our marks in countries where we operate and to vigorously oppose any infringement of our marks. We also have registered domain names for each of our concepts.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SEASONALITY</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with Brazil historically experiencing minimal seasonal traffic fluctuations. Holidays may affect sales volumes seasonally in some of our markets. However, the COVID-19 pandemic had an impact on consumer behaviors and customer traffic that resulted in temporary changes in the seasonal fluctuations of our business. Additionally, severe storms, extended periods of inclement weather or climate extremes resulting from climate change may also affect the seasonal operating results of the areas impacted.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GOVERNMENT REGULATION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environmental and fire agencies in the state, municipality or country in which the restaurant is located.</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U.S. </w:t>
      </w:r>
      <w:r>
        <w:rPr>
          <w:rFonts w:ascii="Arial" w:cs="Arial" w:eastAsia="Arial" w:hAnsi="Arial"/>
          <w:sz w:val="20"/>
          <w:szCs w:val="20"/>
          <w:color w:val="auto"/>
        </w:rPr>
        <w:t>- During 2020, several governmental bodies in the U.S. addressed the spread of COVID-19 by imposing limitations on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or recommending that residents and/or employers adopt “social distancing,” vaccination and/or testing measures. Throughout the COVID-19 pandemic, formal and informal restraints, as well as consumer behavior, materially affected the way we operated our business and served our guests.</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Alcoholic beverage sales represent 11% of our U.S. restaurant sales. Alcoholic beverage control regulations require each of our restaurants to apply to a state authority and, in certain locations, county or municipal authorities for a license or permit to sell alcoholic beverages on the premises and, where applicable, a permit to provide service for extended hours and on Sundays. In connection with the COVID-19 pandemic, many state governors entered executive orders allowing restaurants to sell alcohol for carry-out or delivery. In most jurisdictions, alcohol licenses for restaurants did not previously allow for off-premises sales. Some of these executive orders remain in effect, with several states passing permanent legislation. We are currently offering alcohol to-go from certain locations from each of our restaurant concepts.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Our restaurant operations are also subject to federal and state laws for such matters as:</w:t>
      </w:r>
    </w:p>
    <w:p>
      <w:pPr>
        <w:spacing w:after="0" w:line="256"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immigration, employment, minimum wage, overtime, tip credits, paid leave, safety standards, worker conditions and health care;</w:t>
      </w:r>
    </w:p>
    <w:p>
      <w:pPr>
        <w:spacing w:after="0" w:line="43"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menu labeling and food safety;</w:t>
      </w:r>
    </w:p>
    <w:p>
      <w:pPr>
        <w:spacing w:after="0" w:line="8"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Americans with Disabilities Act, which, among other things, requires our restaurants to meet federally mandated requirements for the disabled;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information security, data privacy, anti-corruption/anti-bribery, cashless payments and gift cards.</w:t>
      </w:r>
    </w:p>
    <w:p>
      <w:pPr>
        <w:spacing w:after="0" w:line="240" w:lineRule="exact"/>
        <w:rPr>
          <w:sz w:val="20"/>
          <w:szCs w:val="20"/>
          <w:color w:val="auto"/>
        </w:rPr>
      </w:pPr>
    </w:p>
    <w:p>
      <w:pPr>
        <w:ind w:right="20"/>
        <w:spacing w:after="0" w:line="332" w:lineRule="auto"/>
        <w:rPr>
          <w:sz w:val="20"/>
          <w:szCs w:val="20"/>
          <w:color w:val="auto"/>
        </w:rPr>
      </w:pPr>
      <w:r>
        <w:rPr>
          <w:rFonts w:ascii="Arial" w:cs="Arial" w:eastAsia="Arial" w:hAnsi="Arial"/>
          <w:sz w:val="18"/>
          <w:szCs w:val="18"/>
          <w:i w:val="1"/>
          <w:iCs w:val="1"/>
          <w:color w:val="auto"/>
        </w:rPr>
        <w:t xml:space="preserve">International - </w:t>
      </w:r>
      <w:r>
        <w:rPr>
          <w:rFonts w:ascii="Arial" w:cs="Arial" w:eastAsia="Arial" w:hAnsi="Arial"/>
          <w:sz w:val="18"/>
          <w:szCs w:val="18"/>
          <w:color w:val="auto"/>
        </w:rPr>
        <w:t>Our restaurants outside of the U.S. are subject to similar regional and local laws and regulations as our U.S. restaurants,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COVID-19-related mandates, labor, food safety, data privacy, anti-corruption/anti-bribery and information security.</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 discussion of risks relating to federal, state, local and international regulation of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HUMAN CAPITAL RESOURCES</w:t>
      </w:r>
    </w:p>
    <w:p>
      <w:pPr>
        <w:spacing w:after="0" w:line="24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i w:val="1"/>
          <w:iCs w:val="1"/>
          <w:color w:val="auto"/>
        </w:rPr>
        <w:t xml:space="preserve">Employees </w:t>
      </w:r>
      <w:r>
        <w:rPr>
          <w:rFonts w:ascii="Arial" w:cs="Arial" w:eastAsia="Arial" w:hAnsi="Arial"/>
          <w:sz w:val="20"/>
          <w:szCs w:val="20"/>
          <w:color w:val="auto"/>
        </w:rPr>
        <w:t>- As of December 25, 2022, we employed approximately 87,000 Team Members (our employees), of which approximately 750</w:t>
      </w:r>
      <w:r>
        <w:rPr>
          <w:rFonts w:ascii="Arial" w:cs="Arial" w:eastAsia="Arial" w:hAnsi="Arial"/>
          <w:sz w:val="20"/>
          <w:szCs w:val="20"/>
          <w:i w:val="1"/>
          <w:iCs w:val="1"/>
          <w:color w:val="auto"/>
        </w:rPr>
        <w:t xml:space="preserve"> </w:t>
      </w:r>
      <w:r>
        <w:rPr>
          <w:rFonts w:ascii="Arial" w:cs="Arial" w:eastAsia="Arial" w:hAnsi="Arial"/>
          <w:sz w:val="20"/>
          <w:szCs w:val="20"/>
          <w:color w:val="auto"/>
        </w:rPr>
        <w:t>are corporate personnel, including more than 200 in international markets.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committed to nurturing an inclusive, service-focused culture, founded on respecting and valuing every person, regardless of gender, race, ethnic origin, religion, sexual orientation, ability or age. We track a variety of workforce statistics to help us understand the gender, racial and ethnic diversity of our U.S. Team Members, including the following as of the period indicated: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ind w:left="780"/>
              <w:spacing w:after="0"/>
              <w:rPr>
                <w:sz w:val="20"/>
                <w:szCs w:val="20"/>
                <w:color w:val="auto"/>
              </w:rPr>
            </w:pPr>
            <w:r>
              <w:rPr>
                <w:rFonts w:ascii="Arial" w:cs="Arial" w:eastAsia="Arial" w:hAnsi="Arial"/>
                <w:sz w:val="14"/>
                <w:szCs w:val="14"/>
                <w:b w:val="1"/>
                <w:bCs w:val="1"/>
                <w:color w:val="auto"/>
              </w:rPr>
              <w:t>DECEMBER 25, 2022</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KEY STATISTICS</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WOMEN</w:t>
            </w:r>
          </w:p>
        </w:tc>
        <w:tc>
          <w:tcPr>
            <w:tcW w:w="100" w:type="dxa"/>
            <w:vAlign w:val="bottom"/>
            <w:vMerge w:val="restart"/>
          </w:tcPr>
          <w:p>
            <w:pPr>
              <w:spacing w:after="0"/>
              <w:rPr>
                <w:sz w:val="12"/>
                <w:szCs w:val="12"/>
                <w:color w:val="auto"/>
              </w:rPr>
            </w:pPr>
          </w:p>
        </w:tc>
        <w:tc>
          <w:tcPr>
            <w:tcW w:w="144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PEOPLE OF COLOR</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Restaurant Support Center</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0" w:type="dxa"/>
            <w:vAlign w:val="bottom"/>
          </w:tcPr>
          <w:p>
            <w:pPr>
              <w:spacing w:after="0"/>
              <w:rPr>
                <w:sz w:val="1"/>
                <w:szCs w:val="1"/>
                <w:color w:val="auto"/>
              </w:rPr>
            </w:pPr>
          </w:p>
        </w:tc>
      </w:tr>
      <w:tr>
        <w:trPr>
          <w:trHeight w:val="213"/>
        </w:trPr>
        <w:tc>
          <w:tcPr>
            <w:tcW w:w="8320" w:type="dxa"/>
            <w:vAlign w:val="bottom"/>
            <w:gridSpan w:val="2"/>
          </w:tcPr>
          <w:p>
            <w:pPr>
              <w:ind w:left="20"/>
              <w:spacing w:after="0"/>
              <w:rPr>
                <w:sz w:val="20"/>
                <w:szCs w:val="20"/>
                <w:color w:val="auto"/>
              </w:rPr>
            </w:pPr>
            <w:r>
              <w:rPr>
                <w:rFonts w:ascii="Arial" w:cs="Arial" w:eastAsia="Arial" w:hAnsi="Arial"/>
                <w:sz w:val="16"/>
                <w:szCs w:val="16"/>
                <w:color w:val="auto"/>
              </w:rPr>
              <w:t>Operations Leadership</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38%</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32%</w:t>
            </w:r>
          </w:p>
        </w:tc>
        <w:tc>
          <w:tcPr>
            <w:tcW w:w="0" w:type="dxa"/>
            <w:vAlign w:val="bottom"/>
          </w:tcPr>
          <w:p>
            <w:pPr>
              <w:spacing w:after="0"/>
              <w:rPr>
                <w:sz w:val="1"/>
                <w:szCs w:val="1"/>
                <w:color w:val="auto"/>
              </w:rPr>
            </w:pPr>
          </w:p>
        </w:tc>
      </w:tr>
      <w:tr>
        <w:trPr>
          <w:trHeight w:val="219"/>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Hourly Team Members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49%</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Denotes U.S. Team Members that identify as Black/African American, Hispanic/Latinx, Asian, Native American, Pacific Islander or two or more races.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Various jurisdictional mandated industry-wide labor agreements, which are renewed annually, apply to certain of our employees in Brazil.</w:t>
      </w:r>
    </w:p>
    <w:p>
      <w:pPr>
        <w:spacing w:after="0" w:line="26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i w:val="1"/>
          <w:iCs w:val="1"/>
          <w:color w:val="auto"/>
        </w:rPr>
        <w:t xml:space="preserve">Celebrating Our People </w:t>
      </w:r>
      <w:r>
        <w:rPr>
          <w:rFonts w:ascii="Arial" w:cs="Arial" w:eastAsia="Arial" w:hAnsi="Arial"/>
          <w:sz w:val="19"/>
          <w:szCs w:val="19"/>
          <w:color w:val="auto"/>
        </w:rPr>
        <w:t>– Team Members, guests, suppliers and neighbors have always been at the heart of our Company’s culture, driven</w:t>
      </w:r>
      <w:r>
        <w:rPr>
          <w:rFonts w:ascii="Arial" w:cs="Arial" w:eastAsia="Arial" w:hAnsi="Arial"/>
          <w:sz w:val="19"/>
          <w:szCs w:val="19"/>
          <w:i w:val="1"/>
          <w:iCs w:val="1"/>
          <w:color w:val="auto"/>
        </w:rPr>
        <w:t xml:space="preserve"> </w:t>
      </w:r>
      <w:r>
        <w:rPr>
          <w:rFonts w:ascii="Arial" w:cs="Arial" w:eastAsia="Arial" w:hAnsi="Arial"/>
          <w:sz w:val="19"/>
          <w:szCs w:val="19"/>
          <w:color w:val="auto"/>
        </w:rPr>
        <w:t>each day by our founding Principles &amp; Beliefs, which include treating each individual as we would want to be treated. We believe that creating exceptional guest experiences begins with providing a positive, supportive work environment that welcomes individual differences and allows employees to grow and have fun. We focus on developing genuine, emotional guest connections through friendly service and high-quality food. We embrace the communities we serve, from feeding first responders to supporting worthy causes, especially in the Tampa Bay area of Florida, home to our Restaurant Support Center (“RSC”).</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use surveys to seek feedback from our Team Members on a variety of topics that include, but are not limited to, confidence in leadership, our company culture and overall satisfaction with the Company. In 2022, we invested in a comprehensive total rewards survey, the insights from which we are using to define our Value of Employment strategy. Annual strategic talent reviews and succession planning for executive-level roles, senior management and key restaurant leadership positions help ensure consistency in management talent quality. During 2022, approximately 90% of promotions to our Manager in Training program and to Restaurant Managing Partner were internal, which consisted of 33% women and 30% people of color.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are committed to high standards of ethical, moral and legal business conduct and strive to be an open and honest workplace, providing a positive work environment and fostering a culture of integrity and ethical decision-making. To support this commitment, we have a Code of Conduct that provides clear direction for behavioral expectations. Every employee, officer and director completes training annually. We also provide annual training to our Restaurant Partners and our RSC Team Members on our Code of Conduct, Preventing Discrimination and Harassment and Anti-Bribery and Anti-Corruption. In addition, we maintain an Ethics and Compliance Hotline (the “Hotline”), which includes an 800 number and an online form where our Team Members can report any workplace concerns, with the option to report anonymously. The Hotline is accessible via several languages, 24 hours a day, seven days a week. We also developed an informational poster for all our restaurants, in English and Spanish, which provides the phone number, the web address for the reporting form, and a QR code to make it easy for our Team Members to report concerns.</w:t>
      </w:r>
    </w:p>
    <w:p>
      <w:pPr>
        <w:spacing w:after="0" w:line="221" w:lineRule="exact"/>
        <w:rPr>
          <w:sz w:val="20"/>
          <w:szCs w:val="20"/>
          <w:color w:val="auto"/>
        </w:rPr>
      </w:pPr>
    </w:p>
    <w:p>
      <w:pPr>
        <w:jc w:val="both"/>
        <w:ind w:right="20"/>
        <w:spacing w:after="0" w:line="332" w:lineRule="auto"/>
        <w:rPr>
          <w:sz w:val="20"/>
          <w:szCs w:val="20"/>
          <w:color w:val="auto"/>
        </w:rPr>
      </w:pPr>
      <w:r>
        <w:rPr>
          <w:rFonts w:ascii="Arial" w:cs="Arial" w:eastAsia="Arial" w:hAnsi="Arial"/>
          <w:sz w:val="18"/>
          <w:szCs w:val="18"/>
          <w:color w:val="auto"/>
        </w:rPr>
        <w:t>Finally, we have migrated to a hybrid work environment in the RSC. We are investing in a cultural refresh in response to employees returning to the office after two years of working from home and to invigorate connection and inclusivity between the corporate and field teams.</w:t>
      </w:r>
    </w:p>
    <w:p>
      <w:pPr>
        <w:spacing w:after="0" w:line="143" w:lineRule="exact"/>
        <w:rPr>
          <w:sz w:val="20"/>
          <w:szCs w:val="20"/>
          <w:color w:val="auto"/>
        </w:rPr>
      </w:pPr>
    </w:p>
    <w:p>
      <w:pPr>
        <w:jc w:val="both"/>
        <w:spacing w:after="0" w:line="299" w:lineRule="auto"/>
        <w:rPr>
          <w:sz w:val="20"/>
          <w:szCs w:val="20"/>
          <w:color w:val="auto"/>
        </w:rPr>
      </w:pPr>
      <w:r>
        <w:rPr>
          <w:rFonts w:ascii="Arial" w:cs="Arial" w:eastAsia="Arial" w:hAnsi="Arial"/>
          <w:sz w:val="18"/>
          <w:szCs w:val="18"/>
          <w:i w:val="1"/>
          <w:iCs w:val="1"/>
          <w:color w:val="auto"/>
        </w:rPr>
        <w:t xml:space="preserve">Diversity, Equity &amp; Inclusion </w:t>
      </w:r>
      <w:r>
        <w:rPr>
          <w:rFonts w:ascii="Arial" w:cs="Arial" w:eastAsia="Arial" w:hAnsi="Arial"/>
          <w:sz w:val="18"/>
          <w:szCs w:val="18"/>
          <w:color w:val="auto"/>
        </w:rPr>
        <w:t>- We aim to cultivate a welcoming, safe and inclusive environment that celebrates diverse backgrounds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equitable access to opportunities. We deliver on this by ensuring Team Members are trained, understand their role in inclusivity and are held accountable in making our restaurants a place where everyone is valued for who they are and what they bring to the table.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are constantly working to improve how we support a more inclusive workplace for our Team Members and remain steadfast and relentless toward our goals in diversity and equity. We continually assess our overall racial and gender diversity at Bloomin’ Brands as we strive to reflect the diversity of the communities we serve. We have seen improvements in diverse representation among our restaurant management teams and RSC while recognizing there is more work to be done. We deepened our work in cultivating a diverse talent pipeline through our Summer Internship Program by bringing on interns which consisted of 73% women and 33% people of color engaged in meaningful work across all departments of our RSC.</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2022, our Executive Leadership Team (“ELT”) engaged in quarterly diversity, equity and inclusion (“DE&amp;I”) sessions curated and facilitated by a diversity consulting firm. In these sessions, ELT members learned key principles of DE&amp;I and engaged in deep, enriching dialogue around potential gaps in our organization and industry and their individual and collective responsibility for sustaining change. ELT members also worked toward the expected actions captured in their individual bonus modifier, including:</w:t>
      </w:r>
    </w:p>
    <w:p>
      <w:pPr>
        <w:spacing w:after="0" w:line="212"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active leadership in our Employee Resource Groups;</w:t>
      </w:r>
    </w:p>
    <w:p>
      <w:pPr>
        <w:spacing w:after="0" w:line="20"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Pluma coaching program - monthly engagement in mentoring efforts with high potential talent;</w:t>
      </w:r>
    </w:p>
    <w:p>
      <w:pPr>
        <w:spacing w:after="0" w:line="8" w:lineRule="exact"/>
        <w:rPr>
          <w:rFonts w:ascii="Arial" w:cs="Arial" w:eastAsia="Arial" w:hAnsi="Arial"/>
          <w:sz w:val="20"/>
          <w:szCs w:val="20"/>
          <w:color w:val="auto"/>
        </w:rPr>
      </w:pPr>
    </w:p>
    <w:p>
      <w:pPr>
        <w:ind w:left="660" w:right="20" w:hanging="328"/>
        <w:spacing w:after="0" w:line="232"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active participation in company DE&amp;I activities, such as Courageous Conversations (a virtual platform where Team Members hear personal stories, learn from others’ experiences, and discuss important issues in DE&amp;I); and</w:t>
      </w: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demonstrating progress in furthering representation of women and people of color in their respective brands/functions.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While engaged in deep work with our executive team, we also continued listening, sharing and storytelling to inspire awareness, understanding and change across the organization. Each concept held monthly Courageous Conversations and we hosted virtual calls open to the entire company bimonthly to learn about and discuss DE&amp;I issues aligned to the mission and objectives of our five Employee Resource Groups:</w:t>
      </w:r>
    </w:p>
    <w:p>
      <w:pPr>
        <w:spacing w:after="0" w:line="224" w:lineRule="exact"/>
        <w:rPr>
          <w:sz w:val="20"/>
          <w:szCs w:val="20"/>
          <w:color w:val="auto"/>
        </w:rPr>
      </w:pPr>
    </w:p>
    <w:p>
      <w:pPr>
        <w:ind w:left="660" w:hanging="328"/>
        <w:spacing w:after="0"/>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Women’s Interests Network (WIN): Committed to accelerating the advancement of women at Bloomin’ Brands through mentorship, education, experience and information sharing;</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Black Interests Group (BIG): Focused on elevating and amplifying Black talent through strong networks and mentorship;</w:t>
      </w:r>
    </w:p>
    <w:p>
      <w:pPr>
        <w:ind w:left="660" w:right="20" w:hanging="328"/>
        <w:spacing w:after="0" w:line="232"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BELONG: Fostering an environment for Our People to thrive while celebrating understanding, acceptance and involvement of the LGBTQ+ community and their allies;</w:t>
      </w: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¡Adelante!: Aimed at accelerating and celebrating the Hispanic and Latin Community at Bloomin’ Brands; and</w:t>
      </w:r>
    </w:p>
    <w:p>
      <w:pPr>
        <w:ind w:left="640" w:hanging="308"/>
        <w:spacing w:after="0"/>
        <w:tabs>
          <w:tab w:leader="none" w:pos="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Bloomin’ Balance: Inspiring our community to lead happy, healthy and fulfilled lives through total and balanced wellness.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From our participation at the Women’s Foodservice Forum annual conference to memorable heritage month programs and active community involvement (for example, Juneteenth service activities, Pride sponsorships and engagement, walks and runs for special health-focused causes), our Employee Resource Groups have been instrumental in providing community, support and both personal and professional development for our Team Members.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we aim to attract and cultivate relationships with the next generation of talent in our workforce, we have been intentional about being visible and building brand awareness at a number of Florida colleges and universities, including Florida A&amp;M University (a historically Black university), Florida International University (minority/Hispanic serving institution), the University of Central Florida and the University of South Florida. We provide future industry leaders with financial support through endowed scholarships at each of these schools to help offset students’ costs of higher education as they pursue degrees and certifications that align with the work we do in hospitality.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We support words with actions by being good stewards of our communities and engaging with organizations dedicated to cultivating more diverse and inclusive communities, including:</w:t>
      </w:r>
    </w:p>
    <w:p>
      <w:pPr>
        <w:spacing w:after="0" w:line="19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National Urban League</w:t>
      </w:r>
    </w:p>
    <w:p>
      <w:pPr>
        <w:spacing w:after="0" w:line="20"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Woman’s Foodservice Forum</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Multicultural Foodservice &amp; Hospitality Alliance</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National Diversity Council</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Autism Speaks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Habitat for Humanity</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Big Brothers, Big Sisters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Boys &amp; Girls Clubs</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Feeding America (Tampa Bay)</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Meals on Wheels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Harvest Food Donation</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Workplace Safety - </w:t>
      </w:r>
      <w:r>
        <w:rPr>
          <w:rFonts w:ascii="Arial" w:cs="Arial" w:eastAsia="Arial" w:hAnsi="Arial"/>
          <w:sz w:val="20"/>
          <w:szCs w:val="20"/>
          <w:color w:val="auto"/>
        </w:rPr>
        <w:t>Employee health and safety in the workplace is of utmost importance to our Company. We believe that all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job role or title, have a shared responsibility in the promotion of health and safety in the workplace. We are committed to providing and following safety laws and rules, including internal policies and procedures. This commitment means carrying out company activities in ways that preserve and promote a clean, safe and healthy environment.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Total Rewards </w:t>
      </w:r>
      <w:r>
        <w:rPr>
          <w:rFonts w:ascii="Arial" w:cs="Arial" w:eastAsia="Arial" w:hAnsi="Arial"/>
          <w:sz w:val="20"/>
          <w:szCs w:val="20"/>
          <w:color w:val="auto"/>
        </w:rPr>
        <w:t>- Our total rewards philosophy is to motivate and retain our Team Members by offering, what we believe to be, competitive</w:t>
      </w:r>
      <w:r>
        <w:rPr>
          <w:rFonts w:ascii="Arial" w:cs="Arial" w:eastAsia="Arial" w:hAnsi="Arial"/>
          <w:sz w:val="20"/>
          <w:szCs w:val="20"/>
          <w:i w:val="1"/>
          <w:iCs w:val="1"/>
          <w:color w:val="auto"/>
        </w:rPr>
        <w:t xml:space="preserve"> </w:t>
      </w:r>
      <w:r>
        <w:rPr>
          <w:rFonts w:ascii="Arial" w:cs="Arial" w:eastAsia="Arial" w:hAnsi="Arial"/>
          <w:sz w:val="20"/>
          <w:szCs w:val="20"/>
          <w:color w:val="auto"/>
        </w:rPr>
        <w:t>salary packages. To align Team Member objectives with the Company and ultimately our stockholders, Bloomin’ Brands offers programs that reward long-term performance. Additionally, we offer a well-rounded benefit package that includes the following, along with other benefits:</w:t>
      </w:r>
    </w:p>
    <w:p>
      <w:pPr>
        <w:spacing w:after="0" w:line="211" w:lineRule="exact"/>
        <w:rPr>
          <w:sz w:val="20"/>
          <w:szCs w:val="20"/>
          <w:color w:val="auto"/>
        </w:rPr>
      </w:pPr>
    </w:p>
    <w:p>
      <w:pPr>
        <w:jc w:val="both"/>
        <w:ind w:left="660" w:hanging="328"/>
        <w:spacing w:after="0" w:line="254"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Comprehensive health insurance coverage for Team Members working an average of 30 or more hours each week. This program includes wellness programs intended to proactively support healthcare and access to a health savings account that is eligible for employer contributions and is fully portable.</w:t>
      </w:r>
    </w:p>
    <w:p>
      <w:pPr>
        <w:spacing w:after="0" w:line="1" w:lineRule="exact"/>
        <w:rPr>
          <w:rFonts w:ascii="Arial" w:cs="Arial" w:eastAsia="Arial" w:hAnsi="Arial"/>
          <w:sz w:val="20"/>
          <w:szCs w:val="20"/>
          <w:color w:val="auto"/>
        </w:rPr>
      </w:pPr>
    </w:p>
    <w:p>
      <w:pPr>
        <w:ind w:left="660" w:hanging="328"/>
        <w:spacing w:after="0" w:line="273"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employee assistance program provided at no cost to all Team Members and their family members which includes virtual therapy sessions, free counseling and tools and resources in order to improve mental health and the well-being of our Team Members.</w:t>
      </w:r>
    </w:p>
    <w:p>
      <w:pPr>
        <w:spacing w:after="0" w:line="1" w:lineRule="exact"/>
        <w:rPr>
          <w:rFonts w:ascii="Arial" w:cs="Arial" w:eastAsia="Arial" w:hAnsi="Arial"/>
          <w:sz w:val="18"/>
          <w:szCs w:val="18"/>
          <w:color w:val="auto"/>
        </w:rPr>
      </w:pPr>
    </w:p>
    <w:p>
      <w:pPr>
        <w:ind w:left="660" w:hanging="328"/>
        <w:spacing w:after="0" w:line="249" w:lineRule="auto"/>
        <w:tabs>
          <w:tab w:leader="none" w:pos="648" w:val="left"/>
        </w:tabs>
        <w:numPr>
          <w:ilvl w:val="0"/>
          <w:numId w:val="14"/>
        </w:numPr>
        <w:rPr>
          <w:rFonts w:ascii="Arial" w:cs="Arial" w:eastAsia="Arial" w:hAnsi="Arial"/>
          <w:sz w:val="20"/>
          <w:szCs w:val="20"/>
          <w:i w:val="1"/>
          <w:iCs w:val="1"/>
          <w:color w:val="auto"/>
        </w:rPr>
      </w:pPr>
      <w:r>
        <w:rPr>
          <w:rFonts w:ascii="Arial" w:cs="Arial" w:eastAsia="Arial" w:hAnsi="Arial"/>
          <w:sz w:val="20"/>
          <w:szCs w:val="20"/>
          <w:color w:val="auto"/>
        </w:rPr>
        <w:t>All salaried Team Members are eligible to participate in company sponsored retirement plans with access to financial wellness resources. Eligible Team Members participating in the 401(k) receive matching contributions.</w:t>
      </w: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Employee discounts when dining at any one of our brands.</w:t>
      </w:r>
    </w:p>
    <w:p>
      <w:pPr>
        <w:spacing w:after="0" w:line="8" w:lineRule="exact"/>
        <w:rPr>
          <w:rFonts w:ascii="Arial" w:cs="Arial" w:eastAsia="Arial" w:hAnsi="Arial"/>
          <w:sz w:val="20"/>
          <w:szCs w:val="20"/>
          <w:color w:val="auto"/>
        </w:rPr>
      </w:pPr>
    </w:p>
    <w:p>
      <w:pPr>
        <w:ind w:left="660" w:right="20" w:hanging="328"/>
        <w:spacing w:after="0" w:line="258"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All levels of the organization, including hourly Team Members that meet certain service criteria, can qualify for paid time off for the purpose of rest, relaxation and planned time away from the workplace.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color w:val="auto"/>
        </w:rPr>
        <w:t xml:space="preserve">Company Response to COVID-19 </w:t>
      </w:r>
      <w:r>
        <w:rPr>
          <w:rFonts w:ascii="Arial" w:cs="Arial" w:eastAsia="Arial" w:hAnsi="Arial"/>
          <w:sz w:val="20"/>
          <w:szCs w:val="20"/>
          <w:color w:val="auto"/>
        </w:rPr>
        <w:t>- During 2021, as the COVID-19 pandemic impacted the lives of our Team Members, we offered</w:t>
      </w:r>
      <w:r>
        <w:rPr>
          <w:rFonts w:ascii="Arial" w:cs="Arial" w:eastAsia="Arial" w:hAnsi="Arial"/>
          <w:sz w:val="20"/>
          <w:szCs w:val="20"/>
          <w:i w:val="1"/>
          <w:iCs w:val="1"/>
          <w:color w:val="auto"/>
        </w:rPr>
        <w:t xml:space="preserve"> </w:t>
      </w:r>
      <w:r>
        <w:rPr>
          <w:rFonts w:ascii="Arial" w:cs="Arial" w:eastAsia="Arial" w:hAnsi="Arial"/>
          <w:sz w:val="20"/>
          <w:szCs w:val="20"/>
          <w:color w:val="auto"/>
        </w:rPr>
        <w:t>educational resources to inform their vaccination decision. We also provided paid time off for hourly Team Members who elected to be vaccinated. In 2020, we did not furlough any Team Members and provided $44.9 million of relief pay, excluding the benefit of employee retention tax credits earned, for our Team Members who were impacted by closed dining rooms. We also paid the employee portion of benefits premiums for Team Members who received relief pay. In addition, Team Members who were quarantined or who had a personal illness related to COVID-19 received pay.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i w:val="1"/>
          <w:iCs w:val="1"/>
          <w:color w:val="auto"/>
        </w:rPr>
        <w:t xml:space="preserve">Employee Support and Community Engagement </w:t>
      </w:r>
      <w:r>
        <w:rPr>
          <w:rFonts w:ascii="Arial" w:cs="Arial" w:eastAsia="Arial" w:hAnsi="Arial"/>
          <w:sz w:val="18"/>
          <w:szCs w:val="18"/>
          <w:color w:val="auto"/>
        </w:rPr>
        <w:t>- Our commitment to our Team Members does not stop with competitive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benefits. In 1999, we created a trust (the “Trust”) to support our Team Members in times of personal hardship. All contributions to the Trust are voluntary, employee-funded and are not solicited from suppliers, customers or friends. Due to the incredible generosity and caring nature of our Team Members, the Trust is able to make meaningful monetary support to our Team Members who experience very difficult, often unexpected and catastrophic issues, in their lives. Since 2017, the Trust has paid approximately $1.9</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million to the benefit of over 1,400 Team Members who applied for support, including support to Team Members impacted by Hurricane Ian during 2022.</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are inspired by the generosity of our Team Members and encourage them to give back to their communities. To facilitate this community engagement, field Team Members volunteer within their communities and RSC Team Members participate in an annual Community Service Day. In 2022, its 14th year, Team Members volunteered nearly 800 hours of service at 15 non-profit organizations in the Tampa Bay area.</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during 2022 we implemented a matching gift and volunteer grant program for eligible 501(c)(3) non-profit organizations and provided a limited dollar-for-dollar match or grant for full-time RSC Team Members who made a personal charitable donation or volunteered for a minimum of ten hours during non-working hours.</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i w:val="1"/>
          <w:iCs w:val="1"/>
          <w:color w:val="auto"/>
        </w:rPr>
        <w:t xml:space="preserve">Information About Our Executive Officers </w:t>
      </w:r>
      <w:r>
        <w:rPr>
          <w:rFonts w:ascii="Arial" w:cs="Arial" w:eastAsia="Arial" w:hAnsi="Arial"/>
          <w:sz w:val="20"/>
          <w:szCs w:val="20"/>
          <w:color w:val="auto"/>
        </w:rPr>
        <w:t>- Below is a list of the names, ages, positions and a brief description of the business experience of</w:t>
      </w:r>
      <w:r>
        <w:rPr>
          <w:rFonts w:ascii="Arial" w:cs="Arial" w:eastAsia="Arial" w:hAnsi="Arial"/>
          <w:sz w:val="20"/>
          <w:szCs w:val="20"/>
          <w:i w:val="1"/>
          <w:iCs w:val="1"/>
          <w:color w:val="auto"/>
        </w:rPr>
        <w:t xml:space="preserve"> </w:t>
      </w:r>
      <w:r>
        <w:rPr>
          <w:rFonts w:ascii="Arial" w:cs="Arial" w:eastAsia="Arial" w:hAnsi="Arial"/>
          <w:sz w:val="20"/>
          <w:szCs w:val="20"/>
          <w:color w:val="auto"/>
        </w:rPr>
        <w:t>each of our executive officers as of February 16,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3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J. Deno</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Christopher Meyer</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Kelly Lefferts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Legal Officer and Secretary</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Gregg Scarlett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Executive Vice President, Chief Operating Officer, Casual Dining Restaurants</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Patrick Murtha</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Fleming’s and International</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Philip Pace</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Senior Vice President, Chief Accounting Officer</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Suzann Trevisan</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Chief Human Resources Officer</w:t>
            </w:r>
          </w:p>
        </w:tc>
      </w:tr>
    </w:tbl>
    <w:p>
      <w:pPr>
        <w:spacing w:after="0" w:line="315"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David J. Deno </w:t>
      </w:r>
      <w:r>
        <w:rPr>
          <w:rFonts w:ascii="Arial" w:cs="Arial" w:eastAsia="Arial" w:hAnsi="Arial"/>
          <w:sz w:val="20"/>
          <w:szCs w:val="20"/>
          <w:color w:val="auto"/>
        </w:rPr>
        <w:t>has served as Chief Executive Officer and as a member of our Board of Directors since April 2019. Mr. Deno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served as our Executive Vice President and Chief Financial and Administrative Officer from October 2013 to April 2019 and as Executive Vice President and Chief Financial Officer from May 2012 to October 2013. Prior to joining the Company, Mr. Deno was Chief Financial Officer of the international division of Best Buy Co., Inc. from December 2009 to May 2012. Mr. Deno has also previously served as Chief Financial Officer and later Chief Operating Officer of Yum! Brands, Inc.</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Christopher Meyer </w:t>
      </w:r>
      <w:r>
        <w:rPr>
          <w:rFonts w:ascii="Arial" w:cs="Arial" w:eastAsia="Arial" w:hAnsi="Arial"/>
          <w:sz w:val="20"/>
          <w:szCs w:val="20"/>
          <w:color w:val="auto"/>
        </w:rPr>
        <w:t>has served as Executive Vice President, Chief Financial Officer since April 2019. Mr. Meyer previously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Group Vice President, Finance, Treasury and Accounting from November 2017 to April 2019 and Group Vice President, Financial Planning &amp; Analysis and Investor Relations from September 2014 to November 2017.</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color w:val="auto"/>
        </w:rPr>
        <w:t xml:space="preserve">Kelly Lefferts </w:t>
      </w:r>
      <w:r>
        <w:rPr>
          <w:rFonts w:ascii="Arial" w:cs="Arial" w:eastAsia="Arial" w:hAnsi="Arial"/>
          <w:sz w:val="18"/>
          <w:szCs w:val="18"/>
          <w:color w:val="auto"/>
        </w:rPr>
        <w:t>has served as Executive Vice President, Chief Legal Officer since July 2019. Ms. Lefferts served as Group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U.S. General Counsel of Bloomin’ Brands from September 2015 to July 2019 and Vice President and Assistant General Counsel of Bloomin’ Brands from January 2008 to September 2015. She has also served as Secretary of Bloomin’ Brands since February 2016.</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color w:val="auto"/>
        </w:rPr>
        <w:t xml:space="preserve">Gregg Scarlett </w:t>
      </w:r>
      <w:r>
        <w:rPr>
          <w:rFonts w:ascii="Arial" w:cs="Arial" w:eastAsia="Arial" w:hAnsi="Arial"/>
          <w:sz w:val="18"/>
          <w:szCs w:val="18"/>
          <w:color w:val="auto"/>
        </w:rPr>
        <w:t>has served as Executive Vice President, Chief Operating Officer, Casual Dining Restaurants since February 2020. Mr.</w:t>
      </w:r>
      <w:r>
        <w:rPr>
          <w:rFonts w:ascii="Arial" w:cs="Arial" w:eastAsia="Arial" w:hAnsi="Arial"/>
          <w:sz w:val="18"/>
          <w:szCs w:val="18"/>
          <w:b w:val="1"/>
          <w:bCs w:val="1"/>
          <w:color w:val="auto"/>
        </w:rPr>
        <w:t xml:space="preserve"> </w:t>
      </w:r>
      <w:r>
        <w:rPr>
          <w:rFonts w:ascii="Arial" w:cs="Arial" w:eastAsia="Arial" w:hAnsi="Arial"/>
          <w:sz w:val="18"/>
          <w:szCs w:val="18"/>
          <w:color w:val="auto"/>
        </w:rPr>
        <w:t>Scarlett previously served as Executive Vice President, President of Outback Steakhouse from July 2016 to February 2020; Executive Vice President, President of Bonefish Grill from March 2015 to July 2016; Senior Vice President, Casual Dining Restaurant Operations from January 2013 to April 2015; and Senior Vice President of Operations for Outback Steakhouse from March 2010 to January 2013.</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 xml:space="preserve">Patrick Murtha </w:t>
      </w:r>
      <w:r>
        <w:rPr>
          <w:rFonts w:ascii="Arial" w:cs="Arial" w:eastAsia="Arial" w:hAnsi="Arial"/>
          <w:sz w:val="18"/>
          <w:szCs w:val="18"/>
          <w:color w:val="auto"/>
        </w:rPr>
        <w:t>has served as Executive Vice President, Fleming’s and International since September 2022. Mr. Murtha previously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Fleming’s, International &amp; Human Resources from April 2021 to September 2022 and Executive Vice President, Chief Human Resources Officer from February 2021 to April 2021. He also served as Interim Chief Human Resources Officer from September 2020 to February 2021 and Executive Vice President and President, International from November 2013 to January 2018. Prior to joining the Company, Mr. Murtha was the Principal Consultant of Murtha Consulting from January 2018 to December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Mr. Murtha also previously served as Chairman of the Board and Managing Director of KFC, Japan, Ltd., Chief Operating Officer of Pizza Hut and Chief People Officer of Yum! Restaurants International.</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Philip Pace </w:t>
      </w:r>
      <w:r>
        <w:rPr>
          <w:rFonts w:ascii="Arial" w:cs="Arial" w:eastAsia="Arial" w:hAnsi="Arial"/>
          <w:sz w:val="20"/>
          <w:szCs w:val="20"/>
          <w:color w:val="auto"/>
        </w:rPr>
        <w:t>has served as Senior Vice President, Chief Accounting Officer since July 2022. Mr. Pace previously served as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Group Vice President and Controller from October 2015 to July 2022 and Vice President, Corporate Controller from July 2013 to October 2015.</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Suzann Trevisan </w:t>
      </w:r>
      <w:r>
        <w:rPr>
          <w:rFonts w:ascii="Arial" w:cs="Arial" w:eastAsia="Arial" w:hAnsi="Arial"/>
          <w:sz w:val="20"/>
          <w:szCs w:val="20"/>
          <w:color w:val="auto"/>
        </w:rPr>
        <w:t>has served as Senior Vice President, Chief Human Resources Officer since September 2022. Prior to joining Bloomin’</w:t>
      </w:r>
      <w:r>
        <w:rPr>
          <w:rFonts w:ascii="Arial" w:cs="Arial" w:eastAsia="Arial" w:hAnsi="Arial"/>
          <w:sz w:val="20"/>
          <w:szCs w:val="20"/>
          <w:b w:val="1"/>
          <w:bCs w:val="1"/>
          <w:color w:val="auto"/>
        </w:rPr>
        <w:t xml:space="preserve"> </w:t>
      </w:r>
      <w:r>
        <w:rPr>
          <w:rFonts w:ascii="Arial" w:cs="Arial" w:eastAsia="Arial" w:hAnsi="Arial"/>
          <w:sz w:val="20"/>
          <w:szCs w:val="20"/>
          <w:color w:val="auto"/>
        </w:rPr>
        <w:t>Brands, Ms. Trevisan held a number of leadership positions with Owens Corning, including Vice President of Human Resources for the composites business from March 2018 to August 2022 and Vice President of Human Resources, Centers of Excellence from June 2015 to March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SUSTAINABILITY</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are making a conscious and collective effort to minimize our Company’s environmental impact and are encouraging our Team Members to do the same. Addressing climate change and other ESG issues is a complex and constantly evolving process, and we rely significantly on the efforts, learning, tools and recommendations of scientists, partners and our communities to guide our ongoing emissions reduction efforts. During 2022, we continued our assessment of our greenhouse gas (“GHG”) footprint in our U.S. Company-owned restaurants for operational emissions (Scopes 1 and 2) based on 2019 usage, establishing a baseline inventory to guide our emissions reduction efforts moving forward. See additional details regarding our GHG footprint assessment by visiting our website at www.bloominbrands.com and clicking first on “Our Commitment” and then on “Our Environment”.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recognize that actions to reduce emissions cannot be limited to our own operations. We must also take steps to address GHG emissions where they are most challenging, including within our supply chain. Through engagement with our suppliers and our extended supply chain (e.g., food processors and distributors, transportation, and logistics partners, etc.), we will continue work to reduce and mitigate the climate impact of our raw materials.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color w:val="auto"/>
        </w:rPr>
        <w:t xml:space="preserve">Additional Information </w:t>
      </w:r>
      <w:r>
        <w:rPr>
          <w:rFonts w:ascii="Arial" w:cs="Arial" w:eastAsia="Arial" w:hAnsi="Arial"/>
          <w:sz w:val="20"/>
          <w:szCs w:val="20"/>
          <w:color w:val="auto"/>
        </w:rPr>
        <w:t>- We make available, free of charge, through our internet website www.bloominbrands.com, our Annual Report on</w:t>
      </w:r>
      <w:r>
        <w:rPr>
          <w:rFonts w:ascii="Arial" w:cs="Arial" w:eastAsia="Arial" w:hAnsi="Arial"/>
          <w:sz w:val="20"/>
          <w:szCs w:val="20"/>
          <w:i w:val="1"/>
          <w:iCs w:val="1"/>
          <w:color w:val="auto"/>
        </w:rPr>
        <w:t xml:space="preserve"> </w:t>
      </w:r>
      <w:r>
        <w:rPr>
          <w:rFonts w:ascii="Arial" w:cs="Arial" w:eastAsia="Arial" w:hAnsi="Arial"/>
          <w:sz w:val="20"/>
          <w:szCs w:val="20"/>
          <w:color w:val="auto"/>
        </w:rPr>
        <w:t>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website addresses in this Report does not constitute incorporation by reference of the information contained on the websites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and this risk may be exacerbated by current supply chain issues, which could delay deliveries and necessitate alternative sourcing on short notice.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There is also the risk of allergen cross contamination in our restaurants despite precautionary measures to minimize the risk.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various federal and state employment and labor laws and regulations.</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Various employment and labor laws and regulations govern our relationships with our employees throughout the world and affect operating costs. These laws and regulations relate to matters including employment discrimination, minimum wage requirements, scheduling, overtime, tip credits, unemployment tax rates, workers’ compensation rates, working conditions, immigration status, tax reporting and other wage and benefit requirements. Any significant additional government regulations and new laws governing our relationships with employees, including minimum wage increases, regulations relating to union organizing rights and activities, mandated benefits or other requirements that impose additional obligations on us, including any temporary or permanent measures implemented in response to COVID-19, could increase our costs and adversely affect our business and results of operations.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As minimum wage increases continue to be implemented in states in which we operate, we expect our labor costs will continue to increase. In addition, there have been in the past, and may be in the future, legislative efforts to significantly increase the federal minimum wage, which, if implemented, would materially increase our labor and other costs. Our distributors and suppliers could also be affected by higher minimum wage, benefit standards and compliance costs, which could result in higher costs for goods and services supplied to us. In addition, several U.S. jurisdictions have implemented fair workweek or “secure scheduling” legislation, which impose complex requirements related to scheduling for certain restaurant and retail employees, and additional jurisdictions are considering similar legislation. Several jurisdictions also have implemented sick pay/paid time off legislation, which requires employers to provide paid time off to employees, and “just cause” termination legislation, which restricts companies’ ability to terminate employees unless they can prove “just cause” or a “bona fide economic reason” for the termination. We also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Failure to recruit, train and retain high-quality leadership, restaurant-level management and hourly team members may inhibit our ability to operate and grow successfully.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success will continue to depend, to a significant extent, on our leadership team and other key management personnel. The “great resignation” trend that began in 2021 in the United States has further strained and could continue to strain our ability to keep our restaurants fully staffed. If we are unable to attract and retain sufficiently experienced and capable management personnel, our business and financial results may suffer.</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 quality guest service. There is active competition for quality management personnel and hourly team members, and such competition could require us to pay higher wages or incur higher costs for retaining and incentivizing our management personnel and hourly team members. If we experience high turnover, we may experience higher labor costs and have a shortage of adequate management personnel required for future growth. A shortage of team members also could cause our restaurants to operate with reduced staff, which could adversely affect our ability to provide high quality guest service.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Challenging economic, political and social conditions may have a negative effect on our business and financial results.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Challenging economic, political and social conditions may negatively impact consumer spending and thus cause a challenging sales environment in the casual dining sector and a decline in our financial results. For example, international, domestic and regional economic conditions, continued economic downturn or recession, or slowing or stalled recovery therefrom, unemployment levels, consumer income levels, financial market volatility, credit conditions and availability, consumer debt levels, inflation, increased energy prices, weakness in the housing market, stock market performance, rising interests rates, tariffs and trade barriers, pandemics or public health concerns, population growth, changes in government and central bank monetary policies, social unrest and governmental, political and budget matters may have a negative effect on consumer confidence and discretionary spending, which the restaurant industry depends upon. In addition, the effects on the global economy from the ongoing conflict in the Ukraine, particularly if it escalates or broadens, are uncertain. Terrorist attacks, heightened security requirements, attack of critical infrastructure, protests, demonstrations, riots, civil disturbance, disobedience, insurrection, customer intimidation, mass shootings or social and other political unrest, such as those seen in recent years, have and may continue to result in restrictions, curfews or other actions and give rise to significant changes in regional and global economic conditions. If such events or disruptions persist for a prolonged period of time, our overall business and results of operations may be adversely affected.</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it is difficult to predict what impact, if any, changes in federal policy, including tax, economic and monetary policies, will have on our industry, the economy as a whole, consumer confidence and discretionary spending. As a result, the nature, timing and impact on our business of potential changes to the current legal and regulatory frameworks are uncertain. It is also difficult to predict what the long-term economic impacts of the ongoing COVID-19 pandemic may be.</w:t>
      </w:r>
    </w:p>
    <w:p>
      <w:pPr>
        <w:spacing w:after="0" w:line="21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 decline in economic, political or social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Further, poor economic conditions may force nearby businesses to shut down, which could cause our restaurant locations to be less attractive.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 substantial number of restaurant operators compete directly and indirectly with us with respect to price, service, location and food quality, some of which are well-established with significant resources. There is also active competition for management, team members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In addition, our competitors may more successfully implement delivery and off-site initiatives or implement other measures to better address COVID-related business risks. Further, we face growing competition from quick service and fast-casual restaurants, the supermarket industry and meal kit and food delivery providers, with the improvement of prepared food offerings, “ghost” or “dark” kitchens where meals are prepared at a separate takeaway premises rather than a restaurant, and the trend towards convergence in grocery, deli, delivery, retail and restaurant services. Further, if this competitive environment and the breadth of alternatives results in a decline in casual dining customer traffic, it could make our financial operations dependent on our ability to increase our market share within the hyper-competitive casual dining segment.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Cyber security breaches of confidential consumer, personal employee and other material information and other threats to our technological systems may adversely affect our business.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majority of our restaurant sales are by credit or debit cards, and we maintain certain personal information regarding our employees and confidential information about our customers, franchisees and suppliers. Although we segment our card data environment and employ a cyber security protection program based upon industry frameworks, as well as scan and improve our environment for any vulnerabilities, perform penetration testing and engage third parties to assess effectiveness of our security measures with oversight by our Audit Committee, there are no assurances that such programs will prevent or detect all potential cyber security breaches or technological failures.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payroll and human resource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hacking, “phishing” attacks, social engineering, malware, ransomware, viruses, worms and other attacks or disruptive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problems, which have increased in sophistication, frequency and duration in recent years. We have been, and will continue to be, the target of attempted cyber and other security threats, including those common to most industries and those targeting us due to the confidential consumer information we obtain through our electronic processing of credit and debit card transactions. Like other restaurants and retailers, we are also susceptible to claims for purportedly fraudulent transactions arising out of actual or alleged theft of credit or debit card information. A security breach or even a perceived security breach or failure to appropriately respond to a cyber incident could result in litigation or governmental investigation, as well as damage to our reputation and brands.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 claim or investigation resulting from a cyber or other security threat to our systems and data may have a material adverse effect on our business and distract the management from running the business. Responses to cyber security also has the potential of incurring significant remediation costs, to the extent such costs are not covered by our applicable insurance policies. As cyber security risk and applicable laws and regulations evolve, we may incur significant additional costs in technology, third-party services and personnel to maintain systems designed to anticipate and prevent cyber-attacks.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subject to a variety of continuously evolving laws and regulations regarding privacy, data protection and data security at federal, state and international levels. The California Consumer Privacy Act, for example, became effective January 1, 2020 and provides a new private right of action to California residents related to data breaches and imposes new disclosure and other requirements on companies with respect to their data collection, use and sharing practices as they relate to California residents. Other states and countries in which we operate have enacted, or are proposing to enact, similar laws or the laws expanding existing privacy rights. New areas of litigation related to privacy rights continue to emerge. Compliance with newly developed laws and regulations, which are subject to change and uncertain interpretations, may cause us to incur substantial costs.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i w:val="1"/>
          <w:iCs w:val="1"/>
          <w:color w:val="auto"/>
        </w:rPr>
        <w:t>Increased commodity, energy and other costs could decrease our profit margins or cause us to limit or otherwise modify our menus or increase prices, which could adversely affect our business. Further, if our suppliers or custom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performance of our restaurants depends on our ability to anticipate and react to changes in the price and availability of food commodities. Our business also incurs significant costs for energy, utilities, insurance, health care, labor, marketing and real estate over which we have little control. We have experienced and continue to experience the impact of inflation and fluctuations in costs on our operating expenses and anticipate the inflationary conditions will continue in the near future. We are anticipating mid single digits inflation for both commodities and labor during 2023, but there can be no assurance it will not be greater than that or that we will be able to pass through increased costs in our prices. Increased prices or shortages could affect the cost and quality of the items we buy or require us to raise prices, limit our menu options or implement alternative processes or products. In response, customers may be less willing to patronize our restaurants in favor of our competitors or lower-priced alternatives. Prices may also be affected by supply, market changes, increased competition, changes in laws, shortages or interruptions in supply due to weather, disease or other conditions beyond our control, labor shortages or other reasons. As a result, these events, combined with other more general economic and demographic conditions, could impact our pricing and negatively affect our sales and profit margins.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depend on frequent deliveries of fresh food products that meet our specifications, and we have a limited number of suppliers and distributors for our major products, such as beef. These factors subject us to the risk that shortages or interruptions in products could adversely affect the availability, quality or cost of products or require us to incur more costs to obtain adequate products if we are unable to manage supply chain risk. During 2022, we purchased: (i) more than 95% of our U.S. beef raw materials from four beef suppliers that represent more than 80% of the total beef marketplace in the U.S. and (ii) more than 95% of our Brazil beef raw materials from four beef suppliers that represent more than 50% of the total beef marketplace in Brazil. Our dependence on a small number of suppliers subjects us to the risks of ingredient shortage, supply interruption, animal disease outbreak, and price volatility. An external disruption or an internal dispute that forces us to sever ties with our suppliers may not enable us to find a suitable replacement in a timely or cost-efficient manner. Beef is a significant cost to us, and we may also incur higher costs to secure adequate suppliers or make substantial changes to our menu offerings, at the risk of materially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adverse harm to our business. Due to the nature of our industry, we expect to continue to purchase a substantial amount of our beef from a small number of suppliers. Global economic factors continue to place significant pressure on suppliers, making the supply environment more expensive and causing supply chain issues. Supply shortages or disruptions caused by inclement weather, climate change, natural disasters, pandemics (including COVID-19), armed conflict, sanctions, financial or solvency issues of our suppliers or distributors, fuel increases or other conditions beyond our control could adversely affect our operations and operating results. In recent years, climate-related issues such drought and flooding in our key supplier region have led to volatility in the prices of our ingredients, such as produce and meats. In addition, if any of our suppliers or distributors were unable to fulfill their responsibilities or we were unable to maintain current purchasing terms or ensure service availability and we were unable to locate substitutes in a timely manner, especially given the prolonged effects of COVID-19, we may encounter supply shortages,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COVID-19 pandemic has disrupted and may continue to disrupt our business, and could continue to materially and adversely affect our business, revenues, financial condition and results of operations for an extended period of time.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COVID-19 pandemic and related preventative and protective measures have negatively impacted, and may continue to negatively impact, our business globally. Preventative and protective measures in the United States and in foreign countries in which we operate, which have varied significantly across the jurisdictions where our restaurants are located, impacted our ability to operate our business and created a rapidly changing and complicated system for ensuring compliance and predicting our revenues and cost structure. The enhanced health and safety procedures of our operations in response to the COVID-19 pandemic have had and may continue to have adverse effects on our operating costs.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During the various stages of the COVID-19 pandemic, we had to close our dining rooms, were limited to off-premises sales or were subject to capacity limitations. Depending on the future course of the COVID-19 pandemic and variants of the virus, we could face additional closures or limitations on our services or capacity for our restaurant dining rooms. If we revert to solely or primarily off-premises sales, there can be no assurance that our off-premises sales will grow or remain at levels experienced while our dining rooms were previously closed and we could face liquidity challenges and would need to seek additional sources of liquidity. There can be no guarantee that additional liquidity will be readily available or available on favorable terms, especially the longer the COVID-19 pandemic lasts.</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If our employees or customers become ill, a significant percentage of our or our suppliers’ or distributors’ workforce is unable to work, or if there are similar disruptions in the supply chain generally for certain products, whether because of illness, quarantine, limitations on travel or other government restrictions in connection with COVID-19, we could face disruptions to restaurant operations, cost increases and shortages of food or other supplies, or reputational harm or negative publicity directed at our brands that causes customers to avoid our restaurants, potentially materially adversely affecting our operations and sales.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the operations of our franchisees are subject to the same risks discussed above with respect to our business, and the COVID-19 pandemic has and may continue to cause financial distress to our franchisees. We have deferred or permanently waived certain of our franchisees’ payment obligations as a result, which deferments or waived payments may not be sufficient if resurgences of COVID-19 or other factors result in additional financial distress. In some cases, we are contingently liable for franchisee lease obligations, and a failure by a franchisee to perform its obligations under such lease could result in direct payment obligations for us.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To the extent the COVID-19 pandemic adversely affects our business and financial results, it may also have the effect of heightening many of the other risks described in this Report, including but not limited to, asset impairment.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to the COVID-19 pandemic, the United States and other countries have experienced, or may experience in the future, outbreaks of other viruses, such as norovirus, the bird/avian flu or other diseases. As we have experienced with the COVID-19 pandemic,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Jurisdictions in which we have restaurants may impose mandatory closures or impose restrictions on operations. If a virus is transmitted by human contact or respiratory transmission, our employees or guests could become infected, or could choose, or be advised, to avoid gathering in public places, any of which would adversely affect our restaurant guest traffic or perform functions at the corporate level. A regional or global health pandemic might also adversely affect our business by disrupting or delaying production and delivery of materials and products in our supply chain and by causing staffing shortages in our stores.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Social media allows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at any time, and such information can quickly reach a wide audience. Social media has also been utilized to target specific companies or brands as a result of a variety of actions or inactions, or perceived actions or inactions, and such campaigns can rapidly accelerate and impact consumer behavior. The harm may be immediate without affording us an opportunity for redress or correction, and it is challenging to monitor, anticipate and promptly respond to such developments. These factors could have a material adverse effect on our business. Regardless of its basis or validity, any unfavorable publicity could adversely affect public perception of our brands.</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failure to use social media responsibly in our marketing efforts may further expose us to these risks. As part of our marketing efforts, we rely on search engine marketing and social media platforms to attract and retain guests.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or personal information and negative publicity. The inappropriate use of social media vehicles by our guests or employees could increase our costs, lead to litigation or result in negative publicity that could damage our reputation.</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We face a variety of risks associated with doing business in foreign markets that could have a negative impact on our financial performance.</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corruption, anti-American sentiment, the ability to source high 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area operating partners.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Local or regional events or conditions in our international markets could disrupt our business operations and affect our results. In recent years, there were protests in cities throughout the U.S. as well as globally, including in Hong Kong and Brazil, in connection with civil rights, liberties, and social and governmental reform.</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Currency regulations and fluctuations in exchange rates could also affect our performance. We have operations in many foreign countries, including direct investments in restaurants in Brazil, Hong Kong and China, as well as international franchises. As a result, we may experience losses from fluctuations in foreign currency exchange rates or any hedging arrangements that we enter into to offset such fluctuations, and such losses could adversely affect our overall sales and earnings.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91"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If we fail to adequately address environmental, social and governance (“ESG”) matters, including those related to climate change and sustainability, it could have an adverse effect on our business, financial condition, and operating results and may damage our reputation.</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recent years, there has been an increasing focus from certain investors, customers, consumers, employees and other stakeholders concerning ESG matters. Companies across all industries are facing increasing scrutiny relating to their ESG practices. We are also subject to ESG rules and regulations promulgated by self-regulatory organizations, including the Nasdaq Stock Market. Changing consumer preferences may result in increased demands regarding our products and supply chain and their respective environmental and social impact, including on sustainability. These demands could require additional transparency, due diligence, and reporting and could cause us to incur additional costs or to make changes to our operations to comply with such demands. We may also determine that certain changes are required in anticipation of further evolution of consumer preferences and demands. Increased focus and activism related to ESG may also result in investors reconsidering their investment decisions as a result of their assessment of a company’s ESG practices. Further, concern over climate change and other environmental sustainability matters, has and may in the future result in new or increased legal and regulatory requirements to reduce or mitigate impacts to the environment, including greenhouse gas emissions regulations, alternative energy policies, water consumption and sustainability initiatives. If we fail to achieve any goals, targets, or objectives we may set with respect to ESG matters, if we do not meet or comply with new regulations or evolving consumer, investor, industry, or stakeholder expectations and standards, including those related to reporting, or if we are perceived to have not responded appropriately to the growing concern for ESG matters, we may face legal or regulatory actions, the imposition of fines, penalties, or other sanctions, adverse publicity, and decreased demand from consumers, or the price of our common stock could decline, any of which could materially harm our reputation or have a material adverse effect on our business, financial condition, or operating results.</w:t>
      </w:r>
    </w:p>
    <w:p>
      <w:pPr>
        <w:spacing w:after="0" w:line="200"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menu labeling rules, nutritional guidelines and academic studies, whether issued by government agencies, research institutions, or advocacy organizations, may impact consumer choice and cause consumers to select foods other than those that are offered by our restaurants. Consumer preference on sourcing, or in response to environmental and animal welfare concern may also cause some groups of consumers to select foods other than those that are offered by our restaurants. If we are unable to anticipate or successfully respond to changes in consumer preferences, our results of operations could be adversely affected, generally or in particular concepts or markets.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relationships with third-party delivery services and ability to grow sales through delivery orders are subject to risks.</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maintain relationships with various third-party delivery apps and services. Our ability to efficiently manage our business, service our customers and process digital orders through third-party delivery partnerships depends significantly on the reliability and performance of our systems and those managed by our service providers. Our sales may be negatively affected if these platforms are damaged or interrupted through technological failures, power loss, user errors, cyber-attacks, other forms of sabotage, inclement weather or natural disasters or otherwise. This could cause reputational harm or adversely impact sales and customer satisfaction.</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sales through these services may also depend on the availability of delivery drivers, who are generally independent contractors. These drivers may make errors, fail to make timely deliveries, damage our food or poorly represent our brands, which may lead to customer disappointment, reputational harm and unmet sales expectations. Our sales may also be adversely impacted if there is a shortage of drivers that are willing and available to make deliveries from our restaurants. If the third-party aggregators that we utilize for delivery cease or curtail their operations, fail to maintain sufficient labor force to satisfy demand, materially change fees, access or visibility to our products or give greater priority or promotions on their platforms to our competitors, our business may be negatively impacted.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laws and unanticipated tax liabilities could adversely affect the taxes we pay and our profitability.</w:t>
      </w: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“ownership change” as defined under Section 382 of the Internal Revenue Code, changes in U.S. or foreign tax laws including the impact of Base Erosion and Profits Shifting (“BEPS”) model rules, comprehensive tax reform measures or other legislative changes and the outcome of income tax audits and tax litigation. Although we believe our tax estimates are reasonable, the final determination of tax audits and tax litigation could be materially different from our historical income tax provisions and accruals. These results could have a material effect on our results of operations or cash flows in the period or periods for which these determinations are made. In addition, our effective income tax rate and our results may be impacted by our ability to realize deferred tax benefits, including our FICA tip credit carryforwards, and by any increases or decreases of our valuation allowances applied to our existing deferred tax assets.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sanitation, hazardous material, building, zoning, land use, traffic,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franchises. Failure to comply with these laws could adversely affect the results we generate from franchises or otherwise impose costs on us. Alcoholic beverage sales represent 11%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 We may also incur costs of and challenges in ensuring compliance with measures implemented in response to COVID-19, such as requirements for physical barriers or other preventative measures in restaurants or vaccination or testing requirements for our employees, which can vary by the location of the restaurant and may continue to change. We are subject to laws relating to information security, cashless payments and consumer credit, protection and fraud. Compliance with these laws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regulations can be costly, and any failure or perceived failure to comply with these laws or any breach of our systems could harm our reputation or lead to litigation, which could adversely affect our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our remodeling, relocation and expansion plans may have adverse effects on our operating results.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business strategy, we intend to continue to remodel, relocate and expand our current portfolio of restaurants. Our 2023 development schedule calls for the construction of approximately 30 to 35 new system-wide locations, with approximately 20 in Brazil. A variety of factors could cause the actual results and outcome of those plans to differ from the anticipated results, including among other things, the availability and terms on which we can lease attractive sites for new or relocated restaurants, availability and terms of funding, recruiting, training and retaining skilled management and restaurant employees, construction or other delays, the availability of construction materials or restaurant equipment, construction and renovation costs and consumer tastes and acceptance of our restaurant concepts and awareness of our brands in new regions. Governmental regulations or other health guidelines concerning operations of stores, including due to the COVID-19 pandemic or other public health emergencies may also cause disruptions in our plans.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It is difficult to estimate the performance of newly opened restaurants and whether they may attract customers away from other restaurants we own. If new or existing restaurants do not meet targeted performance, it could have a material adverse effect on our operating results, including any impairment losses that we may be required to recognize.</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 addition, in an effort to increase same-restaurant sales and improve our operating performance, we continue to make improvements to our facilities through remodels and relocations and close underperforming restaurants. We incur significant lease termination or continuation expenses and asset impairment and other charges when we close or relocate a restaurant. If the expenses associated with remodels, relocations or closures are higher than anticipated, we cannot find suitable locations or remodeled or relocated restaurants do not perform as expected, these initiatives may not yield the desired return on investment, which could have a negative effect on our operating results.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Failure to achieve projected cost savings from our efficiency initiatives could adversely affect our results of operations and eliminate potential funding for growth opportunities.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recent years, we have identified strategies and taken steps to reduce operating costs and free up resources to reinvest in our business. These strategies include improved supply chain management, implementing labor scheduling tools and integrating restaurant information systems across our brands. In addition, during 2020, we implemented certain measures to reduce costs and preserve liquidity in response to the impacts of COVID-19. If we were required to implement similar measures in the future, they may not be sustainable or may be detrimental to continued operations.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Failure to achieve such desired savings could adversely affect our results of operations and financial condition and curtail investment in growth opportunities.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19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are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 significant portion of our financial results are dependent upon the operational and financial success of our franchisees. If sales trends or economic conditions worsen for franchisees, their financial results may worsen and our royalty, rent and other fee revenues may decline. In addition, we may also incur expenses in connection with supporting franchise restaurants that are underperforming. As small businesses, some of our franchise operators may be negatively and disproportionately impacted by strategic initiatives, capital requirements, inflation, increased interest rates, labor costs, employee relations issues, or other causes. When Company-owned restaurants are sold to a franchisee, one of our subsidiaries is often required to remain responsible for lease payments for the sold restaurants to the extent the purchasing franchisees default on their leases. During periods of declining sales and profitability of franchisees, the incidence of franchisee defaults for these lease payments may increase and we may be required to make lease payments and seek recourse against the franchisee or agree to repayment terms.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i w:val="1"/>
          <w:iCs w:val="1"/>
          <w:color w:val="auto"/>
        </w:rPr>
        <w:t>Significant adverse weather conditions and other disasters or unforeseen events and our ability to execute or success in executing a comprehensive business recovery plan at our restaurant support center for these events could negatively impact our results of operations and have a material adverse impact on our business.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Adverse weather conditions and natural disasters and other unforeseen events, such as winter storms, severe temperatures, thunderstorms, floods, drought, fires, hurricanes and earthquakes, terrorist attacks, war and widespread/pandemic illness, and the effects of such events on economic conditions and consumer spending patterns, could disrupt our operations or supply chain and negatively impact our results of operations. These events may result in lost restaurant sales, as well as property damage, lost products, interruptions in supply, and increased costs, temporary and prolonged restaurant closures may occur and consumer traffic may decline due to the actual or perceived effects from these events. For example, the COVID-19 pandemic, severe winter weather conditions and hurricanes have impacted our traffic, and that of our franchises, and results of operations in recent years. Although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predict when or where we will be negatively impacted by adverse weather events, to the extent that climate change or other factors result in more frequent, widespread or severe events, it could adversely impact our results. U.S. and foreign governmental officials also have placed an increasing focus on environmental matters, including climate change, reduction of greenhouse gases and water consumption. This increased focus could lead to legislative, regulatory or other efforts to combat these environmental concerns. These efforts could result in further increases in taxes, cost of supplies, transportation and utilities, which could increase our operating costs and those of our franchisees and require future investments in facilities and equipment. There may also be increased pressure for us to make commitments, set targets or establish goals to take actions to meet them, which could expose us and our franchisees to market, operational, execution and reputational costs or risks.</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Many of our corporate systems and processes and corporate support for our restaurant operations are centralized at one location in Tampa, Florida. We have disaster recovery procedures and business continuity plans in place to address crisis-level events, including hurricanes and other natural disasters, and back up and off-site locations for recovery of electronic and other forms of data and information, and the COVID-19 pandemic has provided a limited test of our ability to manage our business remotely.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 In addition, these threats are constantly evolving, which increases the difficulty of accurately and timely predicting, planning for and protecting against the threat. As a result, our disaster recovery procedures and business continuity plans security may not adequately address all threats we face or protect us from loss.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risks and uncertainties associated with initiatives that we may implement.</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From time to time, we consider various initiatives in order to grow and evolve our business and brands and improve our operating results. These initiatives could include, among other things, acquisitions, development or dispositions of restaurants or brands, new joint ventures, new franchise arrangements, restaurant closures and changes to our operating model.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any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or inability to enforce our trademarks or other proprietary rights could adversely affect our competitive position or the value of our brand.</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could have a material adverse impact on our business and our financial performance.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subject to lawsuits, administrative proceedings and claims that arise in the regular course of business. These matters typically involve claims by consumers and others regarding issues such as food borne illness, food safety, premises liability, personal injury, discrimination, “dram shop” statute liability, promotional advertising and other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operational issues common to the food service industry, as well as environmental, data privacy, contract disputes and intellectual property infringement matters. We are also subject to employee claims against us based on, among other things, discrimination, harassment, wrongful termination, 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or diversion of management attention due to any resulting lawsuits, any substantial settlement payment or damage award against us and any damage to our reputation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49"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For example, if COVID-19 capacity restrictions reoccur, inflation persists, or our financial position deteriorates, our revenues and liquidity position may decline.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leverage could adversely affect our ability to raise additional capital to fund our operations or limit our ability to react to changes in the economy or our industry.</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of December 25, 2022, our total net indebtedness was $833.3 million and we had $550.0 million in available unused borrowing capacity under our revolving credit facility, net of undrawn letters of credit of $20.0 million. In May 2020, we issued $230.0 million of 5.00% convertible senior notes due in 2025 (the “2025 Notes”), of which $105.0 million in aggregate principal of the 2025 Notes remain outstanding as of December 25, 2022, and in April 2021 we issued $300.0 million of 5.125% senior notes due in 2029 (the “2029 Notes”).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Our leverage could have important consequences, including:</w:t>
      </w:r>
    </w:p>
    <w:p>
      <w:pPr>
        <w:spacing w:after="0" w:line="25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making it more difficult for us to make payments on indebtedness;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industry and competitive conditions and the various risks we face in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increasing our cost of borrowing or limiting our ability to obtain additional financing if needed;</w:t>
      </w:r>
    </w:p>
    <w:p>
      <w:pPr>
        <w:spacing w:after="0" w:line="20"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reducing our ability to use our cash flow to fund our operations, capital expenditures, dividend payments, and future business and strategic opportunities; and</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competitive disadvantage compared to our competitors who may not be as highly leveraged.</w:t>
      </w:r>
    </w:p>
    <w:p>
      <w:pPr>
        <w:spacing w:after="0" w:line="22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We may incur substantial additional indebtedness in the future, subject to the restrictions contained in our credit agreement. If new indebtedness is added to our current debt levels, the related risks that we now face could increase.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cannot be certain that our financial condition or credit and other market conditions will be favorable when our credit agreement matures in 2026, or at any earlier time we may seek to refinance our debt. Further, turmoil in global credit markets could adversely impact the availability and cost of credit. If we are unable to refinance our indebtedness on favorable terms, our financial condition and results of operations would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agreements contain restrictions that limit our flexibility in operating our business.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Certain of our debt agreements limit our and our subsidiaries’ abilities to, among other things, incur or guarantee additional indebtedness, pay dividends on,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credit agreement. If our lenders accelerate the repayment of borrowings, we cannot be certain that we will have sufficient assets to repay them.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raise capital in the future may be limited, which could make us unable to fund our capital requirements.</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w:t>
      </w:r>
    </w:p>
    <w:p>
      <w:pPr>
        <w:spacing w:after="0" w:line="20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Thus, our stockholders bear the risk of our future securities offerings reducing the market price of our common stock and diluting their interest.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subject to volatility.</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common stock by our stockholders, actions or announcements by us or our competitors, the maintenance and growth of the value of our brands, litigation, legislation or other regulatory developments affecting us or our industry, widespread/pandemic illness, natural disasters, cyber-attacks, terrorist acts, war or other calamities and changes in general market and economic conditions.</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Provisions in our certificate of incorporation and bylaws and Delaware law may discourage, delay or prevent a change of control of our company or changes in our management and, therefore, may depress the trading price of our stock.</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Our certificate of incorporation and bylaws include certain provisions (including provisions related to our classified board structure through 2024) that could have the effect of discouraging, delaying or preventing a change of control of our company or changes in our management. 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Unforeseen events, for example the COVID-19 pandemic, could make developing forecasts for, and the accounting of, valuation of goodwill and certain other assets slower and more difficult. Should the value of goodwill or other intangible or long-lived assets become impaired, there could be an adverse effect on our financial condition and consolidated results of operations.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Furthermore, we cannot be certain that our internal control over financial reporting and disclosure controls and procedures will prevent all possible error and fraud, including through cyber-attacks.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a simple error or mistake, which could have an adverse impact on our business. A significant financial reporting failure or a lack of sufficient internal control over financial reporting could cause a loss of investor confidence and decline in the market price of our common stock, increase our costs, lead to litigation or result in negative publicity that could damage our reputation.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 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had 1,507 system wide full-service restaurants and off-premises only kitchens located across 47 states, Guam and 13 countries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25, 2022. The following is a summary of our restaurant and kitchen locations by country and territory as of December 25,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ind w:left="1620"/>
              <w:spacing w:after="0"/>
              <w:rPr>
                <w:sz w:val="20"/>
                <w:szCs w:val="20"/>
                <w:color w:val="auto"/>
              </w:rPr>
            </w:pPr>
            <w:r>
              <w:rPr>
                <w:rFonts w:ascii="Arial" w:cs="Arial" w:eastAsia="Arial" w:hAnsi="Arial"/>
                <w:sz w:val="14"/>
                <w:szCs w:val="14"/>
                <w:b w:val="1"/>
                <w:bCs w:val="1"/>
                <w:color w:val="auto"/>
              </w:rPr>
              <w:t>COMPANY-OWNED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FRANCHISED</w:t>
            </w:r>
          </w:p>
        </w:tc>
        <w:tc>
          <w:tcPr>
            <w:tcW w:w="2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Brazil (1)</w:t>
            </w: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Argentina</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2100" w:type="dxa"/>
            <w:vAlign w:val="bottom"/>
          </w:tcPr>
          <w:p>
            <w:pPr>
              <w:ind w:left="60"/>
              <w:spacing w:after="0"/>
              <w:rPr>
                <w:sz w:val="20"/>
                <w:szCs w:val="20"/>
                <w:color w:val="auto"/>
              </w:rPr>
            </w:pPr>
            <w:r>
              <w:rPr>
                <w:rFonts w:ascii="Arial" w:cs="Arial" w:eastAsia="Arial" w:hAnsi="Arial"/>
                <w:sz w:val="16"/>
                <w:szCs w:val="16"/>
                <w:color w:val="auto"/>
              </w:rPr>
              <w:t>Japan</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(Mainland)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Australia</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2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Mexico</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Hong Kong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Canada</w:t>
            </w:r>
          </w:p>
        </w:tc>
        <w:tc>
          <w:tcPr>
            <w:tcW w:w="146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rPr>
              <w:t>3</w:t>
            </w:r>
          </w:p>
        </w:tc>
        <w:tc>
          <w:tcPr>
            <w:tcW w:w="21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Qatar</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international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Costa Rica</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2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Saudi Arabia</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Dominican Republic</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Pr>
          <w:p>
            <w:pPr>
              <w:ind w:left="60"/>
              <w:spacing w:after="0"/>
              <w:rPr>
                <w:sz w:val="20"/>
                <w:szCs w:val="20"/>
                <w:color w:val="auto"/>
              </w:rPr>
            </w:pPr>
            <w:r>
              <w:rPr>
                <w:rFonts w:ascii="Arial" w:cs="Arial" w:eastAsia="Arial" w:hAnsi="Arial"/>
                <w:sz w:val="16"/>
                <w:szCs w:val="16"/>
                <w:color w:val="auto"/>
              </w:rPr>
              <w:t>South Korea</w:t>
            </w:r>
          </w:p>
        </w:tc>
        <w:tc>
          <w:tcPr>
            <w:tcW w:w="60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Guam</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international franchised</w:t>
            </w:r>
          </w:p>
        </w:tc>
        <w:tc>
          <w:tcPr>
            <w:tcW w:w="14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franchised</w:t>
            </w:r>
          </w:p>
        </w:tc>
        <w:tc>
          <w:tcPr>
            <w:tcW w:w="146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7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count for Brazil is reported as of November 30, 2022 to correspond with the balance sheet date of this subsidiary.</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lease substantially all of our restaurant properties from third parties. As of December 25, 2022, our Company-owned restaurants were located on the following sites by segment: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U.S.</w:t>
            </w:r>
          </w:p>
        </w:tc>
        <w:tc>
          <w:tcPr>
            <w:tcW w:w="120" w:type="dxa"/>
            <w:vAlign w:val="bottom"/>
            <w:vMerge w:val="restart"/>
          </w:tcPr>
          <w:p>
            <w:pPr>
              <w:spacing w:after="0"/>
              <w:rPr>
                <w:sz w:val="14"/>
                <w:szCs w:val="14"/>
                <w:color w:val="auto"/>
              </w:rPr>
            </w:pPr>
          </w:p>
        </w:tc>
        <w:tc>
          <w:tcPr>
            <w:tcW w:w="1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vMerge w:val="restart"/>
          </w:tcPr>
          <w:p>
            <w:pPr>
              <w:spacing w:after="0"/>
              <w:rPr>
                <w:sz w:val="14"/>
                <w:szCs w:val="14"/>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56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Company-owned sites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Leased sites: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 ground and building leases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Space and in-line leases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Company-owned restaurant sites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We also lease corporate offices in Tampa, Florida and São Paulo, Brazil.</w:t>
      </w:r>
    </w:p>
    <w:p>
      <w:pPr>
        <w:spacing w:after="0" w:line="250"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 description of our legal proceedings, see Note 22 -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Market Information </w:t>
      </w:r>
      <w:r>
        <w:rPr>
          <w:rFonts w:ascii="Arial" w:cs="Arial" w:eastAsia="Arial" w:hAnsi="Arial"/>
          <w:sz w:val="20"/>
          <w:szCs w:val="20"/>
          <w:color w:val="auto"/>
        </w:rPr>
        <w:t>- Our common stock is listed on the Nasdaq Global Select Market under the symbol “BLMN”.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Dividends - </w:t>
      </w:r>
      <w:r>
        <w:rPr>
          <w:rFonts w:ascii="Arial" w:cs="Arial" w:eastAsia="Arial" w:hAnsi="Arial"/>
          <w:sz w:val="19"/>
          <w:szCs w:val="19"/>
          <w:color w:val="auto"/>
        </w:rPr>
        <w:t>In February 2022, our Board of Directors (our “Board”) reinstated quarterly dividends after a temporary suspension during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COVID-19 pandemic. Future dividend payments will depend on continued compliance with our financial covenants, as well as our earnings, financial condition, capital expenditure requirements, surplus and other factors that our Board considers relevant.</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Holders </w:t>
      </w:r>
      <w:r>
        <w:rPr>
          <w:rFonts w:ascii="Arial" w:cs="Arial" w:eastAsia="Arial" w:hAnsi="Arial"/>
          <w:sz w:val="20"/>
          <w:szCs w:val="20"/>
          <w:color w:val="auto"/>
        </w:rPr>
        <w:t>- As of February 16, 2023, there were 109 holders of record of our common stock. The number of registered holders does not</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holders who are beneficial owners whose shares are held in street name by brokers and other nominees.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Securities Authorized for Issuance Under Equity Compensation Plans </w:t>
      </w:r>
      <w:r>
        <w:rPr>
          <w:rFonts w:ascii="Arial" w:cs="Arial" w:eastAsia="Arial" w:hAnsi="Arial"/>
          <w:sz w:val="20"/>
          <w:szCs w:val="20"/>
          <w:color w:val="auto"/>
        </w:rPr>
        <w:t>- The following table presents the securities authorized for issuance</w:t>
      </w:r>
      <w:r>
        <w:rPr>
          <w:rFonts w:ascii="Arial" w:cs="Arial" w:eastAsia="Arial" w:hAnsi="Arial"/>
          <w:sz w:val="20"/>
          <w:szCs w:val="20"/>
          <w:i w:val="1"/>
          <w:iCs w:val="1"/>
          <w:color w:val="auto"/>
        </w:rPr>
        <w:t xml:space="preserve"> </w:t>
      </w:r>
      <w:r>
        <w:rPr>
          <w:rFonts w:ascii="Arial" w:cs="Arial" w:eastAsia="Arial" w:hAnsi="Arial"/>
          <w:sz w:val="20"/>
          <w:szCs w:val="20"/>
          <w:color w:val="auto"/>
        </w:rPr>
        <w:t>under our equity compensation plans as of December 25, 2022:</w:t>
      </w:r>
    </w:p>
    <w:p>
      <w:pPr>
        <w:sectPr>
          <w:pgSz w:w="11900" w:h="16838" w:orient="portrait"/>
          <w:cols w:equalWidth="0" w:num="1">
            <w:col w:w="11240"/>
          </w:cols>
          <w:pgMar w:left="320" w:top="121" w:right="339" w:bottom="1440" w:gutter="0" w:footer="0" w:header="0"/>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33000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0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32385</wp:posOffset>
            </wp:positionV>
            <wp:extent cx="12084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SECURITIES</w:t>
      </w:r>
    </w:p>
    <w:p>
      <w:pPr>
        <w:ind w:left="160"/>
        <w:spacing w:after="0" w:line="206" w:lineRule="auto"/>
        <w:rPr>
          <w:sz w:val="20"/>
          <w:szCs w:val="20"/>
          <w:color w:val="auto"/>
        </w:rPr>
      </w:pPr>
      <w:r>
        <w:rPr>
          <w:rFonts w:ascii="Arial" w:cs="Arial" w:eastAsia="Arial" w:hAnsi="Arial"/>
          <w:sz w:val="14"/>
          <w:szCs w:val="14"/>
          <w:b w:val="1"/>
          <w:bCs w:val="1"/>
          <w:color w:val="auto"/>
        </w:rPr>
        <w:t>TO BE ISSUED UPON</w:t>
      </w:r>
    </w:p>
    <w:p>
      <w:pPr>
        <w:ind w:left="400"/>
        <w:spacing w:after="0" w:line="221" w:lineRule="auto"/>
        <w:rPr>
          <w:sz w:val="20"/>
          <w:szCs w:val="20"/>
          <w:color w:val="auto"/>
        </w:rPr>
      </w:pPr>
      <w:r>
        <w:rPr>
          <w:rFonts w:ascii="Arial" w:cs="Arial" w:eastAsia="Arial" w:hAnsi="Arial"/>
          <w:sz w:val="14"/>
          <w:szCs w:val="14"/>
          <w:b w:val="1"/>
          <w:bCs w:val="1"/>
          <w:color w:val="auto"/>
        </w:rPr>
        <w:t>EXERCISE OF</w:t>
      </w:r>
    </w:p>
    <w:p>
      <w:pPr>
        <w:spacing w:after="0" w:line="222" w:lineRule="auto"/>
        <w:rPr>
          <w:sz w:val="20"/>
          <w:szCs w:val="20"/>
          <w:color w:val="auto"/>
        </w:rPr>
      </w:pPr>
      <w:r>
        <w:rPr>
          <w:rFonts w:ascii="Arial" w:cs="Arial" w:eastAsia="Arial" w:hAnsi="Arial"/>
          <w:sz w:val="14"/>
          <w:szCs w:val="14"/>
          <w:b w:val="1"/>
          <w:bCs w:val="1"/>
          <w:color w:val="auto"/>
        </w:rPr>
        <w:t>OUTSTANDING OPTIONS,</w:t>
      </w:r>
    </w:p>
    <w:p>
      <w:pPr>
        <w:spacing w:after="0" w:line="201" w:lineRule="auto"/>
        <w:rPr>
          <w:sz w:val="20"/>
          <w:szCs w:val="20"/>
          <w:color w:val="auto"/>
        </w:rPr>
      </w:pPr>
      <w:r>
        <w:rPr>
          <w:rFonts w:ascii="Arial" w:cs="Arial" w:eastAsia="Arial" w:hAnsi="Arial"/>
          <w:sz w:val="14"/>
          <w:szCs w:val="14"/>
          <w:b w:val="1"/>
          <w:bCs w:val="1"/>
          <w:color w:val="auto"/>
        </w:rPr>
        <w:t>WARRANTS AND RIGHTS</w:t>
      </w:r>
    </w:p>
    <w:p>
      <w:pPr>
        <w:ind w:left="800"/>
        <w:spacing w:after="0"/>
        <w:rPr>
          <w:sz w:val="20"/>
          <w:szCs w:val="20"/>
          <w:color w:val="auto"/>
        </w:rPr>
      </w:pP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73660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39"/>
        </w:trPr>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202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44"/>
        </w:trPr>
        <w:tc>
          <w:tcPr>
            <w:tcW w:w="20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EXERCISE PRICE OF</w:t>
            </w:r>
          </w:p>
        </w:tc>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39"/>
        </w:trPr>
        <w:tc>
          <w:tcPr>
            <w:tcW w:w="20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OUTSTANDING OPTIONS,</w:t>
            </w:r>
          </w:p>
        </w:tc>
        <w:tc>
          <w:tcPr>
            <w:tcW w:w="1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WARRANTS AND RIGHTS</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8"/>
              </w:rPr>
              <w:t>(a)) (3)</w:t>
            </w: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3">
            <w:col w:w="4660" w:space="720"/>
            <w:col w:w="1780" w:space="160"/>
            <w:col w:w="392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tabs>
          <w:tab w:leader="none" w:pos="540" w:val="left"/>
          <w:tab w:leader="none" w:pos="2000" w:val="left"/>
          <w:tab w:leader="none" w:pos="4000" w:val="left"/>
        </w:tabs>
        <w:rPr>
          <w:sz w:val="20"/>
          <w:szCs w:val="20"/>
          <w:color w:val="auto"/>
        </w:rPr>
      </w:pPr>
      <w:r>
        <w:rPr>
          <w:rFonts w:ascii="Arial" w:cs="Arial" w:eastAsia="Arial" w:hAnsi="Arial"/>
          <w:sz w:val="16"/>
          <w:szCs w:val="16"/>
          <w:color w:val="auto"/>
        </w:rPr>
        <w:t>4,719</w:t>
        <w:tab/>
        <w:t>$</w:t>
      </w:r>
      <w:r>
        <w:rPr>
          <w:sz w:val="20"/>
          <w:szCs w:val="20"/>
          <w:color w:val="auto"/>
        </w:rPr>
        <w:tab/>
      </w:r>
      <w:r>
        <w:rPr>
          <w:rFonts w:ascii="Arial" w:cs="Arial" w:eastAsia="Arial" w:hAnsi="Arial"/>
          <w:sz w:val="16"/>
          <w:szCs w:val="16"/>
          <w:color w:val="auto"/>
        </w:rPr>
        <w:t>21.43</w:t>
      </w:r>
      <w:r>
        <w:rPr>
          <w:sz w:val="20"/>
          <w:szCs w:val="20"/>
          <w:color w:val="auto"/>
        </w:rPr>
        <w:tab/>
      </w:r>
      <w:r>
        <w:rPr>
          <w:rFonts w:ascii="Arial" w:cs="Arial" w:eastAsia="Arial" w:hAnsi="Arial"/>
          <w:sz w:val="15"/>
          <w:szCs w:val="15"/>
          <w:color w:val="auto"/>
        </w:rPr>
        <w:t>7,936</w:t>
      </w:r>
    </w:p>
    <w:p>
      <w:pPr>
        <w:spacing w:after="0" w:line="113" w:lineRule="exact"/>
        <w:rPr>
          <w:sz w:val="20"/>
          <w:szCs w:val="20"/>
          <w:color w:val="auto"/>
        </w:rPr>
      </w:pPr>
    </w:p>
    <w:p>
      <w:pPr>
        <w:sectPr>
          <w:pgSz w:w="11900" w:h="16838" w:orient="portrait"/>
          <w:cols w:equalWidth="0" w:num="2">
            <w:col w:w="6060" w:space="720"/>
            <w:col w:w="446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right="20" w:hanging="652"/>
        <w:spacing w:after="0" w:line="25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1,531 shares issuable in respect to restricted stock units and performance-based share units (assuming target achievement of applicable performance metrics).</w:t>
      </w: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in this column relate only to options exercisable for common shares.</w:t>
      </w:r>
    </w:p>
    <w:p>
      <w:pPr>
        <w:spacing w:after="0" w:line="8" w:lineRule="exact"/>
        <w:rPr>
          <w:rFonts w:ascii="Arial" w:cs="Arial" w:eastAsia="Arial" w:hAnsi="Arial"/>
          <w:sz w:val="16"/>
          <w:szCs w:val="16"/>
          <w:color w:val="auto"/>
        </w:rPr>
      </w:pPr>
    </w:p>
    <w:p>
      <w:pPr>
        <w:jc w:val="both"/>
        <w:ind w:left="660" w:hanging="652"/>
        <w:spacing w:after="0" w:line="25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shares remaining available for issuance may be issued in the form of stock options, restricted stock units or other stock awards under the 2020 Omnibus Incentive Compensation Plan. See Note 7 - </w:t>
      </w:r>
      <w:r>
        <w:rPr>
          <w:rFonts w:ascii="Arial" w:cs="Arial" w:eastAsia="Arial" w:hAnsi="Arial"/>
          <w:sz w:val="16"/>
          <w:szCs w:val="16"/>
          <w:i w:val="1"/>
          <w:iCs w:val="1"/>
          <w:color w:val="auto"/>
        </w:rPr>
        <w:t>Stock-based and Deferred Compensation Plans</w:t>
      </w:r>
      <w:r>
        <w:rPr>
          <w:rFonts w:ascii="Arial" w:cs="Arial" w:eastAsia="Arial" w:hAnsi="Arial"/>
          <w:sz w:val="16"/>
          <w:szCs w:val="16"/>
          <w:color w:val="auto"/>
        </w:rPr>
        <w:t xml:space="preserve"> of the Notes to Consolidated Financial Statements for details regarding the plan.</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Purchases of Equity Securities by the Issuer and Affiliated Purchasers </w:t>
      </w:r>
      <w:r>
        <w:rPr>
          <w:rFonts w:ascii="Arial" w:cs="Arial" w:eastAsia="Arial" w:hAnsi="Arial"/>
          <w:sz w:val="20"/>
          <w:szCs w:val="20"/>
          <w:color w:val="auto"/>
        </w:rPr>
        <w:t>- The following table provides information regarding our purchases of</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during the thirteen weeks ended December 25, 2022:</w:t>
      </w:r>
    </w:p>
    <w:tbl>
      <w:tblPr>
        <w:tblLayout w:type="fixed"/>
        <w:tblInd w:w="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3"/>
                <w:szCs w:val="13"/>
                <w:color w:val="auto"/>
              </w:rPr>
            </w:pPr>
          </w:p>
        </w:tc>
        <w:tc>
          <w:tcPr>
            <w:tcW w:w="19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PERIOD</w:t>
            </w:r>
          </w:p>
        </w:tc>
        <w:tc>
          <w:tcPr>
            <w:tcW w:w="120" w:type="dxa"/>
            <w:vAlign w:val="bottom"/>
            <w:vMerge w:val="restart"/>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26, 2022 through October 23, 2022</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558,359</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558,359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33,000,386</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October 24, 2022 through November 20, 2022</w:t>
            </w:r>
          </w:p>
        </w:tc>
        <w:tc>
          <w:tcPr>
            <w:tcW w:w="1800" w:type="dxa"/>
            <w:vAlign w:val="bottom"/>
          </w:tcPr>
          <w:p>
            <w:pPr>
              <w:jc w:val="right"/>
              <w:spacing w:after="0"/>
              <w:rPr>
                <w:sz w:val="20"/>
                <w:szCs w:val="20"/>
                <w:color w:val="auto"/>
              </w:rPr>
            </w:pPr>
            <w:r>
              <w:rPr>
                <w:rFonts w:ascii="Arial" w:cs="Arial" w:eastAsia="Arial" w:hAnsi="Arial"/>
                <w:sz w:val="16"/>
                <w:szCs w:val="16"/>
                <w:color w:val="auto"/>
              </w:rPr>
              <w:t>356,949</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18"/>
                <w:szCs w:val="18"/>
                <w:color w:val="auto"/>
              </w:rPr>
            </w:pPr>
          </w:p>
        </w:tc>
        <w:tc>
          <w:tcPr>
            <w:tcW w:w="1840" w:type="dxa"/>
            <w:vAlign w:val="bottom"/>
          </w:tcPr>
          <w:p>
            <w:pPr>
              <w:jc w:val="right"/>
              <w:ind w:right="4"/>
              <w:spacing w:after="0"/>
              <w:rPr>
                <w:sz w:val="20"/>
                <w:szCs w:val="20"/>
                <w:color w:val="auto"/>
              </w:rPr>
            </w:pPr>
            <w:r>
              <w:rPr>
                <w:rFonts w:ascii="Arial" w:cs="Arial" w:eastAsia="Arial" w:hAnsi="Arial"/>
                <w:sz w:val="16"/>
                <w:szCs w:val="16"/>
                <w:color w:val="auto"/>
              </w:rPr>
              <w:t>356,949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24,750,618</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November 21, 2022 through December 25,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455,628</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455,628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15,000,648</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1,370,936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1,370,936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jc w:val="both"/>
        <w:ind w:left="660" w:hanging="652"/>
        <w:spacing w:after="0" w:line="25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8, 2022, our Board authorized the repurchase of up to $125.0 million of our outstanding common stock as announced in our press release issued on February 18, 2022 (the “2022 Share Repurchase Program”). Subsequent to December 25, 2022, we repurchased the remaining $15.0 million of our common stock authorized under the 2022 Share Repurchase Program under a Rule 10b5-1 plan. On February 7, 2023, our Board approved a new share repurchase authorization of up to $125.0 million of our outstanding common stock as announced in our press release issued February 16, 2023 (the “2023 Share Repurchase Program”). The 2023 Share Repurchase Program will expire on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Stock Performance Graph </w:t>
      </w:r>
      <w:r>
        <w:rPr>
          <w:rFonts w:ascii="Arial" w:cs="Arial" w:eastAsia="Arial" w:hAnsi="Arial"/>
          <w:sz w:val="20"/>
          <w:szCs w:val="20"/>
          <w:color w:val="auto"/>
        </w:rPr>
        <w:t>- The following graph depicts total return to stockholders from December 29, 2017 through December 25, 2022,</w:t>
      </w:r>
      <w:r>
        <w:rPr>
          <w:rFonts w:ascii="Arial" w:cs="Arial" w:eastAsia="Arial" w:hAnsi="Arial"/>
          <w:sz w:val="20"/>
          <w:szCs w:val="20"/>
          <w:i w:val="1"/>
          <w:iCs w:val="1"/>
          <w:color w:val="auto"/>
        </w:rPr>
        <w:t xml:space="preserve"> </w:t>
      </w:r>
      <w:r>
        <w:rPr>
          <w:rFonts w:ascii="Arial" w:cs="Arial" w:eastAsia="Arial" w:hAnsi="Arial"/>
          <w:sz w:val="20"/>
          <w:szCs w:val="20"/>
          <w:color w:val="auto"/>
        </w:rPr>
        <w:t>relative to the performance of the Standard &amp; Poor’s 500 index and the Standard &amp; Poor’s 500 Consumer Discretionary index, a peer group. The graph assumes an investment of $100 in our common stock and in each index on December 29, 2017 (the last business day of the fiscal year of investment),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1270</wp:posOffset>
            </wp:positionV>
            <wp:extent cx="5829300" cy="4749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930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4"/>
                <w:szCs w:val="14"/>
                <w:color w:val="auto"/>
              </w:rPr>
            </w:pPr>
          </w:p>
        </w:tc>
        <w:tc>
          <w:tcPr>
            <w:tcW w:w="1320" w:type="dxa"/>
            <w:vAlign w:val="bottom"/>
          </w:tcPr>
          <w:p>
            <w:pPr>
              <w:jc w:val="right"/>
              <w:ind w:right="143"/>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Bloomin’ Brands, Inc.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93.07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102.90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105.56</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(BLMN)</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Arial" w:cs="Arial" w:eastAsia="Arial" w:hAnsi="Arial"/>
                <w:sz w:val="16"/>
                <w:szCs w:val="16"/>
                <w:color w:val="auto"/>
              </w:rPr>
              <w:t>Standard &amp; Poor’s 500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94.79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126.03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146.68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189.83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156.96</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Standard &amp; Poor’s 500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99.73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129.72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168.59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213.05</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135.06</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Discretionary</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consolidated financial statements and the related notes. For discussion of our consolidated and segment-level results of operations, non-GAAP measures, and liquidity and capital resources for fiscal year 2020, see our Annual Report on Form 10-K for the year ended December 26, 2021, filed with the SEC on February 23, 2022.</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are one of the largest casual dining restaurant companies in the world with a portfolio of leading, differentiated restaurant concepts. As of December 25, 2022, we owned and operated 1,186 full-service restaurants and off-premises only kitchens and franchised 321 full-service restaurants and off-premises only kitchens across 47 states, Guam and 13 countries. We have four founder-inspired concepts: Outback Steakhouse, Carrabba’s Italian Grill, Bonefish Grill and Fleming’s Prime Steakhouse &amp; Wine Bar.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Financial Highlights - </w:t>
      </w:r>
      <w:r>
        <w:rPr>
          <w:rFonts w:ascii="Arial" w:cs="Arial" w:eastAsia="Arial" w:hAnsi="Arial"/>
          <w:sz w:val="20"/>
          <w:szCs w:val="20"/>
          <w:color w:val="auto"/>
        </w:rPr>
        <w:t>Our financial highlights for 2022 include the following:</w:t>
      </w:r>
    </w:p>
    <w:p>
      <w:pPr>
        <w:spacing w:after="0" w:line="256"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U.S. combined and Outback Steakhouse comparable restaurant sales of 4.0% and 2.8%, respectively;</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Increase in Total revenues of 7.1%, as compared to 2021;</w:t>
      </w:r>
    </w:p>
    <w:p>
      <w:pPr>
        <w:spacing w:after="0" w:line="4"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Operating income and restaurant-level operating margins of 7.5% and 15.6%, respectively, as compared to 7.5% and 16.5%, respectively for 2021;</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Operating income of $330.4 million as compared to $309.0 million in 2021;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Diluted earnings per share of $1.03 as compared to $2.00 in 2021.</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Business Strategies </w:t>
      </w:r>
      <w:r>
        <w:rPr>
          <w:rFonts w:ascii="Arial" w:cs="Arial" w:eastAsia="Arial" w:hAnsi="Arial"/>
          <w:sz w:val="20"/>
          <w:szCs w:val="20"/>
          <w:color w:val="auto"/>
        </w:rPr>
        <w:t>- In 2023, our key business strategies include:</w:t>
      </w:r>
    </w:p>
    <w:p>
      <w:pPr>
        <w:spacing w:after="0" w:line="256" w:lineRule="exact"/>
        <w:rPr>
          <w:sz w:val="20"/>
          <w:szCs w:val="20"/>
          <w:color w:val="auto"/>
        </w:rPr>
      </w:pPr>
    </w:p>
    <w:p>
      <w:pPr>
        <w:jc w:val="both"/>
        <w:ind w:left="660" w:hanging="328"/>
        <w:spacing w:after="0" w:line="251"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Enhance the 360-Degree Customer Experience to Drive Sustainable Healthy Sales Growth. </w:t>
      </w:r>
      <w:r>
        <w:rPr>
          <w:rFonts w:ascii="Arial" w:cs="Arial" w:eastAsia="Arial" w:hAnsi="Arial"/>
          <w:sz w:val="20"/>
          <w:szCs w:val="20"/>
          <w:color w:val="auto"/>
        </w:rPr>
        <w:t>We plan to continue to make investments</w:t>
      </w:r>
      <w:r>
        <w:rPr>
          <w:rFonts w:ascii="Arial" w:cs="Arial" w:eastAsia="Arial" w:hAnsi="Arial"/>
          <w:sz w:val="20"/>
          <w:szCs w:val="20"/>
          <w:i w:val="1"/>
          <w:iCs w:val="1"/>
          <w:color w:val="auto"/>
        </w:rPr>
        <w:t xml:space="preserve"> </w:t>
      </w:r>
      <w:r>
        <w:rPr>
          <w:rFonts w:ascii="Arial" w:cs="Arial" w:eastAsia="Arial" w:hAnsi="Arial"/>
          <w:sz w:val="20"/>
          <w:szCs w:val="20"/>
          <w:color w:val="auto"/>
        </w:rPr>
        <w:t>to enhance our core guest experience, upgrade kitchen equipment and technology, increase off-premises dining occasions, remodel and relocate restaurants, invest in digital marketing and data personalization and utilize the Dine Rewards loyalty program and multimedia marketing campaigns to drive sales.</w:t>
      </w:r>
    </w:p>
    <w:p>
      <w:pPr>
        <w:spacing w:after="0" w:line="225" w:lineRule="exact"/>
        <w:rPr>
          <w:rFonts w:ascii="Arial" w:cs="Arial" w:eastAsia="Arial" w:hAnsi="Arial"/>
          <w:sz w:val="20"/>
          <w:szCs w:val="20"/>
          <w:color w:val="auto"/>
        </w:rPr>
      </w:pPr>
    </w:p>
    <w:p>
      <w:pPr>
        <w:ind w:left="660" w:hanging="328"/>
        <w:spacing w:after="0" w:line="332" w:lineRule="auto"/>
        <w:tabs>
          <w:tab w:leader="none" w:pos="648"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Long-Term Shareholder Value. </w:t>
      </w:r>
      <w:r>
        <w:rPr>
          <w:rFonts w:ascii="Arial" w:cs="Arial" w:eastAsia="Arial" w:hAnsi="Arial"/>
          <w:sz w:val="18"/>
          <w:szCs w:val="18"/>
          <w:color w:val="auto"/>
        </w:rPr>
        <w:t>We plan to drive long-term shareholder value by reinvesting operational cash flow into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improving our credit profile and returning excess cash to shareholders through share repurchases and dividends.</w:t>
      </w:r>
    </w:p>
    <w:p>
      <w:pPr>
        <w:spacing w:after="0" w:line="142" w:lineRule="exact"/>
        <w:rPr>
          <w:rFonts w:ascii="Arial" w:cs="Arial" w:eastAsia="Arial" w:hAnsi="Arial"/>
          <w:sz w:val="18"/>
          <w:szCs w:val="18"/>
          <w:i w:val="1"/>
          <w:iCs w:val="1"/>
          <w:color w:val="auto"/>
        </w:rPr>
      </w:pPr>
    </w:p>
    <w:p>
      <w:pPr>
        <w:ind w:left="660" w:hanging="328"/>
        <w:spacing w:after="0" w:line="274" w:lineRule="auto"/>
        <w:tabs>
          <w:tab w:leader="none" w:pos="648" w:val="left"/>
        </w:tabs>
        <w:numPr>
          <w:ilvl w:val="0"/>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Enrich Engagement Among Stakeholders. </w:t>
      </w:r>
      <w:r>
        <w:rPr>
          <w:rFonts w:ascii="Arial" w:cs="Arial" w:eastAsia="Arial" w:hAnsi="Arial"/>
          <w:sz w:val="20"/>
          <w:szCs w:val="20"/>
          <w:color w:val="auto"/>
        </w:rPr>
        <w:t>We take the responsibility to our people, customers and communities seriously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invest in programs that support the well-being of those engaged with us.</w:t>
      </w:r>
    </w:p>
    <w:p>
      <w:pPr>
        <w:spacing w:after="0" w:line="190" w:lineRule="exact"/>
        <w:rPr>
          <w:rFonts w:ascii="Arial" w:cs="Arial" w:eastAsia="Arial" w:hAnsi="Arial"/>
          <w:sz w:val="20"/>
          <w:szCs w:val="20"/>
          <w:i w:val="1"/>
          <w:iCs w:val="1"/>
          <w:color w:val="auto"/>
        </w:rPr>
      </w:pPr>
    </w:p>
    <w:p>
      <w:pPr>
        <w:jc w:val="both"/>
        <w:ind w:left="660" w:hanging="328"/>
        <w:spacing w:after="0" w:line="255" w:lineRule="auto"/>
        <w:tabs>
          <w:tab w:leader="none" w:pos="648" w:val="left"/>
        </w:tabs>
        <w:numPr>
          <w:ilvl w:val="0"/>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Accelerate Growth Opportunities. </w:t>
      </w:r>
      <w:r>
        <w:rPr>
          <w:rFonts w:ascii="Arial" w:cs="Arial" w:eastAsia="Arial" w:hAnsi="Arial"/>
          <w:sz w:val="20"/>
          <w:szCs w:val="20"/>
          <w:color w:val="auto"/>
        </w:rPr>
        <w:t>We believe a substantial development opportunity remains for our concepts in the U.S.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internationally through existing geography fill-in and market expansion. We will continue to pursue U.S. fill-in opportunities in key states such as Florida and Texas with Outback Steakhouse, and California and Florida with Fleming’s Prime Steakhouse &amp; Wine Bar. We will also focus on geographic regions in South America, with strategic expansion in Brazil, and pursue global franchise opportunities.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We intend to fund our business strategies, drive revenue growth and margin improvement, in part by reinvesting savings generated by cost savings and productivity initiatives across our businesses.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Macroeconomic Conditions </w:t>
      </w:r>
      <w:r>
        <w:rPr>
          <w:rFonts w:ascii="Arial" w:cs="Arial" w:eastAsia="Arial" w:hAnsi="Arial"/>
          <w:sz w:val="20"/>
          <w:szCs w:val="20"/>
          <w:color w:val="auto"/>
        </w:rPr>
        <w:t>- The combination of macroeconomic and other factors have put considerable pressure on the casual dining</w:t>
      </w:r>
      <w:r>
        <w:rPr>
          <w:rFonts w:ascii="Arial" w:cs="Arial" w:eastAsia="Arial" w:hAnsi="Arial"/>
          <w:sz w:val="20"/>
          <w:szCs w:val="20"/>
          <w:i w:val="1"/>
          <w:iCs w:val="1"/>
          <w:color w:val="auto"/>
        </w:rPr>
        <w:t xml:space="preserve"> </w:t>
      </w:r>
      <w:r>
        <w:rPr>
          <w:rFonts w:ascii="Arial" w:cs="Arial" w:eastAsia="Arial" w:hAnsi="Arial"/>
          <w:sz w:val="20"/>
          <w:szCs w:val="20"/>
          <w:color w:val="auto"/>
        </w:rPr>
        <w:t>industry. The ongoing impacts of inflation, rising interest rates, reduced disposable consumer income, access to credit, other national, regional and local regulatory and economic conditions and consumer confidence have had a negative effect on discretionary consumer spending.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Should the macroeconomic and other conditions persist, we will continue to face increased pressure with respect to our pricing, traffic levels and commodity costs. We believe that in this environment, we need to maintain our focus on value and innovation as well as refreshing our restaurant base to continue to drive sales.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Key Financial Performance Indicators </w:t>
      </w:r>
      <w:r>
        <w:rPr>
          <w:rFonts w:ascii="Arial" w:cs="Arial" w:eastAsia="Arial" w:hAnsi="Arial"/>
          <w:sz w:val="20"/>
          <w:szCs w:val="20"/>
          <w:color w:val="auto"/>
        </w:rPr>
        <w:t>- Key measures that we use in evaluating our restaurants and assessing our business include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w:t>
      </w:r>
    </w:p>
    <w:p>
      <w:pPr>
        <w:spacing w:after="0" w:line="190" w:lineRule="exact"/>
        <w:rPr>
          <w:sz w:val="20"/>
          <w:szCs w:val="20"/>
          <w:color w:val="auto"/>
        </w:rPr>
      </w:pPr>
    </w:p>
    <w:p>
      <w:pPr>
        <w:ind w:left="660" w:right="20" w:hanging="328"/>
        <w:spacing w:after="0" w:line="274"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and the benefit of value added tax exemptions in</w:t>
      </w:r>
      <w:r>
        <w:rPr>
          <w:rFonts w:ascii="Arial" w:cs="Arial" w:eastAsia="Arial" w:hAnsi="Arial"/>
          <w:sz w:val="20"/>
          <w:szCs w:val="20"/>
          <w:i w:val="1"/>
          <w:iCs w:val="1"/>
          <w:color w:val="auto"/>
        </w:rPr>
        <w:t xml:space="preserve"> </w:t>
      </w:r>
      <w:r>
        <w:rPr>
          <w:rFonts w:ascii="Arial" w:cs="Arial" w:eastAsia="Arial" w:hAnsi="Arial"/>
          <w:sz w:val="20"/>
          <w:szCs w:val="20"/>
          <w:color w:val="auto"/>
        </w:rPr>
        <w:t>Brazil) per restaurant to measure changes in customer traffic, pricing and development of the brand;</w:t>
      </w:r>
    </w:p>
    <w:p>
      <w:pPr>
        <w:spacing w:after="0" w:line="203"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the change in sales volumes (excluding gift card breakage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benefit of value added tax exemptions in Brazil) for Company-owned restaurants that are open 18 months or more in order to remove the impact of new restaurant openings in comparing the operations of existing restaurants;</w:t>
      </w:r>
    </w:p>
    <w:p>
      <w:pPr>
        <w:spacing w:after="0" w:line="206"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22"/>
        </w:numPr>
        <w:rPr>
          <w:rFonts w:ascii="Arial" w:cs="Arial" w:eastAsia="Arial" w:hAnsi="Arial"/>
          <w:sz w:val="20"/>
          <w:szCs w:val="20"/>
          <w:i w:val="1"/>
          <w:iCs w:val="1"/>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203"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Restaurant-level operating margin, Income (loss) from operations, Net income (loss) and Diluted earnings (loss) per share</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measures utilized to evaluate our operating performance.</w:t>
      </w:r>
    </w:p>
    <w:p>
      <w:pPr>
        <w:spacing w:after="0" w:line="217" w:lineRule="exact"/>
        <w:rPr>
          <w:rFonts w:ascii="Arial" w:cs="Arial" w:eastAsia="Arial" w:hAnsi="Arial"/>
          <w:sz w:val="20"/>
          <w:szCs w:val="20"/>
          <w:color w:val="auto"/>
        </w:rPr>
      </w:pPr>
    </w:p>
    <w:p>
      <w:pPr>
        <w:jc w:val="both"/>
        <w:ind w:left="660"/>
        <w:spacing w:after="0" w:line="282" w:lineRule="auto"/>
        <w:rPr>
          <w:rFonts w:ascii="Arial" w:cs="Arial" w:eastAsia="Arial" w:hAnsi="Arial"/>
          <w:sz w:val="20"/>
          <w:szCs w:val="20"/>
          <w:color w:val="auto"/>
        </w:rPr>
      </w:pPr>
      <w:r>
        <w:rPr>
          <w:rFonts w:ascii="Arial" w:cs="Arial" w:eastAsia="Arial" w:hAnsi="Arial"/>
          <w:sz w:val="18"/>
          <w:szCs w:val="18"/>
          <w:color w:val="auto"/>
        </w:rPr>
        <w:t>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(Loss). The following categories of our revenue and operating expenses are not included in restaurant-level operating margin because we do not consider them reflective of operating performance at the restaurant-level within a period:</w:t>
      </w:r>
    </w:p>
    <w:p>
      <w:pPr>
        <w:spacing w:after="0" w:line="201" w:lineRule="exact"/>
        <w:rPr>
          <w:rFonts w:ascii="Arial" w:cs="Arial" w:eastAsia="Arial" w:hAnsi="Arial"/>
          <w:sz w:val="20"/>
          <w:szCs w:val="20"/>
          <w:color w:val="auto"/>
        </w:rPr>
      </w:pPr>
    </w:p>
    <w:p>
      <w:pPr>
        <w:ind w:left="1300" w:right="20" w:hanging="644"/>
        <w:spacing w:after="0" w:line="250" w:lineRule="auto"/>
        <w:tabs>
          <w:tab w:leader="none" w:pos="1298" w:val="left"/>
        </w:tabs>
        <w:numPr>
          <w:ilvl w:val="1"/>
          <w:numId w:val="22"/>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ind w:left="1300" w:hanging="644"/>
        <w:spacing w:after="0" w:line="251" w:lineRule="auto"/>
        <w:tabs>
          <w:tab w:leader="none" w:pos="1299"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ind w:left="1300" w:right="20" w:hanging="644"/>
        <w:spacing w:after="0" w:line="246"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 and</w:t>
      </w:r>
    </w:p>
    <w:p>
      <w:pPr>
        <w:spacing w:after="0" w:line="1" w:lineRule="exact"/>
        <w:rPr>
          <w:rFonts w:ascii="Arial" w:cs="Arial" w:eastAsia="Arial" w:hAnsi="Arial"/>
          <w:sz w:val="20"/>
          <w:szCs w:val="20"/>
          <w:color w:val="auto"/>
        </w:rPr>
      </w:pPr>
    </w:p>
    <w:p>
      <w:pPr>
        <w:ind w:left="1300" w:hanging="644"/>
        <w:spacing w:after="0" w:line="258" w:lineRule="auto"/>
        <w:tabs>
          <w:tab w:leader="none" w:pos="1289" w:val="left"/>
        </w:tabs>
        <w:numPr>
          <w:ilvl w:val="1"/>
          <w:numId w:val="22"/>
        </w:numPr>
        <w:rPr>
          <w:rFonts w:ascii="Arial" w:cs="Arial" w:eastAsia="Arial" w:hAnsi="Arial"/>
          <w:sz w:val="20"/>
          <w:szCs w:val="20"/>
          <w:color w:val="auto"/>
        </w:rPr>
      </w:pPr>
      <w:r>
        <w:rPr>
          <w:rFonts w:ascii="Arial" w:cs="Arial" w:eastAsia="Arial" w:hAnsi="Arial"/>
          <w:sz w:val="20"/>
          <w:szCs w:val="20"/>
          <w:color w:val="auto"/>
        </w:rPr>
        <w:t>Asset impairment charges and restaurant closing costs which are not reflective of ongoing restaurant performance in a period.</w:t>
      </w:r>
    </w:p>
    <w:p>
      <w:pPr>
        <w:spacing w:after="0" w:line="219" w:lineRule="exact"/>
        <w:rPr>
          <w:sz w:val="20"/>
          <w:szCs w:val="20"/>
          <w:color w:val="auto"/>
        </w:rPr>
      </w:pPr>
    </w:p>
    <w:p>
      <w:pPr>
        <w:jc w:val="both"/>
        <w:ind w:left="660"/>
        <w:spacing w:after="0" w:line="288" w:lineRule="auto"/>
        <w:rPr>
          <w:sz w:val="20"/>
          <w:szCs w:val="20"/>
          <w:color w:val="auto"/>
        </w:rPr>
      </w:pPr>
      <w:r>
        <w:rPr>
          <w:rFonts w:ascii="Arial" w:cs="Arial" w:eastAsia="Arial" w:hAnsi="Arial"/>
          <w:sz w:val="18"/>
          <w:szCs w:val="18"/>
          <w:color w:val="auto"/>
        </w:rPr>
        <w:t>Restaurant-level operating margin excludes various expenses, as discussed above, that are essential to support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(loss) from operations. In addition, our presentation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restaurant-level operating margin may not be comparable to similarly titled measures used by other companies in our industry; and</w:t>
      </w:r>
    </w:p>
    <w:p>
      <w:pPr>
        <w:spacing w:after="0" w:line="279" w:lineRule="exact"/>
        <w:rPr>
          <w:sz w:val="20"/>
          <w:szCs w:val="20"/>
          <w:color w:val="auto"/>
        </w:rPr>
      </w:pPr>
    </w:p>
    <w:p>
      <w:pPr>
        <w:jc w:val="both"/>
        <w:ind w:left="660" w:hanging="328"/>
        <w:spacing w:after="0" w:line="277" w:lineRule="auto"/>
        <w:tabs>
          <w:tab w:leader="none" w:pos="648"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Adjusted restaurant-level operating margin, Adjusted income from operations, Adjusted net income and Adjusted diluted earnings per share</w:t>
      </w:r>
      <w:r>
        <w:rPr>
          <w:rFonts w:ascii="Arial" w:cs="Arial" w:eastAsia="Arial" w:hAnsi="Arial"/>
          <w:sz w:val="19"/>
          <w:szCs w:val="19"/>
          <w:color w:val="auto"/>
        </w:rPr>
        <w:t>—non-GAAP financial measures utilized to evaluate our operating performance, which definitions, usefulness and</w:t>
      </w:r>
      <w:r>
        <w:rPr>
          <w:rFonts w:ascii="Arial" w:cs="Arial" w:eastAsia="Arial" w:hAnsi="Arial"/>
          <w:sz w:val="19"/>
          <w:szCs w:val="19"/>
          <w:i w:val="1"/>
          <w:iCs w:val="1"/>
          <w:color w:val="auto"/>
        </w:rPr>
        <w:t xml:space="preserve"> </w:t>
      </w:r>
      <w:r>
        <w:rPr>
          <w:rFonts w:ascii="Arial" w:cs="Arial" w:eastAsia="Arial" w:hAnsi="Arial"/>
          <w:sz w:val="19"/>
          <w:szCs w:val="19"/>
          <w:color w:val="auto"/>
        </w:rPr>
        <w:t>reconciliations are described in more detail in the “</w:t>
      </w:r>
      <w:r>
        <w:rPr>
          <w:rFonts w:ascii="Arial" w:cs="Arial" w:eastAsia="Arial" w:hAnsi="Arial"/>
          <w:sz w:val="19"/>
          <w:szCs w:val="19"/>
          <w:i w:val="1"/>
          <w:iCs w:val="1"/>
          <w:color w:val="auto"/>
        </w:rPr>
        <w:t>Non-GAAP Financial Measures</w:t>
      </w:r>
      <w:r>
        <w:rPr>
          <w:rFonts w:ascii="Arial" w:cs="Arial" w:eastAsia="Arial" w:hAnsi="Arial"/>
          <w:sz w:val="19"/>
          <w:szCs w:val="19"/>
          <w:color w:val="auto"/>
        </w:rPr>
        <w:t>” section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Selected Operating Data - </w:t>
      </w:r>
      <w:r>
        <w:rPr>
          <w:rFonts w:ascii="Arial" w:cs="Arial" w:eastAsia="Arial" w:hAnsi="Arial"/>
          <w:sz w:val="18"/>
          <w:szCs w:val="18"/>
          <w:color w:val="auto"/>
        </w:rPr>
        <w:t>The table below presents the number of our full-service restaurants in operation as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Number of restaurants (at end of the period):</w:t>
            </w: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25, 2022</w:t>
            </w:r>
          </w:p>
        </w:tc>
        <w:tc>
          <w:tcPr>
            <w:tcW w:w="194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190"/>
        </w:trPr>
        <w:tc>
          <w:tcPr>
            <w:tcW w:w="7280" w:type="dxa"/>
            <w:vAlign w:val="bottom"/>
          </w:tcPr>
          <w:p>
            <w:pPr>
              <w:ind w:left="140"/>
              <w:spacing w:after="0"/>
              <w:rPr>
                <w:sz w:val="20"/>
                <w:szCs w:val="20"/>
                <w:color w:val="auto"/>
              </w:rPr>
            </w:pPr>
            <w:r>
              <w:rPr>
                <w:rFonts w:ascii="Arial" w:cs="Arial" w:eastAsia="Arial" w:hAnsi="Arial"/>
                <w:sz w:val="16"/>
                <w:szCs w:val="16"/>
                <w:color w:val="auto"/>
              </w:rPr>
              <w:t>Carrabba’s Italian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Company-owned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6"/>
                <w:szCs w:val="16"/>
                <w:color w:val="auto"/>
              </w:rPr>
              <w:t>Aussie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Company-owned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U.S.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Outback Steakhouse - Brazil (1)</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Arial" w:cs="Arial" w:eastAsia="Arial" w:hAnsi="Arial"/>
                <w:sz w:val="16"/>
                <w:szCs w:val="16"/>
                <w:color w:val="auto"/>
              </w:rPr>
              <w:t>Other (1)(2)</w:t>
            </w:r>
          </w:p>
        </w:tc>
        <w:tc>
          <w:tcPr>
            <w:tcW w:w="19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Franchised</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Arial" w:cs="Arial" w:eastAsia="Arial" w:hAnsi="Arial"/>
                <w:sz w:val="16"/>
                <w:szCs w:val="16"/>
                <w:color w:val="auto"/>
              </w:rPr>
              <w:t>Outback Steakhouse - South Korea</w:t>
            </w:r>
          </w:p>
        </w:tc>
        <w:tc>
          <w:tcPr>
            <w:tcW w:w="19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0"/>
        </w:trPr>
        <w:tc>
          <w:tcPr>
            <w:tcW w:w="7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International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System-wide 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System-wide total - Company-owned</w:t>
            </w: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System-wide total - Franchised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2" w:lineRule="exact"/>
        <w:rPr>
          <w:sz w:val="20"/>
          <w:szCs w:val="20"/>
          <w:color w:val="auto"/>
        </w:rPr>
      </w:pPr>
    </w:p>
    <w:p>
      <w:pPr>
        <w:ind w:left="660" w:hanging="652"/>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restaurant counts for Brazil, including Abbraccio and Aussie Grill restaurants within International Company-owned Other, are reported as of November 30, 2022 and 2021, respectively, to correspond with the balance sheet dates of this subsidiary.</w:t>
      </w:r>
    </w:p>
    <w:p>
      <w:pPr>
        <w:ind w:left="660" w:hanging="652"/>
        <w:spacing w:after="0" w:line="275"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International Company-owned Other included four and two Aussie Grill locations as of December 25, 2022 and December 26, 2021, respectively. International Franchised Other included four and three Aussie Grill locations as of December 25, 2022 and December 26, 2021,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off-premises only kitchens in operation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Number of kitchens (at end of the period) (1):</w:t>
            </w: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25, 2022</w:t>
            </w:r>
          </w:p>
        </w:tc>
        <w:tc>
          <w:tcPr>
            <w:tcW w:w="19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r>
      <w:tr>
        <w:trPr>
          <w:trHeight w:val="33"/>
        </w:trPr>
        <w:tc>
          <w:tcPr>
            <w:tcW w:w="72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Franchised - South Korea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0"/>
        </w:trPr>
        <w:tc>
          <w:tcPr>
            <w:tcW w:w="7280" w:type="dxa"/>
            <w:vAlign w:val="bottom"/>
          </w:tcPr>
          <w:p>
            <w:pPr>
              <w:ind w:left="20"/>
              <w:spacing w:after="0"/>
              <w:rPr>
                <w:sz w:val="20"/>
                <w:szCs w:val="20"/>
                <w:color w:val="auto"/>
              </w:rPr>
            </w:pPr>
            <w:r>
              <w:rPr>
                <w:rFonts w:ascii="Arial" w:cs="Arial" w:eastAsia="Arial" w:hAnsi="Arial"/>
                <w:sz w:val="16"/>
                <w:szCs w:val="16"/>
                <w:color w:val="auto"/>
              </w:rPr>
              <w:t>System-wide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3"/>
        </w:trPr>
        <w:tc>
          <w:tcPr>
            <w:tcW w:w="72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virtual concepts that operate out of existing restaurants and sports venue locations.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Restaurant sales for the periods indicated:</w:t>
      </w:r>
    </w:p>
    <w:p>
      <w:pPr>
        <w:spacing w:after="0" w:line="12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r>
      <w:tr>
        <w:trPr>
          <w:trHeight w:val="19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Restaurant sales</w:t>
            </w:r>
          </w:p>
        </w:tc>
        <w:tc>
          <w:tcPr>
            <w:tcW w:w="620" w:type="dxa"/>
            <w:vAlign w:val="bottom"/>
          </w:tcPr>
          <w:p>
            <w:pPr>
              <w:jc w:val="right"/>
              <w:spacing w:after="0"/>
              <w:rPr>
                <w:sz w:val="20"/>
                <w:szCs w:val="20"/>
                <w:color w:val="auto"/>
              </w:rPr>
            </w:pPr>
            <w:r>
              <w:rPr>
                <w:rFonts w:ascii="Arial" w:cs="Arial" w:eastAsia="Arial" w:hAnsi="Arial"/>
                <w:sz w:val="16"/>
                <w:szCs w:val="16"/>
                <w:color w:val="auto"/>
              </w:rPr>
              <w:t>98.6 %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98.5 %</w:t>
            </w:r>
          </w:p>
        </w:tc>
      </w:tr>
      <w:tr>
        <w:trPr>
          <w:trHeight w:val="23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Franchise and other revenues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r>
      <w:tr>
        <w:trPr>
          <w:trHeight w:val="203"/>
        </w:trPr>
        <w:tc>
          <w:tcPr>
            <w:tcW w:w="7760" w:type="dxa"/>
            <w:vAlign w:val="bottom"/>
            <w:tcBorders>
              <w:top w:val="single" w:sz="8" w:color="CCEEFF"/>
            </w:tcBorders>
          </w:tcPr>
          <w:p>
            <w:pPr>
              <w:ind w:left="680"/>
              <w:spacing w:after="0"/>
              <w:rPr>
                <w:sz w:val="20"/>
                <w:szCs w:val="20"/>
                <w:color w:val="auto"/>
              </w:rPr>
            </w:pPr>
            <w:r>
              <w:rPr>
                <w:rFonts w:ascii="Arial" w:cs="Arial" w:eastAsia="Arial" w:hAnsi="Arial"/>
                <w:sz w:val="16"/>
                <w:szCs w:val="16"/>
                <w:color w:val="auto"/>
              </w:rPr>
              <w:t>Total revenues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99"/>
              </w:rPr>
              <w:t>100.0</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100.0</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Food and beverage costs (1)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30.3</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Labor and other related (1)</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28.4</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Other restaurant operating (1)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24.8</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General and administrative</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6.0</w:t>
            </w:r>
          </w:p>
        </w:tc>
      </w:tr>
      <w:tr>
        <w:trPr>
          <w:trHeight w:val="225"/>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r>
      <w:tr>
        <w:trPr>
          <w:trHeight w:val="210"/>
        </w:trPr>
        <w:tc>
          <w:tcPr>
            <w:tcW w:w="7760" w:type="dxa"/>
            <w:vAlign w:val="bottom"/>
            <w:tcBorders>
              <w:top w:val="single" w:sz="8" w:color="CCEEFF"/>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92.5</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Loss on extinguishment and modification of debt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(0.1)</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fair value adjustment of derivatives, net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0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6.0</w:t>
            </w:r>
          </w:p>
        </w:tc>
      </w:tr>
      <w:tr>
        <w:trPr>
          <w:trHeight w:val="23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r>
      <w:tr>
        <w:trPr>
          <w:trHeight w:val="20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5.4</w:t>
            </w:r>
          </w:p>
        </w:tc>
      </w:tr>
      <w:tr>
        <w:trPr>
          <w:trHeight w:val="23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Less: net income attributable to noncontrolling interests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r>
      <w:tr>
        <w:trPr>
          <w:trHeight w:val="206"/>
        </w:trPr>
        <w:tc>
          <w:tcPr>
            <w:tcW w:w="7760" w:type="dxa"/>
            <w:vAlign w:val="bottom"/>
            <w:tcBorders>
              <w:top w:val="single" w:sz="8" w:color="CCEEFF"/>
            </w:tcBorders>
          </w:tcPr>
          <w:p>
            <w:pPr>
              <w:ind w:left="20"/>
              <w:spacing w:after="0" w:line="206" w:lineRule="exact"/>
              <w:rPr>
                <w:sz w:val="20"/>
                <w:szCs w:val="20"/>
                <w:color w:val="auto"/>
              </w:rPr>
            </w:pPr>
            <w:r>
              <w:rPr>
                <w:rFonts w:ascii="Arial" w:cs="Arial" w:eastAsia="Arial" w:hAnsi="Arial"/>
                <w:sz w:val="16"/>
                <w:szCs w:val="16"/>
                <w:color w:val="auto"/>
              </w:rPr>
              <w:t>Net income attributable to Bloomin</w:t>
            </w:r>
            <w:r>
              <w:rPr>
                <w:rFonts w:ascii="Arial" w:cs="Arial" w:eastAsia="Arial" w:hAnsi="Arial"/>
                <w:sz w:val="19"/>
                <w:szCs w:val="19"/>
                <w:color w:val="auto"/>
              </w:rPr>
              <w:t>’</w:t>
            </w:r>
            <w:r>
              <w:rPr>
                <w:rFonts w:ascii="Arial" w:cs="Arial" w:eastAsia="Arial" w:hAnsi="Arial"/>
                <w:sz w:val="16"/>
                <w:szCs w:val="16"/>
                <w:color w:val="auto"/>
              </w:rPr>
              <w:t xml:space="preserve"> Brands</w:t>
            </w:r>
          </w:p>
        </w:tc>
        <w:tc>
          <w:tcPr>
            <w:tcW w:w="10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5.2 %</w:t>
            </w: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1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one percent of Total revenues.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3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2022</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Restaurant closures (1)</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fiscal year 2022</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0" w:lineRule="exact"/>
        <w:rPr>
          <w:sz w:val="20"/>
          <w:szCs w:val="20"/>
          <w:color w:val="auto"/>
        </w:rPr>
      </w:pPr>
    </w:p>
    <w:p>
      <w:pPr>
        <w:ind w:left="660" w:right="20" w:hanging="652"/>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closures and comparable restaurant sales will not total to annual amounts as the restaurants that meet the definition of each will differ each period based on when the restaurant opened or closed.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increase in Restaurant sales in 2022 as compared to 2021 was primarily due to: (i) higher comparable restaurant sales, (ii) the opening of 64 new restaurants not included in our comparable restaurant sales base and (iii) the effect of foreign currency translation of the Brazilian Real relative to the U.S. dollar. The increase in Restaurant sales was partially offset by the closure of 25 restaurants since December 27, 2020.</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U.S.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3,406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5,845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Outback Steakhouse - Brazil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60"/>
        </w:trPr>
        <w:tc>
          <w:tcPr>
            <w:tcW w:w="7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Operating weeks: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29,308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29,415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10,348</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Bonefish Grill</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9,056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9,318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 - Brazil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2" w:lineRule="exact"/>
        <w:rPr>
          <w:sz w:val="20"/>
          <w:szCs w:val="20"/>
          <w:color w:val="auto"/>
        </w:rPr>
      </w:pPr>
    </w:p>
    <w:p>
      <w:pPr>
        <w:ind w:left="660" w:right="20" w:hanging="652"/>
        <w:spacing w:after="0" w:line="27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Translated at average exchange rates of 5.19 and 5.33 for 2022 and 2021, respectively. Excludes the benefit of the Brazil tax legislation discussed in Note 21 -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of the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increases (decreases) for the periods indicated:</w:t>
      </w:r>
    </w:p>
    <w:p>
      <w:pPr>
        <w:spacing w:after="0" w:line="175"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over year percentage change:</w:t>
            </w: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60" w:type="dxa"/>
            <w:vAlign w:val="bottom"/>
            <w:gridSpan w:val="2"/>
          </w:tcPr>
          <w:p>
            <w:pPr>
              <w:ind w:left="140"/>
              <w:spacing w:after="0"/>
              <w:rPr>
                <w:sz w:val="20"/>
                <w:szCs w:val="20"/>
                <w:color w:val="auto"/>
              </w:rPr>
            </w:pPr>
            <w:r>
              <w:rPr>
                <w:rFonts w:ascii="Arial" w:cs="Arial" w:eastAsia="Arial" w:hAnsi="Arial"/>
                <w:sz w:val="16"/>
                <w:szCs w:val="16"/>
                <w:color w:val="auto"/>
              </w:rPr>
              <w:t>Comparable restaurant sales (restaurants open 18 months or more):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58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19"/>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32.2 %</w:t>
            </w: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58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40.6 %</w:t>
            </w:r>
          </w:p>
        </w:tc>
      </w:tr>
      <w:tr>
        <w:trPr>
          <w:trHeight w:val="219"/>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60.9 %</w:t>
            </w: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58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30.5 %</w:t>
            </w:r>
          </w:p>
        </w:tc>
      </w:tr>
      <w:tr>
        <w:trPr>
          <w:trHeight w:val="219"/>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 (2)</w:t>
            </w:r>
          </w:p>
        </w:tc>
        <w:tc>
          <w:tcPr>
            <w:tcW w:w="580" w:type="dxa"/>
            <w:vAlign w:val="bottom"/>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28.7 %</w:t>
            </w:r>
          </w:p>
        </w:tc>
      </w:tr>
      <w:tr>
        <w:trPr>
          <w:trHeight w:val="259"/>
        </w:trPr>
        <w:tc>
          <w:tcPr>
            <w:tcW w:w="77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3"/>
        </w:trPr>
        <w:tc>
          <w:tcPr>
            <w:tcW w:w="8860" w:type="dxa"/>
            <w:vAlign w:val="bottom"/>
            <w:gridSpan w:val="2"/>
          </w:tcPr>
          <w:p>
            <w:pPr>
              <w:ind w:left="140"/>
              <w:spacing w:after="0"/>
              <w:rPr>
                <w:sz w:val="20"/>
                <w:szCs w:val="20"/>
                <w:color w:val="auto"/>
              </w:rPr>
            </w:pPr>
            <w:r>
              <w:rPr>
                <w:rFonts w:ascii="Arial" w:cs="Arial" w:eastAsia="Arial" w:hAnsi="Arial"/>
                <w:sz w:val="16"/>
                <w:szCs w:val="16"/>
                <w:color w:val="auto"/>
              </w:rPr>
              <w:t>Traffic:</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18.1 %</w:t>
            </w:r>
          </w:p>
        </w:tc>
      </w:tr>
      <w:tr>
        <w:trPr>
          <w:trHeight w:val="219"/>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24.3 %</w:t>
            </w:r>
          </w:p>
        </w:tc>
      </w:tr>
      <w:tr>
        <w:trPr>
          <w:trHeight w:val="219"/>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20.7 %</w:t>
            </w:r>
          </w:p>
        </w:tc>
      </w:tr>
      <w:tr>
        <w:trPr>
          <w:trHeight w:val="219"/>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w:t>
            </w:r>
          </w:p>
        </w:tc>
        <w:tc>
          <w:tcPr>
            <w:tcW w:w="580" w:type="dxa"/>
            <w:vAlign w:val="bottom"/>
          </w:tcPr>
          <w:p>
            <w:pPr>
              <w:jc w:val="right"/>
              <w:spacing w:after="0"/>
              <w:rPr>
                <w:sz w:val="20"/>
                <w:szCs w:val="20"/>
                <w:color w:val="auto"/>
              </w:rPr>
            </w:pPr>
            <w:r>
              <w:rPr>
                <w:rFonts w:ascii="Arial" w:cs="Arial" w:eastAsia="Arial" w:hAnsi="Arial"/>
                <w:sz w:val="16"/>
                <w:szCs w:val="16"/>
                <w:color w:val="auto"/>
              </w:rPr>
              <w:t>23.6 %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23.5 %</w:t>
            </w:r>
          </w:p>
        </w:tc>
      </w:tr>
      <w:tr>
        <w:trPr>
          <w:trHeight w:val="259"/>
        </w:trPr>
        <w:tc>
          <w:tcPr>
            <w:tcW w:w="77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3"/>
        </w:trPr>
        <w:tc>
          <w:tcPr>
            <w:tcW w:w="8860" w:type="dxa"/>
            <w:vAlign w:val="bottom"/>
            <w:gridSpan w:val="2"/>
          </w:tcPr>
          <w:p>
            <w:pPr>
              <w:ind w:left="140"/>
              <w:spacing w:after="0"/>
              <w:rPr>
                <w:sz w:val="20"/>
                <w:szCs w:val="20"/>
                <w:color w:val="auto"/>
              </w:rPr>
            </w:pPr>
            <w:r>
              <w:rPr>
                <w:rFonts w:ascii="Arial" w:cs="Arial" w:eastAsia="Arial" w:hAnsi="Arial"/>
                <w:sz w:val="16"/>
                <w:szCs w:val="16"/>
                <w:color w:val="auto"/>
              </w:rPr>
              <w:t>Average check per person (3):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58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9"/>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58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219"/>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213"/>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58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19"/>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0"/>
        </w:trPr>
        <w:tc>
          <w:tcPr>
            <w:tcW w:w="886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w:t>
            </w:r>
          </w:p>
        </w:tc>
        <w:tc>
          <w:tcPr>
            <w:tcW w:w="580" w:type="dxa"/>
            <w:vAlign w:val="bottom"/>
          </w:tcPr>
          <w:p>
            <w:pPr>
              <w:jc w:val="right"/>
              <w:spacing w:after="0"/>
              <w:rPr>
                <w:sz w:val="20"/>
                <w:szCs w:val="20"/>
                <w:color w:val="auto"/>
              </w:rPr>
            </w:pPr>
            <w:r>
              <w:rPr>
                <w:rFonts w:ascii="Arial" w:cs="Arial" w:eastAsia="Arial" w:hAnsi="Arial"/>
                <w:sz w:val="16"/>
                <w:szCs w:val="16"/>
                <w:color w:val="auto"/>
              </w:rPr>
              <w:t>14.6 %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right="20" w:hanging="652"/>
        <w:spacing w:after="0" w:line="25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Includes trading day impact from calendar period reporting. Excludes the effect of fluctuations in foreign currency rates and the benefit of the Brazil tax legislation discussed in Note 21 -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of the Notes to Consolidated Financial Statements.</w:t>
      </w: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41"/>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w:t>
      </w:r>
    </w:p>
    <w:p>
      <w:pPr>
        <w:spacing w:after="0" w:line="8" w:lineRule="exact"/>
        <w:rPr>
          <w:rFonts w:ascii="Arial" w:cs="Arial" w:eastAsia="Arial" w:hAnsi="Arial"/>
          <w:sz w:val="16"/>
          <w:szCs w:val="16"/>
          <w:color w:val="auto"/>
        </w:rPr>
      </w:pPr>
    </w:p>
    <w:p>
      <w:pPr>
        <w:ind w:left="660" w:right="20" w:hanging="652"/>
        <w:spacing w:after="0" w:line="27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 $3.1 million benefit in 2021 from the recognition of recoverable Program of Social Integration (“PIS”) and Contribution for the Financing of Social Security (“COFINS”) taxes in connection with favorable court rulings in Brazil regarding the calculation methodology and taxable base.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Food and beverage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60" w:type="dxa"/>
            <w:vAlign w:val="bottom"/>
            <w:vMerge w:val="restart"/>
          </w:tcPr>
          <w:p>
            <w:pPr>
              <w:jc w:val="right"/>
              <w:ind w:right="5362"/>
              <w:spacing w:after="0"/>
              <w:rPr>
                <w:sz w:val="20"/>
                <w:szCs w:val="20"/>
                <w:color w:val="auto"/>
              </w:rPr>
            </w:pPr>
            <w:r>
              <w:rPr>
                <w:rFonts w:ascii="Arial" w:cs="Arial" w:eastAsia="Arial" w:hAnsi="Arial"/>
                <w:sz w:val="14"/>
                <w:szCs w:val="14"/>
                <w:b w:val="1"/>
                <w:bCs w:val="1"/>
                <w:color w:val="auto"/>
                <w:w w:val="93"/>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jc w:val="right"/>
              <w:ind w:right="4962"/>
              <w:spacing w:after="0"/>
              <w:rPr>
                <w:sz w:val="20"/>
                <w:szCs w:val="20"/>
                <w:color w:val="auto"/>
              </w:rPr>
            </w:pPr>
            <w:r>
              <w:rPr>
                <w:rFonts w:ascii="Arial" w:cs="Arial" w:eastAsia="Arial" w:hAnsi="Arial"/>
                <w:sz w:val="16"/>
                <w:szCs w:val="16"/>
                <w:color w:val="auto"/>
                <w:w w:val="88"/>
              </w:rPr>
              <w:t>Food and beverage costs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1,383.6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1,229.7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jc w:val="right"/>
              <w:ind w:right="4962"/>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31.8 %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Food and beverage costs increased as a percentage of Restaurant sales in 2022 as compared to 2021 primarily due to 3.5% from commodity inflation, partially offset by a decrease as a percentage of Restaurant sales of 2.0% from increases in average check per person, primarily driven by increases in menu pricing.</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2023, we anticipate mid single digits commodity inflation, with approximately 60% of our estimated annual food purchases currently covered by fixed contracts and the remainder subject to floating market prices.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1,226.5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1,154.6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Labor and other related expenses include all direct and indirect labor costs incurred in operations, including distribution expense to Restaurant Managing Partners and other field incentive compensation expenses. Labor and other related expenses decreased as a percentage of Restaurant sales in 2022 as compared to 2021 primarily due to: (i) 1.9% from leveraging increased restaurant sales due to increases in average check per person and lapping the impact of COVID-19, primarily in Brazil and (ii) 0.4% from lower insurance costs. These decreases were partially offset by an increase as a percentage of Restaurant sales of 2.0% from higher labor cost primarily due to wage rate inflation.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In 2023, we anticipate mid single digits labor cost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1,065.7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1,006.4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In August 2021, we entered into the Royalty Termination Agreement with the Carrabba’s Founders for $61.9 million in cash. See Note 22 - </w:t>
      </w:r>
      <w:r>
        <w:rPr>
          <w:rFonts w:ascii="Arial" w:cs="Arial" w:eastAsia="Arial" w:hAnsi="Arial"/>
          <w:sz w:val="20"/>
          <w:szCs w:val="20"/>
          <w:i w:val="1"/>
          <w:iCs w:val="1"/>
          <w:color w:val="auto"/>
        </w:rPr>
        <w:t xml:space="preserve">Commitments and Contingencies </w:t>
      </w:r>
      <w:r>
        <w:rPr>
          <w:rFonts w:ascii="Arial" w:cs="Arial" w:eastAsia="Arial" w:hAnsi="Arial"/>
          <w:sz w:val="20"/>
          <w:szCs w:val="20"/>
          <w:color w:val="auto"/>
        </w:rPr>
        <w:t>of the Notes to Consolidated Financial Statements for additional details.</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Other restaurant operating expenses include certain unit-level operating costs such as operating supplies, rent, repairs and maintenance, advertising expenses, utilities, pre-opening costs and other occupancy costs. A substantial portion of these expenses is fixed or indirectly variable. Other restaurant operating expenses decreased as a percentage of Restaurant sales in 2022 as compared to 2021 primarily due to 1.5% from lapping the Carrabba’s Italian Grill royalty termination and 1.3% from leveraging increased restaurant sales due to increases in average check per person and lapping the impact of COVID-19, primarily in Brazil. These decreases were partially offset by increases as a percentage of Restaurant sales of: (i) 1.5% from higher operating expenses including utilities, primarily due to inflation, (ii) 0.7% from higher advertising expense and (iii) 0.4% from an increase in reserves for certain collective action wage and hour lawsuits.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740"/>
              <w:spacing w:after="0"/>
              <w:rPr>
                <w:sz w:val="20"/>
                <w:szCs w:val="20"/>
                <w:color w:val="auto"/>
              </w:rPr>
            </w:pPr>
            <w:r>
              <w:rPr>
                <w:rFonts w:ascii="Arial" w:cs="Arial" w:eastAsia="Arial" w:hAnsi="Arial"/>
                <w:sz w:val="16"/>
                <w:szCs w:val="16"/>
                <w:color w:val="auto"/>
                <w:w w:val="99"/>
              </w:rPr>
              <w:t>169.6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Depreciation and amortization increased in 2022 as compared to 2021 primarily due to additional depreciation expense related to technology projects, upgraded kitchen equipment and restaurant openings and relocations.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3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2022</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Incentive compensation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Employee stock-based compensation</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Severance</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Compensation, benefits and payroll tax</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Travel and entertainment</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fiscal year 2022</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right"/>
              <w:ind w:right="524"/>
              <w:spacing w:after="0"/>
              <w:rPr>
                <w:sz w:val="20"/>
                <w:szCs w:val="20"/>
                <w:color w:val="auto"/>
              </w:rPr>
            </w:pPr>
            <w:r>
              <w:rPr>
                <w:rFonts w:ascii="Arial" w:cs="Arial" w:eastAsia="Arial" w:hAnsi="Arial"/>
                <w:sz w:val="14"/>
                <w:szCs w:val="14"/>
                <w:b w:val="1"/>
                <w:bCs w:val="1"/>
                <w:color w:val="auto"/>
              </w:rPr>
              <w:t>FISCAL YEAR</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Impairment and closure charges during the periods presented resulted primarily from locations identified for closure or relocation.</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0"/>
        </w:trPr>
        <w:tc>
          <w:tcPr>
            <w:tcW w:w="6700" w:type="dxa"/>
            <w:vAlign w:val="bottom"/>
          </w:tcPr>
          <w:p>
            <w:pPr>
              <w:ind w:left="220"/>
              <w:spacing w:after="0"/>
              <w:rPr>
                <w:sz w:val="20"/>
                <w:szCs w:val="20"/>
                <w:color w:val="auto"/>
              </w:rPr>
            </w:pPr>
            <w:r>
              <w:rPr>
                <w:rFonts w:ascii="Arial" w:cs="Arial" w:eastAsia="Arial" w:hAnsi="Arial"/>
                <w:sz w:val="16"/>
                <w:szCs w:val="16"/>
                <w:color w:val="auto"/>
              </w:rPr>
              <w:t>% of Total revenues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increase in Income from operations generated during 2022 as compared to 2021 was primarily due to: (i) increases in average check per person, (ii) lapping the Carrabba’s Italian Grill royalty termination, (iii) lapping the impact of COVID-19, primarily in Brazil and (iv) lower insurance costs. These increases were partially offset by: (i) commodity inflation, (ii) higher labor cost, primarily due to wage rate inflation, (iii) higher operating expenses including utilities, primarily due to inflation, and (iv) an increase in advertising costs.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In September 2022, our Brazilian subsidiary received a preliminary injunction authorizing it to benefit from the exemptions enacted by Law 14,148/2021 which provides for emergency and temporary actions that grant certain industries a 100% exemption from PIS and COFINS and income taxes for a five-year period. Income from operations for 2022 was not materially impacted by this legislation. During 2023, we expect a benefit to Income from operations of approximately $17 million in connection the PIS and COFINS tax exemptions under this legislation. See Note 21 -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the Notes to Consolidated Financial Statements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extinguishment and modification of debt and Loss on fair value adjustment of derivatives, net</w:t>
      </w:r>
    </w:p>
    <w:p>
      <w:pPr>
        <w:spacing w:after="0" w:line="33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 xml:space="preserve">In connection with the repurchase of $125.0 million of the outstanding 2025 Notes (the “2025 Notes Partial Repurchase”), which is described in further detail within Note 14 -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of the Notes to Consolidated Financial Statements, we recognized a loss on extinguishment of debt of $104.7 million and a loss on fair value adjustment of derivatives, net, of $17.7 million during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right"/>
              <w:ind w:right="524"/>
              <w:spacing w:after="0"/>
              <w:rPr>
                <w:sz w:val="20"/>
                <w:szCs w:val="20"/>
                <w:color w:val="auto"/>
              </w:rPr>
            </w:pPr>
            <w:r>
              <w:rPr>
                <w:rFonts w:ascii="Arial" w:cs="Arial" w:eastAsia="Arial" w:hAnsi="Arial"/>
                <w:sz w:val="14"/>
                <w:szCs w:val="14"/>
                <w:b w:val="1"/>
                <w:bCs w:val="1"/>
                <w:color w:val="auto"/>
              </w:rPr>
              <w:t>FISCAL YEAR</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decrease in Interest expense, net during 2022 as compared to 2021 was primarily due to the repayment of Term Loan A in April 2022 and the 2025 Notes Partial Repurchase in May 2022. These decreases were partially offset by increases in interest expense from: (i) the issuance of the 2029 Notes in April 2021, (ii) higher balances on our revolving credit facility and (iii) higher interest rates on the unhedged portion of our variable 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151.9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3"/>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6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2"/>
              </w:rPr>
              <w:t>17.5 %</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net increase in the effective income tax rate in 2022 as compared to 2021 was primarily due to the non-deductible losses associated with the 2025 Notes Partial Repurchase recorded during 2022.</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have a blended federal and state statutory rate of approximately 26%. The effective income tax rate in 2022 was higher than the blended federal and state statutory rate primarily due to the non-deductible losses associated with the 2025 Notes Partial Repurchase recorded during 2022, partially offset by the benefit of FICA tax credits on certain employees’ tips. The effective income tax rate in 2021 was lower than the blended federal and state statutory rate primarily due to the benefit of FICA tax credits on certain employees’ tips.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 restaurant company employer may claim a credit against its federal income taxes for FICA taxes paid on certain tipped wages (the “FICA tax credit”). The level of FICA tax credits is primarily driven by U.S. Restaurant sales and is not impacted by costs incurred that may reduce pre-tax income.</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Provision for income taxes for 2022 was not materially impacted by the Brazilian tax legislation discussed above. During 2023, we expect to generate an income tax benefit of approximately $6 million in connection with the tax exemptions under this legislation. See Note 21 - </w:t>
      </w:r>
      <w:r>
        <w:rPr>
          <w:rFonts w:ascii="Arial" w:cs="Arial" w:eastAsia="Arial" w:hAnsi="Arial"/>
          <w:sz w:val="20"/>
          <w:szCs w:val="20"/>
          <w:i w:val="1"/>
          <w:iCs w:val="1"/>
          <w:color w:val="auto"/>
        </w:rPr>
        <w:t xml:space="preserve">Income Taxes </w:t>
      </w:r>
      <w:r>
        <w:rPr>
          <w:rFonts w:ascii="Arial" w:cs="Arial" w:eastAsia="Arial" w:hAnsi="Arial"/>
          <w:sz w:val="20"/>
          <w:szCs w:val="20"/>
          <w:color w:val="auto"/>
        </w:rPr>
        <w:t>of the Notes to Consolidated Financial Statements for further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consider each of our restaurant concepts and international markets as operating segments, which reflects how we manage our business, review operating performance and allocate resources. Resources are allocated and performance is assessed by our Chief Executive Officer, whom we have determined to be our Chief Operating Decision Maker. We aggregate our operating segments into two reportable segments, U.S. and international. The U.S. segment includes all restaurants operating in the U.S. while restaurants operating outside the U.S. are included in the international segment.</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Refer to Note 23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reconciliations of segment income (loss) from operations to the consolidated operating results.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3,863,016</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3,714,848</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48,854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45,133</w:t>
            </w:r>
          </w:p>
        </w:tc>
        <w:tc>
          <w:tcPr>
            <w:tcW w:w="0" w:type="dxa"/>
            <w:vAlign w:val="bottom"/>
          </w:tcPr>
          <w:p>
            <w:pPr>
              <w:spacing w:after="0"/>
              <w:rPr>
                <w:sz w:val="1"/>
                <w:szCs w:val="1"/>
                <w:color w:val="auto"/>
              </w:rPr>
            </w:pPr>
          </w:p>
        </w:tc>
      </w:tr>
      <w:tr>
        <w:trPr>
          <w:trHeight w:val="197"/>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3,911,870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3,759,981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407,860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443,887</w:t>
            </w:r>
          </w:p>
        </w:tc>
        <w:tc>
          <w:tcPr>
            <w:tcW w:w="0" w:type="dxa"/>
            <w:vAlign w:val="bottom"/>
          </w:tcPr>
          <w:p>
            <w:pPr>
              <w:spacing w:after="0"/>
              <w:rPr>
                <w:sz w:val="1"/>
                <w:szCs w:val="1"/>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Operating income margin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595,997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634,680</w:t>
            </w:r>
          </w:p>
        </w:tc>
        <w:tc>
          <w:tcPr>
            <w:tcW w:w="0" w:type="dxa"/>
            <w:vAlign w:val="bottom"/>
          </w:tcPr>
          <w:p>
            <w:pPr>
              <w:spacing w:after="0"/>
              <w:rPr>
                <w:sz w:val="1"/>
                <w:szCs w:val="1"/>
                <w:color w:val="auto"/>
              </w:rPr>
            </w:pPr>
          </w:p>
        </w:tc>
      </w:tr>
      <w:tr>
        <w:trPr>
          <w:trHeight w:val="210"/>
        </w:trPr>
        <w:tc>
          <w:tcPr>
            <w:tcW w:w="7800" w:type="dxa"/>
            <w:vAlign w:val="bottom"/>
          </w:tcPr>
          <w:p>
            <w:pPr>
              <w:ind w:left="12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2"/>
              <w:spacing w:after="0"/>
              <w:rPr>
                <w:sz w:val="20"/>
                <w:szCs w:val="20"/>
                <w:color w:val="auto"/>
              </w:rPr>
            </w:pPr>
            <w:r>
              <w:rPr>
                <w:rFonts w:ascii="Arial" w:cs="Arial" w:eastAsia="Arial" w:hAnsi="Arial"/>
                <w:sz w:val="14"/>
                <w:szCs w:val="14"/>
                <w:b w:val="1"/>
                <w:bCs w:val="1"/>
                <w:color w:val="auto"/>
              </w:rPr>
              <w:t>FISCAL YEAR</w:t>
            </w:r>
          </w:p>
        </w:tc>
      </w:tr>
      <w:tr>
        <w:trPr>
          <w:trHeight w:val="23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2022 (1)</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3,714.9</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openings</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26"/>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Restaurant closures</w:t>
            </w:r>
          </w:p>
        </w:tc>
        <w:tc>
          <w:tcPr>
            <w:tcW w:w="4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For fiscal year 2022</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3,863.0</w:t>
            </w:r>
          </w:p>
        </w:tc>
      </w:tr>
      <w:tr>
        <w:trPr>
          <w:trHeight w:val="20"/>
        </w:trPr>
        <w:tc>
          <w:tcPr>
            <w:tcW w:w="8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0" w:lineRule="exact"/>
        <w:rPr>
          <w:sz w:val="20"/>
          <w:szCs w:val="20"/>
          <w:color w:val="auto"/>
        </w:rPr>
      </w:pPr>
    </w:p>
    <w:p>
      <w:pPr>
        <w:ind w:left="660" w:right="20" w:hanging="652"/>
        <w:spacing w:after="0" w:line="27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Summation of quarterly changes will not total to annual amounts as the restaurants that meet the definition of each change category will differ each period based on when the restaurant opened or closed.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increase in U.S. Restaurant sales in 2022 as compared to 2021 was primarily due to higher comparable restaurant sales and the opening of 21 new restaurants not included in our comparable restaurant sales base. These increases were partially offset by the closure of 24 restaurants since December 27, 2020.</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decrease in U.S. Income from operations generated during 2022 as compared to 2021 was primarily due to: (i) commodity inflation, (ii) higher labor cost, primarily due to wage rate inflation, (iii) higher operating expenses including utilities and (iv) higher advertising expense. These decreases were partially offset by higher comparable sales, primarily due to increases in average check per person, and lapping the Carrabba’s Italian Grill royalty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489,679</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346,245</w:t>
            </w:r>
          </w:p>
        </w:tc>
        <w:tc>
          <w:tcPr>
            <w:tcW w:w="0" w:type="dxa"/>
            <w:vAlign w:val="bottom"/>
          </w:tcPr>
          <w:p>
            <w:pPr>
              <w:spacing w:after="0"/>
              <w:rPr>
                <w:sz w:val="1"/>
                <w:szCs w:val="1"/>
                <w:color w:val="auto"/>
              </w:rPr>
            </w:pPr>
          </w:p>
        </w:tc>
      </w:tr>
      <w:tr>
        <w:trPr>
          <w:trHeight w:val="239"/>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14,959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16,159</w:t>
            </w:r>
          </w:p>
        </w:tc>
        <w:tc>
          <w:tcPr>
            <w:tcW w:w="0" w:type="dxa"/>
            <w:vAlign w:val="bottom"/>
          </w:tcPr>
          <w:p>
            <w:pPr>
              <w:spacing w:after="0"/>
              <w:rPr>
                <w:sz w:val="1"/>
                <w:szCs w:val="1"/>
                <w:color w:val="auto"/>
              </w:rPr>
            </w:pPr>
          </w:p>
        </w:tc>
      </w:tr>
      <w:tr>
        <w:trPr>
          <w:trHeight w:val="19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504,638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362,404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57,333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16,657</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Operating income margin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Restaurant-level operating income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90,663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43,927</w:t>
            </w:r>
          </w:p>
        </w:tc>
        <w:tc>
          <w:tcPr>
            <w:tcW w:w="0" w:type="dxa"/>
            <w:vAlign w:val="bottom"/>
          </w:tcPr>
          <w:p>
            <w:pPr>
              <w:spacing w:after="0"/>
              <w:rPr>
                <w:sz w:val="1"/>
                <w:szCs w:val="1"/>
                <w:color w:val="auto"/>
              </w:rPr>
            </w:pPr>
          </w:p>
        </w:tc>
      </w:tr>
      <w:tr>
        <w:trPr>
          <w:trHeight w:val="210"/>
        </w:trPr>
        <w:tc>
          <w:tcPr>
            <w:tcW w:w="7840" w:type="dxa"/>
            <w:vAlign w:val="bottom"/>
          </w:tcPr>
          <w:p>
            <w:pPr>
              <w:ind w:left="12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2"/>
              <w:spacing w:after="0"/>
              <w:rPr>
                <w:sz w:val="20"/>
                <w:szCs w:val="20"/>
                <w:color w:val="auto"/>
              </w:rPr>
            </w:pPr>
            <w:r>
              <w:rPr>
                <w:rFonts w:ascii="Arial" w:cs="Arial" w:eastAsia="Arial" w:hAnsi="Arial"/>
                <w:sz w:val="14"/>
                <w:szCs w:val="14"/>
                <w:b w:val="1"/>
                <w:bCs w:val="1"/>
                <w:color w:val="auto"/>
              </w:rPr>
              <w:t>FISCAL YEAR</w:t>
            </w:r>
          </w:p>
        </w:tc>
      </w:tr>
      <w:tr>
        <w:trPr>
          <w:trHeight w:val="23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2022</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For fiscal year 2022</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489.7</w:t>
            </w:r>
          </w:p>
        </w:tc>
      </w:tr>
      <w:tr>
        <w:trPr>
          <w:trHeight w:val="20"/>
        </w:trPr>
        <w:tc>
          <w:tcPr>
            <w:tcW w:w="8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0" w:lineRule="exact"/>
        <w:rPr>
          <w:sz w:val="20"/>
          <w:szCs w:val="20"/>
          <w:color w:val="auto"/>
        </w:rPr>
      </w:pPr>
    </w:p>
    <w:p>
      <w:pPr>
        <w:ind w:left="660" w:hanging="652"/>
        <w:spacing w:after="0" w:line="27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each will differ each period based on when the restaurant opened.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increase in international Restaurant sales in 2022 as compared to 2021 was primarily due to: (i) higher comparable restaurant sales in Brazil, (ii) the opening of 43 new restaurants not included in our comparable restaurant sales base and (iii) the effect of foreign currency translation of the Brazil Real relative to the U.S. dollar.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increase in international Income from operations generated during 2022 as compared to 2021 was primarily due to the recovery of in-restaurant dining in Brazil and increases in average check per person. These increases were partially offset by decreases primarily due to commodity and labor inflation.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addition to the results provided in accordance with U.S. GAAP, we provide certain non-GAAP measures, which present operating results on an adjusted basis. These are supplemental measures of performance that are not required by or presented in accordance with U.S. GAAP and include the following: (i) Restaurant-level and adjusted restaurant-level operating income and the corresponding margins, (ii) Adjusted income from operations and the corresponding margins, (iii) Adjusted net income, (iv) Adjusted diluted earnings per share and (v) system-wide sales.</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our Board evaluate our operating performance, allocate resources and establish employee incentive plans.</w:t>
      </w: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i w:val="1"/>
          <w:iCs w:val="1"/>
          <w:color w:val="auto"/>
        </w:rPr>
        <w:t xml:space="preserve">Consolidated restaurant-level operating income and adjusted restaurant-level operating income and corresponding margins non-GAAP reconciliations </w:t>
      </w:r>
      <w:r>
        <w:rPr>
          <w:rFonts w:ascii="Arial" w:cs="Arial" w:eastAsia="Arial" w:hAnsi="Arial"/>
          <w:sz w:val="19"/>
          <w:szCs w:val="19"/>
          <w:color w:val="auto"/>
        </w:rPr>
        <w:t>- Restaurant-level operating margin is calculated as Restaurant sales after deduction of the main restaurant-level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costs, which includes Food and beverage costs, Labor and other related expenses and Other restaurant operating expenses. Adjusted restaurant-level operating margin is Restaurant-level operating margin adjusted for certain items. The following table reconciles consolidated Income from operations and the corresponding margin to restaurant-level operating income and adjusted restaurant-level operating income and the corresponding margins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Consolidated</w:t>
            </w:r>
          </w:p>
        </w:tc>
        <w:tc>
          <w:tcPr>
            <w:tcW w:w="4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330,421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308,958</w:t>
            </w: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i w:val="1"/>
                <w:iCs w:val="1"/>
                <w:color w:val="auto"/>
              </w:rPr>
              <w:t>Operating income margin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Franchise and other revenues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63,813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61,292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169,617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163,391</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234,752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245,616</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5,964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13,737</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676,941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670,410</w:t>
            </w:r>
          </w:p>
        </w:tc>
        <w:tc>
          <w:tcPr>
            <w:tcW w:w="0" w:type="dxa"/>
            <w:vAlign w:val="bottom"/>
          </w:tcPr>
          <w:p>
            <w:pPr>
              <w:spacing w:after="0"/>
              <w:rPr>
                <w:sz w:val="1"/>
                <w:szCs w:val="1"/>
                <w:color w:val="auto"/>
              </w:rPr>
            </w:pPr>
          </w:p>
        </w:tc>
      </w:tr>
      <w:tr>
        <w:trPr>
          <w:trHeight w:val="200"/>
        </w:trPr>
        <w:tc>
          <w:tcPr>
            <w:tcW w:w="7280" w:type="dxa"/>
            <w:vAlign w:val="bottom"/>
          </w:tcPr>
          <w:p>
            <w:pPr>
              <w:ind w:left="120"/>
              <w:spacing w:after="0"/>
              <w:rPr>
                <w:sz w:val="20"/>
                <w:szCs w:val="20"/>
                <w:color w:val="auto"/>
              </w:rPr>
            </w:pPr>
            <w:r>
              <w:rPr>
                <w:rFonts w:ascii="Arial" w:cs="Arial" w:eastAsia="Arial" w:hAnsi="Arial"/>
                <w:sz w:val="16"/>
                <w:szCs w:val="16"/>
                <w:i w:val="1"/>
                <w:iCs w:val="1"/>
                <w:color w:val="auto"/>
              </w:rPr>
              <w:t>Restaurant-level operating margin</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Royalty termination expense (1)</w:t>
            </w:r>
          </w:p>
        </w:tc>
        <w:tc>
          <w:tcPr>
            <w:tcW w:w="4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61,880</w:t>
            </w:r>
          </w:p>
        </w:tc>
        <w:tc>
          <w:tcPr>
            <w:tcW w:w="0" w:type="dxa"/>
            <w:vAlign w:val="bottom"/>
          </w:tcPr>
          <w:p>
            <w:pPr>
              <w:spacing w:after="0"/>
              <w:rPr>
                <w:sz w:val="1"/>
                <w:szCs w:val="1"/>
                <w:color w:val="auto"/>
              </w:rPr>
            </w:pP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Legal and other matters (2)</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5,900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restaurant-level operating income adjustments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5,900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64,641</w:t>
            </w:r>
          </w:p>
        </w:tc>
        <w:tc>
          <w:tcPr>
            <w:tcW w:w="0" w:type="dxa"/>
            <w:vAlign w:val="bottom"/>
          </w:tcPr>
          <w:p>
            <w:pPr>
              <w:spacing w:after="0"/>
              <w:rPr>
                <w:sz w:val="1"/>
                <w:szCs w:val="1"/>
                <w:color w:val="auto"/>
              </w:rPr>
            </w:pP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682,841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735,051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i w:val="1"/>
                <w:iCs w:val="1"/>
                <w:color w:val="auto"/>
              </w:rPr>
              <w:t>Adjusted restaurant-level operating margin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94"/>
        </w:trPr>
        <w:tc>
          <w:tcPr>
            <w:tcW w:w="7280" w:type="dxa"/>
            <w:vAlign w:val="bottom"/>
          </w:tcPr>
          <w:p>
            <w:pPr>
              <w:spacing w:after="0"/>
              <w:rPr>
                <w:sz w:val="20"/>
                <w:szCs w:val="20"/>
                <w:color w:val="auto"/>
              </w:rPr>
            </w:pPr>
            <w:r>
              <w:rPr>
                <w:rFonts w:ascii="Arial" w:cs="Arial" w:eastAsia="Arial" w:hAnsi="Arial"/>
                <w:sz w:val="16"/>
                <w:szCs w:val="16"/>
                <w:color w:val="auto"/>
              </w:rPr>
              <w:t>_________________</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Payment to the Carrabba’s Founders in connection with the Royalty Termination Agreement. See Note 22 -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of the Notes to Consolidated Financial Statements for additional details regarding the Royalty Termination Agreement.</w:t>
      </w:r>
    </w:p>
    <w:p>
      <w:pPr>
        <w:jc w:val="both"/>
        <w:ind w:left="660" w:hanging="652"/>
        <w:spacing w:after="0" w:line="25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For 2022, includes an increase in reserves for certain collective action wage and hour lawsuits during the fourth quarter. See Note 22 -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of the Notes to Consolidated Financial Statements for additional details relating to the lawsuits. For 2021, includes an accrual for Imposto sobre</w:t>
      </w:r>
      <w:r>
        <w:rPr>
          <w:rFonts w:ascii="Arial" w:cs="Arial" w:eastAsia="Arial" w:hAnsi="Arial"/>
          <w:sz w:val="16"/>
          <w:szCs w:val="16"/>
          <w:i w:val="1"/>
          <w:iCs w:val="1"/>
          <w:color w:val="auto"/>
        </w:rPr>
        <w:t xml:space="preserve"> </w:t>
      </w:r>
      <w:r>
        <w:rPr>
          <w:rFonts w:ascii="Arial" w:cs="Arial" w:eastAsia="Arial" w:hAnsi="Arial"/>
          <w:sz w:val="16"/>
          <w:szCs w:val="16"/>
          <w:color w:val="auto"/>
        </w:rPr>
        <w:t>Serviços (“ISS”), a Brazilian municipal service tax, in connection with royalties from our Brazilian subsidiary over the past five years, including related penalties and interest, as a result of an unfavorable Brazilian Supreme Court ruling.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Segment restaurant-level and adjusted restaurant-level operating margin non-GAAP reconciliations </w:t>
      </w:r>
      <w:r>
        <w:rPr>
          <w:rFonts w:ascii="Arial" w:cs="Arial" w:eastAsia="Arial" w:hAnsi="Arial"/>
          <w:sz w:val="20"/>
          <w:szCs w:val="20"/>
          <w:color w:val="auto"/>
        </w:rPr>
        <w:t>- The following tables reconcile segment</w:t>
      </w:r>
      <w:r>
        <w:rPr>
          <w:rFonts w:ascii="Arial" w:cs="Arial" w:eastAsia="Arial" w:hAnsi="Arial"/>
          <w:sz w:val="20"/>
          <w:szCs w:val="20"/>
          <w:i w:val="1"/>
          <w:iCs w:val="1"/>
          <w:color w:val="auto"/>
        </w:rPr>
        <w:t xml:space="preserve"> </w:t>
      </w:r>
      <w:r>
        <w:rPr>
          <w:rFonts w:ascii="Arial" w:cs="Arial" w:eastAsia="Arial" w:hAnsi="Arial"/>
          <w:sz w:val="20"/>
          <w:szCs w:val="20"/>
          <w:color w:val="auto"/>
        </w:rPr>
        <w:t>Income from operations and the corresponding margin to segment restaurant-level operating income and adjusted restaurant-level operating income and the corresponding margins for the periods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U.S.</w:t>
            </w:r>
          </w:p>
        </w:tc>
        <w:tc>
          <w:tcPr>
            <w:tcW w:w="4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19"/>
                <w:szCs w:val="19"/>
                <w:color w:val="auto"/>
              </w:rPr>
            </w:pPr>
          </w:p>
        </w:tc>
      </w:tr>
      <w:tr>
        <w:trPr>
          <w:trHeight w:val="21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2021</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407,860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443,887</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i w:val="1"/>
                <w:iCs w:val="1"/>
                <w:color w:val="auto"/>
              </w:rPr>
              <w:t>Operating income margin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11.8 %</w:t>
            </w:r>
          </w:p>
        </w:tc>
      </w:tr>
      <w:tr>
        <w:trPr>
          <w:trHeight w:val="219"/>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Franchise and other revenues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48,854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45,133</w:t>
            </w:r>
          </w:p>
        </w:tc>
      </w:tr>
      <w:tr>
        <w:trPr>
          <w:trHeight w:val="219"/>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139,170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134,244</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93,401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89,314</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4,420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12,368</w:t>
            </w: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595,997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634,680</w:t>
            </w:r>
          </w:p>
        </w:tc>
      </w:tr>
      <w:tr>
        <w:trPr>
          <w:trHeight w:val="200"/>
        </w:trPr>
        <w:tc>
          <w:tcPr>
            <w:tcW w:w="7280" w:type="dxa"/>
            <w:vAlign w:val="bottom"/>
          </w:tcPr>
          <w:p>
            <w:pPr>
              <w:ind w:left="120"/>
              <w:spacing w:after="0"/>
              <w:rPr>
                <w:sz w:val="20"/>
                <w:szCs w:val="20"/>
                <w:color w:val="auto"/>
              </w:rPr>
            </w:pPr>
            <w:r>
              <w:rPr>
                <w:rFonts w:ascii="Arial" w:cs="Arial" w:eastAsia="Arial" w:hAnsi="Arial"/>
                <w:sz w:val="16"/>
                <w:szCs w:val="16"/>
                <w:i w:val="1"/>
                <w:iCs w:val="1"/>
                <w:color w:val="auto"/>
              </w:rPr>
              <w:t>Restaurant-level operating margin</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Royalty termination expense (1)</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61,880</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restaurant-level operating income adjustments</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61,880</w:t>
            </w:r>
          </w:p>
        </w:tc>
      </w:tr>
      <w:tr>
        <w:trPr>
          <w:trHeight w:val="216"/>
        </w:trPr>
        <w:tc>
          <w:tcPr>
            <w:tcW w:w="72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Adjusted restaurant-level operating income</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595,997</w:t>
            </w: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696,560</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Adjusted restaurant-level operating margin</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88"/>
        </w:trPr>
        <w:tc>
          <w:tcPr>
            <w:tcW w:w="7280" w:type="dxa"/>
            <w:vAlign w:val="bottom"/>
          </w:tcPr>
          <w:p>
            <w:pPr>
              <w:spacing w:after="0"/>
              <w:rPr>
                <w:sz w:val="20"/>
                <w:szCs w:val="20"/>
                <w:color w:val="auto"/>
              </w:rPr>
            </w:pPr>
            <w:r>
              <w:rPr>
                <w:rFonts w:ascii="Arial" w:cs="Arial" w:eastAsia="Arial" w:hAnsi="Arial"/>
                <w:sz w:val="16"/>
                <w:szCs w:val="16"/>
                <w:color w:val="auto"/>
              </w:rPr>
              <w:t>_________________</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Payment to the Carrabba’s Founders in connection with the Royalty Termination Agreement.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International</w:t>
            </w:r>
          </w:p>
        </w:tc>
        <w:tc>
          <w:tcPr>
            <w:tcW w:w="4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19"/>
                <w:szCs w:val="19"/>
                <w:color w:val="auto"/>
              </w:rPr>
            </w:pPr>
          </w:p>
        </w:tc>
      </w:tr>
      <w:tr>
        <w:trPr>
          <w:trHeight w:val="20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2021</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57,333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16,657</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i w:val="1"/>
                <w:iCs w:val="1"/>
                <w:color w:val="auto"/>
              </w:rPr>
              <w:t>Operating income margin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9"/>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Franchise and other revenues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14,959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16,159</w:t>
            </w:r>
          </w:p>
        </w:tc>
      </w:tr>
      <w:tr>
        <w:trPr>
          <w:trHeight w:val="219"/>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23,397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22,650</w:t>
            </w: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23,355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19,679</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1,100</w:t>
            </w: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90,663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43,927</w:t>
            </w:r>
          </w:p>
        </w:tc>
      </w:tr>
      <w:tr>
        <w:trPr>
          <w:trHeight w:val="200"/>
        </w:trPr>
        <w:tc>
          <w:tcPr>
            <w:tcW w:w="7280" w:type="dxa"/>
            <w:vAlign w:val="bottom"/>
          </w:tcPr>
          <w:p>
            <w:pPr>
              <w:ind w:left="120"/>
              <w:spacing w:after="0"/>
              <w:rPr>
                <w:sz w:val="20"/>
                <w:szCs w:val="20"/>
                <w:color w:val="auto"/>
              </w:rPr>
            </w:pPr>
            <w:r>
              <w:rPr>
                <w:rFonts w:ascii="Arial" w:cs="Arial" w:eastAsia="Arial" w:hAnsi="Arial"/>
                <w:sz w:val="16"/>
                <w:szCs w:val="16"/>
                <w:i w:val="1"/>
                <w:iCs w:val="1"/>
                <w:color w:val="auto"/>
              </w:rPr>
              <w:t>Restaurant-level operating margin</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12.7 %</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Legal and other matters (1)</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2,761</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restaurant-level operating income adjustments</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2,761</w:t>
            </w:r>
          </w:p>
        </w:tc>
      </w:tr>
      <w:tr>
        <w:trPr>
          <w:trHeight w:val="216"/>
        </w:trPr>
        <w:tc>
          <w:tcPr>
            <w:tcW w:w="72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Adjusted restaurant-level operating income</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90,663</w:t>
            </w: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46,688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Adjusted restaurant-level operating margin</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77"/>
        </w:trPr>
        <w:tc>
          <w:tcPr>
            <w:tcW w:w="7280" w:type="dxa"/>
            <w:vAlign w:val="bottom"/>
          </w:tcPr>
          <w:p>
            <w:pPr>
              <w:spacing w:after="0"/>
              <w:rPr>
                <w:sz w:val="20"/>
                <w:szCs w:val="20"/>
                <w:color w:val="auto"/>
              </w:rPr>
            </w:pPr>
            <w:r>
              <w:rPr>
                <w:rFonts w:ascii="Arial" w:cs="Arial" w:eastAsia="Arial" w:hAnsi="Arial"/>
                <w:sz w:val="16"/>
                <w:szCs w:val="16"/>
                <w:color w:val="auto"/>
              </w:rPr>
              <w:t>_________________</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660" w:hanging="652"/>
        <w:spacing w:after="0" w:line="27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an accrual for ISS, a Brazilian municipal service tax, in connection with royalties from our Brazilian subsidiary over the past five years, including related penalties and interest, as a result of an unfavorable Brazilian Supreme Court ruling.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auto"/>
        </w:rPr>
        <w:t xml:space="preserve">Adjusted restaurant-level operating margin non-GAAP reconciliations (continued) </w:t>
      </w:r>
      <w:r>
        <w:rPr>
          <w:rFonts w:ascii="Arial" w:cs="Arial" w:eastAsia="Arial" w:hAnsi="Arial"/>
          <w:sz w:val="20"/>
          <w:szCs w:val="20"/>
          <w:color w:val="auto"/>
        </w:rPr>
        <w:t>- The following table presents the percentages of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operating cost financial statement line items in relation to Restaurant sales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Pr>
          <w:p>
            <w:pPr>
              <w:spacing w:after="0"/>
              <w:rPr>
                <w:sz w:val="16"/>
                <w:szCs w:val="16"/>
                <w:color w:val="auto"/>
              </w:rPr>
            </w:pPr>
          </w:p>
        </w:tc>
      </w:tr>
      <w:tr>
        <w:trPr>
          <w:trHeight w:val="33"/>
        </w:trPr>
        <w:tc>
          <w:tcPr>
            <w:tcW w:w="524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2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7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240" w:type="dxa"/>
            <w:vAlign w:val="bottom"/>
          </w:tcPr>
          <w:p>
            <w:pPr>
              <w:jc w:val="right"/>
              <w:ind w:right="142"/>
              <w:spacing w:after="0"/>
              <w:rPr>
                <w:sz w:val="20"/>
                <w:szCs w:val="20"/>
                <w:color w:val="auto"/>
              </w:rPr>
            </w:pPr>
            <w:r>
              <w:rPr>
                <w:rFonts w:ascii="Arial" w:cs="Arial" w:eastAsia="Arial" w:hAnsi="Arial"/>
                <w:sz w:val="14"/>
                <w:szCs w:val="14"/>
                <w:b w:val="1"/>
                <w:bCs w:val="1"/>
                <w:color w:val="auto"/>
              </w:rPr>
              <w:t>ADJUSTED (1)</w:t>
            </w:r>
          </w:p>
        </w:tc>
        <w:tc>
          <w:tcPr>
            <w:tcW w:w="120" w:type="dxa"/>
            <w:vAlign w:val="bottom"/>
          </w:tcPr>
          <w:p>
            <w:pPr>
              <w:spacing w:after="0"/>
              <w:rPr>
                <w:sz w:val="18"/>
                <w:szCs w:val="18"/>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ADJUSTED (1)</w:t>
            </w: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5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420" w:type="dxa"/>
            <w:vAlign w:val="bottom"/>
          </w:tcPr>
          <w:p>
            <w:pPr>
              <w:jc w:val="right"/>
              <w:spacing w:after="0"/>
              <w:rPr>
                <w:sz w:val="20"/>
                <w:szCs w:val="20"/>
                <w:color w:val="auto"/>
              </w:rPr>
            </w:pPr>
            <w:r>
              <w:rPr>
                <w:rFonts w:ascii="Arial" w:cs="Arial" w:eastAsia="Arial" w:hAnsi="Arial"/>
                <w:sz w:val="16"/>
                <w:szCs w:val="16"/>
                <w:color w:val="auto"/>
              </w:rPr>
              <w:t>28.2 %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28.2 %</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28.4 %</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23.2 %</w:t>
            </w:r>
          </w:p>
        </w:tc>
      </w:tr>
      <w:tr>
        <w:trPr>
          <w:trHeight w:val="257"/>
        </w:trPr>
        <w:tc>
          <w:tcPr>
            <w:tcW w:w="5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r>
      <w:tr>
        <w:trPr>
          <w:trHeight w:val="288"/>
        </w:trPr>
        <w:tc>
          <w:tcPr>
            <w:tcW w:w="5240" w:type="dxa"/>
            <w:vAlign w:val="bottom"/>
          </w:tcPr>
          <w:p>
            <w:pPr>
              <w:spacing w:after="0"/>
              <w:rPr>
                <w:sz w:val="20"/>
                <w:szCs w:val="20"/>
                <w:color w:val="auto"/>
              </w:rPr>
            </w:pPr>
            <w:r>
              <w:rPr>
                <w:rFonts w:ascii="Arial" w:cs="Arial" w:eastAsia="Arial" w:hAnsi="Arial"/>
                <w:sz w:val="16"/>
                <w:szCs w:val="16"/>
                <w:color w:val="auto"/>
              </w:rPr>
              <w:t>_________________</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jc w:val="both"/>
        <w:ind w:left="660" w:hanging="652"/>
        <w:spacing w:after="0" w:line="260"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Consolidated restaurant-level operating income and adjusted restaurant-level operating income and corresponding margins non-GAAP reconciliations</w:t>
      </w:r>
      <w:r>
        <w:rPr>
          <w:rFonts w:ascii="Arial" w:cs="Arial" w:eastAsia="Arial" w:hAnsi="Arial"/>
          <w:sz w:val="16"/>
          <w:szCs w:val="16"/>
          <w:color w:val="auto"/>
        </w:rPr>
        <w:t xml:space="preserve"> table above for details regarding the restaurant-level operating margin adjustments. All restaurant-level operating margin adjustments for the periods presented were recorded within Other restaurant operating expense.</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auto"/>
        </w:rPr>
        <w:t xml:space="preserve">Adjusted income from operations non-GAAP reconciliations </w:t>
      </w:r>
      <w:r>
        <w:rPr>
          <w:rFonts w:ascii="Arial" w:cs="Arial" w:eastAsia="Arial" w:hAnsi="Arial"/>
          <w:sz w:val="20"/>
          <w:szCs w:val="20"/>
          <w:color w:val="auto"/>
        </w:rPr>
        <w:t>- The following table reconciles Income from operations and the corresponding</w:t>
      </w:r>
      <w:r>
        <w:rPr>
          <w:rFonts w:ascii="Arial" w:cs="Arial" w:eastAsia="Arial" w:hAnsi="Arial"/>
          <w:sz w:val="20"/>
          <w:szCs w:val="20"/>
          <w:i w:val="1"/>
          <w:iCs w:val="1"/>
          <w:color w:val="auto"/>
        </w:rPr>
        <w:t xml:space="preserve"> </w:t>
      </w:r>
      <w:r>
        <w:rPr>
          <w:rFonts w:ascii="Arial" w:cs="Arial" w:eastAsia="Arial" w:hAnsi="Arial"/>
          <w:sz w:val="20"/>
          <w:szCs w:val="20"/>
          <w:color w:val="auto"/>
        </w:rPr>
        <w:t>margin to adjusted income from operations and the corresponding margin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330,421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308,958</w:t>
            </w:r>
          </w:p>
        </w:tc>
        <w:tc>
          <w:tcPr>
            <w:tcW w:w="0" w:type="dxa"/>
            <w:vAlign w:val="bottom"/>
          </w:tcPr>
          <w:p>
            <w:pPr>
              <w:spacing w:after="0"/>
              <w:rPr>
                <w:sz w:val="1"/>
                <w:szCs w:val="1"/>
                <w:color w:val="auto"/>
              </w:rPr>
            </w:pP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i w:val="1"/>
                <w:iCs w:val="1"/>
                <w:color w:val="auto"/>
              </w:rPr>
              <w:t>Operating income margin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color w:val="auto"/>
              </w:rPr>
              <w:t>Total restaurant-level operating margin adjustments (1)</w:t>
            </w: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64,641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 and other transformational costs (2)</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6"/>
                <w:szCs w:val="16"/>
                <w:color w:val="auto"/>
              </w:rPr>
              <w:t>Legal and other matters (3)</w:t>
            </w:r>
          </w:p>
        </w:tc>
        <w:tc>
          <w:tcPr>
            <w:tcW w:w="3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(3,133)</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from operations adjustments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64,272</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color w:val="auto"/>
              </w:rPr>
              <w:t>Adjusted income from operations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336,321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373,230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Adjusted operating income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88"/>
        </w:trPr>
        <w:tc>
          <w:tcPr>
            <w:tcW w:w="8040" w:type="dxa"/>
            <w:vAlign w:val="bottom"/>
          </w:tcPr>
          <w:p>
            <w:pPr>
              <w:spacing w:after="0"/>
              <w:rPr>
                <w:sz w:val="20"/>
                <w:szCs w:val="20"/>
                <w:color w:val="auto"/>
              </w:rPr>
            </w:pPr>
            <w:r>
              <w:rPr>
                <w:rFonts w:ascii="Arial" w:cs="Arial" w:eastAsia="Arial" w:hAnsi="Arial"/>
                <w:sz w:val="16"/>
                <w:szCs w:val="16"/>
                <w:color w:val="auto"/>
              </w:rPr>
              <w:t>_________________</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48"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Consolidated restaurant-level operating income and adjusted restaurant-level operating income and corresponding margins non-GAAP reconciliations</w:t>
      </w:r>
      <w:r>
        <w:rPr>
          <w:rFonts w:ascii="Arial" w:cs="Arial" w:eastAsia="Arial" w:hAnsi="Arial"/>
          <w:sz w:val="16"/>
          <w:szCs w:val="16"/>
          <w:color w:val="auto"/>
        </w:rPr>
        <w:t xml:space="preserve"> table above for details regarding the restaurant-level operating income adjustments.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Severance, professional fees and other costs incurred as a result of transformational and restructuring activities.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the recognition of recoverable PIS and COFINS taxes, including accrued interest within other revenues as a result of favorable court rulings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line="301" w:lineRule="auto"/>
        <w:rPr>
          <w:sz w:val="20"/>
          <w:szCs w:val="20"/>
          <w:color w:val="auto"/>
        </w:rPr>
      </w:pPr>
      <w:r>
        <w:rPr>
          <w:rFonts w:ascii="Arial" w:cs="Arial" w:eastAsia="Arial" w:hAnsi="Arial"/>
          <w:sz w:val="19"/>
          <w:szCs w:val="19"/>
          <w:i w:val="1"/>
          <w:iCs w:val="1"/>
          <w:color w:val="auto"/>
        </w:rPr>
        <w:t xml:space="preserve">Adjusted net income and Adjusted diluted earnings per share non-GAAP reconciliations </w:t>
      </w:r>
      <w:r>
        <w:rPr>
          <w:rFonts w:ascii="Arial" w:cs="Arial" w:eastAsia="Arial" w:hAnsi="Arial"/>
          <w:sz w:val="19"/>
          <w:szCs w:val="19"/>
          <w:color w:val="auto"/>
        </w:rPr>
        <w:t>- The following table reconciles Diluted net income</w:t>
      </w:r>
      <w:r>
        <w:rPr>
          <w:rFonts w:ascii="Arial" w:cs="Arial" w:eastAsia="Arial" w:hAnsi="Arial"/>
          <w:sz w:val="19"/>
          <w:szCs w:val="19"/>
          <w:i w:val="1"/>
          <w:iCs w:val="1"/>
          <w:color w:val="auto"/>
        </w:rPr>
        <w:t xml:space="preserve"> </w:t>
      </w:r>
      <w:r>
        <w:rPr>
          <w:rFonts w:ascii="Arial" w:cs="Arial" w:eastAsia="Arial" w:hAnsi="Arial"/>
          <w:sz w:val="19"/>
          <w:szCs w:val="19"/>
          <w:color w:val="auto"/>
        </w:rPr>
        <w:t>attributable to common stockholders to adjusted net income and adjusted diluted earnings per share for the periods indicated: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attributable to common stockholders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215,900</w:t>
            </w: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6"/>
                <w:szCs w:val="16"/>
                <w:color w:val="auto"/>
              </w:rPr>
              <w:t>Convertible senior notes if-converted method interest adjustment, net of tax (1)</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0" w:type="dxa"/>
            <w:vAlign w:val="bottom"/>
          </w:tcPr>
          <w:p>
            <w:pPr>
              <w:spacing w:after="0"/>
              <w:rPr>
                <w:sz w:val="1"/>
                <w:szCs w:val="1"/>
                <w:color w:val="auto"/>
              </w:rPr>
            </w:pPr>
          </w:p>
        </w:tc>
      </w:tr>
      <w:tr>
        <w:trPr>
          <w:trHeight w:val="187"/>
        </w:trPr>
        <w:tc>
          <w:tcPr>
            <w:tcW w:w="82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 adjustments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64,272</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Loss on extinguishment and modification of debt (3)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107,630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3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 on fair value adjustment of derivatives, net (3)</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260" w:type="dxa"/>
            <w:vAlign w:val="bottom"/>
          </w:tcPr>
          <w:p>
            <w:pPr>
              <w:ind w:left="20"/>
              <w:spacing w:after="0"/>
              <w:rPr>
                <w:sz w:val="20"/>
                <w:szCs w:val="20"/>
                <w:color w:val="auto"/>
              </w:rPr>
            </w:pPr>
            <w:r>
              <w:rPr>
                <w:rFonts w:ascii="Arial" w:cs="Arial" w:eastAsia="Arial" w:hAnsi="Arial"/>
                <w:sz w:val="16"/>
                <w:szCs w:val="16"/>
                <w:color w:val="auto"/>
              </w:rPr>
              <w:t>Total adjustments,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131,215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66,345</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Adjustment to provision for income taxes (4)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adjustments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45,123</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232,859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260,678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6"/>
                <w:szCs w:val="16"/>
                <w:color w:val="auto"/>
              </w:rPr>
              <w:t>Adjusted diluted earnings per share (5)</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98,512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weighted average common shares outstanding (5)</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2" w:lineRule="exact"/>
        <w:rPr>
          <w:sz w:val="20"/>
          <w:szCs w:val="20"/>
          <w:color w:val="auto"/>
        </w:rPr>
      </w:pPr>
    </w:p>
    <w:p>
      <w:pPr>
        <w:ind w:left="660" w:hanging="652"/>
        <w:spacing w:after="0" w:line="253"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Adjustment for interest expense related to the 2025 Notes weighted for the portion of the period prior to our election under the 2025 Notes indenture to settle the principal portion of the 2025 Notes in cash.</w:t>
      </w: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Adjusted income from operations non-GAAP reconciliations</w:t>
      </w:r>
      <w:r>
        <w:rPr>
          <w:rFonts w:ascii="Arial" w:cs="Arial" w:eastAsia="Arial" w:hAnsi="Arial"/>
          <w:sz w:val="16"/>
          <w:szCs w:val="16"/>
          <w:color w:val="auto"/>
        </w:rPr>
        <w:t xml:space="preserve"> table above for details regarding Income from operations adjustments.</w:t>
      </w:r>
    </w:p>
    <w:p>
      <w:pPr>
        <w:spacing w:after="0" w:line="8" w:lineRule="exact"/>
        <w:rPr>
          <w:rFonts w:ascii="Arial" w:cs="Arial" w:eastAsia="Arial" w:hAnsi="Arial"/>
          <w:sz w:val="16"/>
          <w:szCs w:val="16"/>
          <w:color w:val="auto"/>
        </w:rPr>
      </w:pPr>
    </w:p>
    <w:p>
      <w:pPr>
        <w:ind w:left="660" w:right="20" w:hanging="652"/>
        <w:spacing w:after="0" w:line="25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For 2022, includes losses in connection with the 2025 Notes Partial Repurchase and Amended Credit Agreement. 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and Note 13 - </w:t>
      </w:r>
      <w:r>
        <w:rPr>
          <w:rFonts w:ascii="Arial" w:cs="Arial" w:eastAsia="Arial" w:hAnsi="Arial"/>
          <w:sz w:val="16"/>
          <w:szCs w:val="16"/>
          <w:i w:val="1"/>
          <w:iCs w:val="1"/>
          <w:color w:val="auto"/>
        </w:rPr>
        <w:t>Long-term Debt, Net</w:t>
      </w:r>
      <w:r>
        <w:rPr>
          <w:rFonts w:ascii="Arial" w:cs="Arial" w:eastAsia="Arial" w:hAnsi="Arial"/>
          <w:sz w:val="16"/>
          <w:szCs w:val="16"/>
          <w:color w:val="auto"/>
        </w:rPr>
        <w:t>, respectively, of the Notes to Consolidated Financial Statements for additional details.</w:t>
      </w:r>
    </w:p>
    <w:p>
      <w:pPr>
        <w:jc w:val="both"/>
        <w:ind w:left="660" w:hanging="652"/>
        <w:spacing w:after="0" w:line="254"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tax effect of non-GAAP adjustments was determined based on the nature of the underlying non-GAAP adjustments and their relevant jurisdictional tax rates. For 2022, the primary difference between GAAP and adjusted effective income tax rates relates to certain non-deductible losses and other tax costs associated with the 2025 Notes Partial Repurchase. Also includes a $4.2 million adjustment during 2021 for the reduction of certain unrecognized tax benefits related to tax positions taken during a prior period.</w:t>
      </w:r>
    </w:p>
    <w:p>
      <w:pPr>
        <w:jc w:val="both"/>
        <w:ind w:left="660" w:hanging="652"/>
        <w:spacing w:after="0" w:line="25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diluted weighted average common shares outstanding was calculated excluding the dilutive effect of 6,089 and 9,992 shares for 2022 and 2021, respectively, to be issued upon conversion of the 2025 Notes to satisfy the amount in excess of the principal since our convertible note hedge offsets the dilutive impact of the shares underlying the 2025 Notes. For 2021, adjusted diluted weighted average common shares outstanding was also calculated assuming our February 2021 election to settle the principal portion of the 2025 Notes in cash was in effect for the entire period.</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 - South 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3"/>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color w:val="auto"/>
              </w:rPr>
              <w:t>Total franchise sales (2)</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franchise sales for off-premises only kitchens in South Korea.</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 (Loss).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and Cash Equivalents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As of December 25, 2022, we had $84.7 million in cash and cash equivalents, of which $27.1 million was held by foreign affiliates. The international jurisdictions in which we have significant cash do not have any known restrictions that would prohibit repatriation.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As of December 25, 2022, we had aggregate undistributed foreign earnings of approximately $23.2 million. These earnings may be repatriated to the U.S. without additional material U.S. federal income tax. These amounts are not considered indefinitely reinvested in our foreign subsidiaries. See Note 21 -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our indefinite reinvestment assertion.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Borrowing Capacity and Debt Service</w:t>
      </w:r>
    </w:p>
    <w:p>
      <w:pPr>
        <w:spacing w:after="0" w:line="25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Following is a summary of our outstanding credit facilities as of the dates indicated and principal payments and debt</w:t>
      </w:r>
      <w:r>
        <w:rPr>
          <w:rFonts w:ascii="Arial" w:cs="Arial" w:eastAsia="Arial" w:hAnsi="Arial"/>
          <w:sz w:val="20"/>
          <w:szCs w:val="20"/>
          <w:i w:val="1"/>
          <w:iCs w:val="1"/>
          <w:color w:val="auto"/>
        </w:rPr>
        <w:t xml:space="preserve"> </w:t>
      </w:r>
      <w:r>
        <w:rPr>
          <w:rFonts w:ascii="Arial" w:cs="Arial" w:eastAsia="Arial" w:hAnsi="Arial"/>
          <w:sz w:val="20"/>
          <w:szCs w:val="20"/>
          <w:color w:val="auto"/>
        </w:rPr>
        <w:t>issuance during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SENIOR SECURED CREDIT</w:t>
            </w:r>
          </w:p>
        </w:tc>
        <w:tc>
          <w:tcPr>
            <w:tcW w:w="120" w:type="dxa"/>
            <w:vAlign w:val="bottom"/>
          </w:tcPr>
          <w:p>
            <w:pPr>
              <w:spacing w:after="0"/>
              <w:rPr>
                <w:sz w:val="14"/>
                <w:szCs w:val="14"/>
                <w:color w:val="auto"/>
              </w:rPr>
            </w:pPr>
          </w:p>
        </w:tc>
        <w:tc>
          <w:tcPr>
            <w:tcW w:w="22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rPr>
              <w:t>FORMER CREDIT FACILITY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tcBorders>
              <w:top w:val="single" w:sz="8" w:color="auto"/>
            </w:tcBorders>
            <w:gridSpan w:val="3"/>
          </w:tcPr>
          <w:p>
            <w:pPr>
              <w:ind w:left="60"/>
              <w:spacing w:after="0" w:line="139" w:lineRule="exact"/>
              <w:rPr>
                <w:sz w:val="20"/>
                <w:szCs w:val="20"/>
                <w:color w:val="auto"/>
              </w:rPr>
            </w:pPr>
            <w:r>
              <w:rPr>
                <w:rFonts w:ascii="Arial" w:cs="Arial" w:eastAsia="Arial" w:hAnsi="Arial"/>
                <w:sz w:val="14"/>
                <w:szCs w:val="14"/>
                <w:b w:val="1"/>
                <w:bCs w:val="1"/>
                <w:color w:val="auto"/>
              </w:rPr>
              <w:t>TERM LOAN</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1"/>
              <w:spacing w:after="0" w:line="139" w:lineRule="exact"/>
              <w:rPr>
                <w:sz w:val="20"/>
                <w:szCs w:val="20"/>
                <w:color w:val="auto"/>
              </w:rPr>
            </w:pPr>
            <w:r>
              <w:rPr>
                <w:rFonts w:ascii="Arial" w:cs="Arial" w:eastAsia="Arial" w:hAnsi="Arial"/>
                <w:sz w:val="14"/>
                <w:szCs w:val="14"/>
                <w:b w:val="1"/>
                <w:bCs w:val="1"/>
                <w:color w:val="auto"/>
              </w:rPr>
              <w:t>REVOLVING</w:t>
            </w:r>
          </w:p>
        </w:tc>
        <w:tc>
          <w:tcPr>
            <w:tcW w:w="100" w:type="dxa"/>
            <w:vAlign w:val="bottom"/>
          </w:tcPr>
          <w:p>
            <w:pPr>
              <w:spacing w:after="0"/>
              <w:rPr>
                <w:sz w:val="12"/>
                <w:szCs w:val="12"/>
                <w:color w:val="auto"/>
              </w:rPr>
            </w:pPr>
          </w:p>
        </w:tc>
        <w:tc>
          <w:tcPr>
            <w:tcW w:w="1060" w:type="dxa"/>
            <w:vAlign w:val="bottom"/>
            <w:tcBorders>
              <w:top w:val="single" w:sz="8" w:color="auto"/>
            </w:tcBorders>
            <w:gridSpan w:val="3"/>
          </w:tcPr>
          <w:p>
            <w:pPr>
              <w:ind w:left="40"/>
              <w:spacing w:after="0" w:line="139" w:lineRule="exact"/>
              <w:rPr>
                <w:sz w:val="20"/>
                <w:szCs w:val="20"/>
                <w:color w:val="auto"/>
              </w:rPr>
            </w:pPr>
            <w:r>
              <w:rPr>
                <w:rFonts w:ascii="Arial" w:cs="Arial" w:eastAsia="Arial" w:hAnsi="Arial"/>
                <w:sz w:val="14"/>
                <w:szCs w:val="14"/>
                <w:b w:val="1"/>
                <w:bCs w:val="1"/>
                <w:color w:val="auto"/>
              </w:rPr>
              <w:t>TERM LOAN</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81"/>
              <w:spacing w:after="0" w:line="139" w:lineRule="exact"/>
              <w:rPr>
                <w:sz w:val="20"/>
                <w:szCs w:val="20"/>
                <w:color w:val="auto"/>
              </w:rPr>
            </w:pPr>
            <w:r>
              <w:rPr>
                <w:rFonts w:ascii="Arial" w:cs="Arial" w:eastAsia="Arial" w:hAnsi="Arial"/>
                <w:sz w:val="14"/>
                <w:szCs w:val="14"/>
                <w:b w:val="1"/>
                <w:bCs w:val="1"/>
                <w:color w:val="auto"/>
              </w:rPr>
              <w:t>REVOLVING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2025 NOTES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2029 NOTES</w:t>
            </w:r>
          </w:p>
        </w:tc>
        <w:tc>
          <w:tcPr>
            <w:tcW w:w="120" w:type="dxa"/>
            <w:vAlign w:val="bottom"/>
            <w:vMerge w:val="restart"/>
          </w:tcPr>
          <w:p>
            <w:pPr>
              <w:spacing w:after="0"/>
              <w:rPr>
                <w:sz w:val="12"/>
                <w:szCs w:val="12"/>
                <w:color w:val="auto"/>
              </w:rPr>
            </w:pPr>
          </w:p>
        </w:tc>
        <w:tc>
          <w:tcPr>
            <w:tcW w:w="11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27, 2020</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1,102,000</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2021 new debt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455,000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970,000</w:t>
            </w:r>
          </w:p>
        </w:tc>
        <w:tc>
          <w:tcPr>
            <w:tcW w:w="0" w:type="dxa"/>
            <w:vAlign w:val="bottom"/>
          </w:tcPr>
          <w:p>
            <w:pPr>
              <w:spacing w:after="0"/>
              <w:rPr>
                <w:sz w:val="1"/>
                <w:szCs w:val="1"/>
                <w:color w:val="auto"/>
              </w:rPr>
            </w:pPr>
          </w:p>
        </w:tc>
      </w:tr>
      <w:tr>
        <w:trPr>
          <w:trHeight w:val="226"/>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2021 payments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(375,000)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(1,267,000)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as of December 26, 2021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805,000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 new debt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1,239,500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1,239,500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2022 payments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(889,500)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(1,209,500)</w:t>
            </w: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25, 2022 (1)</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105,000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835,000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5"/>
              </w:rPr>
              <w:t>Interest rates, as of December 25, 2022</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Principal maturity date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420"/>
              <w:spacing w:after="0"/>
              <w:rPr>
                <w:sz w:val="20"/>
                <w:szCs w:val="20"/>
                <w:color w:val="auto"/>
              </w:rPr>
            </w:pPr>
            <w:r>
              <w:rPr>
                <w:rFonts w:ascii="Arial" w:cs="Arial" w:eastAsia="Arial" w:hAnsi="Arial"/>
                <w:sz w:val="16"/>
                <w:szCs w:val="16"/>
                <w:color w:val="auto"/>
              </w:rPr>
              <w:t>April 2026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6"/>
                <w:szCs w:val="16"/>
                <w:color w:val="auto"/>
              </w:rPr>
              <w:t>May 2025</w:t>
            </w:r>
          </w:p>
        </w:tc>
        <w:tc>
          <w:tcPr>
            <w:tcW w:w="12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6"/>
                <w:szCs w:val="16"/>
                <w:color w:val="auto"/>
              </w:rPr>
              <w:t>April 2029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Subsequent to December 25, 2022, we repaid $80.0 million on our revolving credit facility.</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Interest rate for the revolving credit facility represents the weighted average interest rate as of December 25, 2022.</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 of December 25, 2022, we had $550.0 million in available unused borrowing capacity under our revolving credit facility, net of letters of credit of $20.0 million.</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Credit Agreement </w:t>
      </w:r>
      <w:r>
        <w:rPr>
          <w:rFonts w:ascii="Arial" w:cs="Arial" w:eastAsia="Arial" w:hAnsi="Arial"/>
          <w:sz w:val="19"/>
          <w:szCs w:val="19"/>
          <w:color w:val="auto"/>
        </w:rPr>
        <w:t>- On April 16, 2021, we and OSI, as co-borrowers, entered into the Second Amended and Restated Credit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“Credit Agreement”), which provides for senior secured financing of up to $1.0 billion consisting of a $200.0 million Term loan A and an $800.0 million revolving credit facility (the “Senior Secured Credit Facility”). The Senior Secured Credit Facility matures on April 16, 2026 and replaced our prior senior secured financing of up to $1.5 billion (the “Former Credit Facility”).</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April 26, 2022, we and OSI entered into the First Amendment to the Second Amended and Restated Credit Agreement and Incremental Amendment (the “Amended Credit Agreement”), which included an increase of our existing revolving credit facility from $800.0 million to $1.0 billion and a transition from the one-month London Inter-Bank Offered Rate (“LIBOR”) rate to the Secured Overnight Financing Rate (“SOFR”) as the benchmark rate for purposes of calculating interest under the Senior Secured Credit Facility. At closing, an incremental $192.5 million was drawn on the revolving credit facility to fully repay the outstanding balance of Term loan A. Our total indebtedness remained unchanged as a result of the Amended Credit Agreement. The transition to SOFR did not materially impact the interest rate applied to our borrowings.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Amended Credit Agreement contains various financial and non-financial covenants. A violation of these covenants could negatively impact our liquidity by restricting our ability to borrow under the revolving credit facility and cause an acceleration of the amounts due under the credit facilities.</w:t>
      </w:r>
    </w:p>
    <w:p>
      <w:pPr>
        <w:spacing w:after="0" w:line="22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See Note 13 -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of the notes to Consolidated Financial Statements for additional details regarding the Amended Credit Agreement.</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 of December 25, 2022 and December 26, 2021, we were in compliance with our debt covenants. We believe that we will remain in compliance with our debt covenants during the next 12 months and beyond.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i w:val="1"/>
          <w:iCs w:val="1"/>
          <w:color w:val="auto"/>
        </w:rPr>
        <w:t xml:space="preserve">2025 Notes Partial Repurchase </w:t>
      </w:r>
      <w:r>
        <w:rPr>
          <w:rFonts w:ascii="Arial" w:cs="Arial" w:eastAsia="Arial" w:hAnsi="Arial"/>
          <w:sz w:val="18"/>
          <w:szCs w:val="18"/>
          <w:color w:val="auto"/>
        </w:rPr>
        <w:t>- On May 25, 2022, we and certain holders (the “Noteholders”) entered into exchange agreements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Noteholders agreed to exchange $125.0 million in aggregate principal amount of our outstanding 2025 Notes for $196.9 million in cash, plus accrued interest, and approximately 2.3 million shares of our common stock. In connection with the 2025 Notes Partial Repurchase, we entered into partial unwind agreements with certain financial institutions relating to a portion of the convertible note hedge transactions (the “Note Hedge Early Termination Agreements”) and a portion of the Warrant Transactions (the “Warrant Early Termination Agreements”) that were previously entered into by the Company in connection with the issuance of the 2025 Notes. Upon settlement, we received $131.9 million for the Note Hedge Early Termination Agreements and paid $114.8 million for the Warrant Early Termination Agreements.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 xml:space="preserve">See Note 14 -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of the Notes to Consolidated Financial Statements for additional details regarding the 2025 Notes Partial Repurchase and related Note Hedge Early Termination Agreements and Warrant Early Termination Agreements.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2029 Notes - </w:t>
      </w:r>
      <w:r>
        <w:rPr>
          <w:rFonts w:ascii="Arial" w:cs="Arial" w:eastAsia="Arial" w:hAnsi="Arial"/>
          <w:sz w:val="20"/>
          <w:szCs w:val="20"/>
          <w:color w:val="auto"/>
        </w:rPr>
        <w:t>On April 16, 2021, we issued $300.0 million aggregate principal amount of senior unsecured notes due 2029. The 2029 Notes</w:t>
      </w:r>
      <w:r>
        <w:rPr>
          <w:rFonts w:ascii="Arial" w:cs="Arial" w:eastAsia="Arial" w:hAnsi="Arial"/>
          <w:sz w:val="20"/>
          <w:szCs w:val="20"/>
          <w:i w:val="1"/>
          <w:iCs w:val="1"/>
          <w:color w:val="auto"/>
        </w:rPr>
        <w:t xml:space="preserve"> </w:t>
      </w:r>
      <w:r>
        <w:rPr>
          <w:rFonts w:ascii="Arial" w:cs="Arial" w:eastAsia="Arial" w:hAnsi="Arial"/>
          <w:sz w:val="20"/>
          <w:szCs w:val="20"/>
          <w:color w:val="auto"/>
        </w:rPr>
        <w:t>mature on April 15, 2029, unless earlier redeemed or purchased by us. The 2029 Notes bear cash interest at an annual rate of 5.125% payable semi-annually in arrears on April 15 and October 15 of each year.</w:t>
      </w:r>
    </w:p>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net proceeds from the 2029 Notes were approximately $294.5 million, after deducting the initial purchaser’s discount and our offering expenses. The net proceeds were used to repay a portion of our outstanding Term loan A and revolving credit facility in conjunction with the refinancing of our Former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Cash</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Cash flows generated from operating activities and availability under our revolving credit facility are our principal sources of liquidity, which we use for operating expenses, debt payments, share repurchases and dividend payments, development of new restaurants, remodeling or relocating older restaurants and investment in technology.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during the 12 months following this filing and beyond.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$240 million to $260 million in 2023. The amount</w:t>
      </w:r>
      <w:r>
        <w:rPr>
          <w:rFonts w:ascii="Arial" w:cs="Arial" w:eastAsia="Arial" w:hAnsi="Arial"/>
          <w:sz w:val="20"/>
          <w:szCs w:val="20"/>
          <w:i w:val="1"/>
          <w:iCs w:val="1"/>
          <w:color w:val="auto"/>
        </w:rPr>
        <w:t xml:space="preserve"> </w:t>
      </w:r>
      <w:r>
        <w:rPr>
          <w:rFonts w:ascii="Arial" w:cs="Arial" w:eastAsia="Arial" w:hAnsi="Arial"/>
          <w:sz w:val="20"/>
          <w:szCs w:val="20"/>
          <w:color w:val="auto"/>
        </w:rPr>
        <w:t>of actual capital expenditures may be affected by general economic, financial, competitive, legislative and regulatory factors, among other things, including raw material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Material Cash Requirements </w:t>
      </w:r>
      <w:r>
        <w:rPr>
          <w:rFonts w:ascii="Arial" w:cs="Arial" w:eastAsia="Arial" w:hAnsi="Arial"/>
          <w:sz w:val="18"/>
          <w:szCs w:val="18"/>
          <w:color w:val="auto"/>
        </w:rPr>
        <w:t>- The following table presents current and long-term material cash requirements as of December 25,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6"/>
          </w:tcPr>
          <w:p>
            <w:pPr>
              <w:jc w:val="center"/>
              <w:ind w:left="682"/>
              <w:spacing w:after="0"/>
              <w:rPr>
                <w:sz w:val="20"/>
                <w:szCs w:val="20"/>
                <w:color w:val="auto"/>
              </w:rPr>
            </w:pPr>
            <w:r>
              <w:rPr>
                <w:rFonts w:ascii="Arial" w:cs="Arial" w:eastAsia="Arial" w:hAnsi="Arial"/>
                <w:sz w:val="14"/>
                <w:szCs w:val="14"/>
                <w:b w:val="1"/>
                <w:bCs w:val="1"/>
                <w:color w:val="auto"/>
              </w:rPr>
              <w:t>PAYMENTS DUE BY PERIOD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3"/>
        </w:trPr>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6"/>
                <w:szCs w:val="16"/>
                <w:color w:val="auto"/>
              </w:rPr>
            </w:pPr>
          </w:p>
        </w:tc>
        <w:tc>
          <w:tcPr>
            <w:tcW w:w="1000" w:type="dxa"/>
            <w:vAlign w:val="bottom"/>
          </w:tcPr>
          <w:p>
            <w:pPr>
              <w:jc w:val="center"/>
              <w:ind w:right="161"/>
              <w:spacing w:after="0"/>
              <w:rPr>
                <w:sz w:val="20"/>
                <w:szCs w:val="20"/>
                <w:color w:val="auto"/>
              </w:rPr>
            </w:pPr>
            <w:r>
              <w:rPr>
                <w:rFonts w:ascii="Arial" w:cs="Arial" w:eastAsia="Arial" w:hAnsi="Arial"/>
                <w:sz w:val="14"/>
                <w:szCs w:val="14"/>
                <w:b w:val="1"/>
                <w:bCs w:val="1"/>
                <w:color w:val="auto"/>
                <w:w w:val="98"/>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421"/>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MORE THAN</w:t>
            </w:r>
          </w:p>
        </w:tc>
      </w:tr>
      <w:tr>
        <w:trPr>
          <w:trHeight w:val="226"/>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YEARS</w:t>
            </w:r>
          </w:p>
        </w:tc>
        <w:tc>
          <w:tcPr>
            <w:tcW w:w="3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9"/>
                <w:szCs w:val="19"/>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5 YEARS</w:t>
            </w:r>
          </w:p>
        </w:tc>
      </w:t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1,387,174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190,596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337,770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600,165</w:t>
            </w:r>
          </w:p>
        </w:tc>
      </w:tr>
      <w:tr>
        <w:trPr>
          <w:trHeight w:val="213"/>
        </w:trPr>
        <w:tc>
          <w:tcPr>
            <w:tcW w:w="46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301,442</w:t>
            </w:r>
          </w:p>
        </w:tc>
      </w:tr>
      <w:tr>
        <w:trPr>
          <w:trHeight w:val="213"/>
        </w:trPr>
        <w:tc>
          <w:tcPr>
            <w:tcW w:w="4640" w:type="dxa"/>
            <w:vAlign w:val="bottom"/>
          </w:tcPr>
          <w:p>
            <w:pPr>
              <w:ind w:left="140"/>
              <w:spacing w:after="0"/>
              <w:rPr>
                <w:sz w:val="20"/>
                <w:szCs w:val="20"/>
                <w:color w:val="auto"/>
              </w:rPr>
            </w:pPr>
            <w:r>
              <w:rPr>
                <w:rFonts w:ascii="Arial" w:cs="Arial" w:eastAsia="Arial" w:hAnsi="Arial"/>
                <w:sz w:val="16"/>
                <w:szCs w:val="16"/>
                <w:color w:val="auto"/>
              </w:rPr>
              <w:t>Interest (3)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48,035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91,535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19,859</w:t>
            </w:r>
          </w:p>
        </w:tc>
      </w:tr>
      <w:tr>
        <w:trPr>
          <w:trHeight w:val="219"/>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obligations (4)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obligations (5)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22,787</w:t>
            </w:r>
          </w:p>
        </w:tc>
      </w:tr>
      <w:tr>
        <w:trPr>
          <w:trHeight w:val="241"/>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2,692,189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448,576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569,412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729,948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944,253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5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represent undiscounted future minimum rental commitments under non-cancelable operating leases. Excludes $919.7 million related to operating lease renewal options that are reasonably certain of exercise.</w:t>
      </w:r>
    </w:p>
    <w:p>
      <w:pPr>
        <w:ind w:left="660" w:hanging="652"/>
        <w:spacing w:after="0" w:line="24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Senior Secured Credit Facility, 2029 Notes, 2025 Notes and finance lease obligations. Amounts are not reduced by unamortized debt issuance costs and finance lease interest totaling $7.7 million.</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Projected future interest payments on long-term debt are based on interest rates in effect as of December 25, 2022.</w:t>
      </w:r>
    </w:p>
    <w:p>
      <w:pPr>
        <w:spacing w:after="0" w:line="15" w:lineRule="exact"/>
        <w:rPr>
          <w:rFonts w:ascii="Arial" w:cs="Arial" w:eastAsia="Arial" w:hAnsi="Arial"/>
          <w:sz w:val="16"/>
          <w:szCs w:val="16"/>
          <w:color w:val="auto"/>
        </w:rPr>
      </w:pPr>
    </w:p>
    <w:p>
      <w:pPr>
        <w:jc w:val="both"/>
        <w:ind w:left="660" w:right="20" w:hanging="652"/>
        <w:spacing w:after="0" w:line="269"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kitchen equipment, technology, advertising and restaurant-level service contracts.</w:t>
      </w:r>
    </w:p>
    <w:p>
      <w:pPr>
        <w:ind w:left="660" w:hanging="652"/>
        <w:spacing w:after="0" w:line="27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other long-term liabilities, primarily consisting of deferred compensation obligations, deposits and other accrued obligations. Unrecognized tax benefits are excluded from this table since it is not possible to estimate when these future payments will occur.</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Dividends and Share Repurchases </w:t>
      </w:r>
      <w:r>
        <w:rPr>
          <w:rFonts w:ascii="Arial" w:cs="Arial" w:eastAsia="Arial" w:hAnsi="Arial"/>
          <w:sz w:val="20"/>
          <w:szCs w:val="20"/>
          <w:color w:val="auto"/>
        </w:rPr>
        <w:t>- During 2022, we declared and paid quarterly cash dividends of $0.14 per share. We did not pay dividends</w:t>
      </w:r>
      <w:r>
        <w:rPr>
          <w:rFonts w:ascii="Arial" w:cs="Arial" w:eastAsia="Arial" w:hAnsi="Arial"/>
          <w:sz w:val="20"/>
          <w:szCs w:val="20"/>
          <w:i w:val="1"/>
          <w:iCs w:val="1"/>
          <w:color w:val="auto"/>
        </w:rPr>
        <w:t xml:space="preserve"> </w:t>
      </w:r>
      <w:r>
        <w:rPr>
          <w:rFonts w:ascii="Arial" w:cs="Arial" w:eastAsia="Arial" w:hAnsi="Arial"/>
          <w:sz w:val="20"/>
          <w:szCs w:val="20"/>
          <w:color w:val="auto"/>
        </w:rPr>
        <w:t>during 2021 as a result of certain restrictions that were included within the Credit Agreement.</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On February 7, 2023, our Board declared a quarterly cash dividend of $0.24 per share, payable on March 15, 2023. Future dividend payments are dependent on our earnings, financial condition, capital expenditure requirements, surplus and other factors that our Board considers relevant, as well as continued compliance with the financial covenants in our debt agreements.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share repurchase program as of December 25, 2022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 REPURCHASE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BOARD APPROVAL</w:t>
            </w:r>
          </w:p>
        </w:tc>
        <w:tc>
          <w:tcPr>
            <w:tcW w:w="220" w:type="dxa"/>
            <w:vAlign w:val="bottom"/>
          </w:tcPr>
          <w:p>
            <w:pPr>
              <w:spacing w:after="0"/>
              <w:rPr>
                <w:sz w:val="14"/>
                <w:szCs w:val="14"/>
                <w:color w:val="auto"/>
              </w:rPr>
            </w:pPr>
          </w:p>
        </w:tc>
        <w:tc>
          <w:tcPr>
            <w:tcW w:w="148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REPURCHASED</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CANCELLED OR</w:t>
            </w:r>
          </w:p>
        </w:tc>
        <w:tc>
          <w:tcPr>
            <w:tcW w:w="144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EXPIRED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2022 (1)</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February 8, 2022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109,999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gridSpan w:val="3"/>
            <w:shd w:val="clear" w:color="auto" w:fill="CCEEFF"/>
          </w:tcPr>
          <w:p>
            <w:pPr>
              <w:ind w:left="128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15,001</w:t>
            </w:r>
          </w:p>
        </w:tc>
        <w:tc>
          <w:tcPr>
            <w:tcW w:w="0" w:type="dxa"/>
            <w:vAlign w:val="bottom"/>
          </w:tcPr>
          <w:p>
            <w:pPr>
              <w:spacing w:after="0"/>
              <w:rPr>
                <w:sz w:val="1"/>
                <w:szCs w:val="1"/>
                <w:color w:val="auto"/>
              </w:rPr>
            </w:pPr>
          </w:p>
        </w:tc>
      </w:tr>
      <w:tr>
        <w:trPr>
          <w:trHeight w:val="288"/>
        </w:trPr>
        <w:tc>
          <w:tcPr>
            <w:tcW w:w="2220" w:type="dxa"/>
            <w:vAlign w:val="bottom"/>
            <w:gridSpan w:val="2"/>
          </w:tcPr>
          <w:p>
            <w:pPr>
              <w:jc w:val="right"/>
              <w:ind w:right="845"/>
              <w:spacing w:after="0"/>
              <w:rPr>
                <w:sz w:val="20"/>
                <w:szCs w:val="20"/>
                <w:color w:val="auto"/>
              </w:rPr>
            </w:pPr>
            <w:r>
              <w:rPr>
                <w:rFonts w:ascii="Arial" w:cs="Arial" w:eastAsia="Arial" w:hAnsi="Arial"/>
                <w:sz w:val="16"/>
                <w:szCs w:val="16"/>
                <w:color w:val="auto"/>
                <w:w w:val="89"/>
              </w:rPr>
              <w:t>________________</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75"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Subsequent to December 25, 2022, we repurchased the remaining $15.0 million of our common stock authorized under the 2022 Share Repurchase Program under a Rule 10b5-1 plan.</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On February 7, 2023, our Board approved a new $125.0 million authorization (the “2023 Share Repurchase Program”). The 2023 Share Repurchase Program will expire on August 7,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dividends and share repurchases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DIVIDENDS PAID</w:t>
            </w: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9"/>
                <w:szCs w:val="19"/>
                <w:color w:val="auto"/>
              </w:rPr>
            </w:pPr>
          </w:p>
        </w:tc>
        <w:tc>
          <w:tcPr>
            <w:tcW w:w="1400" w:type="dxa"/>
            <w:vAlign w:val="bottom"/>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49,736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109,999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159,735</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2021</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2020</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2019</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35,734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142,726</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147,279</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2017</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30,988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272,736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303,724</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341,266</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year 2015</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199,331</w:t>
            </w:r>
          </w:p>
        </w:tc>
      </w:tr>
      <w:tr>
        <w:trPr>
          <w:trHeight w:val="24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227,961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1,083,580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1,311,541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ability to pay dividends and make share repurchases is dependent on our ability to obtain funds from our subsidiaries, continued compliance with the financial covenants in our debt agreements and the existence of surplus, as well as our earnings, financial condition, capital expenditure requirements and other factors that our Board deems relevant.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Summary of Cash Flows and Financial Condition</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Cash Flows </w:t>
      </w:r>
      <w:r>
        <w:rPr>
          <w:rFonts w:ascii="Arial" w:cs="Arial" w:eastAsia="Arial" w:hAnsi="Arial"/>
          <w:sz w:val="20"/>
          <w:szCs w:val="20"/>
          <w:color w:val="auto"/>
        </w:rPr>
        <w:t>- The following table presents a summary of our cash flows provided by (used in) operating, investing and financing activities</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390,922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402,455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(201,138)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(104,745)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(317,419)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3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Operating activities - </w:t>
      </w:r>
      <w:r>
        <w:rPr>
          <w:rFonts w:ascii="Arial" w:cs="Arial" w:eastAsia="Arial" w:hAnsi="Arial"/>
          <w:sz w:val="20"/>
          <w:szCs w:val="20"/>
          <w:color w:val="auto"/>
        </w:rPr>
        <w:t>The decrease in net cash provided by operating activities during 2022 as compared to 2021 was primarily due to</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increases and timing of operational payments net of receipts, partially offset by lapping cash paid in connection with the Carrabba’s Italian Grill royalty termination during 2021.</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 xml:space="preserve">Investing and financing activities - </w:t>
      </w:r>
      <w:r>
        <w:rPr>
          <w:rFonts w:ascii="Arial" w:cs="Arial" w:eastAsia="Arial" w:hAnsi="Arial"/>
          <w:sz w:val="20"/>
          <w:szCs w:val="20"/>
          <w:color w:val="auto"/>
        </w:rPr>
        <w:t>The increase in net cash used in investing activities and the decrease in net cash used in financing</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 during 2022 as compared to 2021 was primarily due to repurposing a portion of excess cash flow away from debt paydown and utilizing the cash flow to increase capital expenditures.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Financial Condition </w:t>
      </w:r>
      <w:r>
        <w:rPr>
          <w:rFonts w:ascii="Arial" w:cs="Arial" w:eastAsia="Arial" w:hAnsi="Arial"/>
          <w:sz w:val="20"/>
          <w:szCs w:val="20"/>
          <w:color w:val="auto"/>
        </w:rPr>
        <w:t>- Following is a summary of our current assets, current liabilities and working capital (deficit) as of the periods</w:t>
      </w:r>
      <w:r>
        <w:rPr>
          <w:rFonts w:ascii="Arial" w:cs="Arial" w:eastAsia="Arial" w:hAnsi="Arial"/>
          <w:sz w:val="20"/>
          <w:szCs w:val="20"/>
          <w:i w:val="1"/>
          <w:iCs w:val="1"/>
          <w:color w:val="auto"/>
        </w:rPr>
        <w:t xml:space="preserve"> </w:t>
      </w:r>
      <w:r>
        <w:rPr>
          <w:rFonts w:ascii="Arial" w:cs="Arial" w:eastAsia="Arial" w:hAnsi="Arial"/>
          <w:sz w:val="20"/>
          <w:szCs w:val="20"/>
          <w:color w:val="auto"/>
        </w:rPr>
        <w:t>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Arial" w:cs="Arial" w:eastAsia="Arial" w:hAnsi="Arial"/>
                <w:sz w:val="16"/>
                <w:szCs w:val="16"/>
                <w:color w:val="auto"/>
                <w:w w:val="93"/>
              </w:rPr>
              <w:t>346,577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Arial" w:cs="Arial" w:eastAsia="Arial" w:hAnsi="Arial"/>
                <w:sz w:val="16"/>
                <w:szCs w:val="16"/>
                <w:color w:val="auto"/>
                <w:w w:val="93"/>
              </w:rPr>
              <w:t>352,792</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w w:val="93"/>
              </w:rPr>
              <w:t>978,867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w w:val="93"/>
              </w:rPr>
              <w:t>984,625</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3"/>
              </w:rPr>
              <w:t>(632,290)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3"/>
              </w:rPr>
              <w:t>(631,833)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Working capital (deficit) includes: (i) Unearned revenue primarily from unredeemed gift cards of $394.2 million and $398.8 million as of December 25, 2022 and December 26, 2021, respectively, and (ii) current operating lease liabilities of $183.5 million and $177.0 million as of December 25, 2022 and December 26, 2021, respectively, with</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18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i w:val="1"/>
          <w:iCs w:val="1"/>
          <w:color w:val="auto"/>
        </w:rPr>
        <w:t xml:space="preserve">Impairment or Disposal of Long-Lived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6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 These estimates are subjective and our ability to realize future cash flows and asset fair values is affected by factors such as ongoing maintenance and improvement of the assets, changes in economic conditions and changes in our operating performance. Historically, the change in useful lives of our assets as a result of planned closures or the decision not to renew leases has been a key factor in the impairment we have recognized.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Goodwill and Indefinite-Lived Intangible Assets - </w:t>
      </w:r>
      <w:r>
        <w:rPr>
          <w:rFonts w:ascii="Arial" w:cs="Arial" w:eastAsia="Arial" w:hAnsi="Arial"/>
          <w:sz w:val="19"/>
          <w:szCs w:val="19"/>
          <w:color w:val="auto"/>
        </w:rPr>
        <w:t>Goodwill and indefinite-lived intangible assets are tested for impairment annually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second fiscal quarter, or whenever events or changes in circumstances indicate that the carrying amount may not be recoverable.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the qualitative assessment is not performed or if we determine that it is not more likely than not that the fair value of the reporting unit exceeds the carrying value, the fair value of the reporting unit is calculated. Fair value of a reporting unit is the price a willing buyer would pay for the reporting unit and is estimated by utilizing a weighted average of the income approach, using a discounted cash flow model, and, when appropriate, the market approach including the guideline public company method and guideline transaction method. The key estimates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assumptions used in these models are future cash flow estimates, which are heavily influenced by revenue growth rates, operating margins and capital expenditures. These estimates are subjective, and our ability to achieve the forecasted cash flows used in our fair value calculations is affected by factors such as the success of strategic initiatives, changes in economic conditions and discount rates, changes in our operating performance and changes in our business strategies. The fair value of the trade names is determined through a relief from royalty method.</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carrying value of the reporting unit or trade name is compared to its estimated fair value, with any excess of carrying value over fair value deemed to be an impairment.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carrying value of goodwill as of December 25, 2022 was $273.0 million. We performed our annual impairment test in the second quarter of 2022 by utilizing the qualitative approach and determined that there were no events or circumstances to indicate that it was more likely than not that the fair value of any of our reporting units was less than their carrying values.</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an impairment charge of a portion or all of our goodwill or other intangible assets.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Leases - </w:t>
      </w:r>
      <w:r>
        <w:rPr>
          <w:rFonts w:ascii="Arial" w:cs="Arial" w:eastAsia="Arial" w:hAnsi="Arial"/>
          <w:sz w:val="20"/>
          <w:szCs w:val="20"/>
          <w:color w:val="auto"/>
        </w:rPr>
        <w:t>We use judgment to determine the reasonably certain lease term, which in turn, impacts the applicable incremental borrowing rate</w:t>
      </w:r>
      <w:r>
        <w:rPr>
          <w:rFonts w:ascii="Arial" w:cs="Arial" w:eastAsia="Arial" w:hAnsi="Arial"/>
          <w:sz w:val="20"/>
          <w:szCs w:val="20"/>
          <w:i w:val="1"/>
          <w:iCs w:val="1"/>
          <w:color w:val="auto"/>
        </w:rPr>
        <w:t xml:space="preserve"> </w:t>
      </w:r>
      <w:r>
        <w:rPr>
          <w:rFonts w:ascii="Arial" w:cs="Arial" w:eastAsia="Arial" w:hAnsi="Arial"/>
          <w:sz w:val="20"/>
          <w:szCs w:val="20"/>
          <w:color w:val="auto"/>
        </w:rPr>
        <w:t>(“IBR”) used to calculate the initial lease liability for each portfolio of leases. Other assumptions used in determining our incremental borrowing rate include our implied credit rating and an estimate of secured borrowing rates based on comparable market data. We determined the present value of the lease liabilities by using a country specific IBR and applying a single rate to the respective portfolio of leases based on term, regardless of the underlying asset type.</w:t>
      </w:r>
    </w:p>
    <w:p>
      <w:pPr>
        <w:spacing w:after="0" w:line="228"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The reasonably certain lease term used in the evaluation of new leases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use our estimated IBR, which is derived from information available at the lease commencement date, in determining the present value of lease payments. We give consideration to market data as well as publicly available data for instruments with similar characteristics when calculating our IBR.</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At the inception of each lease, we evaluate the property and the lease to determine whether the lease is an operating lease or a financing lease. This lease accounting evaluation may require significant judgment in determining the fair value and useful life of the leased property and the appropriate reasonably certain lease term. These judgments may produce materially different amounts of rent expense in a given reporting period than would be reported if different assumed lease terms were used.</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Insurance Reserves - </w:t>
      </w:r>
      <w:r>
        <w:rPr>
          <w:rFonts w:ascii="Arial" w:cs="Arial" w:eastAsia="Arial" w:hAnsi="Arial"/>
          <w:sz w:val="20"/>
          <w:szCs w:val="20"/>
          <w:color w:val="auto"/>
        </w:rPr>
        <w:t>We carry insurance programs with specific retention levels or high per-claim deductibles for a significant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record a liability for all unresolved and incurred but not reported claims at the anticipated cost that falls below our specified retention levels or per-claim deductible amounts. Our liability for insurance claims was $49.1 million and $53.5 million as of December 25, 2022 and December 26, 2021, respectively. In establishing our reserves, we consider certain actuarial assumptions and judgments regarding economic conditions, and the frequency and severity of claims. The establishment of the reserves utilizing such estimates and assumptions is in part based on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premise that historical claims experience is indicative of current or future expected activity, which could differ significantly. Reserves recorded for workers’ compensation and general or liquor liability claims are discounted using the average of the one-year and five-year risk-free rate of monetary assets that have comparable maturities.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actual results are not consistent with our estimates or assumptions, we may be exposed to losses or gains that could be material. A 50 basis point change in the discount rate in our insurance claim liabilities as of December 25, 2022, would have affected net earnings by $0.6 million in 2022.</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Income Taxes - </w:t>
      </w:r>
      <w:r>
        <w:rPr>
          <w:rFonts w:ascii="Arial" w:cs="Arial" w:eastAsia="Arial" w:hAnsi="Arial"/>
          <w:sz w:val="19"/>
          <w:szCs w:val="19"/>
          <w:color w:val="auto"/>
        </w:rPr>
        <w:t>Deferred tax assets and liabilities are recognized based on the differences between the financial statement carrying amounts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25, 2022, tax loss carryforwards and credit carryforwards that do not have a valuation allowance are expected to be recoverable within the applicable statutory expiration periods. We currently expect to utilize general business tax credit carryforwards within a 10-year period. However, our ability to utilize these tax credits could be adversely impacted by, among other items, a future “ownership change” as defined under Section 382 of the Internal Revenue Code.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may materially impact the effective income tax rate.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While we consider all of our tax positions to be fully supportable, 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could require the use of cash and an increase in the amount of income tax expense we recognize. As of December 25, 2022, we had $17.9 million of unrecognized tax benefits, including accrued interest and penalties, that if recognized, would impact our effective income tax rate.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For a description of recently issued Financial Accounting Standards that we adopted in 2022 and, that are applicable to us and likely to have material effect on our consolidated financial statements, but have not yet been adopted, see Note 2 - </w:t>
      </w:r>
      <w:r>
        <w:rPr>
          <w:rFonts w:ascii="Arial" w:cs="Arial" w:eastAsia="Arial" w:hAnsi="Arial"/>
          <w:sz w:val="20"/>
          <w:szCs w:val="20"/>
          <w:i w:val="1"/>
          <w:iCs w:val="1"/>
          <w:color w:val="auto"/>
        </w:rPr>
        <w:t>Summary of Significant Accounting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Policies </w:t>
      </w:r>
      <w:r>
        <w:rPr>
          <w:rFonts w:ascii="Arial" w:cs="Arial" w:eastAsia="Arial" w:hAnsi="Arial"/>
          <w:sz w:val="20"/>
          <w:szCs w:val="20"/>
          <w:color w:val="auto"/>
        </w:rPr>
        <w:t>of the Notes to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We are exposed to market risk from changes in commodity prices, labor inflation, interest rates and foreign currency exchange rates.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Pricing Risk</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As of December 25, 2022, approximately 60% of our estimated 2023 annual food purchases are covered by fixed contracts, most of which are scheduled to expire during 2023.</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2021, commodity markets began experiencing elevated levels of inflation across all proteins given strong consumer demand and product shortages due to supply chain disruptions. In addition, higher input costs across labor, fuel, freight and packaging contributed to increases as well. During 2022, we experienced 14.6% commodity inflation and anticipate mid single digits commodity inflation for 2023. Extreme changes in commodity prices or long-term changes could affect our financial results adversely. We expect that in most cases increased commodity prices could be passed through to our customers through increases in menu prices. However, if there is a time lag between the increasing commodity prices and our ability to increase menu prices, or if we believe the commodity price increase to be short in duration and we choose not to pass on the cost increases, our short-term financial results could be negatively affected. Additionally, from time to time, competitive circumstances could limit menu price flexibility, and in those cases, margins would be negatively impacted by increased commodity prices. Currently we do not use financial instruments to hedge our commodity risk.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22 -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for further details.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Inflation</w:t>
      </w:r>
    </w:p>
    <w:p>
      <w:pPr>
        <w:spacing w:after="0" w:line="24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restaurant operations are subject to federal and state minimum wage and other laws governing such matters as working conditions, overtime and tip credits. A significant number of our restaurant team members are paid at rates related to the federal and/or state minimum wage and, accordingly, increases in the minimum wage increase our labor costs. To the extent permitted by competition and the economy, we have mitigated increased costs by increasing menu prices and may continue to do so if deemed necessary in future years. Substantial increases in costs and expenses could impact our operating results to the extent such increases cannot be passed through to our guests. During 2022, we experienced 7.8% labor cost inflation and anticipate mid single digits labor cost inflation during 2023.</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are exposed to market risk from fluctuations in interest rates, which could affect our consolidated balance sheet, earnings and cash flows. We manage our exposure to market risk through regular operating and financing activities and by using a combination of fixed-rate and variable-rate debt. The amount of variable-rate debt fluctuates during the year based on our working capital requirements. As of December 25, 2022, our interest rate risk was primarily from variable interest rate changes on our revolving credit facility, which had an outstanding balance of $430.0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We periodically evaluate financial instruments to hedge our exposure to variable interest rates. As of December 26, 2021, we had interest rate swaps with an aggregate notional amount of $125.0 million. These swaps matured in November 2022 and as of December 25, 2022, we had no financial instruments to hedge our interest rate exposure. See Note 17 - </w:t>
      </w:r>
      <w:r>
        <w:rPr>
          <w:rFonts w:ascii="Arial" w:cs="Arial" w:eastAsia="Arial" w:hAnsi="Arial"/>
          <w:sz w:val="20"/>
          <w:szCs w:val="20"/>
          <w:i w:val="1"/>
          <w:iCs w:val="1"/>
          <w:color w:val="auto"/>
        </w:rPr>
        <w:t>Derivative Instruments and Hedging Activities</w:t>
      </w:r>
      <w:r>
        <w:rPr>
          <w:rFonts w:ascii="Arial" w:cs="Arial" w:eastAsia="Arial" w:hAnsi="Arial"/>
          <w:sz w:val="20"/>
          <w:szCs w:val="20"/>
          <w:color w:val="auto"/>
        </w:rPr>
        <w:t xml:space="preserve"> of the Notes to Consolidated Financial Statements for further information.</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We utilize valuation models to estimate the effects of changing interest rates. As of December 25, 2022, a potential change from a hypothetical 150 basis point increase/decrease in short-term interest rates would increase or decrease our annual interest expense by $6.5 million.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Currently, we do not use financial instruments to hedge foreign currency exchange rate changes.</w:t>
      </w:r>
    </w:p>
    <w:p>
      <w:pPr>
        <w:spacing w:after="0" w:line="22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For 2022, 11.4% of our revenue was generated in foreign currencies. A 10% change in average foreign currency rates against the U.S. dollar would have increased or decreased our Total revenues and Net income for our foreign entities by $54.4 million and $3.6 million, respectively.</w:t>
      </w:r>
    </w:p>
    <w:p>
      <w:pPr>
        <w:spacing w:after="0" w:line="170"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INFORMATION</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7"/>
              </w:rPr>
              <w:t>PAGE NO.</w:t>
            </w:r>
          </w:p>
        </w:tc>
        <w:tc>
          <w:tcPr>
            <w:tcW w:w="0" w:type="dxa"/>
            <w:vAlign w:val="bottom"/>
          </w:tcPr>
          <w:p>
            <w:pPr>
              <w:spacing w:after="0"/>
              <w:rPr>
                <w:sz w:val="1"/>
                <w:szCs w:val="1"/>
                <w:color w:val="auto"/>
              </w:rPr>
            </w:pPr>
          </w:p>
        </w:tc>
      </w:tr>
      <w:tr>
        <w:trPr>
          <w:trHeight w:val="455"/>
        </w:trPr>
        <w:tc>
          <w:tcPr>
            <w:tcW w:w="9960" w:type="dxa"/>
            <w:vAlign w:val="bottom"/>
            <w:gridSpan w:val="8"/>
          </w:tcPr>
          <w:p>
            <w:pPr>
              <w:spacing w:after="0"/>
              <w:rPr>
                <w:sz w:val="20"/>
                <w:szCs w:val="20"/>
                <w:color w:val="auto"/>
              </w:rPr>
            </w:pPr>
            <w:r>
              <w:rPr>
                <w:rFonts w:ascii="Arial" w:cs="Arial" w:eastAsia="Arial" w:hAnsi="Arial"/>
                <w:sz w:val="20"/>
                <w:szCs w:val="20"/>
                <w:color w:val="0000FF"/>
              </w:rPr>
              <w:t>Management’s Annual Report on Internal Control over Financial Reporting</w:t>
            </w:r>
          </w:p>
        </w:tc>
        <w:tc>
          <w:tcPr>
            <w:tcW w:w="720" w:type="dxa"/>
            <w:vAlign w:val="bottom"/>
            <w:gridSpan w:val="2"/>
          </w:tcPr>
          <w:p>
            <w:pPr>
              <w:jc w:val="center"/>
              <w:ind w:left="425"/>
              <w:spacing w:after="0"/>
              <w:rPr>
                <w:sz w:val="20"/>
                <w:szCs w:val="20"/>
                <w:color w:val="auto"/>
              </w:rPr>
            </w:pPr>
            <w:r>
              <w:rPr>
                <w:rFonts w:ascii="Arial" w:cs="Arial" w:eastAsia="Arial" w:hAnsi="Arial"/>
                <w:sz w:val="20"/>
                <w:szCs w:val="20"/>
                <w:color w:val="0000FF"/>
                <w:w w:val="89"/>
              </w:rPr>
              <w:t>63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960" w:type="dxa"/>
            <w:vAlign w:val="bottom"/>
            <w:gridSpan w:val="8"/>
          </w:tcPr>
          <w:p>
            <w:pPr>
              <w:spacing w:after="0"/>
              <w:rPr>
                <w:sz w:val="20"/>
                <w:szCs w:val="20"/>
                <w:color w:val="auto"/>
              </w:rPr>
            </w:pPr>
            <w:r>
              <w:rPr>
                <w:rFonts w:ascii="Arial" w:cs="Arial" w:eastAsia="Arial" w:hAnsi="Arial"/>
                <w:sz w:val="20"/>
                <w:szCs w:val="20"/>
                <w:color w:val="0000FF"/>
              </w:rPr>
              <w:t xml:space="preserve">Report of Independent Registered Public Accounting Firm </w:t>
            </w:r>
            <w:r>
              <w:rPr>
                <w:rFonts w:ascii="Arial" w:cs="Arial" w:eastAsia="Arial" w:hAnsi="Arial"/>
                <w:sz w:val="20"/>
                <w:szCs w:val="20"/>
                <w:color w:val="000000"/>
              </w:rPr>
              <w:t>(PCAOB ID 238)</w:t>
            </w:r>
          </w:p>
        </w:tc>
        <w:tc>
          <w:tcPr>
            <w:tcW w:w="720" w:type="dxa"/>
            <w:vAlign w:val="bottom"/>
            <w:gridSpan w:val="2"/>
          </w:tcPr>
          <w:p>
            <w:pPr>
              <w:jc w:val="center"/>
              <w:ind w:left="425"/>
              <w:spacing w:after="0"/>
              <w:rPr>
                <w:sz w:val="20"/>
                <w:szCs w:val="20"/>
                <w:color w:val="auto"/>
              </w:rPr>
            </w:pPr>
            <w:r>
              <w:rPr>
                <w:rFonts w:ascii="Arial" w:cs="Arial" w:eastAsia="Arial" w:hAnsi="Arial"/>
                <w:sz w:val="20"/>
                <w:szCs w:val="20"/>
                <w:color w:val="0000FF"/>
                <w:w w:val="89"/>
              </w:rPr>
              <w:t>64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10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88"/>
              </w:rPr>
              <w:t>Consolidated Balance Sheets — December 25, 2022 and December 26, 2021</w:t>
            </w:r>
          </w:p>
        </w:tc>
        <w:tc>
          <w:tcPr>
            <w:tcW w:w="38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bottom w:val="single" w:sz="8" w:color="0000FF"/>
            </w:tcBorders>
          </w:tcPr>
          <w:p>
            <w:pPr>
              <w:jc w:val="center"/>
              <w:spacing w:after="0"/>
              <w:rPr>
                <w:sz w:val="20"/>
                <w:szCs w:val="20"/>
                <w:color w:val="auto"/>
              </w:rPr>
            </w:pPr>
            <w:r>
              <w:rPr>
                <w:rFonts w:ascii="Arial" w:cs="Arial" w:eastAsia="Arial" w:hAnsi="Arial"/>
                <w:sz w:val="20"/>
                <w:szCs w:val="20"/>
                <w:color w:val="0000FF"/>
                <w:w w:val="89"/>
              </w:rPr>
              <w:t>67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9960" w:type="dxa"/>
            <w:vAlign w:val="bottom"/>
            <w:gridSpan w:val="8"/>
          </w:tcPr>
          <w:p>
            <w:pPr>
              <w:spacing w:after="0"/>
              <w:rPr>
                <w:sz w:val="20"/>
                <w:szCs w:val="20"/>
                <w:color w:val="auto"/>
              </w:rPr>
            </w:pPr>
            <w:r>
              <w:rPr>
                <w:rFonts w:ascii="Arial" w:cs="Arial" w:eastAsia="Arial" w:hAnsi="Arial"/>
                <w:sz w:val="20"/>
                <w:szCs w:val="20"/>
                <w:color w:val="0000FF"/>
              </w:rPr>
              <w:t>Consolidated Statements of Operations and Comprehensive Income (Loss)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Arial" w:cs="Arial" w:eastAsia="Arial" w:hAnsi="Arial"/>
                <w:sz w:val="20"/>
                <w:szCs w:val="20"/>
                <w:color w:val="0000FF"/>
                <w:w w:val="89"/>
              </w:rPr>
              <w:t>68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For Fiscal Years 2022, 2021 and 2020</w:t>
            </w:r>
          </w:p>
        </w:tc>
        <w:tc>
          <w:tcPr>
            <w:tcW w:w="3160" w:type="dxa"/>
            <w:vAlign w:val="bottom"/>
            <w:tcBorders>
              <w:top w:val="single" w:sz="8" w:color="0000FF"/>
            </w:tcBorders>
            <w:gridSpan w:val="6"/>
          </w:tcPr>
          <w:p>
            <w:pPr>
              <w:spacing w:after="0"/>
              <w:rPr>
                <w:sz w:val="15"/>
                <w:szCs w:val="15"/>
                <w:color w:val="auto"/>
              </w:rPr>
            </w:pPr>
          </w:p>
        </w:tc>
        <w:tc>
          <w:tcPr>
            <w:tcW w:w="37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9960" w:type="dxa"/>
            <w:vAlign w:val="bottom"/>
            <w:gridSpan w:val="8"/>
          </w:tcPr>
          <w:p>
            <w:pPr>
              <w:spacing w:after="0"/>
              <w:rPr>
                <w:sz w:val="20"/>
                <w:szCs w:val="20"/>
                <w:color w:val="auto"/>
              </w:rPr>
            </w:pPr>
            <w:r>
              <w:rPr>
                <w:rFonts w:ascii="Arial" w:cs="Arial" w:eastAsia="Arial" w:hAnsi="Arial"/>
                <w:sz w:val="20"/>
                <w:szCs w:val="20"/>
                <w:color w:val="0000FF"/>
              </w:rPr>
              <w:t>Consolidated Statements of Changes in Stockholders’ Equity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Arial" w:cs="Arial" w:eastAsia="Arial" w:hAnsi="Arial"/>
                <w:sz w:val="20"/>
                <w:szCs w:val="20"/>
                <w:color w:val="0000FF"/>
                <w:w w:val="89"/>
              </w:rPr>
              <w:t>69</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For Fiscal Years 2022, 2021 and 2020</w:t>
            </w:r>
          </w:p>
        </w:tc>
        <w:tc>
          <w:tcPr>
            <w:tcW w:w="2060" w:type="dxa"/>
            <w:vAlign w:val="bottom"/>
            <w:tcBorders>
              <w:top w:val="single" w:sz="8" w:color="0000FF"/>
            </w:tcBorders>
            <w:gridSpan w:val="3"/>
          </w:tcPr>
          <w:p>
            <w:pPr>
              <w:spacing w:after="0"/>
              <w:rPr>
                <w:sz w:val="15"/>
                <w:szCs w:val="15"/>
                <w:color w:val="auto"/>
              </w:rPr>
            </w:pPr>
          </w:p>
        </w:tc>
        <w:tc>
          <w:tcPr>
            <w:tcW w:w="4880" w:type="dxa"/>
            <w:vAlign w:val="bottom"/>
            <w:gridSpan w:val="4"/>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9960" w:type="dxa"/>
            <w:vAlign w:val="bottom"/>
            <w:gridSpan w:val="8"/>
          </w:tcPr>
          <w:p>
            <w:pPr>
              <w:spacing w:after="0"/>
              <w:rPr>
                <w:sz w:val="20"/>
                <w:szCs w:val="20"/>
                <w:color w:val="auto"/>
              </w:rPr>
            </w:pPr>
            <w:r>
              <w:rPr>
                <w:rFonts w:ascii="Arial" w:cs="Arial" w:eastAsia="Arial" w:hAnsi="Arial"/>
                <w:sz w:val="20"/>
                <w:szCs w:val="20"/>
                <w:color w:val="0000FF"/>
              </w:rPr>
              <w:t>Consolidated Statements of Cash Flows —</w:t>
            </w:r>
          </w:p>
        </w:tc>
        <w:tc>
          <w:tcPr>
            <w:tcW w:w="720" w:type="dxa"/>
            <w:vAlign w:val="bottom"/>
            <w:gridSpan w:val="2"/>
            <w:vMerge w:val="restart"/>
          </w:tcPr>
          <w:p>
            <w:pPr>
              <w:jc w:val="center"/>
              <w:ind w:left="425"/>
              <w:spacing w:after="0"/>
              <w:rPr>
                <w:sz w:val="20"/>
                <w:szCs w:val="20"/>
                <w:color w:val="auto"/>
              </w:rPr>
            </w:pPr>
            <w:r>
              <w:rPr>
                <w:rFonts w:ascii="Arial" w:cs="Arial" w:eastAsia="Arial" w:hAnsi="Arial"/>
                <w:sz w:val="20"/>
                <w:szCs w:val="20"/>
                <w:color w:val="0000FF"/>
                <w:w w:val="89"/>
              </w:rPr>
              <w:t>71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For Fiscal Years 2022, 2021 and 2020</w:t>
            </w:r>
          </w:p>
        </w:tc>
        <w:tc>
          <w:tcPr>
            <w:tcW w:w="440" w:type="dxa"/>
            <w:vAlign w:val="bottom"/>
            <w:tcBorders>
              <w:top w:val="single" w:sz="8" w:color="0000FF"/>
            </w:tcBorders>
          </w:tcPr>
          <w:p>
            <w:pPr>
              <w:spacing w:after="0"/>
              <w:rPr>
                <w:sz w:val="15"/>
                <w:szCs w:val="15"/>
                <w:color w:val="auto"/>
              </w:rPr>
            </w:pPr>
          </w:p>
        </w:tc>
        <w:tc>
          <w:tcPr>
            <w:tcW w:w="6500" w:type="dxa"/>
            <w:vAlign w:val="bottom"/>
            <w:gridSpan w:val="6"/>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9960" w:type="dxa"/>
            <w:vAlign w:val="bottom"/>
            <w:gridSpan w:val="8"/>
          </w:tcPr>
          <w:p>
            <w:pPr>
              <w:spacing w:after="0"/>
              <w:rPr>
                <w:sz w:val="20"/>
                <w:szCs w:val="20"/>
                <w:color w:val="auto"/>
              </w:rPr>
            </w:pPr>
            <w:r>
              <w:rPr>
                <w:rFonts w:ascii="Arial" w:cs="Arial" w:eastAsia="Arial" w:hAnsi="Arial"/>
                <w:sz w:val="20"/>
                <w:szCs w:val="20"/>
                <w:color w:val="0000FF"/>
              </w:rPr>
              <w:t>Notes to Consolidated Financial Statements</w:t>
            </w:r>
          </w:p>
        </w:tc>
        <w:tc>
          <w:tcPr>
            <w:tcW w:w="720" w:type="dxa"/>
            <w:vAlign w:val="bottom"/>
            <w:gridSpan w:val="2"/>
          </w:tcPr>
          <w:p>
            <w:pPr>
              <w:jc w:val="center"/>
              <w:ind w:left="425"/>
              <w:spacing w:after="0"/>
              <w:rPr>
                <w:sz w:val="20"/>
                <w:szCs w:val="20"/>
                <w:color w:val="auto"/>
              </w:rPr>
            </w:pPr>
            <w:r>
              <w:rPr>
                <w:rFonts w:ascii="Arial" w:cs="Arial" w:eastAsia="Arial" w:hAnsi="Arial"/>
                <w:sz w:val="20"/>
                <w:szCs w:val="20"/>
                <w:color w:val="0000FF"/>
                <w:w w:val="89"/>
              </w:rPr>
              <w:t>73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Under the supervision and with the participation of management, including our Chief Executive Officer and Chief Financial Officer, we carried out an evaluation of the effectiveness of our internal control over financial reporting as of December 25, 2022 using the criteria described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(2013 Framework) (“COSO”). Based upon our evaluation, management concluded that our internal control over financial reporting was effective as of December 25, 2022.</w:t>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The effectiveness of our internal control over financial reporting as of December 25, 2022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Bloomin’ Brands, Inc.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We have audited the accompanying consolidated balance sheets of Bloomin’ Brands, Inc. and its subsidiaries (the “Company”) as of December 25, 2022 and December 26, 2021, and the related consolidated statements of operations and comprehensive income (loss), of changes in stockholders’ equity and of cash flows for each of the three years in the period ended December 25, 2022, including the related notes (collectively referred to as the “consolidated financial statements”). We also have audited the Company’s internal control over financial reporting as of December 25, 2022,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25, 2022 and December 26, 2021, and the results of its operations and its cash flows for each of the three years in the period ended December 25, 2022 in conformity with accounting principles generally accepted in the United States of America. Also in our opinion, the Company maintained, in all material respects, effective internal control over financial reporting as of December 25, 2022,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Accounting Principle</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2 to the consolidated financial statements, the Company changed the manner in which it accounts for convertible instruments and contracts in an entity’s own equity in 2021.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of Insurance Reserves</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As described in Notes 2 and 22 to the consolidated financial statements, the Company’s consolidated discounted insurance reserves balance was $49.1 million as of December 25, 2022.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principal considerations for our determination that performing procedures relating to the valuation of insurance reserves is a critical audit matter are (i) the significant judgment by management when developing the estimated reserves, which in turn led to (ii) a high degree of auditor judgment, subjectivity, and effort in performing procedures and evaluating the actuarial assumptions related to economic conditions and the frequency and severity of claims, and (iii) the audit effort included the involvement of professionals with specialized skill and knowledge.</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These procedures also included, among others (i) evaluating management’s process for developing the insurance reserves, (ii) evaluating the appropriateness of management’s actuarial methods used, (iii) evaluating the reasonableness of the actuarial assumptions related to economic conditions and the frequency and severity of claims, and (iv) testing the completeness and accuracy of underlying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data used in the valuation. Evaluating the actuarial assumptions related to economic conditions and the frequency and severity of claims involved evaluating whether the assumptions were reasonable considering inflation and the environment, and whether these assumptions were consistent with evidence obtained in other areas of the audit. Professionals with specialized skill and knowledge were used to assist in evaluating the appropriateness of management’s actuarial methods used in determining the insurance reserves and evaluating the reasonableness of assumptions related to economic conditions.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6"/>
                <w:szCs w:val="16"/>
                <w:color w:val="auto"/>
              </w:rPr>
            </w:pPr>
          </w:p>
        </w:tc>
        <w:tc>
          <w:tcPr>
            <w:tcW w:w="182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87,585</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Restricted cash and cash equivalents</w:t>
            </w:r>
          </w:p>
        </w:tc>
        <w:tc>
          <w:tcPr>
            <w:tcW w:w="2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79,112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184,623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352,792</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Property, fixtures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914,142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842,012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1,130,873</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273,032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268,444</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453,412</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168,068</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78,670</w:t>
            </w:r>
          </w:p>
        </w:tc>
        <w:tc>
          <w:tcPr>
            <w:tcW w:w="0" w:type="dxa"/>
            <w:vAlign w:val="bottom"/>
          </w:tcPr>
          <w:p>
            <w:pPr>
              <w:spacing w:after="0"/>
              <w:rPr>
                <w:sz w:val="1"/>
                <w:szCs w:val="1"/>
                <w:color w:val="auto"/>
              </w:rPr>
            </w:pPr>
          </w:p>
        </w:tc>
      </w:tr>
      <w:tr>
        <w:trPr>
          <w:trHeight w:val="216"/>
        </w:trPr>
        <w:tc>
          <w:tcPr>
            <w:tcW w:w="70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3,320,425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3,294,271</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167,978</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399,301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406,894</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revenue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398,795</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978,867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984,625</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1,148,607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1,179,447</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782,107</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125,242</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3,046,516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3,071,421</w:t>
            </w:r>
          </w:p>
        </w:tc>
        <w:tc>
          <w:tcPr>
            <w:tcW w:w="0" w:type="dxa"/>
            <w:vAlign w:val="bottom"/>
          </w:tcPr>
          <w:p>
            <w:pPr>
              <w:spacing w:after="0"/>
              <w:rPr>
                <w:sz w:val="1"/>
                <w:szCs w:val="1"/>
                <w:color w:val="auto"/>
              </w:rPr>
            </w:pPr>
          </w:p>
        </w:tc>
      </w:tr>
      <w:tr>
        <w:trPr>
          <w:trHeight w:val="187"/>
        </w:trPr>
        <w:tc>
          <w:tcPr>
            <w:tcW w:w="7080" w:type="dxa"/>
            <w:vAlign w:val="bottom"/>
          </w:tcPr>
          <w:p>
            <w:pPr>
              <w:ind w:left="20"/>
              <w:spacing w:after="0"/>
              <w:rPr>
                <w:sz w:val="20"/>
                <w:szCs w:val="20"/>
                <w:color w:val="auto"/>
              </w:rPr>
            </w:pPr>
            <w:r>
              <w:rPr>
                <w:rFonts w:ascii="Arial" w:cs="Arial" w:eastAsia="Arial" w:hAnsi="Arial"/>
                <w:sz w:val="16"/>
                <w:szCs w:val="16"/>
                <w:color w:val="auto"/>
              </w:rPr>
              <w:t>Commitments and contingencies (Note 22)</w:t>
            </w: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Bloomin’ Brands stockholders’ equity</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0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1"/>
              </w:rPr>
              <w:t>Preferred stock, $0.01 par value, 25,000,000 shares authorized; no shares issued and outstanding as of</w:t>
            </w:r>
          </w:p>
        </w:tc>
        <w:tc>
          <w:tcPr>
            <w:tcW w:w="2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25, 2022 and December 26, 2021</w:t>
            </w:r>
          </w:p>
        </w:tc>
        <w:tc>
          <w:tcPr>
            <w:tcW w:w="2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08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$0.01 par value, 475,000,000 shares authorized; 87,696,200 and 89,252,823 shares</w:t>
            </w: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09"/>
        </w:trPr>
        <w:tc>
          <w:tcPr>
            <w:tcW w:w="7080" w:type="dxa"/>
            <w:vAlign w:val="bottom"/>
          </w:tcPr>
          <w:p>
            <w:pPr>
              <w:ind w:left="360"/>
              <w:spacing w:after="0"/>
              <w:rPr>
                <w:sz w:val="20"/>
                <w:szCs w:val="20"/>
                <w:color w:val="auto"/>
              </w:rPr>
            </w:pPr>
            <w:r>
              <w:rPr>
                <w:rFonts w:ascii="Arial" w:cs="Arial" w:eastAsia="Arial" w:hAnsi="Arial"/>
                <w:sz w:val="16"/>
                <w:szCs w:val="16"/>
                <w:color w:val="auto"/>
              </w:rPr>
              <w:t>issued and outstanding as of December 25, 2022 and December 26, 2021, respectively</w:t>
            </w: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1,161,912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1,119,728</w:t>
            </w:r>
          </w:p>
        </w:tc>
        <w:tc>
          <w:tcPr>
            <w:tcW w:w="0" w:type="dxa"/>
            <w:vAlign w:val="bottom"/>
          </w:tcPr>
          <w:p>
            <w:pPr>
              <w:spacing w:after="0"/>
              <w:rPr>
                <w:sz w:val="1"/>
                <w:szCs w:val="1"/>
                <w:color w:val="auto"/>
              </w:rPr>
            </w:pP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(706,109)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(698,171)</w:t>
            </w:r>
          </w:p>
        </w:tc>
        <w:tc>
          <w:tcPr>
            <w:tcW w:w="0" w:type="dxa"/>
            <w:vAlign w:val="bottom"/>
          </w:tcPr>
          <w:p>
            <w:pPr>
              <w:spacing w:after="0"/>
              <w:rPr>
                <w:sz w:val="1"/>
                <w:szCs w:val="1"/>
                <w:color w:val="auto"/>
              </w:rPr>
            </w:pPr>
          </w:p>
        </w:tc>
      </w:tr>
      <w:tr>
        <w:trPr>
          <w:trHeight w:val="239"/>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(205,989)</w:t>
            </w:r>
          </w:p>
        </w:tc>
        <w:tc>
          <w:tcPr>
            <w:tcW w:w="0" w:type="dxa"/>
            <w:vAlign w:val="bottom"/>
          </w:tcPr>
          <w:p>
            <w:pPr>
              <w:spacing w:after="0"/>
              <w:rPr>
                <w:sz w:val="1"/>
                <w:szCs w:val="1"/>
                <w:color w:val="auto"/>
              </w:rPr>
            </w:pPr>
          </w:p>
        </w:tc>
      </w:tr>
      <w:tr>
        <w:trPr>
          <w:trHeight w:val="200"/>
        </w:trPr>
        <w:tc>
          <w:tcPr>
            <w:tcW w:w="7080" w:type="dxa"/>
            <w:vAlign w:val="bottom"/>
          </w:tcPr>
          <w:p>
            <w:pPr>
              <w:ind w:left="680"/>
              <w:spacing w:after="0"/>
              <w:rPr>
                <w:sz w:val="20"/>
                <w:szCs w:val="20"/>
                <w:color w:val="auto"/>
              </w:rPr>
            </w:pPr>
            <w:r>
              <w:rPr>
                <w:rFonts w:ascii="Arial" w:cs="Arial" w:eastAsia="Arial" w:hAnsi="Arial"/>
                <w:sz w:val="16"/>
                <w:szCs w:val="16"/>
                <w:color w:val="auto"/>
              </w:rPr>
              <w:t>Total Bloomin’ Brands stockholders’ equity</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271,369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216,461</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222,850</w:t>
            </w: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3,320,425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3,294,271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3"/>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r>
      <w:tr>
        <w:trPr>
          <w:trHeight w:val="19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4,352,695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4,061,093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3,144,636</w:t>
            </w: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61,292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25,925</w:t>
            </w:r>
          </w:p>
        </w:tc>
      </w:tr>
      <w:tr>
        <w:trPr>
          <w:trHeight w:val="223"/>
        </w:trPr>
        <w:tc>
          <w:tcPr>
            <w:tcW w:w="6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4,416,508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4,122,385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3,170,561</w:t>
            </w:r>
          </w:p>
        </w:tc>
      </w:tr>
      <w:tr>
        <w:trPr>
          <w:trHeight w:val="20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Food and beverage costs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1,383,632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1,229,689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982,702</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1,005,295</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Other restaurant operating</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1,065,662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1,006,371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846,566</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180,261</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245,616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254,356</w:t>
            </w: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76,354</w:t>
            </w:r>
          </w:p>
        </w:tc>
      </w:tr>
      <w:tr>
        <w:trPr>
          <w:trHeight w:val="223"/>
        </w:trPr>
        <w:tc>
          <w:tcPr>
            <w:tcW w:w="6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4,086,087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3,813,427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3,345,534</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(174,973)</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fair value adjustment of derivatives,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3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(64,442)</w:t>
            </w:r>
          </w:p>
        </w:tc>
      </w:tr>
      <w:tr>
        <w:trPr>
          <w:trHeight w:val="200"/>
        </w:trPr>
        <w:tc>
          <w:tcPr>
            <w:tcW w:w="6600" w:type="dxa"/>
            <w:vAlign w:val="bottom"/>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249,297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(239,521)</w:t>
            </w:r>
          </w:p>
        </w:tc>
      </w:tr>
      <w:tr>
        <w:trPr>
          <w:trHeight w:val="23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(80,726)</w:t>
            </w:r>
          </w:p>
        </w:tc>
      </w:tr>
      <w:tr>
        <w:trPr>
          <w:trHeight w:val="200"/>
        </w:trPr>
        <w:tc>
          <w:tcPr>
            <w:tcW w:w="6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109,203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222,913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(158,795)</w:t>
            </w: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net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(158,715)</w:t>
            </w: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 of preferred stock in excess of carrying value</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6"/>
        </w:trPr>
        <w:tc>
          <w:tcPr>
            <w:tcW w:w="66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(162,211)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109,203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222,913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(158,795)</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(37,516)</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derivatives, net of tax</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w w:val="97"/>
              </w:rPr>
              <w:t>Reclassification of adjustments for loss on derivatives included in Net income (loss), net of tax</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9,923</w:t>
            </w:r>
          </w:p>
        </w:tc>
      </w:tr>
      <w:tr>
        <w:trPr>
          <w:trHeight w:val="239"/>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Impact of terminated interest rate swaps included in Net income (loss), net of tax</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60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129,881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228,370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(201,129)</w:t>
            </w: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6"/>
        </w:trPr>
        <w:tc>
          <w:tcPr>
            <w:tcW w:w="660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Bloomin’ Brands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221,012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(200,385)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common stockholders: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6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6"/>
        </w:trPr>
        <w:tc>
          <w:tcPr>
            <w:tcW w:w="6600" w:type="dxa"/>
            <w:vAlign w:val="bottom"/>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88,981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ind w:left="32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81"/>
              <w:spacing w:after="0" w:line="13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20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rPr>
              <w:t>PAID-IN</w:t>
            </w:r>
          </w:p>
        </w:tc>
        <w:tc>
          <w:tcPr>
            <w:tcW w:w="180" w:type="dxa"/>
            <w:vAlign w:val="bottom"/>
          </w:tcPr>
          <w:p>
            <w:pPr>
              <w:spacing w:after="0"/>
              <w:rPr>
                <w:sz w:val="6"/>
                <w:szCs w:val="6"/>
                <w:color w:val="auto"/>
              </w:rPr>
            </w:pPr>
          </w:p>
        </w:tc>
        <w:tc>
          <w:tcPr>
            <w:tcW w:w="1080" w:type="dxa"/>
            <w:vAlign w:val="bottom"/>
            <w:gridSpan w:val="2"/>
          </w:tcPr>
          <w:p>
            <w:pPr>
              <w:ind w:left="100"/>
              <w:spacing w:after="0" w:line="75" w:lineRule="exact"/>
              <w:rPr>
                <w:sz w:val="20"/>
                <w:szCs w:val="20"/>
                <w:color w:val="auto"/>
              </w:rPr>
            </w:pPr>
            <w:r>
              <w:rPr>
                <w:rFonts w:ascii="Arial" w:cs="Arial" w:eastAsia="Arial" w:hAnsi="Arial"/>
                <w:sz w:val="8"/>
                <w:szCs w:val="8"/>
                <w:b w:val="1"/>
                <w:bCs w:val="1"/>
                <w:color w:val="auto"/>
              </w:rPr>
              <w:t>ULATED</w:t>
            </w:r>
          </w:p>
        </w:tc>
        <w:tc>
          <w:tcPr>
            <w:tcW w:w="160" w:type="dxa"/>
            <w:vAlign w:val="bottom"/>
          </w:tcPr>
          <w:p>
            <w:pPr>
              <w:spacing w:after="0"/>
              <w:rPr>
                <w:sz w:val="6"/>
                <w:szCs w:val="6"/>
                <w:color w:val="auto"/>
              </w:rPr>
            </w:pPr>
          </w:p>
        </w:tc>
        <w:tc>
          <w:tcPr>
            <w:tcW w:w="166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COMPREHENSIVE</w:t>
            </w:r>
          </w:p>
        </w:tc>
        <w:tc>
          <w:tcPr>
            <w:tcW w:w="140" w:type="dxa"/>
            <w:vAlign w:val="bottom"/>
          </w:tcPr>
          <w:p>
            <w:pPr>
              <w:spacing w:after="0"/>
              <w:rPr>
                <w:sz w:val="6"/>
                <w:szCs w:val="6"/>
                <w:color w:val="auto"/>
              </w:rPr>
            </w:pPr>
          </w:p>
        </w:tc>
        <w:tc>
          <w:tcPr>
            <w:tcW w:w="144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rPr>
              <w:t>CONTROLLING</w:t>
            </w: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86,946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(755,089)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29, 2019</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2"/>
              </w:rPr>
              <w:t>Other comprehensive loss,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(42,187)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(42,334)</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Cash dividends declared, $0.20</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14,802</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Consideration for preferred stock</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9"/>
              </w:rPr>
              <w:t>in excess of carrying value, net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Equity component value of</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w w:val="94"/>
              </w:rPr>
              <w:t>convertible note issuance,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64,367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64,367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 of $650</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common stock warrant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46,690</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Purchase of convertible note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(66,240)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(66,240)</w:t>
            </w:r>
          </w:p>
        </w:tc>
        <w:tc>
          <w:tcPr>
            <w:tcW w:w="0" w:type="dxa"/>
            <w:vAlign w:val="bottom"/>
          </w:tcPr>
          <w:p>
            <w:pPr>
              <w:spacing w:after="0"/>
              <w:rPr>
                <w:sz w:val="1"/>
                <w:szCs w:val="1"/>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hedge</w:t>
            </w: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22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87,856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1,132,808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(918,096)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27, 2020</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(47,323)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4,370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(42,953)</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222,913</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Other comprehensive income,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5,457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9,836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9,850</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(9,123)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tcBorders>
          </w:tcPr>
          <w:p>
            <w:pPr>
              <w:ind w:left="20"/>
              <w:spacing w:after="0" w:line="139" w:lineRule="exact"/>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89,253</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1,119,728</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(698,171)</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(205,989)</w:t>
            </w: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222,850</w:t>
            </w: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Arial" w:cs="Arial" w:eastAsia="Arial" w:hAnsi="Arial"/>
                <w:sz w:val="16"/>
                <w:szCs w:val="16"/>
                <w:color w:val="auto"/>
              </w:rPr>
              <w:t>December 26, 2021</w:t>
            </w: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ind w:left="32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83"/>
              <w:spacing w:after="0" w:line="13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20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2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rPr>
              <w:t>PAID-IN</w:t>
            </w:r>
          </w:p>
        </w:tc>
        <w:tc>
          <w:tcPr>
            <w:tcW w:w="180" w:type="dxa"/>
            <w:vAlign w:val="bottom"/>
          </w:tcPr>
          <w:p>
            <w:pPr>
              <w:spacing w:after="0"/>
              <w:rPr>
                <w:sz w:val="6"/>
                <w:szCs w:val="6"/>
                <w:color w:val="auto"/>
              </w:rPr>
            </w:pPr>
          </w:p>
        </w:tc>
        <w:tc>
          <w:tcPr>
            <w:tcW w:w="1080" w:type="dxa"/>
            <w:vAlign w:val="bottom"/>
            <w:gridSpan w:val="2"/>
          </w:tcPr>
          <w:p>
            <w:pPr>
              <w:ind w:left="100"/>
              <w:spacing w:after="0" w:line="75" w:lineRule="exact"/>
              <w:rPr>
                <w:sz w:val="20"/>
                <w:szCs w:val="20"/>
                <w:color w:val="auto"/>
              </w:rPr>
            </w:pPr>
            <w:r>
              <w:rPr>
                <w:rFonts w:ascii="Arial" w:cs="Arial" w:eastAsia="Arial" w:hAnsi="Arial"/>
                <w:sz w:val="8"/>
                <w:szCs w:val="8"/>
                <w:b w:val="1"/>
                <w:bCs w:val="1"/>
                <w:color w:val="auto"/>
              </w:rPr>
              <w:t>ULATED</w:t>
            </w:r>
          </w:p>
        </w:tc>
        <w:tc>
          <w:tcPr>
            <w:tcW w:w="160" w:type="dxa"/>
            <w:vAlign w:val="bottom"/>
          </w:tcPr>
          <w:p>
            <w:pPr>
              <w:spacing w:after="0"/>
              <w:rPr>
                <w:sz w:val="6"/>
                <w:szCs w:val="6"/>
                <w:color w:val="auto"/>
              </w:rPr>
            </w:pPr>
          </w:p>
        </w:tc>
        <w:tc>
          <w:tcPr>
            <w:tcW w:w="166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COMPREHENSIVE</w:t>
            </w:r>
          </w:p>
        </w:tc>
        <w:tc>
          <w:tcPr>
            <w:tcW w:w="140" w:type="dxa"/>
            <w:vAlign w:val="bottom"/>
          </w:tcPr>
          <w:p>
            <w:pPr>
              <w:spacing w:after="0"/>
              <w:rPr>
                <w:sz w:val="6"/>
                <w:szCs w:val="6"/>
                <w:color w:val="auto"/>
              </w:rPr>
            </w:pPr>
          </w:p>
        </w:tc>
        <w:tc>
          <w:tcPr>
            <w:tcW w:w="144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rPr>
              <w:t>CONTROLLING</w:t>
            </w: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9"/>
                <w:szCs w:val="19"/>
                <w:color w:val="auto"/>
              </w:rPr>
            </w:pP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89,253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1,119,728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(698,171)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(205,989)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222,850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26, 2021</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109,203</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Other comprehensive income,</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20,678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20,778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declared, $0.56</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(49,736)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(49,736)</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Repurchase and retirement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(109,945)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(109,999)</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16,514</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12,940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(4,815)</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 net of tax of $489</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(9,127)</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Retirement of convertible senior</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112,956</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 hedges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Retirement of warrants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(97,617)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(97,617)</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Issuance of common stock from</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repurchase of convertible senior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48,542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48,565</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tcBorders>
          </w:tcPr>
          <w:p>
            <w:pPr>
              <w:ind w:left="20"/>
              <w:spacing w:after="0" w:line="139" w:lineRule="exact"/>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87,696</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1,161,912</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(706,109)</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(185,311)</w:t>
            </w: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273,909</w:t>
            </w: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Arial" w:cs="Arial" w:eastAsia="Arial" w:hAnsi="Arial"/>
                <w:sz w:val="16"/>
                <w:szCs w:val="16"/>
                <w:color w:val="auto"/>
              </w:rPr>
              <w:t>December 25, 2022</w:t>
            </w: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3"/>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109,203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222,913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(158,795)</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169,617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163,391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180,261</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discounts and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Amortization of deferred gift card sales commissions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26,012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20,927</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76,354</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Non-cash interest expense from terminated interest rate swaps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74,436</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(Benefit) provision for expected credit losses and contingent lease liabilities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7,225</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 obsolescence and spoilage</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Stock-based and other non-cash compensation expense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24,405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14,802</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 expense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(88,256)</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fair value adjustment of derivatives,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(3,932)</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00" w:type="dxa"/>
            <w:vAlign w:val="bottom"/>
          </w:tcPr>
          <w:p>
            <w:pPr>
              <w:ind w:left="680"/>
              <w:spacing w:after="0"/>
              <w:rPr>
                <w:sz w:val="20"/>
                <w:szCs w:val="20"/>
                <w:color w:val="auto"/>
              </w:rPr>
            </w:pPr>
            <w:r>
              <w:rPr>
                <w:rFonts w:ascii="Arial" w:cs="Arial" w:eastAsia="Arial" w:hAnsi="Arial"/>
                <w:sz w:val="16"/>
                <w:szCs w:val="16"/>
                <w:color w:val="auto"/>
              </w:rPr>
              <w:t>Decrease (increase) in inventories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19,857</w:t>
            </w:r>
          </w:p>
        </w:tc>
      </w:tr>
      <w:tr>
        <w:trPr>
          <w:trHeight w:val="219"/>
        </w:trPr>
        <w:tc>
          <w:tcPr>
            <w:tcW w:w="6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(Increase) decrease in other current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14,392</w:t>
            </w:r>
          </w:p>
        </w:tc>
      </w:tr>
      <w:tr>
        <w:trPr>
          <w:trHeight w:val="213"/>
        </w:trPr>
        <w:tc>
          <w:tcPr>
            <w:tcW w:w="6600" w:type="dxa"/>
            <w:vAlign w:val="bottom"/>
          </w:tcPr>
          <w:p>
            <w:pPr>
              <w:ind w:left="680"/>
              <w:spacing w:after="0"/>
              <w:rPr>
                <w:sz w:val="20"/>
                <w:szCs w:val="20"/>
                <w:color w:val="auto"/>
              </w:rPr>
            </w:pPr>
            <w:r>
              <w:rPr>
                <w:rFonts w:ascii="Arial" w:cs="Arial" w:eastAsia="Arial" w:hAnsi="Arial"/>
                <w:sz w:val="16"/>
                <w:szCs w:val="16"/>
                <w:color w:val="auto"/>
              </w:rPr>
              <w:t>(Increase) decrease in other assets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3,688</w:t>
            </w:r>
          </w:p>
        </w:tc>
      </w:tr>
      <w:tr>
        <w:trPr>
          <w:trHeight w:val="219"/>
        </w:trPr>
        <w:tc>
          <w:tcPr>
            <w:tcW w:w="6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 operating right-of-use assets,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13"/>
        </w:trPr>
        <w:tc>
          <w:tcPr>
            <w:tcW w:w="6600" w:type="dxa"/>
            <w:vAlign w:val="bottom"/>
          </w:tcPr>
          <w:p>
            <w:pPr>
              <w:ind w:left="680"/>
              <w:spacing w:after="0"/>
              <w:rPr>
                <w:sz w:val="20"/>
                <w:szCs w:val="20"/>
                <w:color w:val="auto"/>
              </w:rPr>
            </w:pPr>
            <w:r>
              <w:rPr>
                <w:rFonts w:ascii="Arial" w:cs="Arial" w:eastAsia="Arial" w:hAnsi="Arial"/>
                <w:sz w:val="16"/>
                <w:szCs w:val="16"/>
                <w:color w:val="auto"/>
              </w:rPr>
              <w:t>(Decrease) increase in accounts payable and accrued and other current liabilities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(61,638)</w:t>
            </w:r>
          </w:p>
        </w:tc>
      </w:tr>
      <w:tr>
        <w:trPr>
          <w:trHeight w:val="219"/>
        </w:trPr>
        <w:tc>
          <w:tcPr>
            <w:tcW w:w="6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increase in unearned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10,569</w:t>
            </w:r>
          </w:p>
        </w:tc>
      </w:tr>
      <w:tr>
        <w:trPr>
          <w:trHeight w:val="213"/>
        </w:trPr>
        <w:tc>
          <w:tcPr>
            <w:tcW w:w="6600" w:type="dxa"/>
            <w:vAlign w:val="bottom"/>
          </w:tcPr>
          <w:p>
            <w:pPr>
              <w:ind w:left="680"/>
              <w:spacing w:after="0"/>
              <w:rPr>
                <w:sz w:val="20"/>
                <w:szCs w:val="20"/>
                <w:color w:val="auto"/>
              </w:rPr>
            </w:pPr>
            <w:r>
              <w:rPr>
                <w:rFonts w:ascii="Arial" w:cs="Arial" w:eastAsia="Arial" w:hAnsi="Arial"/>
                <w:sz w:val="16"/>
                <w:szCs w:val="16"/>
                <w:color w:val="auto"/>
              </w:rPr>
              <w:t>Decrease in operating lease liabilities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(90,387)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(50,626)</w:t>
            </w:r>
          </w:p>
        </w:tc>
      </w:tr>
      <w:tr>
        <w:trPr>
          <w:trHeight w:val="226"/>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(Decrease) increase in 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58,625</w:t>
            </w:r>
          </w:p>
        </w:tc>
      </w:tr>
      <w:tr>
        <w:trPr>
          <w:trHeight w:val="223"/>
        </w:trPr>
        <w:tc>
          <w:tcPr>
            <w:tcW w:w="66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138,849</w:t>
            </w:r>
          </w:p>
        </w:tc>
      </w:tr>
      <w:tr>
        <w:trPr>
          <w:trHeight w:val="20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Proceeds from disposal of property, fixtures and equipment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2,178</w:t>
            </w: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received from company-owned life insurance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9,695</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(122,830)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(87,842)</w:t>
            </w:r>
          </w:p>
        </w:tc>
      </w:tr>
      <w:tr>
        <w:trPr>
          <w:trHeight w:val="226"/>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investments,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23"/>
        </w:trPr>
        <w:tc>
          <w:tcPr>
            <w:tcW w:w="6600" w:type="dxa"/>
            <w:vAlign w:val="bottom"/>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(76,639)</w:t>
            </w:r>
          </w:p>
        </w:tc>
      </w:tr>
    </w:tbl>
    <w:p>
      <w:pPr>
        <w:spacing w:after="0" w:line="260"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 and finance lease obligations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(26,326)</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Proceeds from borrowings on revolving credit facilities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1,239,500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505,000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(657,000)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Financing fees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senior notes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Issuance costs related to senior notes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(8,416)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convertible senior notes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Repurchase of convertible senior notes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(196,919)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convertible note hedge</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Proceeds from retirement of convertible senior note hedges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warrants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Payments for retirement of warrants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(payments of taxes) from share-based compensation,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Purchase of noncontrolling interests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partner equity plan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(16,906)</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6"/>
                <w:szCs w:val="16"/>
                <w:color w:val="auto"/>
              </w:rPr>
              <w:t>Redemption of subsidiary preferred stock</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67,145</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Cash paid for income taxes, net of refunds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35,450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36,336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54,271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43,363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19,451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0"/>
        </w:trPr>
        <w:tc>
          <w:tcPr>
            <w:tcW w:w="6600" w:type="dxa"/>
            <w:vAlign w:val="bottom"/>
          </w:tcPr>
          <w:p>
            <w:pPr>
              <w:ind w:left="360"/>
              <w:spacing w:after="0"/>
              <w:rPr>
                <w:sz w:val="20"/>
                <w:szCs w:val="20"/>
                <w:color w:val="auto"/>
              </w:rPr>
            </w:pPr>
            <w:r>
              <w:rPr>
                <w:rFonts w:ascii="Arial" w:cs="Arial" w:eastAsia="Arial" w:hAnsi="Arial"/>
                <w:sz w:val="16"/>
                <w:szCs w:val="16"/>
                <w:color w:val="auto"/>
              </w:rPr>
              <w:t>Increase in liabilities from the acquisition of property, fixtures and equipment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12,762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left="700" w:hanging="692"/>
        <w:spacing w:after="0"/>
        <w:tabs>
          <w:tab w:leader="none" w:pos="7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Description of the Business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Bloomin’ Brands, Inc. (“Bloomin’ Brands” or the “Company”), a holding company that conducts its operations through its subsidiaries, is one of the largest casual dining restaurant companies in the world, with a portfolio of leading, differentiated restaurant concepts. OSI Restaurant Partners, LLC (“OSI”) is the Company’s primary operating entity.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24" w:lineRule="exact"/>
        <w:rPr>
          <w:sz w:val="20"/>
          <w:szCs w:val="20"/>
          <w:color w:val="auto"/>
        </w:rPr>
      </w:pPr>
    </w:p>
    <w:p>
      <w:pPr>
        <w:ind w:left="700" w:hanging="692"/>
        <w:spacing w:after="0"/>
        <w:tabs>
          <w:tab w:leader="none" w:pos="7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Basis of Presentation - </w:t>
      </w:r>
      <w:r>
        <w:rPr>
          <w:rFonts w:ascii="Arial" w:cs="Arial" w:eastAsia="Arial" w:hAnsi="Arial"/>
          <w:sz w:val="20"/>
          <w:szCs w:val="20"/>
          <w:color w:val="auto"/>
        </w:rPr>
        <w:t>The Company’s consolidated financial statements include the accounts and operations of Bloomin’ Brands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To ensure timely reporting, the Company consolidates the results of its Brazil operations on a one-month calendar lag. There were no intervening events that would materially affect the Company’s consolidated financial position, results of operations or cash flows as of and for the year ended December 25, 2022.</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auto"/>
        </w:rPr>
        <w:t xml:space="preserve">COVID-19 Pandemic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As a result of the COVID-19 pandemic (“COVID-19”), traffic was significantly reduced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restaurants which negatively impacted its operating results during 2020. See Note 3 - </w:t>
      </w:r>
      <w:r>
        <w:rPr>
          <w:rFonts w:ascii="Arial" w:cs="Arial" w:eastAsia="Arial" w:hAnsi="Arial"/>
          <w:sz w:val="20"/>
          <w:szCs w:val="20"/>
          <w:i w:val="1"/>
          <w:iCs w:val="1"/>
          <w:color w:val="auto"/>
        </w:rPr>
        <w:t>COVID-19</w:t>
      </w:r>
      <w:r>
        <w:rPr>
          <w:rFonts w:ascii="Arial" w:cs="Arial" w:eastAsia="Arial" w:hAnsi="Arial"/>
          <w:sz w:val="20"/>
          <w:szCs w:val="20"/>
          <w:color w:val="auto"/>
        </w:rPr>
        <w:t xml:space="preserve"> for details regarding certain charges resulting from the COVID-19 pandemic.</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During 2021, the recovery of in-restaurant dining continued while the Company retained a significant portion of the incremental off-premises volume it achieved during 2020. Internationally, COVID-19-related capacity constraints continued in 2021 during periods of increased case counts and new variants until the middle of 2022 when in-restaurant dining was operating without COVID-19-related capacity constraints.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Principles of Consolidation - </w:t>
      </w:r>
      <w:r>
        <w:rPr>
          <w:rFonts w:ascii="Arial" w:cs="Arial" w:eastAsia="Arial" w:hAnsi="Arial"/>
          <w:sz w:val="20"/>
          <w:szCs w:val="20"/>
          <w:color w:val="auto"/>
        </w:rPr>
        <w:t>All intercompany accounts and transactions have been eliminated in consolidation.</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consolidates variable interest entities where it has been determined that the Company is the primary beneficiary of those entities’ operations. The Company is a franchisor of 321 full-service restaurants and off-premises kitchens as of December 25, 2022, but does not possess any ownership interests in its franchisees and does not provide material direct financial support to its franchisees. These franchise relationships are not deemed variable interest entities and are not consolidated.</w:t>
      </w:r>
    </w:p>
    <w:p>
      <w:pPr>
        <w:spacing w:after="0" w:line="2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Investments in entities the Company does not control, but where the Company’s interest is between 20% and 50% and the Company has the ability to exercise significant influence over the entity, are accounted for under the equity method.</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Fiscal Year - </w:t>
      </w:r>
      <w:r>
        <w:rPr>
          <w:rFonts w:ascii="Arial" w:cs="Arial" w:eastAsia="Arial" w:hAnsi="Arial"/>
          <w:sz w:val="20"/>
          <w:szCs w:val="20"/>
          <w:color w:val="auto"/>
        </w:rPr>
        <w:t>The Company utilizes a 52-53-week year ending on the last Sunday in December. In a 52-week fiscal year, each quarterly</w:t>
      </w:r>
      <w:r>
        <w:rPr>
          <w:rFonts w:ascii="Arial" w:cs="Arial" w:eastAsia="Arial" w:hAnsi="Arial"/>
          <w:sz w:val="20"/>
          <w:szCs w:val="20"/>
          <w:i w:val="1"/>
          <w:iCs w:val="1"/>
          <w:color w:val="auto"/>
        </w:rPr>
        <w:t xml:space="preserve"> </w:t>
      </w:r>
      <w:r>
        <w:rPr>
          <w:rFonts w:ascii="Arial" w:cs="Arial" w:eastAsia="Arial" w:hAnsi="Arial"/>
          <w:sz w:val="20"/>
          <w:szCs w:val="20"/>
          <w:color w:val="auto"/>
        </w:rPr>
        <w:t>period is comprised of 13 weeks. The additional week in a 53-week fiscal year is added to the fourth quarter. All periods presented consisted of 52 weeks.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Use of Estimates - </w:t>
      </w:r>
      <w:r>
        <w:rPr>
          <w:rFonts w:ascii="Arial" w:cs="Arial" w:eastAsia="Arial" w:hAnsi="Arial"/>
          <w:sz w:val="19"/>
          <w:szCs w:val="19"/>
          <w:color w:val="auto"/>
        </w:rPr>
        <w:t>The preparation of the accompanying consolidated financial statements in conformity with generally accepted accounting</w:t>
      </w:r>
      <w:r>
        <w:rPr>
          <w:rFonts w:ascii="Arial" w:cs="Arial" w:eastAsia="Arial" w:hAnsi="Arial"/>
          <w:sz w:val="19"/>
          <w:szCs w:val="19"/>
          <w:i w:val="1"/>
          <w:iCs w:val="1"/>
          <w:color w:val="auto"/>
        </w:rPr>
        <w:t xml:space="preserve"> </w:t>
      </w:r>
      <w:r>
        <w:rPr>
          <w:rFonts w:ascii="Arial" w:cs="Arial" w:eastAsia="Arial" w:hAnsi="Arial"/>
          <w:sz w:val="19"/>
          <w:szCs w:val="19"/>
          <w:color w:val="auto"/>
        </w:rPr>
        <w:t>principles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Cash equivalents consist of investments that are readily convertible to cash with an original maturity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three months or less. Cash and cash equivalents include $41.5 million and $41.3 million, as of December 25, 2022 and December 26, 2021, respectively, for amounts in transit from credit card companies since settlement is reasonably assured.</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Restricted Cash </w:t>
      </w:r>
      <w:r>
        <w:rPr>
          <w:rFonts w:ascii="Arial" w:cs="Arial" w:eastAsia="Arial" w:hAnsi="Arial"/>
          <w:sz w:val="20"/>
          <w:szCs w:val="20"/>
          <w:color w:val="auto"/>
        </w:rPr>
        <w:t>- From time to time, the Company may have short-term restricted cash balances consisting of amounts pledged for settlement</w:t>
      </w:r>
      <w:r>
        <w:rPr>
          <w:rFonts w:ascii="Arial" w:cs="Arial" w:eastAsia="Arial" w:hAnsi="Arial"/>
          <w:sz w:val="20"/>
          <w:szCs w:val="20"/>
          <w:i w:val="1"/>
          <w:iCs w:val="1"/>
          <w:color w:val="auto"/>
        </w:rPr>
        <w:t xml:space="preserve"> </w:t>
      </w:r>
      <w:r>
        <w:rPr>
          <w:rFonts w:ascii="Arial" w:cs="Arial" w:eastAsia="Arial" w:hAnsi="Arial"/>
          <w:sz w:val="20"/>
          <w:szCs w:val="20"/>
          <w:color w:val="auto"/>
        </w:rPr>
        <w:t>of deferred compensation plan obligations.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color w:val="auto"/>
        </w:rPr>
        <w:t xml:space="preserve">Concentrations of Credit and Counterparty Risk - </w:t>
      </w:r>
      <w:r>
        <w:rPr>
          <w:rFonts w:ascii="Arial" w:cs="Arial" w:eastAsia="Arial" w:hAnsi="Arial"/>
          <w:sz w:val="20"/>
          <w:szCs w:val="20"/>
          <w:color w:val="auto"/>
        </w:rPr>
        <w:t>Financial instruments that potentially subject the Company to a concentration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credit losses are through credit card and trade receivables consisting primarily of amounts due for gift card, vendor, franchise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 Amounts due from franchisees consist of initial franchise fees, royalty income and advertising fees. See Note 8 - </w:t>
      </w:r>
      <w:r>
        <w:rPr>
          <w:rFonts w:ascii="Arial" w:cs="Arial" w:eastAsia="Arial" w:hAnsi="Arial"/>
          <w:sz w:val="20"/>
          <w:szCs w:val="20"/>
          <w:i w:val="1"/>
          <w:iCs w:val="1"/>
          <w:color w:val="auto"/>
        </w:rPr>
        <w:t>Other Current Assets, Net</w:t>
      </w:r>
      <w:r>
        <w:rPr>
          <w:rFonts w:ascii="Arial" w:cs="Arial" w:eastAsia="Arial" w:hAnsi="Arial"/>
          <w:sz w:val="20"/>
          <w:szCs w:val="20"/>
          <w:color w:val="auto"/>
        </w:rPr>
        <w:t xml:space="preserve"> for disclosure of trade receivables by category as of December 25, 2022 and December 26, 2021.</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Financial instruments that potentially subject the Company to concentrations of counterparty risk are cash and cash equivalents, restricted cash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17 - </w:t>
      </w:r>
      <w:r>
        <w:rPr>
          <w:rFonts w:ascii="Arial" w:cs="Arial" w:eastAsia="Arial" w:hAnsi="Arial"/>
          <w:sz w:val="19"/>
          <w:szCs w:val="19"/>
          <w:i w:val="1"/>
          <w:iCs w:val="1"/>
          <w:color w:val="auto"/>
        </w:rPr>
        <w:t>Derivative Instruments and Hedging Activities</w:t>
      </w:r>
      <w:r>
        <w:rPr>
          <w:rFonts w:ascii="Arial" w:cs="Arial" w:eastAsia="Arial" w:hAnsi="Arial"/>
          <w:sz w:val="19"/>
          <w:szCs w:val="19"/>
          <w:color w:val="auto"/>
        </w:rPr>
        <w:t xml:space="preserve"> for a discussion of the Company’s use of derivative instruments and management of credit risk inherent in derivative instruments.</w:t>
      </w:r>
    </w:p>
    <w:p>
      <w:pPr>
        <w:spacing w:after="0" w:line="21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i w:val="1"/>
          <w:iCs w:val="1"/>
          <w:color w:val="auto"/>
        </w:rPr>
        <w:t xml:space="preserve">Allowance for Expected Credit Losses - </w:t>
      </w:r>
      <w:r>
        <w:rPr>
          <w:rFonts w:ascii="Arial" w:cs="Arial" w:eastAsia="Arial" w:hAnsi="Arial"/>
          <w:sz w:val="16"/>
          <w:szCs w:val="16"/>
          <w:color w:val="auto"/>
        </w:rPr>
        <w:t>The Company evaluates the collectability of credit card and trade receivables based on historical loss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experience by risk pool and records periodic adjustments for factors such as deterioration of economic conditions, specific customer circumstances and changes in the aging of accounts receivable balances. Losses are charged off in the period in which they are determined to be uncollectible. See Note 20 -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discussion of the Company’s allowance for expected credit losses.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instances where there is no established loss history, S&amp;P speculative-grade default rates are utilized as an estimated expected credit loss rate.</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 Company assigned its interest, and is contingently liable, under certain real estate leases, primarily related to divested restaurant properties. Contingent lease liabilities related to these guarantees are calculated based on management’s estimate of exposure to losses which includes historical analysis of credit losses, including known instances of default, and existing economic conditions. See Note 22 - </w:t>
      </w:r>
      <w:r>
        <w:rPr>
          <w:rFonts w:ascii="Arial" w:cs="Arial" w:eastAsia="Arial" w:hAnsi="Arial"/>
          <w:sz w:val="19"/>
          <w:szCs w:val="19"/>
          <w:i w:val="1"/>
          <w:iCs w:val="1"/>
          <w:color w:val="auto"/>
        </w:rPr>
        <w:t xml:space="preserve">Commitments and Contingencies </w:t>
      </w:r>
      <w:r>
        <w:rPr>
          <w:rFonts w:ascii="Arial" w:cs="Arial" w:eastAsia="Arial" w:hAnsi="Arial"/>
          <w:sz w:val="19"/>
          <w:szCs w:val="19"/>
          <w:color w:val="auto"/>
        </w:rPr>
        <w:t>for a discussion of the Company’s contingent lease liabilities.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Fair Value - </w:t>
      </w:r>
      <w:r>
        <w:rPr>
          <w:rFonts w:ascii="Arial" w:cs="Arial" w:eastAsia="Arial" w:hAnsi="Arial"/>
          <w:sz w:val="20"/>
          <w:szCs w:val="20"/>
          <w:color w:val="auto"/>
        </w:rPr>
        <w:t>Fair value is the price that would be received for an asset or paid to transfer a liability, or the exit price, in an orderly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market participants on the measurement date. Fair value is categorized into one of the following three levels based on the lowest level of significant input: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13"/>
        </w:trPr>
        <w:tc>
          <w:tcPr>
            <w:tcW w:w="800" w:type="dxa"/>
            <w:vAlign w:val="bottom"/>
          </w:tcPr>
          <w:p>
            <w:pPr>
              <w:ind w:left="20"/>
              <w:spacing w:after="0"/>
              <w:rPr>
                <w:sz w:val="20"/>
                <w:szCs w:val="20"/>
                <w:color w:val="auto"/>
              </w:rPr>
            </w:pPr>
            <w:r>
              <w:rPr>
                <w:rFonts w:ascii="Arial" w:cs="Arial" w:eastAsia="Arial" w:hAnsi="Arial"/>
                <w:sz w:val="16"/>
                <w:szCs w:val="16"/>
                <w:color w:val="auto"/>
              </w:rPr>
              <w:t>Level 2</w:t>
            </w:r>
          </w:p>
        </w:tc>
        <w:tc>
          <w:tcPr>
            <w:tcW w:w="10400" w:type="dxa"/>
            <w:vAlign w:val="bottom"/>
          </w:tcPr>
          <w:p>
            <w:pPr>
              <w:ind w:left="28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219"/>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Unobservable inputs that cannot be corroborated by observable market data</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Inventories - </w:t>
      </w:r>
      <w:r>
        <w:rPr>
          <w:rFonts w:ascii="Arial" w:cs="Arial" w:eastAsia="Arial" w:hAnsi="Arial"/>
          <w:sz w:val="19"/>
          <w:szCs w:val="19"/>
          <w:color w:val="auto"/>
        </w:rPr>
        <w:t>Inventories consist of food and beverages and are stated at the lower of cost (first-in, first-out) or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Property, Fixtures and Equipment - </w:t>
      </w:r>
      <w:r>
        <w:rPr>
          <w:rFonts w:ascii="Arial" w:cs="Arial" w:eastAsia="Arial" w:hAnsi="Arial"/>
          <w:sz w:val="20"/>
          <w:szCs w:val="20"/>
          <w:color w:val="auto"/>
        </w:rPr>
        <w:t>Property, fixtures and equipment are stated at cost, net of accumulated depreciation. Depreciation is</w:t>
      </w:r>
      <w:r>
        <w:rPr>
          <w:rFonts w:ascii="Arial" w:cs="Arial" w:eastAsia="Arial" w:hAnsi="Arial"/>
          <w:sz w:val="20"/>
          <w:szCs w:val="20"/>
          <w:i w:val="1"/>
          <w:iCs w:val="1"/>
          <w:color w:val="auto"/>
        </w:rPr>
        <w:t xml:space="preserve"> </w:t>
      </w:r>
      <w:r>
        <w:rPr>
          <w:rFonts w:ascii="Arial" w:cs="Arial" w:eastAsia="Arial" w:hAnsi="Arial"/>
          <w:sz w:val="20"/>
          <w:szCs w:val="20"/>
          <w:color w:val="auto"/>
        </w:rPr>
        <w:t>computed on the straight-line method over the estimated useful life of the assets. Estimated useful lives by major asset category are generally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(1)</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to 30 years</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4900" w:type="dxa"/>
            <w:vAlign w:val="bottom"/>
          </w:tcPr>
          <w:p>
            <w:pPr>
              <w:jc w:val="right"/>
              <w:spacing w:after="0"/>
              <w:rPr>
                <w:sz w:val="20"/>
                <w:szCs w:val="20"/>
                <w:color w:val="auto"/>
              </w:rPr>
            </w:pPr>
            <w:r>
              <w:rPr>
                <w:rFonts w:ascii="Arial" w:cs="Arial" w:eastAsia="Arial" w:hAnsi="Arial"/>
                <w:sz w:val="16"/>
                <w:szCs w:val="16"/>
                <w:color w:val="auto"/>
              </w:rPr>
              <w:t>5 to 7 years</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to 7 years</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4900" w:type="dxa"/>
            <w:vAlign w:val="bottom"/>
          </w:tcPr>
          <w:p>
            <w:pPr>
              <w:jc w:val="right"/>
              <w:spacing w:after="0"/>
              <w:rPr>
                <w:sz w:val="20"/>
                <w:szCs w:val="20"/>
                <w:color w:val="auto"/>
              </w:rPr>
            </w:pPr>
            <w:r>
              <w:rPr>
                <w:rFonts w:ascii="Arial" w:cs="Arial" w:eastAsia="Arial" w:hAnsi="Arial"/>
                <w:sz w:val="16"/>
                <w:szCs w:val="16"/>
                <w:color w:val="auto"/>
              </w:rPr>
              <w:t>2 to 7 years</w:t>
            </w:r>
          </w:p>
        </w:tc>
      </w:tr>
      <w:tr>
        <w:trPr>
          <w:trHeight w:val="294"/>
        </w:trPr>
        <w:tc>
          <w:tcPr>
            <w:tcW w:w="6340" w:type="dxa"/>
            <w:vAlign w:val="bottom"/>
          </w:tcPr>
          <w:p>
            <w:pPr>
              <w:spacing w:after="0"/>
              <w:rPr>
                <w:sz w:val="20"/>
                <w:szCs w:val="20"/>
                <w:color w:val="auto"/>
              </w:rPr>
            </w:pPr>
            <w:r>
              <w:rPr>
                <w:rFonts w:ascii="Arial" w:cs="Arial" w:eastAsia="Arial" w:hAnsi="Arial"/>
                <w:sz w:val="16"/>
                <w:szCs w:val="16"/>
                <w:color w:val="auto"/>
              </w:rPr>
              <w:t>____________________</w:t>
            </w:r>
          </w:p>
        </w:tc>
        <w:tc>
          <w:tcPr>
            <w:tcW w:w="4900" w:type="dxa"/>
            <w:vAlign w:val="bottom"/>
          </w:tcPr>
          <w:p>
            <w:pPr>
              <w:spacing w:after="0"/>
              <w:rPr>
                <w:sz w:val="24"/>
                <w:szCs w:val="24"/>
                <w:color w:val="auto"/>
              </w:rPr>
            </w:pPr>
          </w:p>
        </w:tc>
      </w:tr>
    </w:tbl>
    <w:p>
      <w:pPr>
        <w:ind w:left="660" w:right="20" w:hanging="652"/>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improvements to leased properties which are depreciated over the shorter of their useful life or the reasonably certain lease term, including renewal periods that are reasonably certain.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Income (Loss).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over the reasonably certain lease term. Internal costs of $4.1 million, $3.7 million and $2.7 million were capitalized during 2022, 2021 and 2020,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2022 and 2021, computer equipment and software costs of $9.2 million and $3.4 million, respectively, were capitalized. As of December 25, 2022 and December 26, 2021, there was $10.1 million and $6.4 million, respectively, of unamortized computer equipment and software included in Property, fixtures and equipment, net on the Company’s Consolidated Balance Sheets.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Goodwill and Intangible Assets - </w:t>
      </w:r>
      <w:r>
        <w:rPr>
          <w:rFonts w:ascii="Arial" w:cs="Arial" w:eastAsia="Arial" w:hAnsi="Arial"/>
          <w:sz w:val="20"/>
          <w:szCs w:val="20"/>
          <w:color w:val="auto"/>
        </w:rPr>
        <w:t>Goodwill represents the excess of the purchase price over the fair value of net assets acquired in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combinations and is assigned to the reporting unit in which the acquired business will operate. The Company’s indefinite-lived intangible assets consist of trade names and are recorded at fair value as of the date of acquisition. Goodwill and indefinite-lived intangible assets are tested for impairment annually, as of the first day of the second fiscal quarter, or whenever events or changes in circumstances indicate that the carrying amount may not be recoverable.</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calculated fair value, with any excess of carrying value over fair value deemed to be an impairment.</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Definite-lived intangible assets, which consist primarily of trademarks and reacquired franchise rights, are recorded at fair value as of the date of acquisition, amortized over their estimated useful lives and tested for impairment, using the relief from royalty method, whenever events or changes in circumstances indicate that the carrying value may not be recoverable.</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i w:val="1"/>
          <w:iCs w:val="1"/>
          <w:color w:val="auto"/>
        </w:rPr>
        <w:t xml:space="preserve">Derivatives - </w:t>
      </w:r>
      <w:r>
        <w:rPr>
          <w:rFonts w:ascii="Arial" w:cs="Arial" w:eastAsia="Arial" w:hAnsi="Arial"/>
          <w:sz w:val="18"/>
          <w:szCs w:val="18"/>
          <w:color w:val="auto"/>
        </w:rPr>
        <w:t>The Company records all derivatives on the balance sheet at fair value. The accounting for changes in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depends on the intended use of the derivative, whether the Company has elected to designate a derivative in a hedging relationship and apply hedge accounting and whether the hedging relationship has satisfied the criteria necessary to apply hedge accounting.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Derivatives designated and qualifying as a hedge of the exposure to variability in expected future cash flows, or other types of forecasted transactions, are considered cash flow hedges. If the derivative qualifies for hedge accounting treatment, any gain or loss on the derivative instrument is recognized in equity as a change to Accumulated other comprehensive loss and reclassified into earnings in the same period or periods during which the hedged transaction affects earnings.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may enter into derivative contracts that are intended to economically hedge certain of its risks, even though hedge accounting does not apply or the Company elects not to apply hedge accounting. Derivatives not designated as hedges are not speculative and are used to 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Deferred Debt Issuance Costs </w:t>
      </w:r>
      <w:r>
        <w:rPr>
          <w:rFonts w:ascii="Arial" w:cs="Arial" w:eastAsia="Arial" w:hAnsi="Arial"/>
          <w:sz w:val="20"/>
          <w:szCs w:val="20"/>
          <w:color w:val="auto"/>
        </w:rPr>
        <w:t>- For its revolving credit facility, the Company records deferred debt issuance costs related to the issuance of</w:t>
      </w:r>
      <w:r>
        <w:rPr>
          <w:rFonts w:ascii="Arial" w:cs="Arial" w:eastAsia="Arial" w:hAnsi="Arial"/>
          <w:sz w:val="20"/>
          <w:szCs w:val="20"/>
          <w:i w:val="1"/>
          <w:iCs w:val="1"/>
          <w:color w:val="auto"/>
        </w:rPr>
        <w:t xml:space="preserve"> </w:t>
      </w:r>
      <w:r>
        <w:rPr>
          <w:rFonts w:ascii="Arial" w:cs="Arial" w:eastAsia="Arial" w:hAnsi="Arial"/>
          <w:sz w:val="20"/>
          <w:szCs w:val="20"/>
          <w:color w:val="auto"/>
        </w:rPr>
        <w:t>debt obligations in Other assets, net on its Consolidated Balance Sheets. For fees associated with all other debt obligations, the Company records deferred debt issuance costs as a reduction of Long-term debt, net.</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amortizes deferred debt issuance costs to interest expense over the term of the respective financing arrangement, primarily using the effective interest method. The Company amortized deferred debt issuance costs of $3.5 million, $4.5 million and $3.9 million to Interest expense, net for 2022, 2021 and 2020, respectively.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Liquor Licenses - </w:t>
      </w:r>
      <w:r>
        <w:rPr>
          <w:rFonts w:ascii="Arial" w:cs="Arial" w:eastAsia="Arial" w:hAnsi="Arial"/>
          <w:sz w:val="20"/>
          <w:szCs w:val="20"/>
          <w:color w:val="auto"/>
        </w:rPr>
        <w:t>The fees from obtaining non-transferable liquor licenses directly issued by local government agencies for nominal fees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i w:val="1"/>
          <w:iCs w:val="1"/>
          <w:color w:val="auto"/>
        </w:rPr>
        <w:t xml:space="preserve">Insurance Reserves - </w:t>
      </w:r>
      <w:r>
        <w:rPr>
          <w:rFonts w:ascii="Arial" w:cs="Arial" w:eastAsia="Arial" w:hAnsi="Arial"/>
          <w:sz w:val="19"/>
          <w:szCs w:val="19"/>
          <w:color w:val="auto"/>
        </w:rPr>
        <w:t>The Company carries insurance programs with specific retention levels or high per-claim deductibles for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Share Repurchase - </w:t>
      </w:r>
      <w:r>
        <w:rPr>
          <w:rFonts w:ascii="Arial" w:cs="Arial" w:eastAsia="Arial" w:hAnsi="Arial"/>
          <w:sz w:val="20"/>
          <w:szCs w:val="20"/>
          <w:color w:val="auto"/>
        </w:rPr>
        <w:t>The par value of the repurchased shares is deducted from common stock and the excess of the purchase price over the par</w:t>
      </w:r>
      <w:r>
        <w:rPr>
          <w:rFonts w:ascii="Arial" w:cs="Arial" w:eastAsia="Arial" w:hAnsi="Arial"/>
          <w:sz w:val="20"/>
          <w:szCs w:val="20"/>
          <w:i w:val="1"/>
          <w:iCs w:val="1"/>
          <w:color w:val="auto"/>
        </w:rPr>
        <w:t xml:space="preserve"> </w:t>
      </w:r>
      <w:r>
        <w:rPr>
          <w:rFonts w:ascii="Arial" w:cs="Arial" w:eastAsia="Arial" w:hAnsi="Arial"/>
          <w:sz w:val="20"/>
          <w:szCs w:val="20"/>
          <w:color w:val="auto"/>
        </w:rPr>
        <w:t>value of the shares is recorded to Accumulated deficit. All shares of common stock acquired through share repurchase programs are retired and restored to authorized but unissued shares of common stock.</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Revenue Recognition - </w:t>
      </w:r>
      <w:r>
        <w:rPr>
          <w:rFonts w:ascii="Arial" w:cs="Arial" w:eastAsia="Arial" w:hAnsi="Arial"/>
          <w:sz w:val="19"/>
          <w:szCs w:val="19"/>
          <w:color w:val="auto"/>
        </w:rPr>
        <w:t>The Company records food and beverage revenues, net of discounts and taxes, upon delivery to the customer.</w:t>
      </w:r>
      <w:r>
        <w:rPr>
          <w:rFonts w:ascii="Arial" w:cs="Arial" w:eastAsia="Arial" w:hAnsi="Arial"/>
          <w:sz w:val="19"/>
          <w:szCs w:val="19"/>
          <w:i w:val="1"/>
          <w:iCs w:val="1"/>
          <w:color w:val="auto"/>
        </w:rPr>
        <w:t xml:space="preserve"> </w:t>
      </w:r>
      <w:r>
        <w:rPr>
          <w:rFonts w:ascii="Arial" w:cs="Arial" w:eastAsia="Arial" w:hAnsi="Arial"/>
          <w:sz w:val="19"/>
          <w:szCs w:val="19"/>
          <w:color w:val="auto"/>
        </w:rPr>
        <w:t>Franchise-related revenues are included in Franchise and other revenues in the Company’s Consolidated Statements of Operations and Comprehensive Income (Loss). Royalties, which are generally a percentage of net sales of the franchisee, are recognized as revenue in the period in which the sales are reported to have occurred provided collectability is reasonably assured.</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Proceeds from the sale of gift cards, which do not have expiration dates, are recorded as deferred revenue and recognized as revenue upon redemption by the customer. The Company applies the portfolio approach practical expedient to account for gift card contracts and performance obligations. Gift card breakage, the amount of gift cards which will not be redeemed, is recognized using estimates based on historical redemption patterns. If actual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redemptions vary from assumptions used to estimate breakage, gift card breakage income may differ from the amount recorded. The Company periodically updates its estimates used for breakage. Breakage revenue is recorded as a component of Restaurant sales in the Company’s Consolidated Statements of Operations and Comprehensive Income (Loss). Approximately 84% of deferred gift card revenue is expected to be recognized within 12 months of inception.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Gift card sales commissions paid to third-party providers are capitalized and subsequently amortized to Other restaurant operating expense based on historical gift card redemption patterns. See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rollforwards of deferred gift card sales commissions and unearned gift card revenue.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Advertising fees charged to franchisees are recognized in Franchise and other revenues in the Company’s Consolidated Statements of Operations and Comprehensive Income (Loss) provided collectability is reasonably assured. Initial franchise and renewal fees are recognized over the term of the franchise agreement and renewal period, respectively. The weighted average remaining term of franchise agreements and renewal periods was approximately 12 years as of December 25, 2022.</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maintains a customer loyalty program, Dine Rewards, in the U.S., where customers earn a reward after attaining qualified spend amounts. The Company’s estimate of the value of the reward is recorded as deferred revenue. Each reward must be redeemed within specified time limits of earning such reward. The revenue associated with the fair value of the reward is recognized upon the earlier of redemption or expiration of the reward. The Company applies the practical expedient to exclude disclosures regarding loyalty program remaining performance obligations, which have original expected durations of less than one year.</w:t>
      </w:r>
    </w:p>
    <w:p>
      <w:pPr>
        <w:spacing w:after="0" w:line="21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collects and remits sales, food and beverage, alcoholic beverage and hospitality taxes on transactions with customers and reports revenue net of taxes in its Consolidated Statements of Operations and Comprehensive Income (Loss).</w:t>
      </w:r>
    </w:p>
    <w:p>
      <w:pPr>
        <w:spacing w:after="0" w:line="21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The Company’s determination of whether an arrangement contains a lease is based on an evaluation of whether the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conveys the right to use and control specific property or equipment. The Company leases restaurant and office facilities and certain equipment under operating leases primarily having initial terms between one and 20 years. Restaurant facility leases generally have renewal periods totaling five to 30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Income (Loss) and future variable rent obligations are not included within the lease liabilities on the Consolidated Balance Sheets. The depreciable life of lease assets and leasehold improvements are limited by the expected lease term. None of the Company’s leases contain any material residual value guarantees or restrictive covenants.</w:t>
      </w:r>
    </w:p>
    <w:p>
      <w:pPr>
        <w:spacing w:after="0" w:line="200" w:lineRule="exact"/>
        <w:rPr>
          <w:sz w:val="20"/>
          <w:szCs w:val="20"/>
          <w:color w:val="auto"/>
        </w:rPr>
      </w:pPr>
    </w:p>
    <w:p>
      <w:pPr>
        <w:spacing w:after="0" w:line="218"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Company accounts for U.S. fixed lease and non-lease components of a restaurant facility lease as a single lease component. Additionally, for certain equipment leases, the Company applies a portfolio approach to account for the lease assets and liabilities. Leases with an initial term of 12 months or less are not recorded on its Consolidated Balance Sheets and are recognized on a straight-line basis over the lease term within Other restaurant operating expense in the Company’s Consolidated Statements of Operations and Comprehensive Income (Loss).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Rent expense for the Company’s operating leases, which generally have escalating rentals over the term of the lease and may include rent holidays, is recorded on a straight-line basis over the initial lease term and those renewal periods that are reasonably certain. Operating lease rent expense for open Company-owned restaurants is recorded in Other restaurant operating expense in the Company’s Consolidated Statements of Operations and Comprehensive Income (Loss). Payments received from landlords as incentives for leasehold improvements are recorded as a</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reduction of the right-of-use asset and amortized on a straight-line basis over the term of the lease as a reduction of rent expense.</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April 2020, the FASB issued a question-and-answer document focused on the application of lease accounting guidance to lease concessions provided as a result of COVID-19 (the “Lease Modification Q&amp;A”). The Lease Modification Q&amp;A provides entities with the option to elect to account for lease concessions as though the enforceable rights and obligations existed in the original lease when the total cash flows resulting from the modified lease are substantially similar to the cash flows in the original lease. The Company elected this practical expedient for COVID-19-related rent concessions, primarily rent deferrals or rent abatements, and elected not to remeasure the related lease liability and right-of-use asset for those leases. Rent deferrals are accrued with no impact to straight-line rent expense. Rent abatements are recognized as a reduction of variable rent expense in the month they occur. This election will continue while these concessions are in effect.</w:t>
      </w:r>
    </w:p>
    <w:p>
      <w:pPr>
        <w:spacing w:after="0" w:line="212" w:lineRule="exact"/>
        <w:rPr>
          <w:sz w:val="20"/>
          <w:szCs w:val="20"/>
          <w:color w:val="auto"/>
        </w:rPr>
      </w:pPr>
    </w:p>
    <w:p>
      <w:pPr>
        <w:jc w:val="both"/>
        <w:spacing w:after="0" w:line="332" w:lineRule="auto"/>
        <w:rPr>
          <w:sz w:val="20"/>
          <w:szCs w:val="20"/>
          <w:color w:val="auto"/>
        </w:rPr>
      </w:pPr>
      <w:r>
        <w:rPr>
          <w:rFonts w:ascii="Arial" w:cs="Arial" w:eastAsia="Arial" w:hAnsi="Arial"/>
          <w:sz w:val="18"/>
          <w:szCs w:val="18"/>
          <w:i w:val="1"/>
          <w:iCs w:val="1"/>
          <w:color w:val="auto"/>
        </w:rPr>
        <w:t xml:space="preserve">Pre-Opening Expenses - </w:t>
      </w:r>
      <w:r>
        <w:rPr>
          <w:rFonts w:ascii="Arial" w:cs="Arial" w:eastAsia="Arial" w:hAnsi="Arial"/>
          <w:sz w:val="18"/>
          <w:szCs w:val="18"/>
          <w:color w:val="auto"/>
        </w:rPr>
        <w:t>Non-capital expenditures associated with opening new restaurants are expensed as incurred and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restaurant operating expense in the Company’s Consolidated Statements of Operations and Comprehensive Income (Loss).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i w:val="1"/>
          <w:iCs w:val="1"/>
          <w:color w:val="auto"/>
        </w:rPr>
        <w:t xml:space="preserve">Consideration Received from Vendors - </w:t>
      </w:r>
      <w:r>
        <w:rPr>
          <w:rFonts w:ascii="Arial" w:cs="Arial" w:eastAsia="Arial" w:hAnsi="Arial"/>
          <w:sz w:val="18"/>
          <w:szCs w:val="18"/>
          <w:color w:val="auto"/>
        </w:rPr>
        <w:t>The Company receives consideration for a variety of vendor-sponsored programs, such as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rebates, promotions and advertising allowances. Advertising allowances are intended to offset the Company’s costs of promoting and selling menu items in its restaurants. Vendor consideration is recorded as a reduction of Food and beverage costs or Other restaurant operating expense when recognized in the Company’s Consolidated Statements of Operations and Comprehensive Income (Loss).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i w:val="1"/>
          <w:iCs w:val="1"/>
          <w:color w:val="auto"/>
        </w:rPr>
        <w:t xml:space="preserve">Impairment of Long-Lived Assets and Costs Associated with Exit Activities - </w:t>
      </w:r>
      <w:r>
        <w:rPr>
          <w:rFonts w:ascii="Arial" w:cs="Arial" w:eastAsia="Arial" w:hAnsi="Arial"/>
          <w:sz w:val="18"/>
          <w:szCs w:val="18"/>
          <w:color w:val="auto"/>
        </w:rPr>
        <w:t>Long-lived assets are reviewed for impairment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Restaurant closure costs, including lease termination fees, are expensed as incurred. When the Company ceases using the property rights under a non-cancelable operating lease, it records a liability for the net present value of any remaining non-rent lease-related obligations, less the estimated subtenant cost recovery that can reasonably be obtained for the property. Any subsequent adjustment to that liability as a result of lease termination or changes in estimates of cost recovery is recorded in the period incurred. The associated expense is recorded in Provision for impaired assets and restaurant closings in the Company’s Consolidated Statements of Operations and Comprehensive Income (Loss).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Advertising Costs - </w:t>
      </w:r>
      <w:r>
        <w:rPr>
          <w:rFonts w:ascii="Arial" w:cs="Arial" w:eastAsia="Arial" w:hAnsi="Arial"/>
          <w:sz w:val="20"/>
          <w:szCs w:val="20"/>
          <w:color w:val="auto"/>
        </w:rPr>
        <w:t>Advertising production costs are expensed in the period when the advertising first occurs. All other advertising costs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in the period in which the costs are incurred. Advertising expense of $94.0 million, $59.7 million and $67.3 million for 2022, 2021 and 2020, respectively, was recorded in Other restaurant operating expense in the Company’s Consolidated Statements of Operations and Comprehensive Income (Loss).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Legal Costs - </w:t>
      </w:r>
      <w:r>
        <w:rPr>
          <w:rFonts w:ascii="Arial" w:cs="Arial" w:eastAsia="Arial" w:hAnsi="Arial"/>
          <w:sz w:val="20"/>
          <w:szCs w:val="20"/>
          <w:color w:val="auto"/>
        </w:rPr>
        <w:t>Settlement costs are accrued when they are deemed probable and reasonably estimable. Legal fees are recognized as incurred</w:t>
      </w:r>
      <w:r>
        <w:rPr>
          <w:rFonts w:ascii="Arial" w:cs="Arial" w:eastAsia="Arial" w:hAnsi="Arial"/>
          <w:sz w:val="20"/>
          <w:szCs w:val="20"/>
          <w:i w:val="1"/>
          <w:iCs w:val="1"/>
          <w:color w:val="auto"/>
        </w:rPr>
        <w:t xml:space="preserve"> </w:t>
      </w:r>
      <w:r>
        <w:rPr>
          <w:rFonts w:ascii="Arial" w:cs="Arial" w:eastAsia="Arial" w:hAnsi="Arial"/>
          <w:sz w:val="20"/>
          <w:szCs w:val="20"/>
          <w:color w:val="auto"/>
        </w:rPr>
        <w:t>and are reported in General and administrative expense in the Company’s Consolidated Statements of Operations and Comprehensive Income (Loss).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Research and Development Expenses (“R&amp;D”) - </w:t>
      </w:r>
      <w:r>
        <w:rPr>
          <w:rFonts w:ascii="Arial" w:cs="Arial" w:eastAsia="Arial" w:hAnsi="Arial"/>
          <w:sz w:val="20"/>
          <w:szCs w:val="20"/>
          <w:color w:val="auto"/>
        </w:rPr>
        <w:t>R&amp;D is expensed as incurred in General and administrative expense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Operations and Comprehensive Income (Loss). R&amp;D primarily consists of payroll and benefit costs. R&amp;D was $2.7 million, $2.6 million and $2.4 million for 2022, 2021 and 2020, respectively.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Partner Compensation - </w:t>
      </w:r>
      <w:r>
        <w:rPr>
          <w:rFonts w:ascii="Arial" w:cs="Arial" w:eastAsia="Arial" w:hAnsi="Arial"/>
          <w:sz w:val="20"/>
          <w:szCs w:val="20"/>
          <w:color w:val="auto"/>
        </w:rPr>
        <w:t>In addition to base salary, Market Vice Presidents, Area Operating Partners, Restaurant Managing Partners and Chef</w:t>
      </w:r>
      <w:r>
        <w:rPr>
          <w:rFonts w:ascii="Arial" w:cs="Arial" w:eastAsia="Arial" w:hAnsi="Arial"/>
          <w:sz w:val="20"/>
          <w:szCs w:val="20"/>
          <w:i w:val="1"/>
          <w:iCs w:val="1"/>
          <w:color w:val="auto"/>
        </w:rPr>
        <w:t xml:space="preserve"> </w:t>
      </w:r>
      <w:r>
        <w:rPr>
          <w:rFonts w:ascii="Arial" w:cs="Arial" w:eastAsia="Arial" w:hAnsi="Arial"/>
          <w:sz w:val="20"/>
          <w:szCs w:val="20"/>
          <w:color w:val="auto"/>
        </w:rPr>
        <w:t>Partners generally receive performance-based bonuses for providing management and supervisory services to their restaurants, certain of which may be based on a percentage of their restaurants’ monthly operating results or cash flows and/or total controllable income (“Monthly Payments”).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Certain Restaurant Managing Partners and Chef Partners in the U.S. (“U.S. Partners”) may also participate in deferred compensation programs and other performance-based compensation programs. The Company may invest in corporate-owned life insurance policies, which are held within an irrevocable grantor or “rabbi” trust account for settlement of certain of the Company’s obligations under the deferred compensation plans.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the Company’s international Restaurant Managing Partners are given the option to purchase participation interests in the cash distributions of the restaurants they manage. The amount, terms and availability vary by country.</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Company estimates future bonuses and deferred compensation obligations to U.S. Partners and Area Operating Partners, using current and historical information on restaurant performance and records the long-term portion of partner obligations in Other long-term liabilities, net on its Consolidated Balance Sheets. Monthly Payments and deferred compensation expenses for U.S. Partners are included in Labor and other related expenses and Monthly Payments and bonus expense for Area Operating Partners are included in General and administrative expense in the Company’s Consolidated Statements of Operations and Comprehensive Income (Loss).</w:t>
      </w:r>
    </w:p>
    <w:p>
      <w:pPr>
        <w:spacing w:after="0" w:line="198"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Stock-based compensation awards are measured at fair value at the date of grant and expensed over their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Beginning in 2021, performance-based share units (“PSUs”) issued by the Company include a relative total shareholder return (“Relative TSR”) modifier to the final payout outcome, which can adjust the payout percentage based on the achieved performance metric. The Relative TSR is measured by comparing the Company’s Relative TSR to that of the constituents of the S&amp;P 1500 Restaurants index.</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i w:val="1"/>
          <w:iCs w:val="1"/>
          <w:color w:val="auto"/>
        </w:rPr>
        <w:t xml:space="preserve">Basic and Diluted Earnings (Loss) per Share </w:t>
      </w:r>
      <w:r>
        <w:rPr>
          <w:rFonts w:ascii="Arial" w:cs="Arial" w:eastAsia="Arial" w:hAnsi="Arial"/>
          <w:sz w:val="19"/>
          <w:szCs w:val="19"/>
          <w:color w:val="auto"/>
        </w:rPr>
        <w:t>- The Company computes basic earnings (loss) per share based on the weighted average number</w:t>
      </w:r>
      <w:r>
        <w:rPr>
          <w:rFonts w:ascii="Arial" w:cs="Arial" w:eastAsia="Arial" w:hAnsi="Arial"/>
          <w:sz w:val="19"/>
          <w:szCs w:val="19"/>
          <w:i w:val="1"/>
          <w:iCs w:val="1"/>
          <w:color w:val="auto"/>
        </w:rPr>
        <w:t xml:space="preserve"> </w:t>
      </w:r>
      <w:r>
        <w:rPr>
          <w:rFonts w:ascii="Arial" w:cs="Arial" w:eastAsia="Arial" w:hAnsi="Arial"/>
          <w:sz w:val="19"/>
          <w:szCs w:val="19"/>
          <w:color w:val="auto"/>
        </w:rPr>
        <w:t>of common shares that were outstanding during the period. Except where the result would be antidilutive, diluted earnings per share includes the dilutive effect of common stock equivalents, consisting of stock options, restricted stock units, performance-based share units and warrants, measured using the treasury stock method, and the Company’s convertible senior notes, measured using the if-converted method. PSUs are considered dilutive when the related performance criterion has been met.</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 xml:space="preserve">The Company has provided the trustee of </w:t>
      </w:r>
      <w:r>
        <w:rPr>
          <w:rFonts w:ascii="Arial" w:cs="Arial" w:eastAsia="Arial" w:hAnsi="Arial"/>
          <w:sz w:val="18"/>
          <w:szCs w:val="18"/>
          <w:color w:val="252525"/>
        </w:rPr>
        <w:t>the</w:t>
      </w:r>
      <w:r>
        <w:rPr>
          <w:rFonts w:ascii="Arial" w:cs="Arial" w:eastAsia="Arial" w:hAnsi="Arial"/>
          <w:sz w:val="18"/>
          <w:szCs w:val="18"/>
          <w:color w:val="auto"/>
        </w:rPr>
        <w:t xml:space="preserve"> Company’s convertible senior notes due 2025 (the </w:t>
      </w:r>
      <w:r>
        <w:rPr>
          <w:rFonts w:ascii="Arial" w:cs="Arial" w:eastAsia="Arial" w:hAnsi="Arial"/>
          <w:sz w:val="18"/>
          <w:szCs w:val="18"/>
          <w:color w:val="252525"/>
        </w:rPr>
        <w:t>“</w:t>
      </w:r>
      <w:r>
        <w:rPr>
          <w:rFonts w:ascii="Arial" w:cs="Arial" w:eastAsia="Arial" w:hAnsi="Arial"/>
          <w:sz w:val="18"/>
          <w:szCs w:val="18"/>
          <w:color w:val="auto"/>
        </w:rPr>
        <w:t xml:space="preserve">2025 Notes”) notice of its irrevocable election under the 2025 Notes indenture to settle the principal portion of </w:t>
      </w:r>
      <w:r>
        <w:rPr>
          <w:rFonts w:ascii="Arial" w:cs="Arial" w:eastAsia="Arial" w:hAnsi="Arial"/>
          <w:sz w:val="18"/>
          <w:szCs w:val="18"/>
          <w:color w:val="252525"/>
        </w:rPr>
        <w:t>the</w:t>
      </w:r>
      <w:r>
        <w:rPr>
          <w:rFonts w:ascii="Arial" w:cs="Arial" w:eastAsia="Arial" w:hAnsi="Arial"/>
          <w:sz w:val="18"/>
          <w:szCs w:val="18"/>
          <w:color w:val="auto"/>
        </w:rPr>
        <w:t xml:space="preserve"> 2025 Notes upon conversion in cash and any excess in shares. As a result, only the amounts in excess of the principal amount, if applicable, are considered in diluted earnings per share.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Foreign Currency Translation and Transactions - </w:t>
      </w:r>
      <w:r>
        <w:rPr>
          <w:rFonts w:ascii="Arial" w:cs="Arial" w:eastAsia="Arial" w:hAnsi="Arial"/>
          <w:sz w:val="20"/>
          <w:szCs w:val="20"/>
          <w:color w:val="auto"/>
        </w:rPr>
        <w:t>For non-U.S. operations, the functional currency is the local currency. Foreign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403" w:lineRule="auto"/>
        <w:rPr>
          <w:sz w:val="20"/>
          <w:szCs w:val="20"/>
          <w:color w:val="auto"/>
        </w:rPr>
      </w:pPr>
      <w:r>
        <w:rPr>
          <w:rFonts w:ascii="Arial" w:cs="Arial" w:eastAsia="Arial" w:hAnsi="Arial"/>
          <w:sz w:val="16"/>
          <w:szCs w:val="16"/>
          <w:color w:val="auto"/>
        </w:rPr>
        <w:t>operations are translated using the average exchange rates for the reporting period. Foreign currency exchange transaction losses are recorded in General and administrative expense in the Company’s Consolidated Statements of Operations and Comprehensive Income (Loss).</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income tax assets and liabilities are recognized for the future tax consequences attributable to differences between</w:t>
      </w:r>
      <w:r>
        <w:rPr>
          <w:rFonts w:ascii="Arial" w:cs="Arial" w:eastAsia="Arial" w:hAnsi="Arial"/>
          <w:sz w:val="20"/>
          <w:szCs w:val="20"/>
          <w:i w:val="1"/>
          <w:iCs w:val="1"/>
          <w:color w:val="auto"/>
        </w:rPr>
        <w:t xml:space="preserve"> </w:t>
      </w:r>
      <w:r>
        <w:rPr>
          <w:rFonts w:ascii="Arial" w:cs="Arial" w:eastAsia="Arial" w:hAnsi="Arial"/>
          <w:sz w:val="20"/>
          <w:szCs w:val="20"/>
          <w:color w:val="auto"/>
        </w:rPr>
        <w:t>the 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in income in the period that includes the enactment date of the rate change. A valuation allowance may reduce deferred income tax assets to the amount that is more likely than not to be realized.</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including penalties and interest, are recorded in Accrued and other current liabilities and Other long-term liabilities, net on the Company’s Consolidated Balance Sheets.</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Recently Adopted Financial Accounting Standards </w:t>
      </w:r>
      <w:r>
        <w:rPr>
          <w:rFonts w:ascii="Arial" w:cs="Arial" w:eastAsia="Arial" w:hAnsi="Arial"/>
          <w:sz w:val="18"/>
          <w:szCs w:val="18"/>
          <w:color w:val="auto"/>
        </w:rPr>
        <w:t>- During the thirteen weeks ended December 25, 2022, the Company adopted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Standards Update (“ASU”) No. 2021-10, “Government Assistance (Topic 832): Disclosures by Business Entities about Government Assistance”, which requires financial statement footnote disclosure regarding government assistance accounted for by applying a grant or contribution accounting model by analogy. See Note 3 -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for information regarding COVID-19-related government assistance.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On December 28, 2020, the Company adopted ASU No. 2020-06, “Debt - Debt with Conversion and Other Options (Subtopic 470-20) and Derivatives and Hedging - Contracts in Entity’s Own Equity (Subtopic 815-40): Accounting for Convertible Instruments and Contracts in an Entity’s Own Equity,” (“ASU No. 2020-06”) which removes the separation models for convertible debt with a cash conversion feature or convertible instruments with a beneficial conversion feature. ASU No. 2020-06 also requires the application of the if-converted method for calculating the diluted earnings per share impact of the 2025 Notes. The Company adopted ASU No. 2020-06 using the modified retrospective approach which resulted in a cumulative-effect adjustment that increased (decreased) the following Consolidated Balance Sheet accounts during the first quarter of 2021:</w:t>
      </w:r>
    </w:p>
    <w:tbl>
      <w:tblPr>
        <w:tblLayout w:type="fixed"/>
        <w:tblInd w:w="0" w:type="dxa"/>
        <w:tblCellMar>
          <w:top w:w="0" w:type="dxa"/>
          <w:left w:w="0" w:type="dxa"/>
          <w:bottom w:w="0" w:type="dxa"/>
          <w:right w:w="0" w:type="dxa"/>
        </w:tblCellMar>
      </w:tblPr>
      <w:tr>
        <w:trPr>
          <w:trHeight w:val="149"/>
        </w:trPr>
        <w:tc>
          <w:tcPr>
            <w:tcW w:w="47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2"/>
                <w:szCs w:val="12"/>
                <w:color w:val="auto"/>
              </w:rPr>
            </w:pPr>
          </w:p>
        </w:tc>
        <w:tc>
          <w:tcPr>
            <w:tcW w:w="47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CONSOLIDATED BALANCE SHEET CLASSIFICATION</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impact of cumulative-effect adjustment</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 assets,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reclassification</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issuance costs reclassification</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amortization reclassification, net of tax</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Reversal of separated equity component, net of tax</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After adopting ASU No. 2020-06, the 2025 Notes are reflected entirely as a liability since the embedded conversion feature is no longer separately presented within stockholders’ equity.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Recent accounting guidance not discussed herein is not applicable, did not have, or is not expected to have a material impact to the Company.</w:t>
      </w:r>
    </w:p>
    <w:p>
      <w:pPr>
        <w:spacing w:after="0" w:line="30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Reclassifications - </w:t>
      </w:r>
      <w:r>
        <w:rPr>
          <w:rFonts w:ascii="Arial" w:cs="Arial" w:eastAsia="Arial" w:hAnsi="Arial"/>
          <w:sz w:val="20"/>
          <w:szCs w:val="20"/>
          <w:color w:val="auto"/>
        </w:rPr>
        <w:t>The Company reclassified certain items in the accompanying consolidated financial statements for prior periods to be</w:t>
      </w:r>
      <w:r>
        <w:rPr>
          <w:rFonts w:ascii="Arial" w:cs="Arial" w:eastAsia="Arial" w:hAnsi="Arial"/>
          <w:sz w:val="20"/>
          <w:szCs w:val="20"/>
          <w:i w:val="1"/>
          <w:iCs w:val="1"/>
          <w:color w:val="auto"/>
        </w:rPr>
        <w:t xml:space="preserve"> </w:t>
      </w:r>
      <w:r>
        <w:rPr>
          <w:rFonts w:ascii="Arial" w:cs="Arial" w:eastAsia="Arial" w:hAnsi="Arial"/>
          <w:sz w:val="20"/>
          <w:szCs w:val="20"/>
          <w:color w:val="auto"/>
        </w:rPr>
        <w:t>comparable with the classification for the current period, including, but not limited to, presentation of certain items within the condensed consolidated statements of cash flows and certain notes to the consolidated financial statements. These reclassifications had no effect on previously reported net income.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9"/>
          <w:szCs w:val="19"/>
          <w:color w:val="auto"/>
        </w:rPr>
        <w:t>COVID-19</w:t>
      </w:r>
    </w:p>
    <w:p>
      <w:pPr>
        <w:spacing w:after="0" w:line="256"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COVID-19 Charges </w:t>
      </w:r>
      <w:r>
        <w:rPr>
          <w:rFonts w:ascii="Arial" w:cs="Arial" w:eastAsia="Arial" w:hAnsi="Arial"/>
          <w:sz w:val="20"/>
          <w:szCs w:val="20"/>
          <w:color w:val="auto"/>
        </w:rPr>
        <w:t>- Following is a summary of the charges recorded in connection with the COVID-19 pandemic for the period indicated</w:t>
      </w:r>
      <w:r>
        <w:rPr>
          <w:rFonts w:ascii="Arial" w:cs="Arial" w:eastAsia="Arial" w:hAnsi="Arial"/>
          <w:sz w:val="20"/>
          <w:szCs w:val="20"/>
          <w:i w:val="1"/>
          <w:iCs w:val="1"/>
          <w:color w:val="auto"/>
        </w:rPr>
        <w:t xml:space="preserve"> </w:t>
      </w:r>
      <w:r>
        <w:rPr>
          <w:rFonts w:ascii="Arial" w:cs="Arial" w:eastAsia="Arial" w:hAnsi="Arial"/>
          <w:sz w:val="20"/>
          <w:szCs w:val="20"/>
          <w:color w:val="auto"/>
        </w:rPr>
        <w:t>(dollars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CONSOLIDATED STATEMENTS OF OPERATIONS AND</w:t>
            </w:r>
          </w:p>
        </w:tc>
        <w:tc>
          <w:tcPr>
            <w:tcW w:w="260" w:type="dxa"/>
            <w:vAlign w:val="bottom"/>
          </w:tcPr>
          <w:p>
            <w:pPr>
              <w:spacing w:after="0"/>
              <w:rPr>
                <w:sz w:val="16"/>
                <w:szCs w:val="16"/>
                <w:color w:val="auto"/>
              </w:rPr>
            </w:pPr>
          </w:p>
        </w:tc>
        <w:tc>
          <w:tcPr>
            <w:tcW w:w="1560" w:type="dxa"/>
            <w:vAlign w:val="bottom"/>
          </w:tcPr>
          <w:p>
            <w:pPr>
              <w:jc w:val="right"/>
              <w:ind w:right="34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70"/>
        </w:trPr>
        <w:tc>
          <w:tcPr>
            <w:tcW w:w="424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6"/>
                <w:szCs w:val="6"/>
                <w:color w:val="auto"/>
              </w:rPr>
            </w:pPr>
          </w:p>
        </w:tc>
        <w:tc>
          <w:tcPr>
            <w:tcW w:w="50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vMerge w:val="restart"/>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5"/>
        </w:trPr>
        <w:tc>
          <w:tcPr>
            <w:tcW w:w="4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COMPREHENSIVE INCOME (LOSS) CLASSIFICATION</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Inventory obsolescence and spoilage</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Compensation for idle employees (1)</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Labor and other related</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29,993</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charges</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Lease guarantee contingent liabilities (2)</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(3)</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Other charges</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 impairment (4)</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32,992</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Fixed asset impairment (4)</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34,423</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and other impairment (5)</w:t>
            </w: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124,508</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Represents relief pay for U.S. hourly employees impacted by the closure of dining rooms, net of employee retention tax credits earned. See </w:t>
      </w:r>
      <w:r>
        <w:rPr>
          <w:rFonts w:ascii="Arial" w:cs="Arial" w:eastAsia="Arial" w:hAnsi="Arial"/>
          <w:sz w:val="16"/>
          <w:szCs w:val="16"/>
          <w:i w:val="1"/>
          <w:iCs w:val="1"/>
          <w:color w:val="auto"/>
        </w:rPr>
        <w:t>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Government Assistance </w:t>
      </w:r>
      <w:r>
        <w:rPr>
          <w:rFonts w:ascii="Arial" w:cs="Arial" w:eastAsia="Arial" w:hAnsi="Arial"/>
          <w:sz w:val="16"/>
          <w:szCs w:val="16"/>
          <w:color w:val="auto"/>
        </w:rPr>
        <w:t>below for further discussion regarding employee retention credits earned.</w:t>
      </w:r>
    </w:p>
    <w:p>
      <w:pPr>
        <w:ind w:left="660" w:hanging="652"/>
        <w:spacing w:after="0" w:line="25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additional contingent liabilities recorded for lease guarantees related to certain former restaurant locations now operated by franchisees or other third parties.</w:t>
      </w: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additional reserves to reflect an increase in expected credit losses, primarily related to franchise receivables.</w:t>
      </w:r>
    </w:p>
    <w:p>
      <w:pPr>
        <w:spacing w:after="0" w:line="5" w:lineRule="exact"/>
        <w:rPr>
          <w:rFonts w:ascii="Arial" w:cs="Arial" w:eastAsia="Arial" w:hAnsi="Arial"/>
          <w:sz w:val="16"/>
          <w:szCs w:val="16"/>
          <w:color w:val="auto"/>
        </w:rPr>
      </w:pPr>
    </w:p>
    <w:p>
      <w:pPr>
        <w:jc w:val="both"/>
        <w:ind w:left="660" w:hanging="652"/>
        <w:spacing w:after="0" w:line="270" w:lineRule="auto"/>
        <w:tabs>
          <w:tab w:leader="none" w:pos="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Includes impairments resulting from the remeasurement of assets utilizing projected future cash flows revised for then-current economic conditions, restructuring charges, the closure of certain restaurants and in connection with the Out West Resolution Agreement. See Note 5 - </w:t>
      </w:r>
      <w:r>
        <w:rPr>
          <w:rFonts w:ascii="Arial" w:cs="Arial" w:eastAsia="Arial" w:hAnsi="Arial"/>
          <w:sz w:val="15"/>
          <w:szCs w:val="15"/>
          <w:i w:val="1"/>
          <w:iCs w:val="1"/>
          <w:color w:val="auto"/>
        </w:rPr>
        <w:t>Impairments and Exit Costs</w:t>
      </w:r>
      <w:r>
        <w:rPr>
          <w:rFonts w:ascii="Arial" w:cs="Arial" w:eastAsia="Arial" w:hAnsi="Arial"/>
          <w:sz w:val="15"/>
          <w:szCs w:val="15"/>
          <w:color w:val="auto"/>
        </w:rPr>
        <w:t xml:space="preserve"> and Note 4 - </w:t>
      </w:r>
      <w:r>
        <w:rPr>
          <w:rFonts w:ascii="Arial" w:cs="Arial" w:eastAsia="Arial" w:hAnsi="Arial"/>
          <w:sz w:val="15"/>
          <w:szCs w:val="15"/>
          <w:i w:val="1"/>
          <w:iCs w:val="1"/>
          <w:color w:val="auto"/>
        </w:rPr>
        <w:t>Revenue Recognition</w:t>
      </w:r>
      <w:r>
        <w:rPr>
          <w:rFonts w:ascii="Arial" w:cs="Arial" w:eastAsia="Arial" w:hAnsi="Arial"/>
          <w:sz w:val="15"/>
          <w:szCs w:val="15"/>
          <w:color w:val="auto"/>
        </w:rPr>
        <w:t>, for details regarding COVID-19 Restructuring costs and the Out West Resolution Agreement, respectively.</w:t>
      </w:r>
    </w:p>
    <w:p>
      <w:pPr>
        <w:spacing w:after="0" w:line="1" w:lineRule="exact"/>
        <w:rPr>
          <w:rFonts w:ascii="Arial" w:cs="Arial" w:eastAsia="Arial" w:hAnsi="Arial"/>
          <w:sz w:val="15"/>
          <w:szCs w:val="15"/>
          <w:color w:val="auto"/>
        </w:rPr>
      </w:pPr>
    </w:p>
    <w:p>
      <w:pPr>
        <w:ind w:left="660" w:hanging="652"/>
        <w:spacing w:after="0" w:line="27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Includes impairment of goodwill for the Company’s Hong Kong subsidiary. See Note 10 -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i w:val="1"/>
          <w:iCs w:val="1"/>
          <w:color w:val="auto"/>
        </w:rPr>
        <w:t xml:space="preserve">COVID-19 Government Assistance </w:t>
      </w:r>
      <w:r>
        <w:rPr>
          <w:rFonts w:ascii="Arial" w:cs="Arial" w:eastAsia="Arial" w:hAnsi="Arial"/>
          <w:sz w:val="19"/>
          <w:szCs w:val="19"/>
          <w:color w:val="auto"/>
        </w:rPr>
        <w:t>- During 2020, the Company recorded $19.6 million of COVID-19-related government assistance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in connection with the Employee Retention Credit (“ERC”) provided under the Coronavirus, Aid, Relief and Economic Security (“CARES”) Act, substantially all of which was recorded in Labor and other related expenses in its Consolidated Statements of Operations and Comprehensive Income (Loss). The Company filed ERC claims for relief pay paid to employees impacted by government mandated dining room closures or capacity restrictions and quarantine pay. The Company also received subsidies from the Hong Kong government primarily provided to help offset the cost of retaining employees. During 2022 and 2021, the Company recognized immaterial government assistance in connection with payments received for these programs.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there was no authoritative guidance under U.S. GAAP on accounting for government assistance provided to for-profit business entities, the Company accounted for government assistance by analogy to International Accounting Standards 20, Accounting for Government Grants and Disclosure of Government Assistance. The Company recognized assistance under each program when it met the program terms for assistance and receipt of assistance was reasonably assured. Government assistance is generally recorded as a deduction to the related expenses or losses that the grants are intended to compensate.</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periods presented, the Company did not receive any Paycheck Protection Program loans, a program under the CARES Act providing loans to assist entities with paying their payroll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categories  of  revenue  included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(Loss)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4,352,695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4,061,093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3,144,636</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Franchise revenues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49,687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45,520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21,195</w:t>
            </w:r>
          </w:p>
        </w:tc>
        <w:tc>
          <w:tcPr>
            <w:tcW w:w="0" w:type="dxa"/>
            <w:vAlign w:val="bottom"/>
          </w:tcPr>
          <w:p>
            <w:pPr>
              <w:spacing w:after="0"/>
              <w:rPr>
                <w:sz w:val="1"/>
                <w:szCs w:val="1"/>
                <w:color w:val="auto"/>
              </w:rPr>
            </w:pPr>
          </w:p>
        </w:tc>
      </w:tr>
      <w:tr>
        <w:trPr>
          <w:trHeight w:val="226"/>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revenues (1)</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Franchise and other revenues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25,925</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4,416,508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4,122,385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6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2021, includes a $3.1 million benefit from the recognition of recoverable Program of Social Integration (“PIS”) and Contribution for the Financing of Social Security (“COFINS”) taxes within other revenues in connection with favorable court rulings in Brazil regarding the calculation methodology and taxable base. The amount recognized primarily represents refundable PIS and COFINS taxes for prior years, including accrued interest.</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revenues, by restaurant concept and major international market for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8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2,240,432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31,418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2,175,909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29,725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1,760,071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676,467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559,583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544,068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3,714,848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2,869,547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 - Brazil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9,642</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489,679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275,089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0" w:type="dxa"/>
            <w:vAlign w:val="bottom"/>
          </w:tcPr>
          <w:p>
            <w:pPr>
              <w:spacing w:after="0"/>
              <w:rPr>
                <w:sz w:val="1"/>
                <w:szCs w:val="1"/>
                <w:color w:val="auto"/>
              </w:rPr>
            </w:pPr>
          </w:p>
        </w:tc>
      </w:tr>
      <w:tr>
        <w:trPr>
          <w:trHeight w:val="216"/>
        </w:trPr>
        <w:tc>
          <w:tcPr>
            <w:tcW w:w="3140" w:type="dxa"/>
            <w:vAlign w:val="bottom"/>
          </w:tcPr>
          <w:p>
            <w:pPr>
              <w:ind w:left="4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4,352,695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49,687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4,061,093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3,144,636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2" w:lineRule="exact"/>
        <w:rPr>
          <w:sz w:val="20"/>
          <w:szCs w:val="20"/>
          <w:color w:val="auto"/>
        </w:rPr>
      </w:pPr>
    </w:p>
    <w:p>
      <w:pPr>
        <w:ind w:left="660" w:right="20" w:hanging="652"/>
        <w:spacing w:after="0" w:line="270"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Restaurant sales for the Company-owned Outback Steakhouse restaurants outside of Brazil and Abbraccio restaurants in Brazil. Franchise revenues primarily include revenues from franchised Outback Steakhouse restaurants.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6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26, 2021</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gift card sales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17,755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17,793</w:t>
            </w:r>
          </w:p>
        </w:tc>
      </w:tr>
      <w:tr>
        <w:trPr>
          <w:trHeight w:val="259"/>
        </w:trPr>
        <w:tc>
          <w:tcPr>
            <w:tcW w:w="7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gift card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387,945</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loyalty revenue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9,386</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franchise fees - current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r>
      <w:tr>
        <w:trPr>
          <w:trHeight w:val="241"/>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Unearned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Arial" w:cs="Arial" w:eastAsia="Arial" w:hAnsi="Arial"/>
                <w:sz w:val="16"/>
                <w:szCs w:val="16"/>
                <w:color w:val="auto"/>
              </w:rPr>
              <w:t>Deferred franchise fees - non-current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4,126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4,280</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ectPr>
          <w:pgSz w:w="11900" w:h="16838" w:orient="portrait"/>
          <w:cols w:equalWidth="0" w:num="1">
            <w:col w:w="11240"/>
          </w:cols>
          <w:pgMar w:left="320" w:top="121" w:right="339" w:bottom="1440" w:gutter="0" w:footer="0" w:header="0"/>
        </w:sect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thousands)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beginning of the period</w:t>
      </w:r>
    </w:p>
    <w:p>
      <w:pPr>
        <w:spacing w:after="0" w:line="32" w:lineRule="exact"/>
        <w:rPr>
          <w:sz w:val="20"/>
          <w:szCs w:val="20"/>
          <w:color w:val="auto"/>
        </w:rPr>
      </w:pPr>
    </w:p>
    <w:p>
      <w:pPr>
        <w:jc w:val="both"/>
        <w:ind w:left="180" w:right="2220" w:hanging="12"/>
        <w:spacing w:after="0" w:line="305" w:lineRule="auto"/>
        <w:rPr>
          <w:sz w:val="20"/>
          <w:szCs w:val="20"/>
          <w:color w:val="auto"/>
        </w:rPr>
      </w:pPr>
      <w:r>
        <w:rPr>
          <w:rFonts w:ascii="Arial" w:cs="Arial" w:eastAsia="Arial" w:hAnsi="Arial"/>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end of the period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0"/>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17,793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18,554</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(20,927)</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22,923</w:t>
            </w:r>
          </w:p>
        </w:tc>
      </w:tr>
      <w:tr>
        <w:trPr>
          <w:trHeight w:val="22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r>
      <w:tr>
        <w:trPr>
          <w:trHeight w:val="213"/>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19,300</w:t>
            </w:r>
          </w:p>
        </w:tc>
      </w:tr>
      <w:tr>
        <w:trPr>
          <w:trHeight w:val="2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-745490</wp:posOffset>
            </wp:positionV>
            <wp:extent cx="709803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-462280</wp:posOffset>
            </wp:positionV>
            <wp:extent cx="709803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-179705</wp:posOffset>
            </wp:positionV>
            <wp:extent cx="709803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21"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373,048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358,757</w:t>
            </w:r>
          </w:p>
        </w:tc>
        <w:tc>
          <w:tcPr>
            <w:tcW w:w="0" w:type="dxa"/>
            <w:vAlign w:val="bottom"/>
          </w:tcPr>
          <w:p>
            <w:pPr>
              <w:spacing w:after="0"/>
              <w:rPr>
                <w:sz w:val="1"/>
                <w:szCs w:val="1"/>
                <w:color w:val="auto"/>
              </w:rPr>
            </w:pP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Gift card sales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326,603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330,841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306,016</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(277,675)</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Gift card breakage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387,945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373,048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i w:val="1"/>
          <w:iCs w:val="1"/>
          <w:color w:val="auto"/>
        </w:rPr>
        <w:t xml:space="preserve">Franchisee Deferred Payment Agreement </w:t>
      </w:r>
      <w:r>
        <w:rPr>
          <w:rFonts w:ascii="Arial" w:cs="Arial" w:eastAsia="Arial" w:hAnsi="Arial"/>
          <w:sz w:val="19"/>
          <w:szCs w:val="19"/>
          <w:color w:val="auto"/>
        </w:rPr>
        <w:t>- On December 27, 2020, the Company entered into an agreement (the “Resolution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with Cerca Trova Southwest Restaurant Group, LLC (d/b/a Out West Restaurant Group) and certain of its affiliates (collectively, “Out West”), who currently franchises 79 Outback Steakhouse restaurants in the western United States, primarily in California. The Resolution Agreement ends on December 31, 2023 or upon the earlier occurrence of certain specified events, including the sale of all or substantially all of the assets or equity of Out West, bankruptcy or a liquidation event (“Qualifying Event”) (the “Forbearance Period”). Prior to the Resolution Agreement, Out West was in default of its franchise agreements for nonpayment of certain amounts due, and simultaneously in default of its credit agreement with its lenders primarily due to the significant impact of the COVID-19 pandemic. Under the terms of the Resolution Agreement, the Company agreed to:</w:t>
      </w:r>
    </w:p>
    <w:p>
      <w:pPr>
        <w:spacing w:after="0" w:line="216"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20"/>
          <w:szCs w:val="20"/>
          <w:i w:val="1"/>
          <w:iCs w:val="1"/>
          <w:color w:val="auto"/>
        </w:rPr>
      </w:pPr>
      <w:r>
        <w:rPr>
          <w:rFonts w:ascii="Arial" w:cs="Arial" w:eastAsia="Arial" w:hAnsi="Arial"/>
          <w:sz w:val="20"/>
          <w:szCs w:val="20"/>
          <w:color w:val="auto"/>
        </w:rPr>
        <w:t>not call upon any previous default under the existing franchise agreements during the Forbearance Period;</w:t>
      </w:r>
    </w:p>
    <w:p>
      <w:pPr>
        <w:spacing w:after="0" w:line="15" w:lineRule="exact"/>
        <w:rPr>
          <w:rFonts w:ascii="Arial" w:cs="Arial" w:eastAsia="Arial" w:hAnsi="Arial"/>
          <w:sz w:val="20"/>
          <w:szCs w:val="20"/>
          <w:i w:val="1"/>
          <w:iCs w:val="1"/>
          <w:color w:val="auto"/>
        </w:rPr>
      </w:pPr>
    </w:p>
    <w:p>
      <w:pPr>
        <w:ind w:left="640" w:hanging="308"/>
        <w:spacing w:after="0"/>
        <w:tabs>
          <w:tab w:leader="none" w:pos="640" w:val="left"/>
        </w:tabs>
        <w:numPr>
          <w:ilvl w:val="0"/>
          <w:numId w:val="51"/>
        </w:numPr>
        <w:rPr>
          <w:rFonts w:ascii="Arial" w:cs="Arial" w:eastAsia="Arial" w:hAnsi="Arial"/>
          <w:sz w:val="20"/>
          <w:szCs w:val="20"/>
          <w:i w:val="1"/>
          <w:iCs w:val="1"/>
          <w:color w:val="auto"/>
        </w:rPr>
      </w:pPr>
      <w:r>
        <w:rPr>
          <w:rFonts w:ascii="Arial" w:cs="Arial" w:eastAsia="Arial" w:hAnsi="Arial"/>
          <w:sz w:val="20"/>
          <w:szCs w:val="20"/>
          <w:color w:val="auto"/>
        </w:rPr>
        <w:t>reduce future advertising fees to 2.25% of gross sales during the Forbearance Period;</w:t>
      </w:r>
    </w:p>
    <w:p>
      <w:pPr>
        <w:spacing w:after="0" w:line="4" w:lineRule="exact"/>
        <w:rPr>
          <w:rFonts w:ascii="Arial" w:cs="Arial" w:eastAsia="Arial" w:hAnsi="Arial"/>
          <w:sz w:val="20"/>
          <w:szCs w:val="20"/>
          <w:i w:val="1"/>
          <w:iCs w:val="1"/>
          <w:color w:val="auto"/>
        </w:rPr>
      </w:pPr>
    </w:p>
    <w:p>
      <w:pPr>
        <w:ind w:left="640" w:hanging="308"/>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permanently waive unpaid royalty and advertising fees for the period of February 24, 2020 to July 26, 2020;</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allow for closure of four restaurants and certain sublease modifications (the “Property Concessions”);</w:t>
      </w:r>
    </w:p>
    <w:p>
      <w:pPr>
        <w:spacing w:after="0" w:line="8"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51"/>
        </w:numPr>
        <w:rPr>
          <w:rFonts w:ascii="Arial" w:cs="Arial" w:eastAsia="Arial" w:hAnsi="Arial"/>
          <w:sz w:val="20"/>
          <w:szCs w:val="20"/>
          <w:i w:val="1"/>
          <w:iCs w:val="1"/>
          <w:color w:val="auto"/>
        </w:rPr>
      </w:pPr>
      <w:r>
        <w:rPr>
          <w:rFonts w:ascii="Arial" w:cs="Arial" w:eastAsia="Arial" w:hAnsi="Arial"/>
          <w:sz w:val="20"/>
          <w:szCs w:val="20"/>
          <w:color w:val="auto"/>
        </w:rPr>
        <w:t>allow for closure of up to ten additional restaurants during the first 12 months of the Resolution Agreement, without imposition of any penalties or accelerated royalties;</w:t>
      </w:r>
    </w:p>
    <w:p>
      <w:pPr>
        <w:spacing w:after="0" w:line="1" w:lineRule="exact"/>
        <w:rPr>
          <w:rFonts w:ascii="Arial" w:cs="Arial" w:eastAsia="Arial" w:hAnsi="Arial"/>
          <w:sz w:val="20"/>
          <w:szCs w:val="20"/>
          <w:i w:val="1"/>
          <w:iCs w:val="1"/>
          <w:color w:val="auto"/>
        </w:rPr>
      </w:pPr>
    </w:p>
    <w:p>
      <w:pPr>
        <w:jc w:val="both"/>
        <w:ind w:left="660" w:hanging="328"/>
        <w:spacing w:after="0" w:line="26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defer all non-waived past due royalties and advertising fees through November 22, 2020, and for certain permitted restaurant closings in connection with the Property Concessions, defer accelerated rent and royalties that otherwise would have been due under the terms and conditions of the respective franchise agreements and leases or subleases (the “Initial Deferred Balance”); and</w:t>
      </w:r>
    </w:p>
    <w:p>
      <w:pPr>
        <w:ind w:left="660" w:hanging="328"/>
        <w:spacing w:after="0" w:line="258"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20"/>
          <w:szCs w:val="20"/>
          <w:color w:val="auto"/>
        </w:rPr>
        <w:t>defer all past due rents through December 27, 2020 on subleased properties totaling $3.6 million until April 2021 when the balance will be repaid over an 18-month period.</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connection with the Property Concessions, the Company recognized $4.7 million of lease right-of-use asset impairment during the thirteen weeks ended December 27, 2020, within the U.S. segment.</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Out West also entered into a Forbearance Agreement and Second Amendment to Credit and Guaranty Agreement (“Forbearance Agreement”) with its lenders that, in conjunction with the Resolution Agreement, provides, among other things, for a pre-determined calculation of available monthly cash (“Available Cash”) that Out West may use to settle its obligations due to the Company and its lenders. Available Cash is calculated net of operating expenses, including local marketing expenditures required under the Resolution Agreement. Under the Resolution Agreement, if Out West is unable to satisfy monthly royalty or advertising fees with Available Cash, such amounts will automatically increase the Initial Deferred Balance.</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At the time of the Resolution Agreement, no amounts previously waived or reflected in the Initial Deferred Balance had been recorded as a receivable or revenue, with the exception of a $3.1 million receivable balance that had been previously fully reserved. Collections of the Initial Deferred Balance, and any future amounts due under the Resolution Agreement or the Company’s franchise agreements after November 22, 2020, will be recognized if collectability is reasonably assured which is typically upon receipt of cash. Since the execution of the Resolution Agreement, all current royalties and obligated amounts were collected, with the exception of $3.0 million of royalties during the thirteen weeks ended December 25, 2022 which were in excess of Out West’s calculation of Available Cash under the Forbearance Agreement. The Company recorded an allowance for expected credit losses against a portion of these uncollected amounts during the thirteen weeks ended December 25, 2022. See Note 20 - </w:t>
      </w:r>
      <w:r>
        <w:rPr>
          <w:rFonts w:ascii="Arial" w:cs="Arial" w:eastAsia="Arial" w:hAnsi="Arial"/>
          <w:sz w:val="18"/>
          <w:szCs w:val="18"/>
          <w:i w:val="1"/>
          <w:iCs w:val="1"/>
          <w:color w:val="auto"/>
        </w:rPr>
        <w:t>Allowance for Expected Credit Losses</w:t>
      </w:r>
      <w:r>
        <w:rPr>
          <w:rFonts w:ascii="Arial" w:cs="Arial" w:eastAsia="Arial" w:hAnsi="Arial"/>
          <w:sz w:val="18"/>
          <w:szCs w:val="18"/>
          <w:color w:val="auto"/>
        </w:rPr>
        <w:t xml:space="preserve"> for additional details.</w:t>
      </w:r>
    </w:p>
    <w:p>
      <w:pPr>
        <w:spacing w:after="0" w:line="18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entire deferred balance will become collectible upon any Qualifying Event. If the Qualifying Event is the sale of all or substantially all of the assets or equity of Out West, the sale proceeds will be applied, between the Company and Out West’s lenders, in accordance with the payment priority established in the Resolution Agreement and Forbearance Agreement; if the sales proceeds are insufficient to satisfy the deferred balance due to the Company, then the Company agreed to permanently waive any remaining deferred balance due to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Impairments and Exit Costs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losses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220"/>
              <w:spacing w:after="0"/>
              <w:rPr>
                <w:sz w:val="20"/>
                <w:szCs w:val="20"/>
                <w:color w:val="auto"/>
              </w:rPr>
            </w:pPr>
            <w:r>
              <w:rPr>
                <w:rFonts w:ascii="Arial" w:cs="Arial" w:eastAsia="Arial" w:hAnsi="Arial"/>
                <w:sz w:val="16"/>
                <w:szCs w:val="16"/>
                <w:color w:val="auto"/>
              </w:rPr>
              <w:t>U.S.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3,942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11,945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65,129</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 (1)(2)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 (3)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6,226</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impairment losses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74,823</w:t>
            </w:r>
          </w:p>
        </w:tc>
        <w:tc>
          <w:tcPr>
            <w:tcW w:w="0" w:type="dxa"/>
            <w:vAlign w:val="bottom"/>
          </w:tcPr>
          <w:p>
            <w:pPr>
              <w:spacing w:after="0"/>
              <w:rPr>
                <w:sz w:val="1"/>
                <w:szCs w:val="1"/>
                <w:color w:val="auto"/>
              </w:rPr>
            </w:pPr>
          </w:p>
        </w:tc>
      </w:tr>
      <w:tr>
        <w:trPr>
          <w:trHeight w:val="186"/>
        </w:trPr>
        <w:tc>
          <w:tcPr>
            <w:tcW w:w="6420" w:type="dxa"/>
            <w:vAlign w:val="bottom"/>
          </w:tcPr>
          <w:p>
            <w:pPr>
              <w:ind w:left="20"/>
              <w:spacing w:after="0"/>
              <w:rPr>
                <w:sz w:val="20"/>
                <w:szCs w:val="20"/>
                <w:color w:val="auto"/>
              </w:rPr>
            </w:pPr>
            <w:r>
              <w:rPr>
                <w:rFonts w:ascii="Arial" w:cs="Arial" w:eastAsia="Arial" w:hAnsi="Arial"/>
                <w:sz w:val="16"/>
                <w:szCs w:val="16"/>
                <w:color w:val="auto"/>
              </w:rPr>
              <w:t>Restaurant closure charges (benefits)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23"/>
        </w:trPr>
        <w:tc>
          <w:tcPr>
            <w:tcW w:w="6420" w:type="dxa"/>
            <w:vAlign w:val="bottom"/>
          </w:tcPr>
          <w:p>
            <w:pPr>
              <w:ind w:left="220"/>
              <w:spacing w:after="0"/>
              <w:rPr>
                <w:sz w:val="20"/>
                <w:szCs w:val="20"/>
                <w:color w:val="auto"/>
              </w:rPr>
            </w:pPr>
            <w:r>
              <w:rPr>
                <w:rFonts w:ascii="Arial" w:cs="Arial" w:eastAsia="Arial" w:hAnsi="Arial"/>
                <w:sz w:val="16"/>
                <w:szCs w:val="16"/>
                <w:color w:val="auto"/>
              </w:rPr>
              <w:t>International (1)</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restaurant closure charges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13,737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76,354</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jc w:val="both"/>
        <w:ind w:left="660" w:hanging="652"/>
        <w:spacing w:after="0" w:line="25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U.S. and international impairment and closure charges during 2020 primarily relate to the COVID-19 pandemic, including charges related to the COVID-19 Restructuring discussed below and the Out West Resolution Agreement. See Note 3 - </w:t>
      </w:r>
      <w:r>
        <w:rPr>
          <w:rFonts w:ascii="Arial" w:cs="Arial" w:eastAsia="Arial" w:hAnsi="Arial"/>
          <w:sz w:val="16"/>
          <w:szCs w:val="16"/>
          <w:i w:val="1"/>
          <w:iCs w:val="1"/>
          <w:color w:val="auto"/>
        </w:rPr>
        <w:t>COVID-19</w:t>
      </w:r>
      <w:r>
        <w:rPr>
          <w:rFonts w:ascii="Arial" w:cs="Arial" w:eastAsia="Arial" w:hAnsi="Arial"/>
          <w:sz w:val="16"/>
          <w:szCs w:val="16"/>
          <w:color w:val="auto"/>
        </w:rPr>
        <w:t xml:space="preserve"> for details regarding the impact of the COVID-19 pandemic on the Company’s financial results.</w:t>
      </w:r>
    </w:p>
    <w:p>
      <w:pPr>
        <w:ind w:left="660" w:hanging="652"/>
        <w:spacing w:after="0" w:line="248"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Includes goodwill impairment charges of $2.0 million during 2020. See Note 10 -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Corporate impairment charges during 2020 primarily relate to transformational initiatives.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COVID-19 Restructuring </w:t>
      </w:r>
      <w:r>
        <w:rPr>
          <w:rFonts w:ascii="Arial" w:cs="Arial" w:eastAsia="Arial" w:hAnsi="Arial"/>
          <w:sz w:val="20"/>
          <w:szCs w:val="20"/>
          <w:color w:val="auto"/>
        </w:rPr>
        <w:t>- During 2020, the Company recognized pre-tax asset impairments and closure charges in connection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of 22 U.S. restaurants and from the update of certain cash flow assumptions, including lease renewal considerations (the “COVID-19 Restructuring”). Following is a summary of the COVID-19 Restructuring charges recognized in the Consolidated Statements of Operations and Comprehensive Income (Loss) for the period indicated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CONSOLIDATED STATEMENTS OF OPERATIONS AND</w:t>
            </w:r>
          </w:p>
        </w:tc>
        <w:tc>
          <w:tcPr>
            <w:tcW w:w="240" w:type="dxa"/>
            <w:vAlign w:val="bottom"/>
          </w:tcPr>
          <w:p>
            <w:pPr>
              <w:spacing w:after="0"/>
              <w:rPr>
                <w:sz w:val="16"/>
                <w:szCs w:val="16"/>
                <w:color w:val="auto"/>
              </w:rPr>
            </w:pPr>
          </w:p>
        </w:tc>
        <w:tc>
          <w:tcPr>
            <w:tcW w:w="1480" w:type="dxa"/>
            <w:vAlign w:val="bottom"/>
          </w:tcPr>
          <w:p>
            <w:pPr>
              <w:jc w:val="right"/>
              <w:ind w:right="30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66"/>
        </w:trPr>
        <w:tc>
          <w:tcPr>
            <w:tcW w:w="470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5"/>
                <w:szCs w:val="5"/>
                <w:color w:val="auto"/>
              </w:rPr>
            </w:pPr>
          </w:p>
        </w:tc>
        <w:tc>
          <w:tcPr>
            <w:tcW w:w="47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COMPREHENSIVE INCOME (LOSS) CLASSIFICATION</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impairments</w:t>
            </w:r>
          </w:p>
        </w:tc>
        <w:tc>
          <w:tcPr>
            <w:tcW w:w="1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18,766</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Lease right-of-use asset impairments and closure charges</w:t>
            </w:r>
          </w:p>
        </w:tc>
        <w:tc>
          <w:tcPr>
            <w:tcW w:w="1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2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other expenses</w:t>
            </w:r>
          </w:p>
        </w:tc>
        <w:tc>
          <w:tcPr>
            <w:tcW w:w="100" w:type="dxa"/>
            <w:vAlign w:val="bottom"/>
            <w:tcBorders>
              <w:bottom w:val="single" w:sz="8" w:color="CCEEFF"/>
            </w:tcBorders>
            <w:shd w:val="clear" w:color="auto" w:fill="CCEEFF"/>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24,866</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remaining impairment and closure charges during the periods presented resulted primarily from locations identified for closure or relocation.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is a rollforward of the Company’s closed facility lease liabilities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accrued costs associated with the closure and restructuring initiatives for the period indicated:</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beginning of the period</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payments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Accretion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end of the period (1)</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400" w:type="dxa"/>
            <w:vAlign w:val="bottom"/>
          </w:tcPr>
          <w:p>
            <w:pPr>
              <w:jc w:val="right"/>
              <w:ind w:right="902"/>
              <w:spacing w:after="0"/>
              <w:rPr>
                <w:sz w:val="20"/>
                <w:szCs w:val="20"/>
                <w:color w:val="auto"/>
              </w:rPr>
            </w:pPr>
            <w:r>
              <w:rPr>
                <w:rFonts w:ascii="Arial" w:cs="Arial" w:eastAsia="Arial" w:hAnsi="Arial"/>
                <w:sz w:val="14"/>
                <w:szCs w:val="14"/>
                <w:b w:val="1"/>
                <w:bCs w:val="1"/>
                <w:color w:val="auto"/>
              </w:rPr>
              <w:t>FISCAL YEAR</w:t>
            </w:r>
          </w:p>
        </w:tc>
      </w:tr>
      <w:tr>
        <w:trPr>
          <w:trHeight w:val="203"/>
        </w:trPr>
        <w:tc>
          <w:tcPr>
            <w:tcW w:w="540" w:type="dxa"/>
            <w:vAlign w:val="bottom"/>
          </w:tcPr>
          <w:p>
            <w:pPr>
              <w:spacing w:after="0"/>
              <w:rPr>
                <w:sz w:val="17"/>
                <w:szCs w:val="17"/>
                <w:color w:val="auto"/>
              </w:rPr>
            </w:pPr>
          </w:p>
        </w:tc>
        <w:tc>
          <w:tcPr>
            <w:tcW w:w="2400" w:type="dxa"/>
            <w:vAlign w:val="bottom"/>
          </w:tcPr>
          <w:p>
            <w:pPr>
              <w:jc w:val="right"/>
              <w:ind w:right="1242"/>
              <w:spacing w:after="0"/>
              <w:rPr>
                <w:sz w:val="20"/>
                <w:szCs w:val="20"/>
                <w:color w:val="auto"/>
              </w:rPr>
            </w:pPr>
            <w:r>
              <w:rPr>
                <w:rFonts w:ascii="Arial" w:cs="Arial" w:eastAsia="Arial" w:hAnsi="Arial"/>
                <w:sz w:val="14"/>
                <w:szCs w:val="14"/>
                <w:b w:val="1"/>
                <w:bCs w:val="1"/>
                <w:color w:val="auto"/>
              </w:rPr>
              <w:t>2022</w:t>
            </w:r>
          </w:p>
        </w:tc>
      </w:tr>
      <w:tr>
        <w:trPr>
          <w:trHeight w:val="33"/>
        </w:trPr>
        <w:tc>
          <w:tcPr>
            <w:tcW w:w="5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8,485</w:t>
            </w:r>
          </w:p>
        </w:tc>
      </w:tr>
      <w:tr>
        <w:trPr>
          <w:trHeight w:val="216"/>
        </w:trPr>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(3,296)</w:t>
            </w:r>
          </w:p>
        </w:tc>
      </w:tr>
      <w:tr>
        <w:trPr>
          <w:trHeight w:val="216"/>
        </w:trPr>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29"/>
        </w:trPr>
        <w:tc>
          <w:tcPr>
            <w:tcW w:w="5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5,476</w:t>
            </w:r>
          </w:p>
        </w:tc>
      </w:tr>
      <w:tr>
        <w:trPr>
          <w:trHeight w:val="23"/>
        </w:trPr>
        <w:tc>
          <w:tcPr>
            <w:tcW w:w="5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-745490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-462280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-179705</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December 25, 2022, the Company had exit-related accruals related to certain closure and restructuring initiatives of $1.3 million recorded in Accrued and other current liabilities and $4.2 million recorded in Non-current operating lease liabilities on its Consolidated Balance Sheet.</w:t>
      </w:r>
    </w:p>
    <w:p>
      <w:pPr>
        <w:spacing w:after="0" w:line="219"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Earnings (Loss) Per Share</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dilutive effect of the 2025 Notes is calculated using the if-converted method. To the extent the Company has the ability to settle its 2025 Notes in shares of its common stock, the principal and conversion spread on the 2025 Notes will have a dilutive impact on diluted earnings per share when the average market price of the Company’s common stock for a given period exceeds the conversion price, which was initially $11.89 per share of common stock. In February 2021, the Company provided the trustee of its 2025 Notes notice of the Company’s irrevocable election to settle the principal portion of the 2025 Notes in cash and any excess in shares. As a result, subsequent to the election, only the amounts in excess of the principal amount are considered in diluted earnings per share under the if-converted method.</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In connection with the offering of the 2025 Notes, the Company entered into the Convertible Note Hedge Transactions and Warrant Transactions described in Note 14 -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However, the Convertible Note Hedge Transactions are not considered when calculating dilutive shares given their anti-dilutive impact as an offset to dilution of shares underlying the 2025 Notes. The Warrant Transactions have a dilutive effect on the Company’s common stock to the extent the price of its common stock exceeds the strike price of the Warrant Transactions, which was initially $16.64. See Note 14 -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for additional information regarding the 2025 Notes, Convertible Note Hedge Transactions and Warrant Transactions.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following table presents the computation of basic and diluted earnings (loss) per share attributable to common stockholders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Redemption of preferred stock in excess of carrying value (1)</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Arial" w:cs="Arial" w:eastAsia="Arial" w:hAnsi="Arial"/>
                <w:sz w:val="16"/>
                <w:szCs w:val="16"/>
                <w:color w:val="auto"/>
              </w:rPr>
              <w:t>Convertible senior notes if-converted method interest adjustment, net of tax (2)</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attributable to common stockholders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0" w:type="dxa"/>
            <w:vAlign w:val="bottom"/>
          </w:tcPr>
          <w:p>
            <w:pPr>
              <w:spacing w:after="0"/>
              <w:rPr>
                <w:sz w:val="1"/>
                <w:szCs w:val="1"/>
                <w:color w:val="auto"/>
              </w:rPr>
            </w:pPr>
          </w:p>
        </w:tc>
      </w:tr>
      <w:tr>
        <w:trPr>
          <w:trHeight w:val="257"/>
        </w:trPr>
        <w:tc>
          <w:tcPr>
            <w:tcW w:w="6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Nonvested restricted stock units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Nonvested performance-based share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senior notes (2)(3)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Warrants (3)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Diluted earnings (loss) per share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65" w:lineRule="auto"/>
        <w:tabs>
          <w:tab w:leader="none" w:pos="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Consideration paid in excess of carrying value for the redemption of its Abbraccio preferred stock is considered a deemed dividend and, for purposes of calculating earnings (loss) per share, reduces net income attributable to common stockholders. See Note 16 - </w:t>
      </w:r>
      <w:r>
        <w:rPr>
          <w:rFonts w:ascii="Arial" w:cs="Arial" w:eastAsia="Arial" w:hAnsi="Arial"/>
          <w:sz w:val="15"/>
          <w:szCs w:val="15"/>
          <w:i w:val="1"/>
          <w:iCs w:val="1"/>
          <w:color w:val="auto"/>
        </w:rPr>
        <w:t>Stockholders’ Equity</w:t>
      </w:r>
      <w:r>
        <w:rPr>
          <w:rFonts w:ascii="Arial" w:cs="Arial" w:eastAsia="Arial" w:hAnsi="Arial"/>
          <w:sz w:val="15"/>
          <w:szCs w:val="15"/>
          <w:color w:val="auto"/>
        </w:rPr>
        <w:t xml:space="preserve"> for additional details.</w:t>
      </w:r>
    </w:p>
    <w:p>
      <w:pPr>
        <w:jc w:val="both"/>
        <w:ind w:left="660" w:hanging="652"/>
        <w:spacing w:after="0" w:line="25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Adjustment for interest related to the 2025 Notes weighted for the portion of the period prior to the Company’s election under the 2025 Notes indenture to settle the principal portion of the 2025 Notes in cash. Effective with the Company’s election, there will be no further numerator adjustments for interest or denominator adjustments for shares required to settle the principal portion.</w:t>
      </w:r>
    </w:p>
    <w:p>
      <w:pPr>
        <w:jc w:val="both"/>
        <w:ind w:left="660" w:right="20" w:hanging="652"/>
        <w:spacing w:after="0" w:line="26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During 2022, the Company repurchased $125.0 million of the 2025 Notes and retired the corresponding portion of the related warrants. See Note 14 - </w:t>
      </w:r>
      <w:r>
        <w:rPr>
          <w:rFonts w:ascii="Arial" w:cs="Arial" w:eastAsia="Arial" w:hAnsi="Arial"/>
          <w:sz w:val="16"/>
          <w:szCs w:val="16"/>
          <w:i w:val="1"/>
          <w:iCs w:val="1"/>
          <w:color w:val="auto"/>
        </w:rPr>
        <w:t>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for additional details. Due to the Company’s net loss during 2020, dilutive excess shares, if applicable, and warrants were excluded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computation of diluted loss per share as their effect would be antidilutive.</w:t>
      </w:r>
    </w:p>
    <w:p>
      <w:pPr>
        <w:spacing w:after="0" w:line="199" w:lineRule="exact"/>
        <w:rPr>
          <w:sz w:val="20"/>
          <w:szCs w:val="20"/>
          <w:color w:val="auto"/>
        </w:rPr>
      </w:pPr>
    </w:p>
    <w:p>
      <w:pPr>
        <w:ind w:right="20"/>
        <w:spacing w:after="0" w:line="301" w:lineRule="auto"/>
        <w:rPr>
          <w:sz w:val="20"/>
          <w:szCs w:val="20"/>
          <w:color w:val="auto"/>
        </w:rPr>
      </w:pPr>
      <w:r>
        <w:rPr>
          <w:rFonts w:ascii="Arial" w:cs="Arial" w:eastAsia="Arial" w:hAnsi="Arial"/>
          <w:sz w:val="19"/>
          <w:szCs w:val="19"/>
          <w:color w:val="auto"/>
        </w:rPr>
        <w:t>Share-based compensation-related weighted average securities outstanding not included in the computation of net earnings (loss) per share attributable to common stockholders because their effect was antidilutive were as follows for the periods indicated: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Nonvested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performance-based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left="700" w:hanging="692"/>
        <w:spacing w:after="0"/>
        <w:tabs>
          <w:tab w:leader="none" w:pos="7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Stock-based and Deferred Compensation Plans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Plans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share units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8,184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8,559</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24,291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60" w:lineRule="auto"/>
        <w:tabs>
          <w:tab w:leader="none" w:pos="660" w:val="left"/>
        </w:tabs>
        <w:numPr>
          <w:ilvl w:val="0"/>
          <w:numId w:val="58"/>
        </w:numPr>
        <w:rPr>
          <w:rFonts w:ascii="Arial" w:cs="Arial" w:eastAsia="Arial" w:hAnsi="Arial"/>
          <w:sz w:val="16"/>
          <w:szCs w:val="16"/>
          <w:color w:val="252525"/>
        </w:rPr>
      </w:pPr>
      <w:r>
        <w:rPr>
          <w:rFonts w:ascii="Arial" w:cs="Arial" w:eastAsia="Arial" w:hAnsi="Arial"/>
          <w:sz w:val="16"/>
          <w:szCs w:val="16"/>
          <w:color w:val="auto"/>
        </w:rPr>
        <w:t>For 2022, includes a cumulative life-to-date adjustment to decrease expense for PSUs granted in fiscal year 2020 based on Company performance against criteria set forth in the award agreements. For 2021, includes a cumulative life-to-date adjustment to increase expense for PSUs granted in fiscal years 2019, 2020 and 2021 based on Company performance against criteria set forth in the award agreements.</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i w:val="1"/>
          <w:iCs w:val="1"/>
          <w:color w:val="auto"/>
        </w:rPr>
        <w:t xml:space="preserve">Performance-based Share Units </w:t>
      </w:r>
      <w:r>
        <w:rPr>
          <w:rFonts w:ascii="Arial" w:cs="Arial" w:eastAsia="Arial" w:hAnsi="Arial"/>
          <w:sz w:val="18"/>
          <w:szCs w:val="18"/>
          <w:color w:val="auto"/>
        </w:rPr>
        <w:t>- The number of PSUs that vest is determined for each year based on the achievement of certain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as set forth in the award agreement and may range from zero to 200% of the annual target grant. The PSUs are settled in shares of common stock, with holders receiving one share of common stock for each performance-based share unit that vests. Compensation expense for PSUs is recognized over the vesting period when it is probable the performance criteria will be achieved.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PSU activity: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15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PERFORMANCE-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13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unit data)</w:t>
            </w: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FAIR VALUE PER</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BASED SHARE UNITS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UNIT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INTRINSIC VALUE (1)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26,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 Adjustment (2)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tcPr>
          <w:p>
            <w:pPr>
              <w:jc w:val="right"/>
              <w:spacing w:after="0"/>
              <w:rPr>
                <w:sz w:val="20"/>
                <w:szCs w:val="20"/>
                <w:color w:val="auto"/>
              </w:rPr>
            </w:pPr>
            <w:r>
              <w:rPr>
                <w:rFonts w:ascii="Arial" w:cs="Arial" w:eastAsia="Arial" w:hAnsi="Arial"/>
                <w:sz w:val="16"/>
                <w:szCs w:val="16"/>
                <w:color w:val="auto"/>
              </w:rPr>
              <w:t>(338)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23.30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Outstanding as of December 25,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18,323</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to vest as of December 25,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26,715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4"/>
          <w:szCs w:val="14"/>
          <w:color w:val="252525"/>
        </w:rPr>
      </w:pPr>
      <w:r>
        <w:rPr>
          <w:rFonts w:ascii="Arial" w:cs="Arial" w:eastAsia="Arial" w:hAnsi="Arial"/>
          <w:sz w:val="14"/>
          <w:szCs w:val="14"/>
          <w:color w:val="auto"/>
        </w:rPr>
        <w:t>Based on the $20.95 and $20.96 share price of the Company’s common stock on December 23, 2021 and 2022, the last trading day of 2022 and 2021, respectively.</w:t>
      </w:r>
    </w:p>
    <w:p>
      <w:pPr>
        <w:spacing w:after="0" w:line="31" w:lineRule="exact"/>
        <w:rPr>
          <w:rFonts w:ascii="Arial" w:cs="Arial" w:eastAsia="Arial" w:hAnsi="Arial"/>
          <w:sz w:val="14"/>
          <w:szCs w:val="14"/>
          <w:color w:val="252525"/>
        </w:rPr>
      </w:pPr>
    </w:p>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adjustment to 200% payout for PSUs granted during 2019.</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Prior to 2021, the fair value of PSUs was based on the closing price of the Company’s common stock on the grant date. During 2022 and 2021, the Company granted PSUs subject to final payout modification by a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 The Monte Carlo simulation model utilizes multiple input variables to estimate the probability that the market conditions will be achieved and is applied to the closing price of the Company’s common stock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337"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Assumptions used in the Monte Carlo simulation model and the grant date fair value of PSUs granted were as follows for the periods indicated:</w:t>
      </w:r>
    </w:p>
    <w:p>
      <w:pPr>
        <w:spacing w:after="0" w:line="3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20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2021</w:t>
            </w:r>
          </w:p>
        </w:tc>
      </w:tr>
      <w:tr>
        <w:trPr>
          <w:trHeight w:val="19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1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3"/>
        </w:trPr>
        <w:tc>
          <w:tcPr>
            <w:tcW w:w="8400" w:type="dxa"/>
            <w:vAlign w:val="bottom"/>
            <w:gridSpan w:val="2"/>
          </w:tcPr>
          <w:p>
            <w:pPr>
              <w:ind w:left="140"/>
              <w:spacing w:after="0"/>
              <w:rPr>
                <w:sz w:val="20"/>
                <w:szCs w:val="20"/>
                <w:color w:val="auto"/>
              </w:rPr>
            </w:pPr>
            <w:r>
              <w:rPr>
                <w:rFonts w:ascii="Arial" w:cs="Arial" w:eastAsia="Arial" w:hAnsi="Arial"/>
                <w:sz w:val="16"/>
                <w:szCs w:val="16"/>
                <w:color w:val="auto"/>
              </w:rPr>
              <w:t>Risk-free interest rate (1)</w:t>
            </w:r>
          </w:p>
        </w:tc>
        <w:tc>
          <w:tcPr>
            <w:tcW w:w="720" w:type="dxa"/>
            <w:vAlign w:val="bottom"/>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0.20 %</w:t>
            </w:r>
          </w:p>
        </w:tc>
      </w:tr>
      <w:tr>
        <w:trPr>
          <w:trHeight w:val="21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 yield (2)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8400" w:type="dxa"/>
            <w:vAlign w:val="bottom"/>
            <w:gridSpan w:val="2"/>
          </w:tcPr>
          <w:p>
            <w:pPr>
              <w:ind w:left="140"/>
              <w:spacing w:after="0"/>
              <w:rPr>
                <w:sz w:val="20"/>
                <w:szCs w:val="20"/>
                <w:color w:val="auto"/>
              </w:rPr>
            </w:pPr>
            <w:r>
              <w:rPr>
                <w:rFonts w:ascii="Arial" w:cs="Arial" w:eastAsia="Arial" w:hAnsi="Arial"/>
                <w:sz w:val="16"/>
                <w:szCs w:val="16"/>
                <w:color w:val="auto"/>
              </w:rPr>
              <w:t>Volatility (3)</w:t>
            </w:r>
          </w:p>
        </w:tc>
        <w:tc>
          <w:tcPr>
            <w:tcW w:w="720" w:type="dxa"/>
            <w:vAlign w:val="bottom"/>
          </w:tcPr>
          <w:p>
            <w:pPr>
              <w:jc w:val="right"/>
              <w:spacing w:after="0"/>
              <w:rPr>
                <w:sz w:val="20"/>
                <w:szCs w:val="20"/>
                <w:color w:val="auto"/>
              </w:rPr>
            </w:pPr>
            <w:r>
              <w:rPr>
                <w:rFonts w:ascii="Arial" w:cs="Arial" w:eastAsia="Arial" w:hAnsi="Arial"/>
                <w:sz w:val="16"/>
                <w:szCs w:val="16"/>
                <w:color w:val="auto"/>
              </w:rPr>
              <w:t>49.11 %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48.45 %</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the performance period of the unit.</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 over the last seven years.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PSU compensation information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grant date fair value data)</w:t>
            </w: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for PSUs granted (1)</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Intrinsic value for PSUs vested</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Fair value of PSUs vested</w:t>
            </w:r>
          </w:p>
        </w:tc>
        <w:tc>
          <w:tcPr>
            <w:tcW w:w="820" w:type="dxa"/>
            <w:vAlign w:val="bottom"/>
          </w:tcPr>
          <w:p>
            <w:pPr>
              <w:jc w:val="right"/>
              <w:ind w:right="64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6,646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4,809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benefits for PSU compensation expense</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PSU expense</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11,955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Remaining weighted average vesting period (2)</w:t>
            </w:r>
          </w:p>
        </w:tc>
        <w:tc>
          <w:tcPr>
            <w:tcW w:w="1440" w:type="dxa"/>
            <w:vAlign w:val="bottom"/>
            <w:gridSpan w:val="3"/>
          </w:tcPr>
          <w:p>
            <w:pPr>
              <w:ind w:left="720"/>
              <w:spacing w:after="0"/>
              <w:rPr>
                <w:sz w:val="20"/>
                <w:szCs w:val="20"/>
                <w:color w:val="auto"/>
              </w:rPr>
            </w:pPr>
            <w:r>
              <w:rPr>
                <w:rFonts w:ascii="Arial" w:cs="Arial" w:eastAsia="Arial" w:hAnsi="Arial"/>
                <w:sz w:val="16"/>
                <w:szCs w:val="16"/>
                <w:color w:val="auto"/>
              </w:rPr>
              <w:t>1.2 years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660" w:right="60" w:hanging="652"/>
        <w:spacing w:after="0" w:line="253"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a premium above the per share value of the Company’s common stock for the Relative TSR modifier as of the grant date of 7.9% and 14.3% for grants during 2022 and 2021, respectively.</w:t>
      </w: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PSUs typically vest after three years.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Restricted Stock Units (“RSUs”) </w:t>
      </w:r>
      <w:r>
        <w:rPr>
          <w:rFonts w:ascii="Arial" w:cs="Arial" w:eastAsia="Arial" w:hAnsi="Arial"/>
          <w:sz w:val="20"/>
          <w:szCs w:val="20"/>
          <w:color w:val="auto"/>
        </w:rPr>
        <w:t>- RSUs generally vest over a period of three years in an equal number of shares each year. Following is a</w:t>
      </w:r>
      <w:r>
        <w:rPr>
          <w:rFonts w:ascii="Arial" w:cs="Arial" w:eastAsia="Arial" w:hAnsi="Arial"/>
          <w:sz w:val="20"/>
          <w:szCs w:val="20"/>
          <w:i w:val="1"/>
          <w:iCs w:val="1"/>
          <w:color w:val="auto"/>
        </w:rPr>
        <w:t xml:space="preserve"> </w:t>
      </w:r>
      <w:r>
        <w:rPr>
          <w:rFonts w:ascii="Arial" w:cs="Arial" w:eastAsia="Arial" w:hAnsi="Arial"/>
          <w:sz w:val="20"/>
          <w:szCs w:val="20"/>
          <w:color w:val="auto"/>
        </w:rPr>
        <w:t>summary of the Company’s RSU activity:</w:t>
      </w:r>
    </w:p>
    <w:p>
      <w:pPr>
        <w:spacing w:after="0" w:line="93"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WEIGHTED</w:t>
      </w:r>
    </w:p>
    <w:p>
      <w:pPr>
        <w:jc w:val="center"/>
        <w:ind w:left="6400"/>
        <w:spacing w:after="0" w:line="221" w:lineRule="auto"/>
        <w:rPr>
          <w:sz w:val="20"/>
          <w:szCs w:val="20"/>
          <w:color w:val="auto"/>
        </w:rPr>
      </w:pPr>
      <w:r>
        <w:rPr>
          <w:rFonts w:ascii="Arial" w:cs="Arial" w:eastAsia="Arial" w:hAnsi="Arial"/>
          <w:sz w:val="14"/>
          <w:szCs w:val="14"/>
          <w:b w:val="1"/>
          <w:bCs w:val="1"/>
          <w:color w:val="auto"/>
        </w:rPr>
        <w:t>AVERAGE</w:t>
      </w:r>
    </w:p>
    <w:p>
      <w:pPr>
        <w:ind w:left="8360"/>
        <w:spacing w:after="0" w:line="221" w:lineRule="auto"/>
        <w:rPr>
          <w:sz w:val="20"/>
          <w:szCs w:val="20"/>
          <w:color w:val="auto"/>
        </w:rPr>
      </w:pPr>
      <w:r>
        <w:rPr>
          <w:rFonts w:ascii="Arial" w:cs="Arial" w:eastAsia="Arial" w:hAnsi="Arial"/>
          <w:sz w:val="14"/>
          <w:szCs w:val="14"/>
          <w:b w:val="1"/>
          <w:bCs w:val="1"/>
          <w:color w:val="auto"/>
        </w:rPr>
        <w:t>GRANT DATE</w:t>
      </w:r>
    </w:p>
    <w:tbl>
      <w:tblPr>
        <w:tblLayout w:type="fixed"/>
        <w:tblInd w:w="0" w:type="dxa"/>
        <w:tblCellMar>
          <w:top w:w="0" w:type="dxa"/>
          <w:left w:w="0" w:type="dxa"/>
          <w:bottom w:w="0" w:type="dxa"/>
          <w:right w:w="0" w:type="dxa"/>
        </w:tblCellMar>
      </w:tblPr>
      <w:tr>
        <w:trPr>
          <w:trHeight w:val="129"/>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unit data)</w:t>
            </w:r>
          </w:p>
        </w:tc>
        <w:tc>
          <w:tcPr>
            <w:tcW w:w="1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FAIR VALUE PER</w:t>
            </w:r>
          </w:p>
        </w:tc>
        <w:tc>
          <w:tcPr>
            <w:tcW w:w="200" w:type="dxa"/>
            <w:vAlign w:val="bottom"/>
          </w:tcPr>
          <w:p>
            <w:pPr>
              <w:spacing w:after="0"/>
              <w:rPr>
                <w:sz w:val="11"/>
                <w:szCs w:val="11"/>
                <w:color w:val="auto"/>
              </w:rPr>
            </w:pPr>
          </w:p>
        </w:tc>
        <w:tc>
          <w:tcPr>
            <w:tcW w:w="134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UNIT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INTRINSIC VALUE (1)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26,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364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24.69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25, 2022 (2)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4"/>
          <w:szCs w:val="14"/>
          <w:color w:val="252525"/>
        </w:rPr>
      </w:pPr>
      <w:r>
        <w:rPr>
          <w:rFonts w:ascii="Arial" w:cs="Arial" w:eastAsia="Arial" w:hAnsi="Arial"/>
          <w:sz w:val="14"/>
          <w:szCs w:val="14"/>
          <w:color w:val="auto"/>
        </w:rPr>
        <w:t>Based on the $20.95 and $20.96 share price of the Company’s common stock on December 23, 2021 and 2022, the last trading day of 2022 and 2021, respectively.</w:t>
      </w:r>
    </w:p>
    <w:p>
      <w:pPr>
        <w:spacing w:after="0" w:line="38" w:lineRule="exact"/>
        <w:rPr>
          <w:rFonts w:ascii="Arial" w:cs="Arial" w:eastAsia="Arial" w:hAnsi="Arial"/>
          <w:sz w:val="14"/>
          <w:szCs w:val="14"/>
          <w:color w:val="252525"/>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RSUs outstanding as of December 25, 2022 are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RSU compensation information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grant date fair value data)</w:t>
            </w: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for RSUs granted (1)</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Intrinsic value of RSUs vested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Fair value of RSUs vested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9,434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8,973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benefits for RSU compensation expense</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RSU expense</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Remaining weighted average vesting period</w:t>
            </w:r>
          </w:p>
        </w:tc>
        <w:tc>
          <w:tcPr>
            <w:tcW w:w="9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color w:val="auto"/>
              </w:rPr>
              <w:t>1.8 years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color w:val="252525"/>
        </w:rPr>
      </w:pPr>
      <w:r>
        <w:rPr>
          <w:rFonts w:ascii="Arial" w:cs="Arial" w:eastAsia="Arial" w:hAnsi="Arial"/>
          <w:sz w:val="16"/>
          <w:szCs w:val="16"/>
          <w:color w:val="auto"/>
        </w:rPr>
        <w:t>The weighted average dividend yield was 2.43% and 2.11% for 2022 and 2020, respectively. There were no dividends in 2021.</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Stock Options </w:t>
      </w:r>
      <w:r>
        <w:rPr>
          <w:rFonts w:ascii="Arial" w:cs="Arial" w:eastAsia="Arial" w:hAnsi="Arial"/>
          <w:sz w:val="20"/>
          <w:szCs w:val="20"/>
          <w:color w:val="auto"/>
        </w:rPr>
        <w:t>- Stock options generally vest and become exercisable over a period of four years in an equal number of shares each year.</w:t>
      </w:r>
      <w:r>
        <w:rPr>
          <w:rFonts w:ascii="Arial" w:cs="Arial" w:eastAsia="Arial" w:hAnsi="Arial"/>
          <w:sz w:val="20"/>
          <w:szCs w:val="20"/>
          <w:i w:val="1"/>
          <w:iCs w:val="1"/>
          <w:color w:val="auto"/>
        </w:rPr>
        <w:t xml:space="preserve"> </w:t>
      </w:r>
      <w:r>
        <w:rPr>
          <w:rFonts w:ascii="Arial" w:cs="Arial" w:eastAsia="Arial" w:hAnsi="Arial"/>
          <w:sz w:val="20"/>
          <w:szCs w:val="20"/>
          <w:color w:val="auto"/>
        </w:rPr>
        <w:t>Stock options have an exercisable life of no more than ten years from the date of grant. The Company settles stock option exercises with authorized but unissued shares of the Company’s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134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exercise price and contractual life data)</w:t>
            </w:r>
          </w:p>
        </w:tc>
        <w:tc>
          <w:tcPr>
            <w:tcW w:w="15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EXERCISE</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2"/>
                <w:szCs w:val="12"/>
                <w:color w:val="auto"/>
              </w:rPr>
            </w:pPr>
          </w:p>
        </w:tc>
        <w:tc>
          <w:tcPr>
            <w:tcW w:w="13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26, 2021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(1,044)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6"/>
                <w:szCs w:val="16"/>
                <w:color w:val="auto"/>
              </w:rPr>
              <w:t>Outstanding as of December 25, 2022 (1)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December 25,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6"/>
          <w:szCs w:val="16"/>
          <w:color w:val="252525"/>
        </w:rPr>
      </w:pPr>
      <w:r>
        <w:rPr>
          <w:rFonts w:ascii="Arial" w:cs="Arial" w:eastAsia="Arial" w:hAnsi="Arial"/>
          <w:sz w:val="16"/>
          <w:szCs w:val="16"/>
          <w:color w:val="252525"/>
        </w:rPr>
        <w:t xml:space="preserve">No stock options were granted during </w:t>
      </w:r>
      <w:r>
        <w:rPr>
          <w:rFonts w:ascii="Arial" w:cs="Arial" w:eastAsia="Arial" w:hAnsi="Arial"/>
          <w:sz w:val="16"/>
          <w:szCs w:val="16"/>
          <w:color w:val="000000"/>
        </w:rPr>
        <w:t>2022.</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Intrinsic value of options exercised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Cash received from option exercises, net of tax withholding</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17,888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14,951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4,609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stock options vested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16,468</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Tax benefits for stock option compensation expense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 of December 25, 2022, the maximum number of shares of common stock available for issuance for equity instruments pursuant to the 2020 Omnibus Incentive Compensation Plan was 7,935,988.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Plans</w:t>
      </w:r>
    </w:p>
    <w:p>
      <w:pPr>
        <w:spacing w:after="0" w:line="2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U.S. Partner Deferred Compensations Plans </w:t>
      </w:r>
      <w:r>
        <w:rPr>
          <w:rFonts w:ascii="Arial" w:cs="Arial" w:eastAsia="Arial" w:hAnsi="Arial"/>
          <w:sz w:val="18"/>
          <w:szCs w:val="18"/>
          <w:color w:val="auto"/>
        </w:rPr>
        <w:t>- Certain U.S. Partners may participate in deferred compensation programs that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rules of Section 409A of the Internal Revenue Code. The Company may invest in corporate-owned life insurance policies, which are held within an irrevocable grantor or rabbi trust account for settlement of certain of the obligations under the deferred compensation plans. The deferred compensation obligation due to U.S. Partners under these plans was $3.5 million and $15.5 million as of December 25, 2022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December 26, 2021, respectively. The rabbi trust is funded through the Company’s voluntary contributions and was fully funded as of December 25, 2022.</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401(k) Plan </w:t>
      </w:r>
      <w:r>
        <w:rPr>
          <w:rFonts w:ascii="Arial" w:cs="Arial" w:eastAsia="Arial" w:hAnsi="Arial"/>
          <w:sz w:val="20"/>
          <w:szCs w:val="20"/>
          <w:color w:val="auto"/>
        </w:rPr>
        <w:t>- The Company has a qualified defined contribution plan that qualifies under Section 401(k) of the Internal Revenue Code of</w:t>
      </w:r>
      <w:r>
        <w:rPr>
          <w:rFonts w:ascii="Arial" w:cs="Arial" w:eastAsia="Arial" w:hAnsi="Arial"/>
          <w:sz w:val="20"/>
          <w:szCs w:val="20"/>
          <w:i w:val="1"/>
          <w:iCs w:val="1"/>
          <w:color w:val="auto"/>
        </w:rPr>
        <w:t xml:space="preserve"> </w:t>
      </w:r>
      <w:r>
        <w:rPr>
          <w:rFonts w:ascii="Arial" w:cs="Arial" w:eastAsia="Arial" w:hAnsi="Arial"/>
          <w:sz w:val="20"/>
          <w:szCs w:val="20"/>
          <w:color w:val="auto"/>
        </w:rPr>
        <w:t>1986, as amended. The Company incurred contribution costs of $5.6 million, $6.1 million and $5.5 million for the 401(k) Plan for 2022, 2021 and 2020, respectively.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Highly Compensated Employee Plan - </w:t>
      </w:r>
      <w:r>
        <w:rPr>
          <w:rFonts w:ascii="Arial" w:cs="Arial" w:eastAsia="Arial" w:hAnsi="Arial"/>
          <w:sz w:val="20"/>
          <w:szCs w:val="20"/>
          <w:color w:val="auto"/>
        </w:rPr>
        <w:t>The Company provides a deferred compensation plan for its highly compensated employees who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6860" w:type="dxa"/>
            <w:vAlign w:val="bottom"/>
          </w:tcPr>
          <w:p>
            <w:pPr>
              <w:ind w:left="280"/>
              <w:spacing w:after="0"/>
              <w:rPr>
                <w:sz w:val="20"/>
                <w:szCs w:val="20"/>
                <w:color w:val="auto"/>
              </w:rPr>
            </w:pPr>
            <w:r>
              <w:rPr>
                <w:rFonts w:ascii="Arial" w:cs="Arial" w:eastAsia="Arial" w:hAnsi="Arial"/>
                <w:sz w:val="20"/>
                <w:szCs w:val="20"/>
                <w:color w:val="auto"/>
              </w:rPr>
              <w:t>Other Current Assets, Net</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86"/>
        </w:trPr>
        <w:tc>
          <w:tcPr>
            <w:tcW w:w="7280" w:type="dxa"/>
            <w:vAlign w:val="bottom"/>
            <w:gridSpan w:val="2"/>
          </w:tcPr>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7"/>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21,194</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Accounts receivable - gift cards,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85,606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91,248</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vendors,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11,793</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Accounts receivable - franchisees,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other,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18,353</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17,755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17,793</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Company-owned life insurance (2)</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17,244</w:t>
            </w: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w:t>
            </w:r>
          </w:p>
        </w:tc>
      </w:tr>
      <w:tr>
        <w:trPr>
          <w:trHeight w:val="238"/>
        </w:trPr>
        <w:tc>
          <w:tcPr>
            <w:tcW w:w="4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184,623</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See Note 20 -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rollforward of the related allowance for expected credit losses.</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2022, the Company withdrew the current portion of its Company-owned life insurance policies to pay deferred compensation obligations.</w:t>
      </w:r>
    </w:p>
    <w:p>
      <w:pPr>
        <w:spacing w:after="0" w:line="237"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Property, Fixtures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Property, fixtures and equipment,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38,417</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1,223,403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1,167,811</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460,768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739,136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641,715</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47,822</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(1,617,611)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(1,514,521)</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914,142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842,012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repair and maintenance expense are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157,386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173,342</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Repair and maintenance expense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116,318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104,209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88,829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9"/>
                <w:szCs w:val="19"/>
                <w:color w:val="auto"/>
              </w:rPr>
            </w:pPr>
          </w:p>
        </w:tc>
        <w:tc>
          <w:tcPr>
            <w:tcW w:w="1480" w:type="dxa"/>
            <w:vAlign w:val="bottom"/>
          </w:tcPr>
          <w:p>
            <w:pPr>
              <w:jc w:val="right"/>
              <w:ind w:right="161"/>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27, 2020</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271,164</w:t>
            </w:r>
          </w:p>
        </w:tc>
      </w:tr>
      <w:tr>
        <w:trPr>
          <w:trHeight w:val="209"/>
        </w:trPr>
        <w:tc>
          <w:tcPr>
            <w:tcW w:w="60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(2,720)</w:t>
            </w:r>
          </w:p>
        </w:tc>
      </w:tr>
      <w:tr>
        <w:trPr>
          <w:trHeight w:val="223"/>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26, 2021</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268,444</w:t>
            </w:r>
          </w:p>
        </w:tc>
      </w:tr>
      <w:tr>
        <w:trPr>
          <w:trHeight w:val="197"/>
        </w:trPr>
        <w:tc>
          <w:tcPr>
            <w:tcW w:w="60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41"/>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25, 2022</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273,032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gross goodwill balances and accumulated impairments as of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25, 2022</w:t>
            </w: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Pr>
          <w:p>
            <w:pPr>
              <w:spacing w:after="0"/>
              <w:rPr>
                <w:sz w:val="16"/>
                <w:szCs w:val="16"/>
                <w:color w:val="auto"/>
              </w:rPr>
            </w:pPr>
          </w:p>
        </w:tc>
        <w:tc>
          <w:tcPr>
            <w:tcW w:w="3060" w:type="dxa"/>
            <w:vAlign w:val="bottom"/>
            <w:gridSpan w:val="4"/>
          </w:tcPr>
          <w:p>
            <w:pPr>
              <w:jc w:val="right"/>
              <w:ind w:right="823"/>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0" w:type="dxa"/>
            <w:vAlign w:val="bottom"/>
            <w:tcBorders>
              <w:top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09"/>
        </w:trPr>
        <w:tc>
          <w:tcPr>
            <w:tcW w:w="1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IMPAIRMENTS</w:t>
            </w: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8"/>
                <w:szCs w:val="18"/>
                <w:color w:val="auto"/>
              </w:rPr>
            </w:pPr>
          </w:p>
        </w:tc>
        <w:tc>
          <w:tcPr>
            <w:tcW w:w="1380" w:type="dxa"/>
            <w:vAlign w:val="bottom"/>
          </w:tcPr>
          <w:p>
            <w:pPr>
              <w:jc w:val="right"/>
              <w:ind w:right="163"/>
              <w:spacing w:after="0"/>
              <w:rPr>
                <w:sz w:val="20"/>
                <w:szCs w:val="20"/>
                <w:color w:val="auto"/>
              </w:rPr>
            </w:pPr>
            <w:r>
              <w:rPr>
                <w:rFonts w:ascii="Arial" w:cs="Arial" w:eastAsia="Arial" w:hAnsi="Arial"/>
                <w:sz w:val="14"/>
                <w:szCs w:val="14"/>
                <w:b w:val="1"/>
                <w:bCs w:val="1"/>
                <w:color w:val="auto"/>
              </w:rPr>
              <w:t>IMPAIRMENTS</w:t>
            </w:r>
          </w:p>
        </w:tc>
        <w:tc>
          <w:tcPr>
            <w:tcW w:w="0" w:type="dxa"/>
            <w:vAlign w:val="bottom"/>
          </w:tcPr>
          <w:p>
            <w:pPr>
              <w:spacing w:after="0"/>
              <w:rPr>
                <w:sz w:val="1"/>
                <w:szCs w:val="1"/>
                <w:color w:val="auto"/>
              </w:rPr>
            </w:pPr>
          </w:p>
        </w:tc>
      </w:tr>
      <w:tr>
        <w:trPr>
          <w:trHeight w:val="216"/>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222,258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220,390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(119,883)</w:t>
            </w: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goodwill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1,061,085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1,056,497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1,059,217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(788,053)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w:t>
      </w:r>
      <w:r>
        <w:rPr>
          <w:rFonts w:ascii="Arial" w:cs="Arial" w:eastAsia="Arial" w:hAnsi="Arial"/>
          <w:sz w:val="17"/>
          <w:szCs w:val="17"/>
          <w:color w:val="auto"/>
        </w:rPr>
        <w:t>he COVID-19 outbreak was considered a triggering event during the first quarter of 2020, indicating that the carrying amount of goodwill</w:t>
      </w:r>
      <w:r>
        <w:rPr>
          <w:rFonts w:ascii="Arial" w:cs="Arial" w:eastAsia="Arial" w:hAnsi="Arial"/>
          <w:sz w:val="16"/>
          <w:szCs w:val="16"/>
          <w:color w:val="auto"/>
        </w:rPr>
        <w:t xml:space="preserve"> </w:t>
      </w:r>
      <w:r>
        <w:rPr>
          <w:rFonts w:ascii="Arial" w:cs="Arial" w:eastAsia="Arial" w:hAnsi="Arial"/>
          <w:sz w:val="17"/>
          <w:szCs w:val="17"/>
          <w:color w:val="auto"/>
        </w:rPr>
        <w:t>may not be recoverable. As a result, the Company performed a quantitative assessment for its four U.S. and three international reporting units to determine whether a reporting unit was impaired. Based on this assessment, which utilized a discounted cash flow analysis, the Company recorded full impairment of goodwill related to its Hong Kong reporting unit of $2.0 million within the international segment during the first quarter of 2020. Impairment was not recorded for any of the Company’s other reporting units as a result of the quantitative assessment.</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performs its annual assessment for impairment of goodwill and other indefinite-lived intangible assets each year during the second quarter. The Company’s 2022 and 2021 assessments utilized a qualitative approach. As a result of these assessments, the Company did not record any goodwill asset impairment charges during 2022 or 2021. Since the Company performed a quantitative assessment on the last day of the first quarter of 2020, as described above, the Company utilized the same assumptions and analysis in performing a quantitative annual assessment in its second quarter and concluded that no additional impairment was required.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Intangible Assets, net - </w:t>
      </w:r>
      <w:r>
        <w:rPr>
          <w:rFonts w:ascii="Arial" w:cs="Arial" w:eastAsia="Arial" w:hAnsi="Arial"/>
          <w:sz w:val="20"/>
          <w:szCs w:val="20"/>
          <w:color w:val="auto"/>
        </w:rPr>
        <w:t>Intangible assets, net, consisted of the following as of the periods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16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DECEMBER 25, 2022</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DECEMBER 26, 2021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580" w:type="dxa"/>
            <w:vAlign w:val="bottom"/>
          </w:tcPr>
          <w:p>
            <w:pPr>
              <w:spacing w:after="0"/>
              <w:rPr>
                <w:sz w:val="9"/>
                <w:szCs w:val="9"/>
                <w:color w:val="auto"/>
              </w:rPr>
            </w:pPr>
          </w:p>
        </w:tc>
        <w:tc>
          <w:tcPr>
            <w:tcW w:w="166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GROSS</w:t>
            </w: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6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10"/>
        </w:trPr>
        <w:tc>
          <w:tcPr>
            <w:tcW w:w="158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414,716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0" w:type="dxa"/>
            <w:vAlign w:val="bottom"/>
          </w:tcPr>
          <w:p>
            <w:pPr>
              <w:spacing w:after="0"/>
              <w:rPr>
                <w:sz w:val="1"/>
                <w:szCs w:val="1"/>
                <w:color w:val="auto"/>
              </w:rPr>
            </w:pPr>
          </w:p>
        </w:tc>
      </w:tr>
      <w:tr>
        <w:trPr>
          <w:trHeight w:val="213"/>
        </w:trPr>
        <w:tc>
          <w:tcPr>
            <w:tcW w:w="15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(59,675)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22,277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26,215</w:t>
            </w: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Reacquired franchise</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34,602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11,333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12,481</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40"/>
              <w:spacing w:after="0" w:line="139" w:lineRule="exact"/>
              <w:rPr>
                <w:sz w:val="20"/>
                <w:szCs w:val="20"/>
                <w:color w:val="auto"/>
              </w:rPr>
            </w:pPr>
            <w:r>
              <w:rPr>
                <w:rFonts w:ascii="Arial" w:cs="Arial" w:eastAsia="Arial" w:hAnsi="Arial"/>
                <w:sz w:val="16"/>
                <w:szCs w:val="16"/>
                <w:color w:val="auto"/>
              </w:rPr>
              <w:t>Total intangible</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531,270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(82,944)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3"/>
              <w:spacing w:after="0"/>
              <w:rPr>
                <w:sz w:val="20"/>
                <w:szCs w:val="20"/>
                <w:color w:val="auto"/>
              </w:rPr>
            </w:pPr>
            <w:r>
              <w:rPr>
                <w:rFonts w:ascii="Arial" w:cs="Arial" w:eastAsia="Arial" w:hAnsi="Arial"/>
                <w:sz w:val="16"/>
                <w:szCs w:val="16"/>
                <w:color w:val="auto"/>
              </w:rPr>
              <w:t>448,326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528,611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(75,199)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453,412</w:t>
            </w:r>
          </w:p>
        </w:tc>
        <w:tc>
          <w:tcPr>
            <w:tcW w:w="0" w:type="dxa"/>
            <w:vAlign w:val="bottom"/>
          </w:tcPr>
          <w:p>
            <w:pPr>
              <w:spacing w:after="0"/>
              <w:rPr>
                <w:sz w:val="1"/>
                <w:szCs w:val="1"/>
                <w:color w:val="auto"/>
              </w:rPr>
            </w:pPr>
          </w:p>
        </w:tc>
      </w:tr>
      <w:tr>
        <w:trPr>
          <w:trHeight w:val="190"/>
        </w:trPr>
        <w:tc>
          <w:tcPr>
            <w:tcW w:w="1580" w:type="dxa"/>
            <w:vAlign w:val="bottom"/>
          </w:tcPr>
          <w:p>
            <w:pPr>
              <w:ind w:left="240"/>
              <w:spacing w:after="0"/>
              <w:rPr>
                <w:sz w:val="20"/>
                <w:szCs w:val="20"/>
                <w:color w:val="auto"/>
              </w:rPr>
            </w:pPr>
            <w:r>
              <w:rPr>
                <w:rFonts w:ascii="Arial" w:cs="Arial" w:eastAsia="Arial" w:hAnsi="Arial"/>
                <w:sz w:val="16"/>
                <w:szCs w:val="16"/>
                <w:color w:val="auto"/>
              </w:rPr>
              <w:t>assets</w:t>
            </w:r>
          </w:p>
        </w:tc>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record any indefinite-lived intangible asset impairment charges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Definite-lived intangible assets are amortized on a straight-line basis. The following table presents the aggregate expense related to the amortization of the Company’s trademarks and reacquired franchise rights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6,005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expected annual amortization of intangible assets as of December 25,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5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2024</w:t>
            </w:r>
          </w:p>
        </w:tc>
        <w:tc>
          <w:tcPr>
            <w:tcW w:w="4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5,752</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2026</w:t>
            </w:r>
          </w:p>
        </w:tc>
        <w:tc>
          <w:tcPr>
            <w:tcW w:w="4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5,293</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w:t>
            </w: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676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86"/>
        </w:trPr>
        <w:tc>
          <w:tcPr>
            <w:tcW w:w="728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7"/>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24"/>
                <w:szCs w:val="24"/>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Company-owned life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30,970</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Deferred debt issuance costs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5,861</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Liquor licenses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23,266</w:t>
            </w: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18,573</w:t>
            </w:r>
          </w:p>
        </w:tc>
      </w:tr>
      <w:tr>
        <w:trPr>
          <w:trHeight w:val="238"/>
        </w:trPr>
        <w:tc>
          <w:tcPr>
            <w:tcW w:w="5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78,670</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Net of accumulated amortization of $10.1 million and $8.5 million as of December 25, 2022 and December 26, 2021, respectively.</w:t>
      </w:r>
    </w:p>
    <w:p>
      <w:pPr>
        <w:spacing w:after="0" w:line="241" w:lineRule="exact"/>
        <w:rPr>
          <w:sz w:val="20"/>
          <w:szCs w:val="20"/>
          <w:color w:val="auto"/>
        </w:rPr>
      </w:pPr>
    </w:p>
    <w:p>
      <w:pPr>
        <w:ind w:left="780" w:hanging="772"/>
        <w:spacing w:after="0"/>
        <w:tabs>
          <w:tab w:leader="none" w:pos="7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Accrued and Other Current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rent and current 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181,636</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Accrued payroll and other compensation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84,075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105,095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98,146</w:t>
            </w:r>
          </w:p>
        </w:tc>
        <w:tc>
          <w:tcPr>
            <w:tcW w:w="0" w:type="dxa"/>
            <w:vAlign w:val="bottom"/>
          </w:tcPr>
          <w:p>
            <w:pPr>
              <w:spacing w:after="0"/>
              <w:rPr>
                <w:sz w:val="1"/>
                <w:szCs w:val="1"/>
                <w:color w:val="auto"/>
              </w:rPr>
            </w:pP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406,894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70"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2022, accrued payroll and other compensation decreased primarily due to payment of deferred compensation obligations and a decrease in incentive compensation.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left="800" w:hanging="792"/>
        <w:spacing w:after="0"/>
        <w:tabs>
          <w:tab w:leader="none" w:pos="8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Long-term Debt,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4"/>
          </w:tcPr>
          <w:p>
            <w:pPr>
              <w:ind w:left="780"/>
              <w:spacing w:after="0"/>
              <w:rPr>
                <w:sz w:val="20"/>
                <w:szCs w:val="20"/>
                <w:color w:val="auto"/>
              </w:rPr>
            </w:pPr>
            <w:r>
              <w:rPr>
                <w:rFonts w:ascii="Arial" w:cs="Arial" w:eastAsia="Arial" w:hAnsi="Arial"/>
                <w:sz w:val="14"/>
                <w:szCs w:val="14"/>
                <w:b w:val="1"/>
                <w:bCs w:val="1"/>
                <w:color w:val="auto"/>
              </w:rPr>
              <w:t>DECEMBER 25, 2022</w:t>
            </w:r>
          </w:p>
        </w:tc>
        <w:tc>
          <w:tcPr>
            <w:tcW w:w="160" w:type="dxa"/>
            <w:vAlign w:val="bottom"/>
          </w:tcPr>
          <w:p>
            <w:pPr>
              <w:spacing w:after="0"/>
              <w:rPr>
                <w:sz w:val="16"/>
                <w:szCs w:val="16"/>
                <w:color w:val="auto"/>
              </w:rPr>
            </w:pPr>
          </w:p>
        </w:tc>
        <w:tc>
          <w:tcPr>
            <w:tcW w:w="310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60" w:type="dxa"/>
            <w:vAlign w:val="bottom"/>
          </w:tcPr>
          <w:p>
            <w:pPr>
              <w:jc w:val="right"/>
              <w:ind w:right="14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(2)</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430,000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197"/>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Senior Secured Credit Facility</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430,000</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Notes (3)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2029 Notes</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300,000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5,976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 (4)</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finance lease interest</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40" w:type="dxa"/>
            <w:vAlign w:val="bottom"/>
          </w:tcPr>
          <w:p>
            <w:pPr>
              <w:ind w:left="240"/>
              <w:spacing w:after="0"/>
              <w:rPr>
                <w:sz w:val="20"/>
                <w:szCs w:val="20"/>
                <w:color w:val="auto"/>
              </w:rPr>
            </w:pPr>
            <w:r>
              <w:rPr>
                <w:rFonts w:ascii="Arial" w:cs="Arial" w:eastAsia="Arial" w:hAnsi="Arial"/>
                <w:sz w:val="16"/>
                <w:szCs w:val="16"/>
                <w:color w:val="auto"/>
              </w:rPr>
              <w:t>Total debt, net</w:t>
            </w:r>
          </w:p>
        </w:tc>
        <w:tc>
          <w:tcPr>
            <w:tcW w:w="16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833,292</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793,065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831,656</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782,107</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Interest rate represents the weighted average interest rate.</w:t>
      </w:r>
    </w:p>
    <w:p>
      <w:pPr>
        <w:spacing w:after="0" w:line="15" w:lineRule="exact"/>
        <w:rPr>
          <w:rFonts w:ascii="Arial" w:cs="Arial" w:eastAsia="Arial" w:hAnsi="Arial"/>
          <w:sz w:val="16"/>
          <w:szCs w:val="16"/>
          <w:color w:val="auto"/>
        </w:rPr>
      </w:pPr>
    </w:p>
    <w:p>
      <w:pPr>
        <w:ind w:left="660" w:hanging="652"/>
        <w:spacing w:after="0" w:line="248"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Interest rate represents the weighted average interest rate as of December 25, 2022 and the base rate option elected in anticipation of impending repayment as of December 26, 2021. Subsequent to December 25, 2022, the Company repaid $80.0 million on its revolving credit facility.</w:t>
      </w:r>
    </w:p>
    <w:p>
      <w:pPr>
        <w:spacing w:after="0" w:line="1" w:lineRule="exact"/>
        <w:rPr>
          <w:rFonts w:ascii="Arial" w:cs="Arial" w:eastAsia="Arial" w:hAnsi="Arial"/>
          <w:sz w:val="16"/>
          <w:szCs w:val="16"/>
          <w:color w:val="auto"/>
        </w:rPr>
      </w:pPr>
    </w:p>
    <w:p>
      <w:pPr>
        <w:ind w:left="660" w:hanging="652"/>
        <w:spacing w:after="0" w:line="255"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During 2022, the Company repurchased $125.0 million of the 2025 Notes. 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for details regarding the 2025 Notes and related hedge and warrant transactions.</w:t>
      </w:r>
    </w:p>
    <w:p>
      <w:pPr>
        <w:ind w:left="660" w:right="20" w:hanging="652"/>
        <w:spacing w:after="0" w:line="27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connection with the Amended Credit Agreement and the partial repurchase of the 2025 Notes, $5.7 million of debt issuance costs were written off during 2022. 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for details regarding the partial repurchase of the 2025 Notes.</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Bloomin’ Brands, Inc. is a holding company and conducts its operations through its subsidiaries, certain of which have incurred indebtedness as described below.</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 On April 16, 2021, the Company and OSI, as co-borrowers, entered into the Second Amended and Restated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“Credit Agreement”), which provides for senior secured financing of up to $1.0 billion consisting of a $200.0 million Term loan A and an $800.0 million revolving credit facility (the “Senior Secured Credit Facility”). The Senior Secured Credit Facility matures on April 16, 2026 and replaced the Company’s prior senior secured financing of up to $1.5 billion (the “Former Credit Facility”).</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On April 26, 2022, the Company and OSI entered into the First Amendment to the Second Amended and Restated Credit Agreement and Incremental Amendment (the “Amended Credit Agreement”), which included an increase of the Company’s existing revolving credit facility from $800.0 million to $1.0 billion and a transition from the London Inter-Bank Offered Rate (“LIBOR”) to the Secured Overnight Financing Rate (“SOFR”) as the benchmark rate for purposes of calculating interest under the Senior Secured Credit Facility. At closing, an incremental $192.5 million was drawn on the revolving credit facility to fully repay the outstanding balance of Term loan A. The total indebtedness of the Company remained unchanged as a result of the Amended Credit Agreement.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Under the Amended Credit Agreement, the Company may elect an interest rate at each reset period based on the Base Rate or Adjusted Term SOFR, plus an applicable spread. The Base Rate option is the highest of: (i) the prime rate of Wells Fargo Bank, National Association, (ii) the federal funds effective rate plus 0.5 of 1.0% or (iii) the Adjusted Term SOFR with a one-month interest period plus 1.0% (the “Base Rate”). The Adjusted Term SOFR option is the 30, 90 or 180-day SOFR, plus a term SOFR adjustment of 0.10%, subject to a 0% floor (the “Adjusted Term SOFR”). The interest rate spreads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3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BASE RATE ELECTION</w:t>
            </w:r>
          </w:p>
        </w:tc>
        <w:tc>
          <w:tcPr>
            <w:tcW w:w="4600" w:type="dxa"/>
            <w:vAlign w:val="bottom"/>
          </w:tcPr>
          <w:p>
            <w:pPr>
              <w:jc w:val="center"/>
              <w:spacing w:after="0"/>
              <w:rPr>
                <w:sz w:val="20"/>
                <w:szCs w:val="20"/>
                <w:color w:val="auto"/>
              </w:rPr>
            </w:pPr>
            <w:r>
              <w:rPr>
                <w:rFonts w:ascii="Arial" w:cs="Arial" w:eastAsia="Arial" w:hAnsi="Arial"/>
                <w:sz w:val="14"/>
                <w:szCs w:val="14"/>
                <w:b w:val="1"/>
                <w:bCs w:val="1"/>
                <w:color w:val="auto"/>
              </w:rPr>
              <w:t>ADJUSTED TERM SOFR ELECTION</w:t>
            </w:r>
          </w:p>
        </w:tc>
      </w:tr>
      <w:tr>
        <w:trPr>
          <w:trHeight w:val="33"/>
        </w:trPr>
        <w:tc>
          <w:tcPr>
            <w:tcW w:w="316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34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50 to 150 basis points over the Base Rate</w:t>
            </w:r>
          </w:p>
        </w:tc>
        <w:tc>
          <w:tcPr>
            <w:tcW w:w="4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150 to 250 basis points over the Adjusted Term SOFR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transition to SOFR did not materially impact the interest rate applied to the Company’s borrowings. No other material changes were made to the terms of the Company’s Credit Agreement as a result of the Amended Credit Agreement.</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Fees on letters of credit and daily unused availability under the revolving credit facility are 150 to 250 basis points and 25 to 40 basis points,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commitments under the Senior Secured Credit Facility may be increased in an aggregate principal amount of up to: (i) $225.0 million or</w:t>
      </w:r>
    </w:p>
    <w:p>
      <w:pPr>
        <w:spacing w:after="0" w:line="43" w:lineRule="exact"/>
        <w:rPr>
          <w:sz w:val="20"/>
          <w:szCs w:val="20"/>
          <w:color w:val="auto"/>
        </w:rPr>
      </w:pPr>
    </w:p>
    <w:p>
      <w:pPr>
        <w:jc w:val="both"/>
        <w:ind w:firstLine="8"/>
        <w:spacing w:after="0" w:line="253" w:lineRule="auto"/>
        <w:tabs>
          <w:tab w:leader="none" w:pos="302" w:val="left"/>
        </w:tabs>
        <w:numPr>
          <w:ilvl w:val="0"/>
          <w:numId w:val="73"/>
        </w:numPr>
        <w:rPr>
          <w:rFonts w:ascii="Arial" w:cs="Arial" w:eastAsia="Arial" w:hAnsi="Arial"/>
          <w:sz w:val="20"/>
          <w:szCs w:val="20"/>
          <w:color w:val="auto"/>
        </w:rPr>
      </w:pPr>
      <w:r>
        <w:rPr>
          <w:rFonts w:ascii="Arial" w:cs="Arial" w:eastAsia="Arial" w:hAnsi="Arial"/>
          <w:sz w:val="20"/>
          <w:szCs w:val="20"/>
          <w:color w:val="auto"/>
        </w:rPr>
        <w:t>at the Company’s option, up to an unlimited amount of incremental facilities, so long as the Consolidated Senior Secured Net Leverage Ratio, as defined in the Amended Credit Agreement, is no more than 3.00 to 1.00 as of the last day of the most recent period of four consecutive fiscal quarters ended.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Amended Credit Agreement limits, subject to certain exceptions, the Company’s ability and the ability of its subsidiaries to incur additional indebtedness; make significant payments; sell assets; pay dividends and other restricted payments; make certain investments; acquire certain assets; effect mergers and similar transactions; and effect certain other transactions with affiliates.</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Total Net Leverage Ratio (“TNLR”) is the ratio of Consolidated Total Debt (Current portion of long-term debt and Long-term debt, net of cash, excluding the 2025 Notes) to Consolidated EBITDA (earnings before interest, taxes, depreciation and amortization and certain other adjustments as defined in the Amended Credit Agreement). The Amended Credit Agreement requires a TNLR not to exceed 4.50 to 1.00.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25, 2022 and December 26, 2021, the Company was in compliance with its debt covenants.</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2029 Notes </w:t>
      </w:r>
      <w:r>
        <w:rPr>
          <w:rFonts w:ascii="Arial" w:cs="Arial" w:eastAsia="Arial" w:hAnsi="Arial"/>
          <w:sz w:val="20"/>
          <w:szCs w:val="20"/>
          <w:color w:val="auto"/>
        </w:rPr>
        <w:t>- On April 16, 2021, the Company and its wholly-owned subsidiary OSI, as co-issuers, issued $300.0 million aggregate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of senior unsecured notes due 2029 (the “2029 Notes”).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2029 Notes were issued pursuant to an Indenture, dated April 16, 2021 (the “Indenture”), by and among the Company, the guarantors named therein, and Wells Fargo Bank, National Association, as trustee. The 2029 Notes are guaranteed by each of the Company’s existing and future domestic restricted subsidiaries (other than OSI) that are guarantors or borrowers under its Senior Secured Credit Facility or certain other indebtedness. The 2029 Notes mature on April 15, 2029, unless earlier redeemed or purchased by the Company. The 2029 Notes bear cash interest at an annual rate of 5.125% payable semi-annually in arrears on April 15 and October 15 of each year.</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Company may redeem some or all of the 2029 Notes at any time on or after April 15, 2024, at the redemption prices set forth in the Indenture, plus accrued and unpaid interest. The Company may also redeem up to 40% of the 2029 Notes in an amount not greater than the proceeds of certain equity offerings completed before April 15, 2024, at a redemption price equal to 105.125% of the principal amount thereof, plus accrued and unpaid interest. In addition, at any time prior to April 15, 2024, the Company may redeem some or all of the 2029 Notes at a price equal to 100% of the principal amount, plus a make-whole premium, plus accrued and unpaid interest.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Indenture contains restrictive covenants that limit the ability of the Company and its restricted subsidiaries to, among other things, incur additional indebtedness or issue certain preferred stock; pay dividends, redeem stock or 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net proceeds from the 2029 Notes offering were approximately $294.5 million, after deducting the initial purchaser’s discount and the Company’s offering expenses. The net proceeds were used to repay a portion of the Company’s outstanding Term loan A and revolving credit facility in conjunction with the refinancing of its Former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Maturities - </w:t>
      </w:r>
      <w:r>
        <w:rPr>
          <w:rFonts w:ascii="Arial" w:cs="Arial" w:eastAsia="Arial" w:hAnsi="Arial"/>
          <w:sz w:val="18"/>
          <w:szCs w:val="18"/>
          <w:color w:val="auto"/>
        </w:rPr>
        <w:t>Following is a summary of principal payments of the Company’s total consolidated debt outstanding as of the period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DECEMBER 25, 2022</w:t>
            </w: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1,275</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105,821</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430,426</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2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301,442</w:t>
            </w:r>
          </w:p>
        </w:tc>
      </w:tr>
      <w:tr>
        <w:trPr>
          <w:trHeight w:val="216"/>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payments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840,976</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(6,493)</w:t>
            </w:r>
          </w:p>
        </w:tc>
      </w:tr>
      <w:tr>
        <w:trPr>
          <w:trHeight w:val="22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finance lease interest</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16"/>
        </w:trPr>
        <w:tc>
          <w:tcPr>
            <w:tcW w:w="9300" w:type="dxa"/>
            <w:vAlign w:val="bottom"/>
          </w:tcPr>
          <w:p>
            <w:pPr>
              <w:ind w:left="140"/>
              <w:spacing w:after="0"/>
              <w:rPr>
                <w:sz w:val="20"/>
                <w:szCs w:val="20"/>
                <w:color w:val="auto"/>
              </w:rPr>
            </w:pPr>
            <w:r>
              <w:rPr>
                <w:rFonts w:ascii="Arial" w:cs="Arial" w:eastAsia="Arial" w:hAnsi="Arial"/>
                <w:sz w:val="16"/>
                <w:szCs w:val="16"/>
                <w:color w:val="auto"/>
              </w:rPr>
              <w:t>Total principal payments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833,292</w:t>
            </w:r>
          </w:p>
        </w:tc>
      </w:tr>
      <w:tr>
        <w:trPr>
          <w:trHeight w:val="21"/>
        </w:trPr>
        <w:tc>
          <w:tcPr>
            <w:tcW w:w="9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Convertible Senior Notes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color w:val="auto"/>
        </w:rPr>
        <w:t xml:space="preserve">2025 Notes </w:t>
      </w:r>
      <w:r>
        <w:rPr>
          <w:rFonts w:ascii="Arial" w:cs="Arial" w:eastAsia="Arial" w:hAnsi="Arial"/>
          <w:sz w:val="20"/>
          <w:szCs w:val="20"/>
          <w:color w:val="auto"/>
        </w:rPr>
        <w:t>- In May 2020, the Company completed a $230.0 million principal amount private offering of 5.00% convertible senior</w:t>
      </w:r>
      <w:r>
        <w:rPr>
          <w:rFonts w:ascii="Arial" w:cs="Arial" w:eastAsia="Arial" w:hAnsi="Arial"/>
          <w:sz w:val="20"/>
          <w:szCs w:val="20"/>
          <w:i w:val="1"/>
          <w:iCs w:val="1"/>
          <w:color w:val="auto"/>
        </w:rPr>
        <w:t xml:space="preserve"> </w:t>
      </w:r>
      <w:r>
        <w:rPr>
          <w:rFonts w:ascii="Arial" w:cs="Arial" w:eastAsia="Arial" w:hAnsi="Arial"/>
          <w:sz w:val="20"/>
          <w:szCs w:val="20"/>
          <w:color w:val="auto"/>
        </w:rPr>
        <w:t>unsecured notes due in 2025. The 2025 Notes are governed by the terms of an indenture between the Company and Wells Fargo Bank, National Association, as the Trustee. The 2025 Notes mature on May 1, 2025, unless earlier converted, redeemed or purchased by the Company. The 2025 Notes bear cash interest at an annual rate of 5.00%, payable semi-annually in arrears on May 1 and November 1 of each year. Net proceeds from the 2025 Notes offering were approximately $221.6 million, after deducting the initial purchaser’s discounts and commissions and the Company’s offering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initial conversion rate applicable to the 2025 Notes was 84.122 shares of common stock per $1,000 principal amount of 2025 Notes, or a total of approximately 19.348 million shares for the total $230.0 million principal amount. This initial conversion rate was equivalent to an initial conversion price of approximately $11.89 per share. The conversion rate is subject to adjustment upon the occurrence of certain specified events.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Prior to the close of business on the business day immediately preceding November 1, 2024, holders may convert all or a portion of their 2025 Notes under the following circumstances: (i) during any calendar quarter commencing after the calendar quarter ending on June 30, 2020,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five consecutive trading day period (the “measurement period”) in which the trading price per $1,000 principal amount of 2025 Notes for each trading day of the measurement period was less than 98% of the product of the last reported sale price per share of the Company’s common stock and the conversion rate on each such trading day; (iii) upon the occurrence of specified corporate events or distributions on the Company’s common stock; (iv) if the Company calls the 2025 Notes for redemption and (v) at any time from, and including November 1, 2024 until the close of business on the second scheduled trading day immediately before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2025 Notes will be redeemable by the Company, in whole or in part, at the Company’s option at any time, and from time to time, on or after May 1, 2023 and on or before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a fundamental change occurs prior to the maturity date, holders may require the Company to repurchase all or a portion of their 2025 Notes for cash at a price equal to 100% of the principal amount of the 2025 Notes to be repurchased, plus accrued and unpaid interest. Holders of 2025 Notes who convert their 2025 Notes in connection with a notice of redemption or a make-whole fundamental change may be entitled to a premium in the form of an increase in the conversion rate of the 2025 Notes.</w:t>
      </w:r>
    </w:p>
    <w:p>
      <w:pPr>
        <w:spacing w:after="0" w:line="211"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 xml:space="preserve">Based on the daily closing prices of the Company’s stock during the quarter ended December 25, 2022, holders of the 2025 Notes are eligible to convert their 2025 Notes during the first quarter of 2023. The Company has provided the trustee of </w:t>
      </w:r>
      <w:r>
        <w:rPr>
          <w:rFonts w:ascii="Arial" w:cs="Arial" w:eastAsia="Arial" w:hAnsi="Arial"/>
          <w:sz w:val="16"/>
          <w:szCs w:val="16"/>
          <w:color w:val="252525"/>
        </w:rPr>
        <w:t>the</w:t>
      </w:r>
      <w:r>
        <w:rPr>
          <w:rFonts w:ascii="Arial" w:cs="Arial" w:eastAsia="Arial" w:hAnsi="Arial"/>
          <w:sz w:val="16"/>
          <w:szCs w:val="16"/>
          <w:color w:val="auto"/>
        </w:rPr>
        <w:t xml:space="preserve"> 2025 Notes notice of its irrevocable election under the 2025 Notes indenture to settle the principal portion of </w:t>
      </w:r>
      <w:r>
        <w:rPr>
          <w:rFonts w:ascii="Arial" w:cs="Arial" w:eastAsia="Arial" w:hAnsi="Arial"/>
          <w:sz w:val="16"/>
          <w:szCs w:val="16"/>
          <w:color w:val="252525"/>
        </w:rPr>
        <w:t>the</w:t>
      </w:r>
      <w:r>
        <w:rPr>
          <w:rFonts w:ascii="Arial" w:cs="Arial" w:eastAsia="Arial" w:hAnsi="Arial"/>
          <w:sz w:val="16"/>
          <w:szCs w:val="16"/>
          <w:color w:val="auto"/>
        </w:rPr>
        <w:t xml:space="preserve"> 2025 Notes upon conversion in cash and any excess in shares.</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May 25, 2022, the Company entered into exchange agreements (the “Exchange Agreements”) with certain holders (the “Noteholders”) of the 2025 Notes. The Noteholders agreed to exchange $125.0 million in aggregate principal amount of the Company’s outstanding 2025 Notes for $196.9 million in cash, plus accrued interest, and approximately 2.3 million shares of the Company’s common stock (the “2025 Notes Partial Repurchase”). Under the Exchange Agreements, the total amount of cash paid and number of shares of common stock issued by the Company were based upon the volume-weighted average price per share of the Company’s common stock during a ten-trading day averaging period ending on June 14, 2022. Upon entering into the Exchange Agreements, the conversion feature related to the 2025 Notes repurchased, as well as the settlements of the related convertible senior note hedges and warrants, were subject to derivative accounting. In connection with the 2025 Notes Partial Repurchase, the Company recognized a loss on extinguishment of debt of $104.7 million and a loss on fair value adjustment of derivatives, net of $17.7 million, and recorded a $48.5 million increase to Additional paid-in capital during 2022.</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In connection with dividends paid during 2022, the conversion rate for the remaining 2025 Notes decreased to approximately $11.59 per share, which represents 86.267 shares of common stock per $1,000 principal amount of the 2025 Notes, or a total of approximately 9.058 million shares.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includes the outstanding principal amount and carrying value of the 2025 Notes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25, 2022</w:t>
            </w:r>
          </w:p>
        </w:tc>
        <w:tc>
          <w:tcPr>
            <w:tcW w:w="240" w:type="dxa"/>
            <w:vAlign w:val="bottom"/>
          </w:tcPr>
          <w:p>
            <w:pPr>
              <w:spacing w:after="0"/>
              <w:rPr>
                <w:sz w:val="19"/>
                <w:szCs w:val="19"/>
                <w:color w:val="auto"/>
              </w:rPr>
            </w:pPr>
          </w:p>
        </w:tc>
        <w:tc>
          <w:tcPr>
            <w:tcW w:w="186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26, 2021</w:t>
            </w:r>
          </w:p>
        </w:tc>
      </w:tr>
      <w:tr>
        <w:trPr>
          <w:trHeight w:val="20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Principal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16"/>
                <w:szCs w:val="16"/>
                <w:color w:val="auto"/>
              </w:rPr>
              <w:t>105,000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26"/>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debt issuance costs (1)</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w:t>
            </w:r>
          </w:p>
        </w:tc>
      </w:tr>
      <w:tr>
        <w:trPr>
          <w:trHeight w:val="216"/>
        </w:trPr>
        <w:tc>
          <w:tcPr>
            <w:tcW w:w="6960" w:type="dxa"/>
            <w:vAlign w:val="bottom"/>
          </w:tcPr>
          <w:p>
            <w:pPr>
              <w:ind w:left="22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103,061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224,102</w:t>
            </w:r>
          </w:p>
        </w:tc>
      </w:tr>
      <w:tr>
        <w:trPr>
          <w:trHeight w:val="20"/>
        </w:trPr>
        <w:tc>
          <w:tcPr>
            <w:tcW w:w="6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75" w:lineRule="auto"/>
        <w:tabs>
          <w:tab w:leader="none" w:pos="660" w:val="left"/>
        </w:tabs>
        <w:numPr>
          <w:ilvl w:val="0"/>
          <w:numId w:val="74"/>
        </w:numPr>
        <w:rPr>
          <w:rFonts w:ascii="Arial" w:cs="Arial" w:eastAsia="Arial" w:hAnsi="Arial"/>
          <w:sz w:val="16"/>
          <w:szCs w:val="16"/>
          <w:color w:val="252525"/>
        </w:rPr>
      </w:pPr>
      <w:r>
        <w:rPr>
          <w:rFonts w:ascii="Arial" w:cs="Arial" w:eastAsia="Arial" w:hAnsi="Arial"/>
          <w:sz w:val="16"/>
          <w:szCs w:val="16"/>
          <w:color w:val="auto"/>
        </w:rPr>
        <w:t>Debt issuance costs are amortized to Interest expense, net using the effective interest method over the 2025 Notes’ expected life. During 2022, the Company wrote off $2.8 million of debt issuance costs as a result of the 2025 Notes Partial Repurchase.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252525"/>
        </w:rPr>
        <w:t xml:space="preserve">Following is a summary of interest expense for the </w:t>
      </w:r>
      <w:r>
        <w:rPr>
          <w:rFonts w:ascii="Arial" w:cs="Arial" w:eastAsia="Arial" w:hAnsi="Arial"/>
          <w:sz w:val="20"/>
          <w:szCs w:val="20"/>
          <w:color w:val="000000"/>
        </w:rPr>
        <w:t>2025 Notes, by component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Coupon 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Deferred discount amortization</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2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issuance cost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6"/>
        </w:trPr>
        <w:tc>
          <w:tcPr>
            <w:tcW w:w="7060" w:type="dxa"/>
            <w:vAlign w:val="bottom"/>
          </w:tcPr>
          <w:p>
            <w:pPr>
              <w:ind w:left="240"/>
              <w:spacing w:after="0"/>
              <w:rPr>
                <w:sz w:val="20"/>
                <w:szCs w:val="20"/>
                <w:color w:val="auto"/>
              </w:rPr>
            </w:pPr>
            <w:r>
              <w:rPr>
                <w:rFonts w:ascii="Arial" w:cs="Arial" w:eastAsia="Arial" w:hAnsi="Arial"/>
                <w:sz w:val="16"/>
                <w:szCs w:val="16"/>
                <w:color w:val="auto"/>
              </w:rPr>
              <w:t>Total interest expense (1)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effective rate of the 2025 Notes over their expected life was </w:t>
      </w:r>
      <w:r>
        <w:rPr>
          <w:rFonts w:ascii="Arial" w:cs="Arial" w:eastAsia="Arial" w:hAnsi="Arial"/>
          <w:sz w:val="16"/>
          <w:szCs w:val="16"/>
          <w:color w:val="252525"/>
        </w:rPr>
        <w:t>5.85% for</w:t>
      </w:r>
      <w:r>
        <w:rPr>
          <w:rFonts w:ascii="Arial" w:cs="Arial" w:eastAsia="Arial" w:hAnsi="Arial"/>
          <w:sz w:val="16"/>
          <w:szCs w:val="16"/>
          <w:color w:val="auto"/>
        </w:rPr>
        <w:t xml:space="preserve"> 2022 </w:t>
      </w:r>
      <w:r>
        <w:rPr>
          <w:rFonts w:ascii="Arial" w:cs="Arial" w:eastAsia="Arial" w:hAnsi="Arial"/>
          <w:sz w:val="16"/>
          <w:szCs w:val="16"/>
          <w:color w:val="252525"/>
        </w:rPr>
        <w:t>and 2021 and 13.73% for 2020.</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auto"/>
        </w:rPr>
        <w:t>- In connection with the offering of the 2025 Notes, the Company entered into convertible</w:t>
      </w:r>
      <w:r>
        <w:rPr>
          <w:rFonts w:ascii="Arial" w:cs="Arial" w:eastAsia="Arial" w:hAnsi="Arial"/>
          <w:sz w:val="20"/>
          <w:szCs w:val="20"/>
          <w:i w:val="1"/>
          <w:iCs w:val="1"/>
          <w:color w:val="auto"/>
        </w:rPr>
        <w:t xml:space="preserve"> </w:t>
      </w:r>
      <w:r>
        <w:rPr>
          <w:rFonts w:ascii="Arial" w:cs="Arial" w:eastAsia="Arial" w:hAnsi="Arial"/>
          <w:sz w:val="20"/>
          <w:szCs w:val="20"/>
          <w:color w:val="auto"/>
        </w:rPr>
        <w:t>note hedge transactions (the “Convertible Note Hedge Transactions”) with certain of the initial purchasers of the 2025 Notes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Convertible Note Hedge Transactions cover, subject to customary anti-dilution adjustments, the number of shares of the Company’s common stock that initially underlie the 2025 Notes, and are expected generally to reduce the potential equity dilution in excess of the principal amount due upon conversion of the 2025 Notes. The Warrant Transactions have a dilutive effect on the Company’s common stock to the extent that the price of its common stock exceeds the strike price of the Warrant Transactions. The strike price was initially $16.64 per share and is subject to certain adjustments under the terms of the Warrant Transactions.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portion of the net proceeds to the Company from the offering of the 2025 Notes that was used to pay the premium on the Convertible Note Hedge Transactions, net of the proceeds to the Company from the Warrant Transactions, was approximately $19.6 million. The net costs incurred in connection with the Convertible Note Hedge Transactions and Warrant Transactions were recorded as a reduction to Additional paid-in capital on the Company’s Consolidated Balance Sheet during 2020.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Convertible Note Hedge Transactions are exercisable upon conversion of the 2025 Notes. The Convertible Note Hedge Transactions expire upon maturity of the 2025 Notes. The Warrant Transactions are exercisable on the expiration dates included in the related forms of confirmation.</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connection with the 2025 Notes Partial Repurchase, the Company entered into partial unwind agreements with certain financial institutions relating to a portion of the convertible note hedge transactions (the “Note Hedge Early Termination Agreements”) and a portion of the Warrant Transactions (the “Warrant Early Termination Agreements”) that were previously entered into by the Company in connection with the issuance of the 2025 Notes. Upon settlement, the Company received $131.9 million for the Note Hedge Early Termination Agreements and paid $114.8 million for the Warrant Early Termination Agreements. In connection with the Note Hedge Early Termination Agreements and the Warrant Early Termination Agreements the Company recorded a $113.0 million increase and a $97.6 million decrease, respectively, to Additional paid-in capital during 2022.</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remaining Warrant Transactions have a dilutive effect on the Company’s common stock to the extent that the price of its common stock exceeds the strike price of the Warrant Transactions. In connection with dividends paid during 2022, the strike price for the remaining Warrant Transactions decreased to $16.23.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15.</w:t>
        <w:tab/>
        <w:t>Other Long-term Liabilities,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insurance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31,517</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Deferred payroll tax liabilities (1)</w:t>
            </w:r>
          </w:p>
        </w:tc>
        <w:tc>
          <w:tcPr>
            <w:tcW w:w="18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obligations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28,909</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125,242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During 2022, the Company made a payment of $27.3 million related to payroll taxes deferred under the CARES Act.</w:t>
      </w:r>
    </w:p>
    <w:p>
      <w:pPr>
        <w:spacing w:after="0" w:line="227" w:lineRule="exact"/>
        <w:rPr>
          <w:sz w:val="20"/>
          <w:szCs w:val="20"/>
          <w:color w:val="auto"/>
        </w:rPr>
      </w:pPr>
    </w:p>
    <w:p>
      <w:pPr>
        <w:ind w:left="700" w:hanging="692"/>
        <w:spacing w:after="0"/>
        <w:tabs>
          <w:tab w:leader="none" w:pos="7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8, 2022, the Company’s Board of Directors (the “Board”) approved a share repurchase program (the “2022</w:t>
      </w:r>
      <w:r>
        <w:rPr>
          <w:rFonts w:ascii="Arial" w:cs="Arial" w:eastAsia="Arial" w:hAnsi="Arial"/>
          <w:sz w:val="20"/>
          <w:szCs w:val="20"/>
          <w:i w:val="1"/>
          <w:iCs w:val="1"/>
          <w:color w:val="auto"/>
        </w:rPr>
        <w:t xml:space="preserve"> </w:t>
      </w:r>
      <w:r>
        <w:rPr>
          <w:rFonts w:ascii="Arial" w:cs="Arial" w:eastAsia="Arial" w:hAnsi="Arial"/>
          <w:sz w:val="20"/>
          <w:szCs w:val="20"/>
          <w:color w:val="auto"/>
        </w:rPr>
        <w:t>Share Repurchase Program”) under which the Company was authorized to repurchase up to $125.0 million of its outstanding common stock. The 2022 Share Repurchase Program will expire on August 9, 2023. As of December 25, 2022, $15.0 million remained available for repurchase under the 2022 Share Repurchase Program. Following is a summary of the shares repurchased under the 2022 Share Repurchase Program during fiscal year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7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REPURCHASE PRICE</w:t>
            </w:r>
          </w:p>
        </w:tc>
        <w:tc>
          <w:tcPr>
            <w:tcW w:w="320" w:type="dxa"/>
            <w:vAlign w:val="bottom"/>
          </w:tcPr>
          <w:p>
            <w:pPr>
              <w:spacing w:after="0"/>
              <w:rPr>
                <w:sz w:val="12"/>
                <w:szCs w:val="12"/>
                <w:color w:val="auto"/>
              </w:rPr>
            </w:pPr>
          </w:p>
        </w:tc>
        <w:tc>
          <w:tcPr>
            <w:tcW w:w="14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5760" w:type="dxa"/>
            <w:vAlign w:val="bottom"/>
            <w:tcBorders>
              <w:bottom w:val="single" w:sz="8" w:color="CCEEFF"/>
            </w:tcBorders>
            <w:vMerge w:val="continue"/>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11,702</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35,749</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Fourth fiscal quarter</w:t>
            </w: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1,371</w:t>
            </w: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28,999</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common stock repurchases (1)</w:t>
            </w: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5,429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109,999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Subsequent to December 25, 2022, the Company repurchased 644 thousand shares of its common stock for $15.0 million under a Rule 10b5-1 plan.</w:t>
      </w:r>
    </w:p>
    <w:p>
      <w:pPr>
        <w:spacing w:after="0" w:line="237"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On February 7, 2023, the Company’s Board approved a new $125.0 million authorization (the “2023 Share Repurchase Program”). The 2023 Share Repurchase Program will expire on August 7,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the periods presented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DIVIDENDS PER SHARE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spacing w:after="0"/>
              <w:rPr>
                <w:sz w:val="16"/>
                <w:szCs w:val="16"/>
                <w:color w:val="auto"/>
              </w:rPr>
            </w:pPr>
          </w:p>
        </w:tc>
      </w:tr>
      <w:tr>
        <w:trPr>
          <w:trHeight w:val="32"/>
        </w:trPr>
        <w:tc>
          <w:tcPr>
            <w:tcW w:w="6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6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20" w:type="dxa"/>
            <w:vAlign w:val="bottom"/>
            <w:tcBorders>
              <w:bottom w:val="single" w:sz="8" w:color="auto"/>
            </w:tcBorders>
          </w:tcPr>
          <w:p>
            <w:pPr>
              <w:spacing w:after="0"/>
              <w:rPr>
                <w:sz w:val="18"/>
                <w:szCs w:val="18"/>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3"/>
              </w:rPr>
              <w:t>2020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17,480</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7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220" w:type="dxa"/>
            <w:vAlign w:val="bottom"/>
          </w:tcPr>
          <w:p>
            <w:pPr>
              <w:ind w:left="20"/>
              <w:spacing w:after="0"/>
              <w:rPr>
                <w:sz w:val="20"/>
                <w:szCs w:val="20"/>
                <w:color w:val="auto"/>
              </w:rPr>
            </w:pPr>
            <w:r>
              <w:rPr>
                <w:rFonts w:ascii="Arial" w:cs="Arial" w:eastAsia="Arial" w:hAnsi="Arial"/>
                <w:sz w:val="16"/>
                <w:szCs w:val="16"/>
                <w:color w:val="auto"/>
              </w:rPr>
              <w:t>Fourth fiscal quarter</w:t>
            </w:r>
          </w:p>
        </w:tc>
        <w:tc>
          <w:tcPr>
            <w:tcW w:w="72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6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cash dividends declared and paid</w:t>
            </w:r>
          </w:p>
        </w:tc>
        <w:tc>
          <w:tcPr>
            <w:tcW w:w="72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0.20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February 7, 2023, the Board declared a quarterly cash dividend of $0.24 per share, payable on March 15, 2023 to shareholders of record at the close of business on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Redeemable Preferred Stock </w:t>
      </w:r>
      <w:r>
        <w:rPr>
          <w:rFonts w:ascii="Arial" w:cs="Arial" w:eastAsia="Arial" w:hAnsi="Arial"/>
          <w:sz w:val="18"/>
          <w:szCs w:val="18"/>
          <w:color w:val="auto"/>
        </w:rPr>
        <w:t>- In connection with the development of its Abbraccio Cucina Italiana (“Abbraccio”) concept in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sold preferred shares of its Abbraccio concept (“Abbraccio Shares”) to certain investors. During 2020, the Company exercised a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(195,480)</w:t>
            </w: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180" w:type="dxa"/>
            <w:vAlign w:val="bottom"/>
          </w:tcPr>
          <w:p>
            <w:pPr>
              <w:spacing w:after="0"/>
              <w:rPr>
                <w:sz w:val="19"/>
                <w:szCs w:val="19"/>
                <w:color w:val="auto"/>
              </w:rPr>
            </w:pPr>
          </w:p>
        </w:tc>
        <w:tc>
          <w:tcPr>
            <w:tcW w:w="1840" w:type="dxa"/>
            <w:vAlign w:val="bottom"/>
            <w:gridSpan w:val="2"/>
          </w:tcPr>
          <w:p>
            <w:pPr>
              <w:ind w:left="1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(10,509)</w:t>
            </w:r>
          </w:p>
        </w:tc>
      </w:tr>
      <w:tr>
        <w:trPr>
          <w:trHeight w:val="241"/>
        </w:trPr>
        <w:tc>
          <w:tcPr>
            <w:tcW w:w="7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(205,989)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income (loss) attributable to Bloomin’ Brands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(loss) on derivatives, net of tax (1)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Reclassification of adjustments for loss on derivatives included in Net income (loss), net of tax (2)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9,923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terminated interest rate swaps included in Net income (loss), net of tax (2)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gain (loss) on derivatives, net of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attributable to Bloomin’ Brands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gridSpan w:val="2"/>
            <w:vMerge w:val="restart"/>
          </w:tcPr>
          <w:p>
            <w:pPr>
              <w:jc w:val="right"/>
              <w:ind w:right="5660"/>
              <w:spacing w:after="0"/>
              <w:rPr>
                <w:sz w:val="20"/>
                <w:szCs w:val="20"/>
                <w:color w:val="auto"/>
              </w:rPr>
            </w:pPr>
            <w:r>
              <w:rPr>
                <w:rFonts w:ascii="Arial" w:cs="Arial" w:eastAsia="Arial" w:hAnsi="Arial"/>
                <w:sz w:val="16"/>
                <w:szCs w:val="16"/>
                <w:color w:val="auto"/>
                <w:w w:val="89"/>
              </w:rPr>
              <w:t>________________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Unrealized loss on derivatives during 2020 is net of tax of $5.1 million.</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See Note 17 -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the tax impact of reclassifications and the terminated swaps.</w:t>
      </w:r>
    </w:p>
    <w:p>
      <w:pPr>
        <w:spacing w:after="0" w:line="227" w:lineRule="exact"/>
        <w:rPr>
          <w:sz w:val="20"/>
          <w:szCs w:val="20"/>
          <w:color w:val="auto"/>
        </w:rPr>
      </w:pPr>
    </w:p>
    <w:p>
      <w:pPr>
        <w:ind w:left="800" w:hanging="792"/>
        <w:spacing w:after="0"/>
        <w:tabs>
          <w:tab w:leader="none" w:pos="8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5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The Company manages economic risks, including interest rate variability, primarily by managing the amount, 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Designated Hedges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auto"/>
        </w:rPr>
        <w:t>In October 2018, the Company entered into variable-to-fixed interest rate swap agreements with 12</w:t>
      </w:r>
      <w:r>
        <w:rPr>
          <w:rFonts w:ascii="Arial" w:cs="Arial" w:eastAsia="Arial" w:hAnsi="Arial"/>
          <w:sz w:val="20"/>
          <w:szCs w:val="20"/>
          <w:i w:val="1"/>
          <w:iCs w:val="1"/>
          <w:color w:val="auto"/>
        </w:rPr>
        <w:t xml:space="preserve"> </w:t>
      </w:r>
      <w:r>
        <w:rPr>
          <w:rFonts w:ascii="Arial" w:cs="Arial" w:eastAsia="Arial" w:hAnsi="Arial"/>
          <w:sz w:val="20"/>
          <w:szCs w:val="20"/>
          <w:color w:val="auto"/>
        </w:rPr>
        <w:t>counterparties to hedge a portion of the cash flows of the Company’s variable rate debt (the “2018 Swap Agreements”). The 2018 Swap Agreements had an aggregate notional amount of $550.0 million and matured on November 30, 2022. Under the terms of the 2018 Swap Agreements, the Company paid a weighted average fixed rate of 3.04% on the notional amount and received payments from the counterparties based on the one-month LIBOR rate.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connection with the refinancing of its Former Credit Facility, on April 16, 2021 the Company terminated its variable-to-fixed interest rate swap agreements with seven counterparties having an aggregate notional amount of $275.0 million for a payment of approximately $13.3 million, including accrued interest. Following these terminations, $13.4 million of unrealized losses related to the terminated swap agreements included in AOCL were amortized on a straight-line basis to Interest expense, net over the remaining original term of the terminated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a result of the Company’s anticipated decrease in variable rate debt balances due to significant voluntary debt payments, on December 9, 2021 the Company terminated its variable-to-fixed interest rate swap agreements with three counterparties having an aggregate notional amount of $150.0 million for a payment of approximately $4.1 million, including accrued interest. Following these terminations, $4.1 million of unrealized losses related to the terminated swap agreements included in AOCL were amortized to Interest expense, net over the remaining original term of the terminated swaps.</w:t>
      </w:r>
    </w:p>
    <w:p>
      <w:pPr>
        <w:spacing w:after="0" w:line="22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connection with the Amended Credit Agreement, on April 26, 2022 the Company terminated its remaining variable-to-fixed interest rate swap agreements. Following these terminations, the unrealized losses related to the terminated swap agreements included in Accumulated other comprehensive loss were amortized to Interest expense, net over the remaining original term of the terminated swaps.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Company’s swap agreements were designated and qualified as cash flow hedges, recognized on its Consolidated Balance Sheet at fair value as of December 26, 2021 and classified based on the instruments’ maturity dates. The following table presents the fair value and classification of the Company’s swap agreements as of the period indicated: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26, 2021</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c>
          <w:tcPr>
            <w:tcW w:w="0" w:type="dxa"/>
            <w:vAlign w:val="bottom"/>
          </w:tcPr>
          <w:p>
            <w:pPr>
              <w:spacing w:after="0"/>
              <w:rPr>
                <w:sz w:val="1"/>
                <w:szCs w:val="1"/>
                <w:color w:val="auto"/>
              </w:rPr>
            </w:pPr>
          </w:p>
        </w:tc>
      </w:tr>
      <w:tr>
        <w:trPr>
          <w:trHeight w:val="205"/>
        </w:trPr>
        <w:tc>
          <w:tcPr>
            <w:tcW w:w="5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liability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 xml:space="preserve">See Note 19 -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for fair value discussion of the interest rate swaps.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interest rate swaps were subject to master netting arrangements. As of December 26, 2021, the Company did not have more than one derivative between the same counterparties and as such, there was no netting.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effects of the swap agreements on Net income (loss)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Interest rate swap expense recognized in Interest expense, net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(9,951)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(13,370)</w:t>
            </w:r>
          </w:p>
        </w:tc>
        <w:tc>
          <w:tcPr>
            <w:tcW w:w="0" w:type="dxa"/>
            <w:vAlign w:val="bottom"/>
          </w:tcPr>
          <w:p>
            <w:pPr>
              <w:spacing w:after="0"/>
              <w:rPr>
                <w:sz w:val="1"/>
                <w:szCs w:val="1"/>
                <w:color w:val="auto"/>
              </w:rPr>
            </w:pPr>
          </w:p>
        </w:tc>
      </w:tr>
      <w:tr>
        <w:trPr>
          <w:trHeight w:val="226"/>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 recognized in 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w:t>
            </w:r>
          </w:p>
        </w:tc>
        <w:tc>
          <w:tcPr>
            <w:tcW w:w="0" w:type="dxa"/>
            <w:vAlign w:val="bottom"/>
          </w:tcPr>
          <w:p>
            <w:pPr>
              <w:spacing w:after="0"/>
              <w:rPr>
                <w:sz w:val="1"/>
                <w:szCs w:val="1"/>
                <w:color w:val="auto"/>
              </w:rPr>
            </w:pPr>
          </w:p>
        </w:tc>
      </w:tr>
      <w:tr>
        <w:trPr>
          <w:trHeight w:val="216"/>
        </w:trPr>
        <w:tc>
          <w:tcPr>
            <w:tcW w:w="6900" w:type="dxa"/>
            <w:vAlign w:val="bottom"/>
          </w:tcPr>
          <w:p>
            <w:pPr>
              <w:ind w:left="260"/>
              <w:spacing w:after="0"/>
              <w:rPr>
                <w:sz w:val="20"/>
                <w:szCs w:val="20"/>
                <w:color w:val="auto"/>
              </w:rPr>
            </w:pPr>
            <w:r>
              <w:rPr>
                <w:rFonts w:ascii="Arial" w:cs="Arial" w:eastAsia="Arial" w:hAnsi="Arial"/>
                <w:sz w:val="16"/>
                <w:szCs w:val="16"/>
                <w:color w:val="auto"/>
              </w:rPr>
              <w:t>Net effects of interest rate swap agreements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(9,923)</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Terminated interest rate swap agreements: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Terminated interest rate swap expense recognized in Interest expense, net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 recognized in Provision (benefit) for income taxes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effects of terminated interest rate swap agreements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net effects on 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utilizing the interest rate swaps, the Company was exposed to credit-related losses in the event that the counterparty failed to perform under the terms of the derivative contract. To mitigate this risk, the Company entered into derivative contracts with major financial institutions based upon credit ratings and other factors. The Company continually assessed the creditworthiness of its counterparties. As of December 26, 2021, all counterparties to the interest rate swaps performed in accordance with their contractual obligations.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Leases</w:t>
      </w:r>
    </w:p>
    <w:p>
      <w:pPr>
        <w:spacing w:after="0" w:line="25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Sheets as of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60" w:type="dxa"/>
            <w:vAlign w:val="bottom"/>
            <w:gridSpan w:val="2"/>
          </w:tcPr>
          <w:p>
            <w:pPr>
              <w:ind w:left="480"/>
              <w:spacing w:after="0"/>
              <w:rPr>
                <w:sz w:val="20"/>
                <w:szCs w:val="20"/>
                <w:color w:val="auto"/>
              </w:rPr>
            </w:pPr>
            <w:r>
              <w:rPr>
                <w:rFonts w:ascii="Arial" w:cs="Arial" w:eastAsia="Arial" w:hAnsi="Arial"/>
                <w:sz w:val="14"/>
                <w:szCs w:val="14"/>
                <w:b w:val="1"/>
                <w:bCs w:val="1"/>
                <w:color w:val="auto"/>
              </w:rPr>
              <w:t>CONSOLIDATED BALANCE SHEET</w:t>
            </w:r>
          </w:p>
        </w:tc>
        <w:tc>
          <w:tcPr>
            <w:tcW w:w="240" w:type="dxa"/>
            <w:vAlign w:val="bottom"/>
          </w:tcPr>
          <w:p>
            <w:pPr>
              <w:spacing w:after="0"/>
              <w:rPr>
                <w:sz w:val="14"/>
                <w:szCs w:val="14"/>
                <w:color w:val="auto"/>
              </w:rPr>
            </w:pPr>
          </w:p>
        </w:tc>
        <w:tc>
          <w:tcPr>
            <w:tcW w:w="1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25, 2022</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205"/>
        </w:trPr>
        <w:tc>
          <w:tcPr>
            <w:tcW w:w="3460" w:type="dxa"/>
            <w:vAlign w:val="bottom"/>
            <w:tcBorders>
              <w:bottom w:val="single" w:sz="8" w:color="CCEEFF"/>
            </w:tcBorders>
            <w:vMerge w:val="continue"/>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1,130,873</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right-of-use assets (1)</w:t>
            </w: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assets, net</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1,107,762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1,132,947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 (2)</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177,028</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 (2)</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1,178,998</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 liabilities</w:t>
            </w: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1,336,674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1,358,248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Net of accumulated amortization of $3.6 million and $3.3 million as December 25, 2022 and December 26, 2021, respectively.</w:t>
      </w:r>
    </w:p>
    <w:p>
      <w:pPr>
        <w:spacing w:after="0" w:line="5"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Excludes current accrued contingent percentage rent of $3.4 million and $3.5 million, as of December 25, 2022 and December 26, 2021, respectively, and immaterial current and non-current COVID-19-related deferred rent accruals.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(Loss)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4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CONSOLIDATED STATEMENTS OF OPERATIONS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16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vMerge w:val="continue"/>
          </w:tcPr>
          <w:p>
            <w:pPr>
              <w:spacing w:after="0"/>
              <w:rPr>
                <w:sz w:val="18"/>
                <w:szCs w:val="18"/>
                <w:color w:val="auto"/>
              </w:rPr>
            </w:pPr>
          </w:p>
        </w:tc>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COMPREHENSIVE INCOME (LOSS) CLASSIFICATION</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178,733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178,740</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Variable lease cost (2)</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Amortization of leased assets</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revenue</w:t>
            </w:r>
          </w:p>
        </w:tc>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Franchise and other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costs, net</w:t>
            </w:r>
          </w:p>
        </w:tc>
        <w:tc>
          <w:tcPr>
            <w:tcW w:w="4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174,895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174,701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5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Excludes rent expense for office facilities and Company-owned closed or subleased properties of $12.2 million, $12.9 million and $13.8 million for 2022, 2021 and 2020, respectively, which is included in General and administrative expense. Also excludes certain immaterial supply chain related rent expense included in Food and beverage costs for 2021 and 2020.</w:t>
      </w:r>
    </w:p>
    <w:p>
      <w:pPr>
        <w:ind w:left="660" w:hanging="652"/>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252525"/>
        </w:rPr>
        <w:t xml:space="preserve">Includes COVID-19-related rent abatements </w:t>
      </w:r>
      <w:r>
        <w:rPr>
          <w:rFonts w:ascii="Arial" w:cs="Arial" w:eastAsia="Arial" w:hAnsi="Arial"/>
          <w:sz w:val="16"/>
          <w:szCs w:val="16"/>
          <w:color w:val="000000"/>
        </w:rPr>
        <w:t>for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25, 2022, future minimum lease payments and sublease revenues under non-cancelable leases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020" w:type="dxa"/>
            <w:vAlign w:val="bottom"/>
          </w:tcPr>
          <w:p>
            <w:pPr>
              <w:jc w:val="right"/>
              <w:ind w:right="201"/>
              <w:spacing w:after="0"/>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0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205"/>
        </w:trPr>
        <w:tc>
          <w:tcPr>
            <w:tcW w:w="73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LEASES (1)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(5,514)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1,407,054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(40,598)</w:t>
            </w:r>
          </w:p>
        </w:tc>
        <w:tc>
          <w:tcPr>
            <w:tcW w:w="0" w:type="dxa"/>
            <w:vAlign w:val="bottom"/>
          </w:tcPr>
          <w:p>
            <w:pPr>
              <w:spacing w:after="0"/>
              <w:rPr>
                <w:sz w:val="1"/>
                <w:szCs w:val="1"/>
                <w:color w:val="auto"/>
              </w:rPr>
            </w:pPr>
          </w:p>
        </w:tc>
      </w:tr>
      <w:tr>
        <w:trPr>
          <w:trHeight w:val="27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minimum lease payments (receipts) (3)</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2,306,920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5,976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(68,581)</w:t>
            </w:r>
          </w:p>
        </w:tc>
        <w:tc>
          <w:tcPr>
            <w:tcW w:w="0" w:type="dxa"/>
            <w:vAlign w:val="bottom"/>
          </w:tcPr>
          <w:p>
            <w:pPr>
              <w:spacing w:after="0"/>
              <w:rPr>
                <w:sz w:val="1"/>
                <w:szCs w:val="1"/>
                <w:color w:val="auto"/>
              </w:rPr>
            </w:pPr>
          </w:p>
        </w:tc>
      </w:tr>
      <w:tr>
        <w:trPr>
          <w:trHeight w:val="183"/>
        </w:trPr>
        <w:tc>
          <w:tcPr>
            <w:tcW w:w="7320" w:type="dxa"/>
            <w:vAlign w:val="bottom"/>
            <w:tcBorders>
              <w:top w:val="single" w:sz="8" w:color="CCEEFF"/>
              <w:bottom w:val="single" w:sz="8" w:color="CCEEFF"/>
            </w:tcBorders>
          </w:tcPr>
          <w:p>
            <w:pPr>
              <w:ind w:left="240"/>
              <w:spacing w:after="0" w:line="177" w:lineRule="exact"/>
              <w:rPr>
                <w:sz w:val="20"/>
                <w:szCs w:val="20"/>
                <w:color w:val="auto"/>
              </w:rPr>
            </w:pPr>
            <w:r>
              <w:rPr>
                <w:rFonts w:ascii="Arial" w:cs="Arial" w:eastAsia="Arial" w:hAnsi="Arial"/>
                <w:sz w:val="16"/>
                <w:szCs w:val="16"/>
                <w:color w:val="auto"/>
              </w:rPr>
              <w:t>Less: Interest</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(974,623)</w:t>
            </w:r>
          </w:p>
        </w:tc>
        <w:tc>
          <w:tcPr>
            <w:tcW w:w="1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(1,191)</w:t>
            </w:r>
          </w:p>
        </w:tc>
        <w:tc>
          <w:tcPr>
            <w:tcW w:w="1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Present value of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1,332,297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immaterial current and non-current COVID-19-related deferred rent accruals as of December 25, 2022.</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Net of operating lease prepaid rent of $4.6 million.</w:t>
      </w:r>
    </w:p>
    <w:p>
      <w:pPr>
        <w:spacing w:after="0" w:line="1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$919.7 million related to operating lease renewal options that are reasonably certain of exercise and excludes $172.9 million of signed operating leases that have not yet commenced.</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the weighted average remaining lease terms and weighted average discount rates of the Company’s leases as of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48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25, 2022</w:t>
            </w:r>
          </w:p>
        </w:tc>
        <w:tc>
          <w:tcPr>
            <w:tcW w:w="2380" w:type="dxa"/>
            <w:vAlign w:val="bottom"/>
          </w:tcPr>
          <w:p>
            <w:pPr>
              <w:jc w:val="right"/>
              <w:ind w:right="421"/>
              <w:spacing w:after="0"/>
              <w:rPr>
                <w:sz w:val="20"/>
                <w:szCs w:val="20"/>
                <w:color w:val="auto"/>
              </w:rPr>
            </w:pPr>
            <w:r>
              <w:rPr>
                <w:rFonts w:ascii="Arial" w:cs="Arial" w:eastAsia="Arial" w:hAnsi="Arial"/>
                <w:sz w:val="14"/>
                <w:szCs w:val="14"/>
                <w:b w:val="1"/>
                <w:bCs w:val="1"/>
                <w:color w:val="auto"/>
              </w:rPr>
              <w:t>DECEMBER 26, 2021</w:t>
            </w:r>
          </w:p>
        </w:tc>
      </w:tr>
      <w:tr>
        <w:trPr>
          <w:trHeight w:val="33"/>
        </w:trPr>
        <w:tc>
          <w:tcPr>
            <w:tcW w:w="638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(1):</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480" w:type="dxa"/>
            <w:vAlign w:val="bottom"/>
            <w:gridSpan w:val="2"/>
          </w:tcPr>
          <w:p>
            <w:pPr>
              <w:jc w:val="right"/>
              <w:ind w:right="120"/>
              <w:spacing w:after="0"/>
              <w:rPr>
                <w:sz w:val="20"/>
                <w:szCs w:val="20"/>
                <w:color w:val="auto"/>
              </w:rPr>
            </w:pPr>
            <w:r>
              <w:rPr>
                <w:rFonts w:ascii="Arial" w:cs="Arial" w:eastAsia="Arial" w:hAnsi="Arial"/>
                <w:sz w:val="16"/>
                <w:szCs w:val="16"/>
                <w:color w:val="auto"/>
              </w:rPr>
              <w:t>13.2 years</w:t>
            </w:r>
          </w:p>
        </w:tc>
        <w:tc>
          <w:tcPr>
            <w:tcW w:w="2380" w:type="dxa"/>
            <w:vAlign w:val="bottom"/>
          </w:tcPr>
          <w:p>
            <w:pPr>
              <w:jc w:val="right"/>
              <w:spacing w:after="0"/>
              <w:rPr>
                <w:sz w:val="20"/>
                <w:szCs w:val="20"/>
                <w:color w:val="auto"/>
              </w:rPr>
            </w:pPr>
            <w:r>
              <w:rPr>
                <w:rFonts w:ascii="Arial" w:cs="Arial" w:eastAsia="Arial" w:hAnsi="Arial"/>
                <w:sz w:val="16"/>
                <w:szCs w:val="16"/>
                <w:color w:val="auto"/>
              </w:rPr>
              <w:t>13.7 years</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 years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years</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Weighted average discount rate (2):</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8.42 %</w:t>
            </w:r>
          </w:p>
        </w:tc>
      </w:tr>
      <w:tr>
        <w:trPr>
          <w:trHeight w:val="210"/>
        </w:trPr>
        <w:tc>
          <w:tcPr>
            <w:tcW w:w="63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380" w:type="dxa"/>
            <w:vAlign w:val="bottom"/>
          </w:tcPr>
          <w:p>
            <w:pPr>
              <w:jc w:val="right"/>
              <w:spacing w:after="0"/>
              <w:rPr>
                <w:sz w:val="20"/>
                <w:szCs w:val="20"/>
                <w:color w:val="auto"/>
              </w:rPr>
            </w:pPr>
            <w:r>
              <w:rPr>
                <w:rFonts w:ascii="Arial" w:cs="Arial" w:eastAsia="Arial" w:hAnsi="Arial"/>
                <w:sz w:val="16"/>
                <w:szCs w:val="16"/>
                <w:color w:val="auto"/>
              </w:rPr>
              <w:t>6.63 %</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5.01 %</w:t>
            </w:r>
          </w:p>
        </w:tc>
      </w:tr>
      <w:tr>
        <w:trPr>
          <w:trHeight w:val="283"/>
        </w:trPr>
        <w:tc>
          <w:tcPr>
            <w:tcW w:w="6380" w:type="dxa"/>
            <w:vAlign w:val="bottom"/>
          </w:tcPr>
          <w:p>
            <w:pPr>
              <w:spacing w:after="0"/>
              <w:rPr>
                <w:sz w:val="20"/>
                <w:szCs w:val="20"/>
                <w:color w:val="auto"/>
              </w:rPr>
            </w:pPr>
            <w:r>
              <w:rPr>
                <w:rFonts w:ascii="Arial" w:cs="Arial" w:eastAsia="Arial" w:hAnsi="Arial"/>
                <w:sz w:val="16"/>
                <w:szCs w:val="16"/>
                <w:color w:val="auto"/>
              </w:rPr>
              <w:t>____________________</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ind w:left="660" w:hanging="652"/>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lease renewal options that are reasonably certain of exercise.</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the Company’s incremental borrowing rate at lease commencement or lease remeasurement.</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is a summary of cash flow impacts to the Company’s Consolidated Financial Statements related to its leases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14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193,822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205,253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177,961</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color w:val="auto"/>
        </w:rPr>
        <w:t xml:space="preserve">Properties Leased to Third Parties </w:t>
      </w:r>
      <w:r>
        <w:rPr>
          <w:rFonts w:ascii="Arial" w:cs="Arial" w:eastAsia="Arial" w:hAnsi="Arial"/>
          <w:sz w:val="19"/>
          <w:szCs w:val="19"/>
          <w:color w:val="auto"/>
        </w:rPr>
        <w:t>- The Company leases certain owned land and buildings to third parties, generally related to closed or</w:t>
      </w:r>
      <w:r>
        <w:rPr>
          <w:rFonts w:ascii="Arial" w:cs="Arial" w:eastAsia="Arial" w:hAnsi="Arial"/>
          <w:sz w:val="19"/>
          <w:szCs w:val="19"/>
          <w:i w:val="1"/>
          <w:iCs w:val="1"/>
          <w:color w:val="auto"/>
        </w:rPr>
        <w:t xml:space="preserve"> </w:t>
      </w:r>
      <w:r>
        <w:rPr>
          <w:rFonts w:ascii="Arial" w:cs="Arial" w:eastAsia="Arial" w:hAnsi="Arial"/>
          <w:sz w:val="19"/>
          <w:szCs w:val="19"/>
          <w:color w:val="auto"/>
        </w:rPr>
        <w:t>refranchised restaurants. The following table is a summary of assets leased to third parties as of the periods indicated: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25, 2022</w:t>
            </w:r>
          </w:p>
        </w:tc>
        <w:tc>
          <w:tcPr>
            <w:tcW w:w="24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auto"/>
              </w:rPr>
              <w:t>DECEMBER 26, 2021</w:t>
            </w:r>
          </w:p>
        </w:tc>
      </w:tr>
      <w:tr>
        <w:trPr>
          <w:trHeight w:val="33"/>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center"/>
              <w:ind w:left="1361"/>
              <w:spacing w:after="0"/>
              <w:rPr>
                <w:sz w:val="20"/>
                <w:szCs w:val="20"/>
                <w:color w:val="auto"/>
              </w:rPr>
            </w:pPr>
            <w:r>
              <w:rPr>
                <w:rFonts w:ascii="Arial" w:cs="Arial" w:eastAsia="Arial" w:hAnsi="Arial"/>
                <w:sz w:val="16"/>
                <w:szCs w:val="16"/>
                <w:color w:val="auto"/>
                <w:w w:val="94"/>
              </w:rPr>
              <w:t>5,021</w:t>
            </w:r>
          </w:p>
        </w:tc>
      </w:tr>
      <w:tr>
        <w:trPr>
          <w:trHeight w:val="257"/>
        </w:trPr>
        <w:tc>
          <w:tcPr>
            <w:tcW w:w="6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center"/>
              <w:ind w:left="1361"/>
              <w:spacing w:after="0"/>
              <w:rPr>
                <w:sz w:val="20"/>
                <w:szCs w:val="20"/>
                <w:color w:val="auto"/>
              </w:rPr>
            </w:pPr>
            <w:r>
              <w:rPr>
                <w:rFonts w:ascii="Arial" w:cs="Arial" w:eastAsia="Arial" w:hAnsi="Arial"/>
                <w:sz w:val="16"/>
                <w:szCs w:val="16"/>
                <w:color w:val="auto"/>
                <w:w w:val="94"/>
              </w:rPr>
              <w:t>4,987</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left="1341"/>
              <w:spacing w:after="0"/>
              <w:rPr>
                <w:sz w:val="20"/>
                <w:szCs w:val="20"/>
                <w:color w:val="auto"/>
              </w:rPr>
            </w:pPr>
            <w:r>
              <w:rPr>
                <w:rFonts w:ascii="Arial" w:cs="Arial" w:eastAsia="Arial" w:hAnsi="Arial"/>
                <w:sz w:val="16"/>
                <w:szCs w:val="16"/>
                <w:color w:val="auto"/>
                <w:w w:val="94"/>
              </w:rPr>
              <w:t>(3,746)</w:t>
            </w:r>
          </w:p>
        </w:tc>
      </w:tr>
      <w:tr>
        <w:trPr>
          <w:trHeight w:val="241"/>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Buildings,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center"/>
              <w:ind w:left="1361"/>
              <w:spacing w:after="0"/>
              <w:rPr>
                <w:sz w:val="20"/>
                <w:szCs w:val="20"/>
                <w:color w:val="auto"/>
              </w:rPr>
            </w:pPr>
            <w:r>
              <w:rPr>
                <w:rFonts w:ascii="Arial" w:cs="Arial" w:eastAsia="Arial" w:hAnsi="Arial"/>
                <w:sz w:val="16"/>
                <w:szCs w:val="16"/>
                <w:color w:val="auto"/>
                <w:w w:val="94"/>
              </w:rPr>
              <w:t>1,241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left="800" w:hanging="792"/>
        <w:spacing w:after="0"/>
        <w:tabs>
          <w:tab w:leader="none" w:pos="8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5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25, 2022</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6"/>
          </w:tcPr>
          <w:p>
            <w:pPr>
              <w:jc w:val="center"/>
              <w:ind w:right="59"/>
              <w:spacing w:after="0"/>
              <w:rPr>
                <w:sz w:val="20"/>
                <w:szCs w:val="20"/>
                <w:color w:val="auto"/>
              </w:rPr>
            </w:pPr>
            <w:r>
              <w:rPr>
                <w:rFonts w:ascii="Arial" w:cs="Arial" w:eastAsia="Arial" w:hAnsi="Arial"/>
                <w:sz w:val="14"/>
                <w:szCs w:val="14"/>
                <w:b w:val="1"/>
                <w:bCs w:val="1"/>
                <w:color w:val="auto"/>
                <w:w w:val="98"/>
              </w:rPr>
              <w:t>DECEMBER 26, 2021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02"/>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9,039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equivalents: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 recurring fair value measurements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29" w:lineRule="exact"/>
        <w:rPr>
          <w:sz w:val="20"/>
          <w:szCs w:val="20"/>
          <w:color w:val="auto"/>
        </w:rPr>
      </w:pPr>
    </w:p>
    <w:p>
      <w:pPr>
        <w:ind w:left="20"/>
        <w:spacing w:after="0"/>
        <w:tabs>
          <w:tab w:leader="none" w:pos="252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08" w:lineRule="exact"/>
        <w:rPr>
          <w:sz w:val="20"/>
          <w:szCs w:val="20"/>
          <w:color w:val="auto"/>
        </w:rPr>
      </w:pPr>
    </w:p>
    <w:p>
      <w:pPr>
        <w:sectPr>
          <w:pgSz w:w="11900" w:h="16838" w:orient="portrait"/>
          <w:cols w:equalWidth="0" w:num="2">
            <w:col w:w="2080" w:space="460"/>
            <w:col w:w="8700"/>
          </w:cols>
          <w:pgMar w:left="320" w:top="121" w:right="339" w:bottom="1440" w:gutter="0" w:footer="0" w:header="0"/>
          <w:type w:val="continuous"/>
        </w:sectPr>
      </w:pPr>
    </w:p>
    <w:p>
      <w:pPr>
        <w:ind w:left="20"/>
        <w:spacing w:after="0"/>
        <w:tabs>
          <w:tab w:leader="none" w:pos="252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5"/>
          <w:szCs w:val="15"/>
          <w:color w:val="auto"/>
        </w:rPr>
        <w:t>Historically, the Company’s derivative instruments included interest rate swaps. Fair value measurements were based on the</w:t>
      </w:r>
    </w:p>
    <w:p>
      <w:pPr>
        <w:ind w:left="2540"/>
        <w:spacing w:after="0"/>
        <w:rPr>
          <w:sz w:val="20"/>
          <w:szCs w:val="20"/>
          <w:color w:val="auto"/>
        </w:rPr>
      </w:pPr>
      <w:r>
        <w:rPr>
          <w:rFonts w:ascii="Arial" w:cs="Arial" w:eastAsia="Arial" w:hAnsi="Arial"/>
          <w:sz w:val="14"/>
          <w:szCs w:val="14"/>
          <w:color w:val="auto"/>
        </w:rPr>
        <w:t>contractual terms of the derivatives and used observable market-based inputs. The interest rate swaps were valued using a discounted</w:t>
      </w:r>
    </w:p>
    <w:p>
      <w:pPr>
        <w:ind w:left="2540"/>
        <w:spacing w:after="0" w:line="226" w:lineRule="auto"/>
        <w:rPr>
          <w:sz w:val="20"/>
          <w:szCs w:val="20"/>
          <w:color w:val="auto"/>
        </w:rPr>
      </w:pPr>
      <w:r>
        <w:rPr>
          <w:rFonts w:ascii="Arial" w:cs="Arial" w:eastAsia="Arial" w:hAnsi="Arial"/>
          <w:sz w:val="15"/>
          <w:szCs w:val="15"/>
          <w:color w:val="auto"/>
        </w:rPr>
        <w:t>cash flow analysis on the expected cash flows of each derivative using observable inputs including interest rate curves and credit</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spreads. The Company also considered its own nonperformance risk and the respective counterparty’s nonperformance risk in the fair</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value measurements. As of December 26, 2021, the Company determined that the credit valuation adjustments were not significant to</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 overall valuation of its derivatives.</w:t>
      </w: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2022</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2021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
              <w:spacing w:after="0" w:line="139"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20" w:type="dxa"/>
            <w:vAlign w:val="bottom"/>
          </w:tcPr>
          <w:p>
            <w:pPr>
              <w:jc w:val="center"/>
              <w:ind w:right="2"/>
              <w:spacing w:after="0" w:line="139"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020" w:type="dxa"/>
            <w:vAlign w:val="bottom"/>
          </w:tcPr>
          <w:p>
            <w:pPr>
              <w:jc w:val="center"/>
              <w:ind w:right="2"/>
              <w:spacing w:after="0" w:line="14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
              <w:spacing w:after="0" w:line="14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
              <w:spacing w:after="0" w:line="14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Operating lease right-of-use assets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72,615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30,940</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41,077</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and other assets (4)</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33"/>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74,823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65" w:lineRule="auto"/>
        <w:tabs>
          <w:tab w:leader="none" w:pos="6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Carrying values measured using Level 3 inputs to estimate fair value totaled $1.2 million during 2020. All other assets were valued using Level 2 inputs. Third-party market appraisals or executed sales contracts (Level 2) and discounted cash flow models (Level 3) were used to estimate fair value.</w:t>
      </w:r>
    </w:p>
    <w:p>
      <w:pPr>
        <w:ind w:left="660" w:hanging="652"/>
        <w:spacing w:after="0" w:line="255"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Carrying values measured using discounted cash flow models (Level 3). Refer to Note 5 - </w:t>
      </w:r>
      <w:r>
        <w:rPr>
          <w:rFonts w:ascii="Arial" w:cs="Arial" w:eastAsia="Arial" w:hAnsi="Arial"/>
          <w:sz w:val="16"/>
          <w:szCs w:val="16"/>
          <w:i w:val="1"/>
          <w:iCs w:val="1"/>
          <w:color w:val="auto"/>
        </w:rPr>
        <w:t>Impairments and Exit Costs</w:t>
      </w:r>
      <w:r>
        <w:rPr>
          <w:rFonts w:ascii="Arial" w:cs="Arial" w:eastAsia="Arial" w:hAnsi="Arial"/>
          <w:sz w:val="16"/>
          <w:szCs w:val="16"/>
          <w:color w:val="auto"/>
        </w:rPr>
        <w:t xml:space="preserve"> for a more detailed discussion of impairments.</w:t>
      </w:r>
    </w:p>
    <w:p>
      <w:pPr>
        <w:jc w:val="both"/>
        <w:ind w:left="660" w:hanging="652"/>
        <w:spacing w:after="0" w:line="25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Carrying values measured using Level 2 inputs to estimate fair value totaled $1.4 million and $2.2 million for 2021 and 2020, respectively. All other assets were valued using Level 3 inputs. Third-party market appraisals (Level 2) and discounted cash flow models (Level 3) were used to estimate the fair value. Refer to Note 5 - </w:t>
      </w:r>
      <w:r>
        <w:rPr>
          <w:rFonts w:ascii="Arial" w:cs="Arial" w:eastAsia="Arial" w:hAnsi="Arial"/>
          <w:sz w:val="16"/>
          <w:szCs w:val="16"/>
          <w:i w:val="1"/>
          <w:iCs w:val="1"/>
          <w:color w:val="auto"/>
        </w:rPr>
        <w:t>Impairments and Exit Costs</w:t>
      </w:r>
      <w:r>
        <w:rPr>
          <w:rFonts w:ascii="Arial" w:cs="Arial" w:eastAsia="Arial" w:hAnsi="Arial"/>
          <w:sz w:val="16"/>
          <w:szCs w:val="16"/>
          <w:color w:val="auto"/>
        </w:rPr>
        <w:t xml:space="preserve"> for a more detailed discussion of impairments.</w:t>
      </w:r>
    </w:p>
    <w:p>
      <w:pPr>
        <w:ind w:left="660" w:hanging="652"/>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Other assets were generally measured using the quoted market value of comparable assets (Level 2).</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See Note 5 - </w:t>
      </w:r>
      <w:r>
        <w:rPr>
          <w:rFonts w:ascii="Arial" w:cs="Arial" w:eastAsia="Arial" w:hAnsi="Arial"/>
          <w:sz w:val="20"/>
          <w:szCs w:val="20"/>
          <w:i w:val="1"/>
          <w:iCs w:val="1"/>
          <w:color w:val="auto"/>
        </w:rPr>
        <w:t>Impairments and Exit Costs</w:t>
      </w:r>
      <w:r>
        <w:rPr>
          <w:rFonts w:ascii="Arial" w:cs="Arial" w:eastAsia="Arial" w:hAnsi="Arial"/>
          <w:sz w:val="20"/>
          <w:szCs w:val="20"/>
          <w:color w:val="auto"/>
        </w:rPr>
        <w:t xml:space="preserve"> for information regarding impairment charges resulting from the fair value measurement performed on a nonrecurring basis during 2020. Projected future cash flows, including discount rate and growth rate assumptions, are derived from then-current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 average cost of capital applicable to the country in which the measured assets reside.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during the period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03"/>
        </w:trPr>
        <w:tc>
          <w:tcPr>
            <w:tcW w:w="9440" w:type="dxa"/>
            <w:vAlign w:val="bottom"/>
            <w:gridSpan w:val="2"/>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6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40" w:type="dxa"/>
            <w:vAlign w:val="bottom"/>
          </w:tcPr>
          <w:p>
            <w:pPr>
              <w:spacing w:after="0"/>
              <w:rPr>
                <w:sz w:val="17"/>
                <w:szCs w:val="17"/>
                <w:color w:val="auto"/>
              </w:rPr>
            </w:pPr>
          </w:p>
        </w:tc>
      </w:tr>
      <w:tr>
        <w:trPr>
          <w:trHeight w:val="33"/>
        </w:trPr>
        <w:tc>
          <w:tcPr>
            <w:tcW w:w="9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6"/>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cost of capital</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10"/>
        </w:trPr>
        <w:tc>
          <w:tcPr>
            <w:tcW w:w="9440" w:type="dxa"/>
            <w:vAlign w:val="bottom"/>
            <w:gridSpan w:val="2"/>
          </w:tcPr>
          <w:p>
            <w:pPr>
              <w:ind w:left="20"/>
              <w:spacing w:after="0"/>
              <w:rPr>
                <w:sz w:val="20"/>
                <w:szCs w:val="20"/>
                <w:color w:val="auto"/>
              </w:rPr>
            </w:pPr>
            <w:r>
              <w:rPr>
                <w:rFonts w:ascii="Arial" w:cs="Arial" w:eastAsia="Arial" w:hAnsi="Arial"/>
                <w:sz w:val="16"/>
                <w:szCs w:val="16"/>
                <w:color w:val="auto"/>
              </w:rPr>
              <w:t>Long-term growth rate</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2.0%</w:t>
            </w:r>
          </w:p>
        </w:tc>
      </w:tr>
    </w:tbl>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Fair Value of Financial Instruments - </w:t>
      </w:r>
      <w:r>
        <w:rPr>
          <w:rFonts w:ascii="Arial" w:cs="Arial" w:eastAsia="Arial" w:hAnsi="Arial"/>
          <w:sz w:val="20"/>
          <w:szCs w:val="20"/>
          <w:color w:val="auto"/>
        </w:rPr>
        <w:t>The Company’s non-derivative financial instruments consist of cash equivalents, accounts receivable,</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payable and current and long-term debt. The fair values of cash equivalents, accounts receivable and accounts payable approximate their carrying amounts reported on its Consolidated Balance Sheets due to their short duration.</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3"/>
          </w:tcPr>
          <w:p>
            <w:pPr>
              <w:jc w:val="center"/>
              <w:ind w:left="403"/>
              <w:spacing w:after="0"/>
              <w:rPr>
                <w:sz w:val="20"/>
                <w:szCs w:val="20"/>
                <w:color w:val="auto"/>
              </w:rPr>
            </w:pPr>
            <w:r>
              <w:rPr>
                <w:rFonts w:ascii="Arial" w:cs="Arial" w:eastAsia="Arial" w:hAnsi="Arial"/>
                <w:sz w:val="14"/>
                <w:szCs w:val="14"/>
                <w:b w:val="1"/>
                <w:bCs w:val="1"/>
                <w:color w:val="auto"/>
                <w:w w:val="99"/>
              </w:rPr>
              <w:t>DECEMBER 25, 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26, 2021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CARRYING</w:t>
            </w:r>
          </w:p>
        </w:tc>
        <w:tc>
          <w:tcPr>
            <w:tcW w:w="152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rPr>
              <w:t>FAIR VALUE LEVEL</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CARRYING</w:t>
            </w:r>
          </w:p>
        </w:tc>
        <w:tc>
          <w:tcPr>
            <w:tcW w:w="15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FAIR VALUE LEVEL 2</w:t>
            </w:r>
          </w:p>
        </w:tc>
        <w:tc>
          <w:tcPr>
            <w:tcW w:w="0" w:type="dxa"/>
            <w:vAlign w:val="bottom"/>
          </w:tcPr>
          <w:p>
            <w:pPr>
              <w:spacing w:after="0"/>
              <w:rPr>
                <w:sz w:val="1"/>
                <w:szCs w:val="1"/>
                <w:color w:val="auto"/>
              </w:rPr>
            </w:pPr>
          </w:p>
        </w:tc>
      </w:tr>
      <w:tr>
        <w:trPr>
          <w:trHeight w:val="205"/>
        </w:trPr>
        <w:tc>
          <w:tcPr>
            <w:tcW w:w="5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Term loan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right="662"/>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195,000</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190,125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76,926</w:t>
            </w:r>
          </w:p>
        </w:tc>
        <w:tc>
          <w:tcPr>
            <w:tcW w:w="0" w:type="dxa"/>
            <w:vAlign w:val="bottom"/>
          </w:tcPr>
          <w:p>
            <w:pPr>
              <w:spacing w:after="0"/>
              <w:rPr>
                <w:sz w:val="1"/>
                <w:szCs w:val="1"/>
                <w:color w:val="auto"/>
              </w:rPr>
            </w:pPr>
          </w:p>
        </w:tc>
      </w:tr>
      <w:tr>
        <w:trPr>
          <w:trHeight w:val="213"/>
        </w:trPr>
        <w:tc>
          <w:tcPr>
            <w:tcW w:w="5220" w:type="dxa"/>
            <w:vAlign w:val="bottom"/>
          </w:tcPr>
          <w:p>
            <w:pPr>
              <w:ind w:left="40"/>
              <w:spacing w:after="0"/>
              <w:rPr>
                <w:sz w:val="20"/>
                <w:szCs w:val="20"/>
                <w:color w:val="auto"/>
              </w:rPr>
            </w:pPr>
            <w:r>
              <w:rPr>
                <w:rFonts w:ascii="Arial" w:cs="Arial" w:eastAsia="Arial" w:hAnsi="Arial"/>
                <w:sz w:val="16"/>
                <w:szCs w:val="16"/>
                <w:color w:val="auto"/>
              </w:rPr>
              <w:t>2025 Notes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105,000</w:t>
            </w:r>
          </w:p>
        </w:tc>
        <w:tc>
          <w:tcPr>
            <w:tcW w:w="100" w:type="dxa"/>
            <w:vAlign w:val="bottom"/>
          </w:tcPr>
          <w:p>
            <w:pPr>
              <w:spacing w:after="0"/>
              <w:rPr>
                <w:sz w:val="18"/>
                <w:szCs w:val="18"/>
                <w:color w:val="auto"/>
              </w:rPr>
            </w:pPr>
          </w:p>
        </w:tc>
        <w:tc>
          <w:tcPr>
            <w:tcW w:w="860" w:type="dxa"/>
            <w:vAlign w:val="bottom"/>
          </w:tcPr>
          <w:p>
            <w:pPr>
              <w:jc w:val="center"/>
              <w:ind w:right="6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198,843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447,615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2029 Notes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8"/>
          <w:szCs w:val="18"/>
          <w:color w:val="auto"/>
        </w:rPr>
        <w:t>Allowance for Expected Credit Losses</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the Company’s trade receivables allowance for expected credit losses for the periods indicated: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beginning of the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Adjustment for adoption of ASU No. 2016-13</w:t>
            </w:r>
          </w:p>
        </w:tc>
        <w:tc>
          <w:tcPr>
            <w:tcW w:w="4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expected credit losses (1)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Charge-off of accounts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end of the period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660" w:right="20" w:hanging="652"/>
        <w:spacing w:after="0" w:line="270"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In March 2020, the Company fully reserved substantially all of its outstanding franchise receivables in response to the economic impact of the COVID-19 pandemic. See Note 3 - </w:t>
      </w:r>
      <w:r>
        <w:rPr>
          <w:rFonts w:ascii="Arial" w:cs="Arial" w:eastAsia="Arial" w:hAnsi="Arial"/>
          <w:sz w:val="16"/>
          <w:szCs w:val="16"/>
          <w:i w:val="1"/>
          <w:iCs w:val="1"/>
          <w:color w:val="auto"/>
        </w:rPr>
        <w:t>COVID-19</w:t>
      </w:r>
      <w:r>
        <w:rPr>
          <w:rFonts w:ascii="Arial" w:cs="Arial" w:eastAsia="Arial" w:hAnsi="Arial"/>
          <w:sz w:val="16"/>
          <w:szCs w:val="16"/>
          <w:color w:val="auto"/>
        </w:rPr>
        <w:t xml:space="preserve"> for details regarding the impact of the COVID-19 pandemic on the Company’s financial results.</w:t>
      </w:r>
    </w:p>
    <w:p>
      <w:pPr>
        <w:spacing w:after="0" w:line="196" w:lineRule="exact"/>
        <w:rPr>
          <w:sz w:val="20"/>
          <w:szCs w:val="20"/>
          <w:color w:val="auto"/>
        </w:rPr>
      </w:pPr>
    </w:p>
    <w:p>
      <w:pPr>
        <w:ind w:right="20"/>
        <w:spacing w:after="0" w:line="332"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22 -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156" w:lineRule="exact"/>
        <w:rPr>
          <w:sz w:val="20"/>
          <w:szCs w:val="20"/>
          <w:color w:val="auto"/>
        </w:rPr>
      </w:pPr>
    </w:p>
    <w:p>
      <w:pPr>
        <w:ind w:left="800" w:hanging="792"/>
        <w:spacing w:after="0"/>
        <w:tabs>
          <w:tab w:leader="none" w:pos="8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following table presents the domestic and foreign components of Income (loss) before provision (benefit) for income taxes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258,202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(206,941)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Income (loss) before provision (benefit)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249,297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(239,521)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Provision (benefit) for income taxes consisted of the following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provision: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13,026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16,951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33"/>
        </w:trPr>
        <w:tc>
          <w:tcPr>
            <w:tcW w:w="6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7,530</w:t>
            </w:r>
          </w:p>
        </w:tc>
        <w:tc>
          <w:tcPr>
            <w:tcW w:w="0" w:type="dxa"/>
            <w:vAlign w:val="bottom"/>
          </w:tcPr>
          <w:p>
            <w:pPr>
              <w:spacing w:after="0"/>
              <w:rPr>
                <w:sz w:val="1"/>
                <w:szCs w:val="1"/>
                <w:color w:val="auto"/>
              </w:rPr>
            </w:pPr>
          </w:p>
        </w:tc>
      </w:tr>
      <w:tr>
        <w:trPr>
          <w:trHeight w:val="196"/>
        </w:trPr>
        <w:tc>
          <w:tcPr>
            <w:tcW w:w="6400" w:type="dxa"/>
            <w:vAlign w:val="bottom"/>
          </w:tcPr>
          <w:p>
            <w:pPr>
              <w:ind w:left="20"/>
              <w:spacing w:after="0"/>
              <w:rPr>
                <w:sz w:val="20"/>
                <w:szCs w:val="20"/>
                <w:color w:val="auto"/>
              </w:rPr>
            </w:pPr>
            <w:r>
              <w:rPr>
                <w:rFonts w:ascii="Arial" w:cs="Arial" w:eastAsia="Arial" w:hAnsi="Arial"/>
                <w:sz w:val="16"/>
                <w:szCs w:val="16"/>
                <w:color w:val="auto"/>
              </w:rPr>
              <w:t>Deferred provision (benefit):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(66,498)</w:t>
            </w: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(12,527)</w:t>
            </w:r>
          </w:p>
        </w:tc>
        <w:tc>
          <w:tcPr>
            <w:tcW w:w="0" w:type="dxa"/>
            <w:vAlign w:val="bottom"/>
          </w:tcPr>
          <w:p>
            <w:pPr>
              <w:spacing w:after="0"/>
              <w:rPr>
                <w:sz w:val="1"/>
                <w:szCs w:val="1"/>
                <w:color w:val="auto"/>
              </w:rPr>
            </w:pPr>
          </w:p>
        </w:tc>
      </w:tr>
      <w:tr>
        <w:trPr>
          <w:trHeight w:val="226"/>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(88,256)</w:t>
            </w:r>
          </w:p>
        </w:tc>
        <w:tc>
          <w:tcPr>
            <w:tcW w:w="0" w:type="dxa"/>
            <w:vAlign w:val="bottom"/>
          </w:tcPr>
          <w:p>
            <w:pPr>
              <w:spacing w:after="0"/>
              <w:rPr>
                <w:sz w:val="1"/>
                <w:szCs w:val="1"/>
                <w:color w:val="auto"/>
              </w:rPr>
            </w:pPr>
          </w:p>
        </w:tc>
      </w:tr>
      <w:tr>
        <w:trPr>
          <w:trHeight w:val="238"/>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i w:val="1"/>
          <w:iCs w:val="1"/>
          <w:color w:val="auto"/>
        </w:rPr>
        <w:t xml:space="preserve">Effective Income Tax Rate </w:t>
      </w:r>
      <w:r>
        <w:rPr>
          <w:rFonts w:ascii="Arial" w:cs="Arial" w:eastAsia="Arial" w:hAnsi="Arial"/>
          <w:sz w:val="20"/>
          <w:szCs w:val="20"/>
          <w:color w:val="auto"/>
        </w:rPr>
        <w:t>- The reconciliation of income taxes calculated at the United States federal tax statutory rate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income tax rate is as follows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320"/>
              <w:spacing w:after="0"/>
              <w:rPr>
                <w:sz w:val="20"/>
                <w:szCs w:val="20"/>
                <w:color w:val="auto"/>
              </w:rPr>
            </w:pPr>
            <w:r>
              <w:rPr>
                <w:rFonts w:ascii="Arial" w:cs="Arial" w:eastAsia="Arial" w:hAnsi="Arial"/>
                <w:sz w:val="14"/>
                <w:szCs w:val="14"/>
                <w:b w:val="1"/>
                <w:bCs w:val="1"/>
                <w:color w:val="auto"/>
              </w:rPr>
              <w:t>FISCAL YEAR</w:t>
            </w:r>
          </w:p>
        </w:tc>
        <w:tc>
          <w:tcPr>
            <w:tcW w:w="1600" w:type="dxa"/>
            <w:vAlign w:val="bottom"/>
          </w:tcPr>
          <w:p>
            <w:pPr>
              <w:spacing w:after="0"/>
              <w:rPr>
                <w:sz w:val="16"/>
                <w:szCs w:val="16"/>
                <w:color w:val="auto"/>
              </w:rPr>
            </w:pPr>
          </w:p>
        </w:tc>
      </w:tr>
      <w:tr>
        <w:trPr>
          <w:trHeight w:val="33"/>
        </w:trPr>
        <w:tc>
          <w:tcPr>
            <w:tcW w:w="7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6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 (1)</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federal statutory rate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3.3</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loss on 2025 Notes Partial Repurchase</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Non-deductible expenses</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(1.4)</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tax rate differential</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U.S. tax on foreign earnings - GILTI</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Brazil tax legislation</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Employment-related credits, net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9.9</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changes in deferred tax valuation allowances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Tax settlements and related adjustments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0.1</w:t>
            </w:r>
          </w:p>
        </w:tc>
      </w:tr>
      <w:tr>
        <w:trPr>
          <w:trHeight w:val="236"/>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r>
      <w:tr>
        <w:trPr>
          <w:trHeight w:val="203"/>
        </w:trPr>
        <w:tc>
          <w:tcPr>
            <w:tcW w:w="6160" w:type="dxa"/>
            <w:vAlign w:val="bottom"/>
            <w:tcBorders>
              <w:top w:val="single" w:sz="8" w:color="CCEEFF"/>
            </w:tcBorders>
          </w:tcPr>
          <w:p>
            <w:pPr>
              <w:ind w:left="240"/>
              <w:spacing w:after="0"/>
              <w:rPr>
                <w:sz w:val="20"/>
                <w:szCs w:val="20"/>
                <w:color w:val="auto"/>
              </w:rPr>
            </w:pPr>
            <w:r>
              <w:rPr>
                <w:rFonts w:ascii="Arial" w:cs="Arial" w:eastAsia="Arial" w:hAnsi="Arial"/>
                <w:sz w:val="16"/>
                <w:szCs w:val="16"/>
                <w:color w:val="auto"/>
              </w:rPr>
              <w:t>Total</w:t>
            </w:r>
          </w:p>
        </w:tc>
        <w:tc>
          <w:tcPr>
            <w:tcW w:w="10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28.1 %</w:t>
            </w:r>
          </w:p>
        </w:tc>
        <w:tc>
          <w:tcPr>
            <w:tcW w:w="100" w:type="dxa"/>
            <w:vAlign w:val="bottom"/>
            <w:tcBorders>
              <w:top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33.7 %</w:t>
            </w:r>
          </w:p>
        </w:tc>
      </w:tr>
      <w:tr>
        <w:trPr>
          <w:trHeight w:val="24"/>
        </w:trPr>
        <w:tc>
          <w:tcPr>
            <w:tcW w:w="6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660" w:hanging="652"/>
        <w:spacing w:after="0" w:line="270"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Due to the pre-tax book loss, a positive percentage change in the effective income tax rate table reflects a favorable income tax benefit, whereas a negative percentage change in the effective income tax rate table reflects an unfavorable income tax expense.</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net increase in the effective income tax rate in 2022 as compared to 2021 was primarily due to the non-deductible losses associated with the 2025 Notes Partial Repurchase recorded during 2022.</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net decrease in the effective income tax rate in 2021 as compared to 2020 was primarily due to the benefit of FICA tax credits on certain employees’ tips reducing the effective income tax rate in 2021 as a result of pre-tax book income as compared to increasing the effective income tax rate in 2020 as a result of pre-tax book loss.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 restaurant company employer may claim a credit against its federal income taxes for FICA taxes paid on certain tipped wages (the “FICA tax credit”). The level of FICA tax credits is primarily driven by U.S. Restaurant sales and is not impacted by costs incurred that may reduce pre-tax income.</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has a blended federal and state statutory rate of approximately 26%. The effective income tax rate for 2022 was higher than the blended federal and state statutory rate primarily due to the non-deductible losses associated with the 2025 Notes Partial Repurchase recorded during 2022, partially offset by the benefit of FICA tax credits on certain employees’ tips. The effective income tax rate for 2021 was lower than the blended federal and state statutory rate primarily due to the benefit of FICA tax credits on certain employees’ tips.</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On December 28, 2021, the U.S. Treasury and the Internal Revenue Service released final regulations that, among other things, provide guidance on several aspects of the foreign tax credit rules. As part of the guidance issued, these regulations change longstanding foreign tax credit regulations that now make foreign taxes paid to certain countries no longer creditable in the United States. The Company expects that a portion of post-2022 foreign taxes paid will not be creditable in the United States. Furthermore, the impact of these regulations will result in the utilization of existing prior year foreign tax credit carryforwards for which the Company had previously recorded a valuation allowance. The valuation allowance related to the credits expected to be utilized was released during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auto"/>
        </w:rPr>
        <w:t xml:space="preserve">Deferred Tax Assets and Liabilities </w:t>
      </w:r>
      <w:r>
        <w:rPr>
          <w:rFonts w:ascii="Arial" w:cs="Arial" w:eastAsia="Arial" w:hAnsi="Arial"/>
          <w:sz w:val="20"/>
          <w:szCs w:val="20"/>
          <w:color w:val="auto"/>
        </w:rPr>
        <w:t>- The income tax effects of temporary differences that give rise to significant portions of deferred income</w:t>
      </w:r>
      <w:r>
        <w:rPr>
          <w:rFonts w:ascii="Arial" w:cs="Arial" w:eastAsia="Arial" w:hAnsi="Arial"/>
          <w:sz w:val="20"/>
          <w:szCs w:val="20"/>
          <w:i w:val="1"/>
          <w:iCs w:val="1"/>
          <w:color w:val="auto"/>
        </w:rPr>
        <w:t xml:space="preserve"> </w:t>
      </w:r>
      <w:r>
        <w:rPr>
          <w:rFonts w:ascii="Arial" w:cs="Arial" w:eastAsia="Arial" w:hAnsi="Arial"/>
          <w:sz w:val="20"/>
          <w:szCs w:val="20"/>
          <w:color w:val="auto"/>
        </w:rPr>
        <w:t>tax assets and liabilities are as follows as of the periods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26, 2021</w:t>
            </w:r>
          </w:p>
        </w:tc>
      </w:tr>
      <w:tr>
        <w:trPr>
          <w:trHeight w:val="202"/>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346,482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352,041</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Insurance reserves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14,329</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50,284</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25,164</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18,227</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 tax credit carryforwards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146,734</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21,222</w:t>
            </w:r>
          </w:p>
        </w:tc>
      </w:tr>
      <w:tr>
        <w:trPr>
          <w:trHeight w:val="216"/>
        </w:trPr>
        <w:tc>
          <w:tcPr>
            <w:tcW w:w="7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Gross deferred income tax assets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628,001</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valuation allowance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(16,998)</w:t>
            </w: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assets, net of valuation allowance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611,003</w:t>
            </w:r>
          </w:p>
        </w:tc>
      </w:tr>
      <w:tr>
        <w:trPr>
          <w:trHeight w:val="196"/>
        </w:trPr>
        <w:tc>
          <w:tcPr>
            <w:tcW w:w="728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6"/>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operating lease right-of-use asset basis differences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(290,697)</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Less: property, fixtures and equipment basis differences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(63,344)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(48,284)</w:t>
            </w:r>
          </w:p>
        </w:tc>
      </w:tr>
      <w:tr>
        <w:trPr>
          <w:trHeight w:val="22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Less: intangible asset basis differences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(103,954)</w:t>
            </w:r>
          </w:p>
        </w:tc>
      </w:tr>
      <w:tr>
        <w:trPr>
          <w:trHeight w:val="200"/>
        </w:trPr>
        <w:tc>
          <w:tcPr>
            <w:tcW w:w="7280" w:type="dxa"/>
            <w:vAlign w:val="bottom"/>
          </w:tcPr>
          <w:p>
            <w:pPr>
              <w:ind w:left="1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151,334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168,068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7"/>
        </w:trPr>
        <w:tc>
          <w:tcPr>
            <w:tcW w:w="7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Reported as: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168,068</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income tax liabilities (included in Other long-term liabilities,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168,068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39"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As of December 25, 2022 and December 26, 2021, the Company maintained deferred tax liabilities for state income taxes on historical foreign earnings of $0.3 million and $0.2 million, respectively.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As of December 25, 2022, valuation allowances against deferred tax assets in the U.S. and in certain foreign jurisdictions totaled $0.4 million and $12.3 million, respectively. The Company will maintain the valuation allowances in each applicable tax jurisdiction until it determines it is more likely than not the deferred tax assets will be realized. The net change in the deferred tax valuation allowance in 2022 is primarily attributable to net operating loss carryforwards in certain foreign jurisdictions with full valuation allowances recorded that expired or are no longer available to the Company and the release of the valuation allowance recorded against foreign tax credits that are now more likely than not to be realized.</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Company has considered the impact of the COVID-19 pandemic on the Company’s Brazilian operating subsidiary, including assessing the realizability of Brazilian deferred tax assets. As part of the Company’s evaluation of positive and negative evidence, management considered whether there has been cumulative income or loss in the past three years, the impact of non-deductible amounts, the scheduled reversal of deferred tax assets and liabilities, projected future taxable income and the state of the Company’s business in Brazil. As of December 25, 2022 and December 26, 2021, the Company has concluded that no valuation allowance is required against the deferred tax assets of its Brazilian operating subsidiary. Although management uses the best information available, it is reasonably possible that the estimates used by the Company could be materially different from the actual results. These differences could result in a material adjustment to the Company’s valuation allowance in a future reporting period.</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September 2022, the Company’s Brazilian subsidiary received a preliminary injunction authorizing it to benefit from the exemptions enacted by Law 14,148/2021 which provides for emergency and temporary actions that would grant certain industries a 100% exemption from income tax (IRPJ and CSLL) and federal value added taxes (PIS and COFINS) for a five-year period. The injunction was issued as part of an ongoing lawsuit initiated by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Company’s Brazilian subsidiary due to the uncertainty regarding the restaurant industry’s eligibility for the exemptions under this legislation.</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thirteen weeks ended December 25, 2022, the Company concluded that it is more likely than not eligible for benefits under this legislation. The Company will continue to evaluate and assess the exemptions, the status of its preliminary injunction and all other available evidence in future periods.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benefits of the Brazil tax legislation include an increase in revenues as a result of not being required to remit certain PIS and COFINS during the exemption period. The increase in revenues is partially offset by higher costs in several financial statement line items that were previously reduced by PIS and COFINS tax credits that will not be generated during the exemption period. Benefits of this legislation also include a reduction in the Brazilian income tax rate from 34% to 0% for a period of five years on certain income earned in Brazil. Benefits began in the thirteen weeks ended December 25, 2022 and end in the first quarter of 2027 with a return to full statutory income tax rates. The Company’s 2022 Net income and Earnings per share were not materially impacted by the overall income tax impacts of the Brazil tax legislation which included revaluing Brazilian deferred tax assets and liabilities that are expected to reverse during the exemption period.</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Undistributed Earnings </w:t>
      </w:r>
      <w:r>
        <w:rPr>
          <w:rFonts w:ascii="Arial" w:cs="Arial" w:eastAsia="Arial" w:hAnsi="Arial"/>
          <w:sz w:val="20"/>
          <w:szCs w:val="20"/>
          <w:color w:val="auto"/>
        </w:rPr>
        <w:t>- As of December 25, 2022, the Company had aggregate undistributed foreign earnings of approximately $23.2</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These earnings may be repatriated to the U.S. without additional material U.S. federal income tax. These amounts are not considered indefinitely reinvested in the Company’s foreign subsidiaries.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is not practicable due to the uncertainty of how these investments would be recovered.</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Tax Carryforwards - </w:t>
      </w:r>
      <w:r>
        <w:rPr>
          <w:rFonts w:ascii="Arial" w:cs="Arial" w:eastAsia="Arial" w:hAnsi="Arial"/>
          <w:sz w:val="20"/>
          <w:szCs w:val="20"/>
          <w:color w:val="auto"/>
        </w:rPr>
        <w:t>The amount and expiration dates of tax loss carryforwards and credit carryforwards as of December 25, 2022 are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EXPIRATION DATE</w:t>
            </w:r>
          </w:p>
        </w:tc>
        <w:tc>
          <w:tcPr>
            <w:tcW w:w="380" w:type="dxa"/>
            <w:vAlign w:val="bottom"/>
          </w:tcPr>
          <w:p>
            <w:pPr>
              <w:spacing w:after="0"/>
              <w:rPr>
                <w:sz w:val="19"/>
                <w:szCs w:val="19"/>
                <w:color w:val="auto"/>
              </w:rPr>
            </w:pPr>
          </w:p>
        </w:tc>
        <w:tc>
          <w:tcPr>
            <w:tcW w:w="1600" w:type="dxa"/>
            <w:vAlign w:val="bottom"/>
          </w:tcPr>
          <w:p>
            <w:pPr>
              <w:jc w:val="right"/>
              <w:ind w:right="581"/>
              <w:spacing w:after="0"/>
              <w:rPr>
                <w:sz w:val="20"/>
                <w:szCs w:val="20"/>
                <w:color w:val="auto"/>
              </w:rPr>
            </w:pPr>
            <w:r>
              <w:rPr>
                <w:rFonts w:ascii="Arial" w:cs="Arial" w:eastAsia="Arial" w:hAnsi="Arial"/>
                <w:sz w:val="14"/>
                <w:szCs w:val="14"/>
                <w:b w:val="1"/>
                <w:bCs w:val="1"/>
                <w:color w:val="auto"/>
              </w:rPr>
              <w:t>AMOUNT</w:t>
            </w: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tax credit carryforwards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2042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177,676</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Foreign loss carryforwards</w:t>
            </w:r>
          </w:p>
        </w:tc>
        <w:tc>
          <w:tcPr>
            <w:tcW w:w="1140" w:type="dxa"/>
            <w:vAlign w:val="bottom"/>
          </w:tcPr>
          <w:p>
            <w:pPr>
              <w:jc w:val="right"/>
              <w:spacing w:after="0"/>
              <w:rPr>
                <w:sz w:val="20"/>
                <w:szCs w:val="20"/>
                <w:color w:val="auto"/>
              </w:rPr>
            </w:pPr>
            <w:r>
              <w:rPr>
                <w:rFonts w:ascii="Arial" w:cs="Arial" w:eastAsia="Arial" w:hAnsi="Arial"/>
                <w:sz w:val="16"/>
                <w:szCs w:val="16"/>
                <w:color w:val="auto"/>
              </w:rPr>
              <w:t>2023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Indefinite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62,213</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credit carryforwards</w:t>
            </w:r>
          </w:p>
        </w:tc>
        <w:tc>
          <w:tcPr>
            <w:tcW w:w="262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bl>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of December 25, 2022, the Company had $175.5 million in general business tax credit carryforwards, which have a 20-year carryforward period and are utilized on a first-in, first-out basis.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Unrecognized Tax Benefits - </w:t>
      </w:r>
      <w:r>
        <w:rPr>
          <w:rFonts w:ascii="Arial" w:cs="Arial" w:eastAsia="Arial" w:hAnsi="Arial"/>
          <w:sz w:val="20"/>
          <w:szCs w:val="20"/>
          <w:color w:val="auto"/>
        </w:rPr>
        <w:t>As of December 25, 2022 and December 26, 2021, the liability for unrecognized tax benefits was $18.3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$19.2 million, respectively. Of the total amount of unrecognized tax benefits, including accrued interest and penalties, $17.9 million and $18.8 million, respectively, if recognized, would impact the Company’s effective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Company’s unrecognized tax benefits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27,201</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Arial" w:cs="Arial" w:eastAsia="Arial" w:hAnsi="Arial"/>
                <w:sz w:val="16"/>
                <w:szCs w:val="16"/>
                <w:color w:val="auto"/>
              </w:rPr>
              <w:t>Additions for tax positions taken during a prior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Reductions for tax positions taken during a prior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Arial" w:cs="Arial" w:eastAsia="Arial" w:hAnsi="Arial"/>
                <w:sz w:val="16"/>
                <w:szCs w:val="16"/>
                <w:color w:val="auto"/>
              </w:rPr>
              <w:t>Additions for tax positions taken during the current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Settlements with taxing authorities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Arial" w:cs="Arial" w:eastAsia="Arial" w:hAnsi="Arial"/>
                <w:sz w:val="16"/>
                <w:szCs w:val="16"/>
                <w:color w:val="auto"/>
              </w:rPr>
              <w:t>Lapses in the applicable statutes of limitations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Translation adjustments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Balance, end of the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19,238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25,524</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had approximately $0.8 million and $0.9 million accrued for the payment of interest and penalties as of December 25, 2022 and December 26, 2021, respectively. The Company recognized immaterial interest and penalties related to uncertain tax positions in the Provision (benefit) for income taxes, for all periods presented.</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$1.0 million to $2.0 million within the next 12 months.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Open Tax Years - </w:t>
      </w:r>
      <w:r>
        <w:rPr>
          <w:rFonts w:ascii="Arial" w:cs="Arial" w:eastAsia="Arial" w:hAnsi="Arial"/>
          <w:sz w:val="20"/>
          <w:szCs w:val="20"/>
          <w:color w:val="auto"/>
        </w:rPr>
        <w:t>Following is a summary of the open audit years by jurisdiction as of December 25,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580" w:type="dxa"/>
            <w:vAlign w:val="bottom"/>
          </w:tcPr>
          <w:p>
            <w:pPr>
              <w:spacing w:after="0"/>
              <w:rPr>
                <w:sz w:val="16"/>
                <w:szCs w:val="16"/>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OPEN AUDIT YEARS</w:t>
            </w:r>
          </w:p>
        </w:tc>
      </w:tr>
      <w:tr>
        <w:trPr>
          <w:trHeight w:val="33"/>
        </w:trPr>
        <w:tc>
          <w:tcPr>
            <w:tcW w:w="924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2021</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United States - state</w:t>
            </w:r>
          </w:p>
        </w:tc>
        <w:tc>
          <w:tcPr>
            <w:tcW w:w="920" w:type="dxa"/>
            <w:vAlign w:val="bottom"/>
          </w:tcPr>
          <w:p>
            <w:pPr>
              <w:jc w:val="right"/>
              <w:spacing w:after="0"/>
              <w:rPr>
                <w:sz w:val="20"/>
                <w:szCs w:val="20"/>
                <w:color w:val="auto"/>
              </w:rPr>
            </w:pPr>
            <w:r>
              <w:rPr>
                <w:rFonts w:ascii="Arial" w:cs="Arial" w:eastAsia="Arial" w:hAnsi="Arial"/>
                <w:sz w:val="16"/>
                <w:szCs w:val="16"/>
                <w:color w:val="auto"/>
              </w:rPr>
              <w:t>2009</w:t>
            </w:r>
          </w:p>
        </w:tc>
        <w:tc>
          <w:tcPr>
            <w:tcW w:w="1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right"/>
              <w:ind w:right="459"/>
              <w:spacing w:after="0"/>
              <w:rPr>
                <w:sz w:val="20"/>
                <w:szCs w:val="20"/>
                <w:color w:val="auto"/>
              </w:rPr>
            </w:pPr>
            <w:r>
              <w:rPr>
                <w:rFonts w:ascii="Arial" w:cs="Arial" w:eastAsia="Arial" w:hAnsi="Arial"/>
                <w:sz w:val="16"/>
                <w:szCs w:val="16"/>
                <w:color w:val="auto"/>
              </w:rPr>
              <w:t>2021</w:t>
            </w:r>
          </w:p>
        </w:tc>
      </w:tr>
      <w:tr>
        <w:trPr>
          <w:trHeight w:val="219"/>
        </w:trPr>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8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2021</w:t>
            </w:r>
          </w:p>
        </w:tc>
      </w:tr>
      <w:tr>
        <w:trPr>
          <w:trHeight w:val="571"/>
        </w:trPr>
        <w:tc>
          <w:tcPr>
            <w:tcW w:w="660" w:type="dxa"/>
            <w:vAlign w:val="bottom"/>
          </w:tcPr>
          <w:p>
            <w:pPr>
              <w:spacing w:after="0"/>
              <w:rPr>
                <w:sz w:val="20"/>
                <w:szCs w:val="20"/>
                <w:color w:val="auto"/>
              </w:rPr>
            </w:pPr>
            <w:r>
              <w:rPr>
                <w:rFonts w:ascii="Arial" w:cs="Arial" w:eastAsia="Arial" w:hAnsi="Arial"/>
                <w:sz w:val="20"/>
                <w:szCs w:val="20"/>
                <w:color w:val="auto"/>
              </w:rPr>
              <w:t>22.</w:t>
            </w:r>
          </w:p>
        </w:tc>
        <w:tc>
          <w:tcPr>
            <w:tcW w:w="8580" w:type="dxa"/>
            <w:vAlign w:val="bottom"/>
          </w:tcPr>
          <w:p>
            <w:pPr>
              <w:ind w:left="140"/>
              <w:spacing w:after="0"/>
              <w:rPr>
                <w:sz w:val="20"/>
                <w:szCs w:val="20"/>
                <w:color w:val="auto"/>
              </w:rPr>
            </w:pPr>
            <w:r>
              <w:rPr>
                <w:rFonts w:ascii="Arial" w:cs="Arial" w:eastAsia="Arial" w:hAnsi="Arial"/>
                <w:sz w:val="20"/>
                <w:szCs w:val="20"/>
                <w:color w:val="auto"/>
              </w:rPr>
              <w:t>Commitments and Contingencies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 The Company assigned its interest, and is contingently liable, under certain real estate leases. These leases have varying</w:t>
      </w:r>
      <w:r>
        <w:rPr>
          <w:rFonts w:ascii="Arial" w:cs="Arial" w:eastAsia="Arial" w:hAnsi="Arial"/>
          <w:sz w:val="20"/>
          <w:szCs w:val="20"/>
          <w:i w:val="1"/>
          <w:iCs w:val="1"/>
          <w:color w:val="auto"/>
        </w:rPr>
        <w:t xml:space="preserve"> </w:t>
      </w:r>
      <w:r>
        <w:rPr>
          <w:rFonts w:ascii="Arial" w:cs="Arial" w:eastAsia="Arial" w:hAnsi="Arial"/>
          <w:sz w:val="20"/>
          <w:szCs w:val="20"/>
          <w:color w:val="auto"/>
        </w:rPr>
        <w:t>terms, the latest of which expires in 2032. As of December 25, 2022, the undiscounted payments the Company could be required to make in the event of non-payment by the primary lessees was approximately $22.9 million. The present value of these potential payments discounted at the Company’s incremental borrowing rate as of December 25, 2022 was approximately $16.8 million. In the event of default, the indemnity clauses in the Company’s purchase and sale agreements govern its ability to pursue and recover damages incurred. As of December 25, 2022 and December 26, 2021, the Company’s recorded contingent lease liability was $6.2 million and $8.7 million, respectively.</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auto"/>
        </w:rPr>
        <w:t xml:space="preserve">Purchase Obligations - </w:t>
      </w:r>
      <w:r>
        <w:rPr>
          <w:rFonts w:ascii="Arial" w:cs="Arial" w:eastAsia="Arial" w:hAnsi="Arial"/>
          <w:sz w:val="20"/>
          <w:szCs w:val="20"/>
          <w:color w:val="auto"/>
        </w:rPr>
        <w:t>Purchase obligations were $226.6 million and $206.6 million as of December 25, 2022 and December 26, 2021,</w:t>
      </w:r>
      <w:r>
        <w:rPr>
          <w:rFonts w:ascii="Arial" w:cs="Arial" w:eastAsia="Arial" w:hAnsi="Arial"/>
          <w:sz w:val="20"/>
          <w:szCs w:val="20"/>
          <w:i w:val="1"/>
          <w:iCs w:val="1"/>
          <w:color w:val="auto"/>
        </w:rPr>
        <w:t xml:space="preserve"> </w:t>
      </w:r>
      <w:r>
        <w:rPr>
          <w:rFonts w:ascii="Arial" w:cs="Arial" w:eastAsia="Arial" w:hAnsi="Arial"/>
          <w:sz w:val="20"/>
          <w:szCs w:val="20"/>
          <w:color w:val="auto"/>
        </w:rPr>
        <w:t>respectively. These purchase obligations are primarily due within three years, however commitments with various vendors extend through December 2030. Outstanding commitments consist primarily of inventory, kitchen equipment, technology, advertising and restaurant-level service contracts. In 2022, the Company purchased more than 95% of its U.S. beef raw materials from four beef suppliers that represent more than 80% of the total beef marketplace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i w:val="1"/>
          <w:iCs w:val="1"/>
          <w:color w:val="auto"/>
        </w:rPr>
        <w:t xml:space="preserve">Litigation and Other Matters - </w:t>
      </w:r>
      <w:r>
        <w:rPr>
          <w:rFonts w:ascii="Arial" w:cs="Arial" w:eastAsia="Arial" w:hAnsi="Arial"/>
          <w:sz w:val="18"/>
          <w:szCs w:val="18"/>
          <w:color w:val="auto"/>
        </w:rPr>
        <w:t>The Company is subject to legal proceedings, claims and liabilities, such as liquor liability, slip and fall cases,</w:t>
      </w:r>
      <w:r>
        <w:rPr>
          <w:rFonts w:ascii="Arial" w:cs="Arial" w:eastAsia="Arial" w:hAnsi="Arial"/>
          <w:sz w:val="18"/>
          <w:szCs w:val="18"/>
          <w:i w:val="1"/>
          <w:iCs w:val="1"/>
          <w:color w:val="auto"/>
        </w:rPr>
        <w:t xml:space="preserve"> </w:t>
      </w:r>
      <w:r>
        <w:rPr>
          <w:rFonts w:ascii="Arial" w:cs="Arial" w:eastAsia="Arial" w:hAnsi="Arial"/>
          <w:sz w:val="18"/>
          <w:szCs w:val="18"/>
          <w:color w:val="auto"/>
        </w:rPr>
        <w:t>wage and hour and other employment-related litigation, which arise in the ordinary course of business. A reserve is recorded when it is both:</w:t>
      </w:r>
    </w:p>
    <w:p>
      <w:pPr>
        <w:jc w:val="both"/>
        <w:ind w:firstLine="8"/>
        <w:spacing w:after="0" w:line="250" w:lineRule="auto"/>
        <w:tabs>
          <w:tab w:leader="none" w:pos="2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Certain subsidiaries of the Company have been named in collective actions alleging violations of the Fair Labor Standards Act and state wage and hour laws. The Company believes its employees were properly paid and is defending these matters vigorously. During the thirteen weeks ended December 25, 2022, the Company accrued $5.9 million within Accrued and other current liabilities on its Consolidated Balance Sheet for these matters.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Including the matters discussed above, the Company recorded reserves of $15.1 million and $7.1 million for certain of its outstanding legal proceedings as of December 25, 2022 and December 26, 2021,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 During 2022, 2021 and 2020, the Company recognized $9.4 million, $5.4 million and $2.3 million, respectively, in Other restaurant operating expense in the Company’s Consolidated Statements of Operations and Comprehensive Income (Loss) for certain legal reserves and settlements.</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Royalty Termination </w:t>
      </w:r>
      <w:r>
        <w:rPr>
          <w:rFonts w:ascii="Arial" w:cs="Arial" w:eastAsia="Arial" w:hAnsi="Arial"/>
          <w:sz w:val="20"/>
          <w:szCs w:val="20"/>
          <w:color w:val="auto"/>
        </w:rPr>
        <w:t>- On August 2, 2021, wholly-owned subsidiaries of the Company entered into the Purchase and Sale of Royalty</w:t>
      </w:r>
      <w:r>
        <w:rPr>
          <w:rFonts w:ascii="Arial" w:cs="Arial" w:eastAsia="Arial" w:hAnsi="Arial"/>
          <w:sz w:val="20"/>
          <w:szCs w:val="20"/>
          <w:i w:val="1"/>
          <w:iCs w:val="1"/>
          <w:color w:val="auto"/>
        </w:rPr>
        <w:t xml:space="preserve"> </w:t>
      </w:r>
      <w:r>
        <w:rPr>
          <w:rFonts w:ascii="Arial" w:cs="Arial" w:eastAsia="Arial" w:hAnsi="Arial"/>
          <w:sz w:val="20"/>
          <w:szCs w:val="20"/>
          <w:color w:val="auto"/>
        </w:rPr>
        <w:t>Payment Stream and Termination of Royalty Agreement (the “Royalty Termination Agreement”) with the Carrabba’s Italian Grill founders (the “Carrabba’s Founders”), pursuant to which the Company’s obligation to pay future royalties on U.S. Carrabba’s Italian Grill restaurant sales and lump sum royalty fees on Carrabba’s Italian Grill (and Abbraccio) restaurants opened outside the U.S. was terminated. Upon execution of the Royalty Termination Agreement, the Company made a cash payment of $61.9 million to the Carrabba’s Founders, which was recorded in Other restaurant operating expense in its Consolidated Statements of Operations and Comprehensive Income (Loss)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i w:val="1"/>
          <w:iCs w:val="1"/>
          <w:color w:val="auto"/>
        </w:rPr>
        <w:t xml:space="preserve">Insurance - </w:t>
      </w:r>
      <w:r>
        <w:rPr>
          <w:rFonts w:ascii="Arial" w:cs="Arial" w:eastAsia="Arial" w:hAnsi="Arial"/>
          <w:sz w:val="20"/>
          <w:szCs w:val="20"/>
          <w:color w:val="auto"/>
        </w:rPr>
        <w:t>As of December 25, 2022, the future undiscounted payments the Company expects for workers’ compensation, general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and health insurance claims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21,308</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11,826</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7,597</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2026</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4,058</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r>
      <w:tr>
        <w:trPr>
          <w:trHeight w:val="22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8,473</w:t>
            </w:r>
          </w:p>
        </w:tc>
      </w:tr>
      <w:tr>
        <w:trPr>
          <w:trHeight w:val="238"/>
        </w:trPr>
        <w:tc>
          <w:tcPr>
            <w:tcW w:w="9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reconciliation of the expected aggregate undiscounted reserves to the discounted reserves for insurance claims recognized on the Company’s Consolidated Balance Sheets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Undiscounted reserves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55,364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54,664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Discount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w w:val="94"/>
              </w:rPr>
              <w:t>(6,299)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w w:val="94"/>
              </w:rPr>
              <w:t>(1,130)</w:t>
            </w:r>
          </w:p>
        </w:tc>
      </w:tr>
      <w:tr>
        <w:trPr>
          <w:trHeight w:val="23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Discounted reserves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49,065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53,534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Discounted reserves recognized on the Company’s Consolidated Balance Sheets: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ind w:left="1220"/>
              <w:spacing w:after="0"/>
              <w:rPr>
                <w:sz w:val="20"/>
                <w:szCs w:val="20"/>
                <w:color w:val="auto"/>
              </w:rPr>
            </w:pPr>
            <w:r>
              <w:rPr>
                <w:rFonts w:ascii="Arial" w:cs="Arial" w:eastAsia="Arial" w:hAnsi="Arial"/>
                <w:sz w:val="16"/>
                <w:szCs w:val="16"/>
                <w:color w:val="auto"/>
              </w:rPr>
              <w:t>20,932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ind w:left="1220"/>
              <w:spacing w:after="0"/>
              <w:rPr>
                <w:sz w:val="20"/>
                <w:szCs w:val="20"/>
                <w:color w:val="auto"/>
              </w:rPr>
            </w:pPr>
            <w:r>
              <w:rPr>
                <w:rFonts w:ascii="Arial" w:cs="Arial" w:eastAsia="Arial" w:hAnsi="Arial"/>
                <w:sz w:val="16"/>
                <w:szCs w:val="16"/>
                <w:color w:val="auto"/>
              </w:rPr>
              <w:t>22,017</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28,133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31,517</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49,065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53,534</w:t>
            </w:r>
          </w:p>
        </w:tc>
      </w:tr>
      <w:tr>
        <w:trPr>
          <w:trHeight w:val="24"/>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400" w:hanging="392"/>
        <w:spacing w:after="0"/>
        <w:tabs>
          <w:tab w:leader="none" w:pos="4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Discount rates of 4.47% and 0.69% were used for December 25, 2022 and December 26, 2021, respectively.</w:t>
      </w: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Segment Reporting</w:t>
      </w:r>
    </w:p>
    <w:p>
      <w:pPr>
        <w:spacing w:after="0" w:line="243"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The Company considers each of its restaurant concepts and international markets as operating segments, which reflects how the Company manages its business, reviews operating performance and allocates resources. Resources are allocated and performance is assessed by the Company’s Chief Executive Officer, whom the Company has determined to be its Chief Operating Decision Maker. The Company aggregates its operating segments into two reportable segments, U.S. and international. The U.S. segment includes all restaurants operating in the U.S. while restaurants operating outside the U.S. are included in the international segment.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reporting segments as of December 25, 2022:</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right w:val="single" w:sz="8" w:color="auto"/>
            </w:tcBorders>
            <w:shd w:val="clear" w:color="auto" w:fill="CCEEFF"/>
          </w:tcPr>
          <w:p>
            <w:pPr>
              <w:spacing w:after="0"/>
              <w:rPr>
                <w:sz w:val="20"/>
                <w:szCs w:val="20"/>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shd w:val="clear" w:color="auto" w:fill="CCEEFF"/>
          </w:tcPr>
          <w:p>
            <w:pPr>
              <w:spacing w:after="0"/>
              <w:rPr>
                <w:sz w:val="20"/>
                <w:szCs w:val="20"/>
                <w:color w:val="auto"/>
              </w:rPr>
            </w:pPr>
          </w:p>
        </w:tc>
        <w:tc>
          <w:tcPr>
            <w:tcW w:w="38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6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Borders>
              <w:left w:val="single" w:sz="8" w:color="auto"/>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600" w:type="dxa"/>
            <w:vAlign w:val="bottom"/>
            <w:tcBorders>
              <w:right w:val="single" w:sz="8" w:color="auto"/>
            </w:tcBorders>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64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0"/>
                <w:szCs w:val="20"/>
                <w:color w:val="auto"/>
              </w:rPr>
            </w:pPr>
            <w:r>
              <w:rPr>
                <w:rFonts w:ascii="Arial" w:cs="Arial" w:eastAsia="Arial" w:hAnsi="Arial"/>
                <w:sz w:val="16"/>
                <w:szCs w:val="16"/>
                <w:color w:val="auto"/>
              </w:rPr>
              <w:t>_________________</w:t>
            </w:r>
          </w:p>
        </w:tc>
        <w:tc>
          <w:tcPr>
            <w:tcW w:w="10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3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Revenues for all segments include only transactions with customers and exclude intersegment revenues. Excluded from Income (loss) from operations for U.S. and international are certain legal and corporate costs not</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8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directly related to the performance of the segments, most stock-based compensation expenses, certain insurance expenses and certain bonus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revenues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3,911,870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3,759,981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2,885,542</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362,404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285,019</w:t>
            </w:r>
          </w:p>
        </w:tc>
        <w:tc>
          <w:tcPr>
            <w:tcW w:w="0" w:type="dxa"/>
            <w:vAlign w:val="bottom"/>
          </w:tcPr>
          <w:p>
            <w:pPr>
              <w:spacing w:after="0"/>
              <w:rPr>
                <w:sz w:val="1"/>
                <w:szCs w:val="1"/>
                <w:color w:val="auto"/>
              </w:rPr>
            </w:pPr>
          </w:p>
        </w:tc>
      </w:tr>
      <w:tr>
        <w:trPr>
          <w:trHeight w:val="216"/>
        </w:trPr>
        <w:tc>
          <w:tcPr>
            <w:tcW w:w="64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4,416,508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4,122,385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3,170,561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following table is a reconciliation of segment income (loss) from operations to Income (loss) before provision (benefit) for income taxes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income (loss) from operations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407,860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443,887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(13,479)</w:t>
            </w:r>
          </w:p>
        </w:tc>
        <w:tc>
          <w:tcPr>
            <w:tcW w:w="0" w:type="dxa"/>
            <w:vAlign w:val="bottom"/>
          </w:tcPr>
          <w:p>
            <w:pPr>
              <w:spacing w:after="0"/>
              <w:rPr>
                <w:sz w:val="1"/>
                <w:szCs w:val="1"/>
                <w:color w:val="auto"/>
              </w:rPr>
            </w:pPr>
          </w:p>
        </w:tc>
      </w:tr>
      <w:tr>
        <w:trPr>
          <w:trHeight w:val="200"/>
        </w:trPr>
        <w:tc>
          <w:tcPr>
            <w:tcW w:w="6440" w:type="dxa"/>
            <w:vAlign w:val="bottom"/>
          </w:tcPr>
          <w:p>
            <w:pPr>
              <w:ind w:left="480"/>
              <w:spacing w:after="0"/>
              <w:rPr>
                <w:sz w:val="20"/>
                <w:szCs w:val="20"/>
                <w:color w:val="auto"/>
              </w:rPr>
            </w:pPr>
            <w:r>
              <w:rPr>
                <w:rFonts w:ascii="Arial" w:cs="Arial" w:eastAsia="Arial" w:hAnsi="Arial"/>
                <w:sz w:val="16"/>
                <w:szCs w:val="16"/>
                <w:color w:val="auto"/>
              </w:rPr>
              <w:t>Total segment income (loss)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465,193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460,544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(15,109)</w:t>
            </w: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Unallocated corporate operating expense (1)</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(159,864)</w:t>
            </w:r>
          </w:p>
        </w:tc>
        <w:tc>
          <w:tcPr>
            <w:tcW w:w="0" w:type="dxa"/>
            <w:vAlign w:val="bottom"/>
          </w:tcPr>
          <w:p>
            <w:pPr>
              <w:spacing w:after="0"/>
              <w:rPr>
                <w:sz w:val="1"/>
                <w:szCs w:val="1"/>
                <w:color w:val="auto"/>
              </w:rPr>
            </w:pPr>
          </w:p>
        </w:tc>
      </w:tr>
      <w:tr>
        <w:trPr>
          <w:trHeight w:val="200"/>
        </w:trPr>
        <w:tc>
          <w:tcPr>
            <w:tcW w:w="6440" w:type="dxa"/>
            <w:vAlign w:val="bottom"/>
          </w:tcPr>
          <w:p>
            <w:pPr>
              <w:ind w:left="480"/>
              <w:spacing w:after="0"/>
              <w:rPr>
                <w:sz w:val="20"/>
                <w:szCs w:val="20"/>
                <w:color w:val="auto"/>
              </w:rPr>
            </w:pPr>
            <w:r>
              <w:rPr>
                <w:rFonts w:ascii="Arial" w:cs="Arial" w:eastAsia="Arial" w:hAnsi="Arial"/>
                <w:sz w:val="16"/>
                <w:szCs w:val="16"/>
                <w:color w:val="auto"/>
              </w:rPr>
              <w:t>Total income (loss)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330,421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308,958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(174,973)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Arial" w:cs="Arial" w:eastAsia="Arial" w:hAnsi="Arial"/>
                <w:sz w:val="16"/>
                <w:szCs w:val="16"/>
                <w:color w:val="auto"/>
              </w:rPr>
              <w:t>Loss on fair value adjustment of derivatives,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(64,442)</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Income (loss) before provision (benefit)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249,297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(239,521)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right="20" w:hanging="652"/>
        <w:spacing w:after="0" w:line="257"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$32.4 million of charges for 2020 that were not allocated to the Company’s segments related to its transformational initiatives, primarily recorded within General and administrative expense and Provision for impaired assets and restaurant closings.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139,170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134,243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144,298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23,723</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12,240</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163,391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196,163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103,303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64,516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18,542</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5,936</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capital expenditures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126,412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Total assets by segment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2,669,953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2,626,808</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383,075</w:t>
            </w:r>
          </w:p>
        </w:tc>
      </w:tr>
      <w:tr>
        <w:trPr>
          <w:trHeight w:val="223"/>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284,388</w:t>
            </w:r>
          </w:p>
        </w:tc>
      </w:tr>
      <w:tr>
        <w:trPr>
          <w:trHeight w:val="241"/>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3,320,425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3,294,271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operating lease right-of-use assets, intangible assets and deferred tax assets, by major geographic area as of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2022</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891,379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831,634</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Brazil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73,706</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15,342</w:t>
            </w:r>
          </w:p>
        </w:tc>
      </w:tr>
      <w:tr>
        <w:trPr>
          <w:trHeight w:val="241"/>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920,682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 for the periods indicated: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3,911,870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3,759,981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2,885,542</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Brazil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222,283</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62,736</w:t>
            </w:r>
          </w:p>
        </w:tc>
        <w:tc>
          <w:tcPr>
            <w:tcW w:w="0" w:type="dxa"/>
            <w:vAlign w:val="bottom"/>
          </w:tcPr>
          <w:p>
            <w:pPr>
              <w:spacing w:after="0"/>
              <w:rPr>
                <w:sz w:val="1"/>
                <w:szCs w:val="1"/>
                <w:color w:val="auto"/>
              </w:rPr>
            </w:pPr>
          </w:p>
        </w:tc>
      </w:tr>
      <w:tr>
        <w:trPr>
          <w:trHeight w:val="241"/>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4,416,508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4,122,385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December 25, 2022.</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There have been no changes in our internal control over financial reporting during our most recent quarter ended December 25, 2022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0" w:lineRule="exact"/>
        <w:rPr>
          <w:sz w:val="20"/>
          <w:szCs w:val="20"/>
          <w:color w:val="auto"/>
        </w:rPr>
      </w:pPr>
    </w:p>
    <w:p>
      <w:pPr>
        <w:ind w:right="4680"/>
        <w:spacing w:after="0" w:line="436"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information required by this item relating to our directors and nominees will be included under the captions “Proposal No. 1: Election of Directors—Nominees for Election at this Annual Meeting” and “—Directors Continuing in Office” in our definitive Proxy Statement for the 2023 Annual Meeting of Stockholders (“Definitive Proxy Statement”) and is incorporated herein by reference.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information required by this item relating to our executive officers is included under the caption “Information About Our Executive Officers” in Part I of this Report on Form 10-K.</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We have adopted a Code of Conduct that applies to all employees. A copy of our Code of Conduct is available on our website, free of charge. The Internet address for our website is www.bloominbrands.com, and the Code of Conduct may be found on our main webpage by clicking first on “Investors” and then on “Governance—Governance Documents” and next on “Code of Conduct.”</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We intend to satisfy any disclosure requirement under Item 5.05 of Form 8-K regarding an amendment to, or waiver from, a provision of this code of ethics by posting such information on our website, on the Governance Documents webpage, as specified above.</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The information required by this item regarding our Audit Committee will be included under the caption “Proposal No. 1: Election of Directors—Board Committees and Meetings” in our Definitive Proxy Statement and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information required by this item will be included under the captions “Proposal No. 1: Election of Directors—Director Compensation” and “Executive Compensation and Related Information” in our Definitive Proxy Statement and, except for the information under the caption “Pay vs. Performance”,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information required by this item will be included under the caption “Ownership of Securities” in our Definitive Proxy Statement and is incorporated herein by reference.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1:—Independent Directors,” in each case in our Definitive Proxy Statement, and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9"/>
          <w:szCs w:val="19"/>
          <w:color w:val="auto"/>
        </w:rPr>
        <w:t>LISTING OF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consolidated financial statements of the Company and subsidiaries are included in Item 8 of this Report:</w:t>
      </w:r>
    </w:p>
    <w:p>
      <w:pPr>
        <w:spacing w:after="0" w:line="243" w:lineRule="exact"/>
        <w:rPr>
          <w:sz w:val="20"/>
          <w:szCs w:val="20"/>
          <w:color w:val="auto"/>
        </w:rPr>
      </w:pPr>
    </w:p>
    <w:p>
      <w:pPr>
        <w:ind w:left="640" w:hanging="308"/>
        <w:spacing w:after="0"/>
        <w:tabs>
          <w:tab w:leader="none" w:pos="640"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Consolidated Balance Sheets – December 25, 2022 and December 26, 2021</w:t>
      </w:r>
    </w:p>
    <w:p>
      <w:pPr>
        <w:spacing w:after="0" w:line="20" w:lineRule="exact"/>
        <w:rPr>
          <w:rFonts w:ascii="Arial" w:cs="Arial" w:eastAsia="Arial" w:hAnsi="Arial"/>
          <w:sz w:val="20"/>
          <w:szCs w:val="20"/>
          <w:b w:val="1"/>
          <w:bCs w:val="1"/>
          <w:color w:val="auto"/>
        </w:rPr>
      </w:pPr>
    </w:p>
    <w:p>
      <w:pPr>
        <w:ind w:left="640" w:hanging="308"/>
        <w:spacing w:after="0"/>
        <w:tabs>
          <w:tab w:leader="none" w:pos="6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Consolidated Statements of Operations and Comprehensive Income (Loss) – Fiscal years 2022, 2021 and 2020</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Consolidated Statements of Changes in Stockholders’ Equity – Fiscal years 2022, 2021 and 2020</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Consolidated Statements of Cash Flows – Fiscal years 2022, 2021 and 2020</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644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64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3.1</w:t>
      </w:r>
      <w:r>
        <w:rPr>
          <w:sz w:val="20"/>
          <w:szCs w:val="20"/>
          <w:color w:val="auto"/>
        </w:rPr>
        <w:tab/>
      </w:r>
      <w:hyperlink r:id="rId140">
        <w:r>
          <w:rPr>
            <w:rFonts w:ascii="Arial" w:cs="Arial" w:eastAsia="Arial" w:hAnsi="Arial"/>
            <w:sz w:val="18"/>
            <w:szCs w:val="18"/>
            <w:u w:val="single" w:color="auto"/>
            <w:color w:val="0000FF"/>
          </w:rPr>
          <w:t>Fourth Amended and Restated Certificate of Incorporation</w:t>
        </w:r>
      </w:hyperlink>
    </w:p>
    <w:p>
      <w:pPr>
        <w:spacing w:after="0" w:line="81"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3.2</w:t>
      </w:r>
      <w:r>
        <w:rPr>
          <w:sz w:val="20"/>
          <w:szCs w:val="20"/>
          <w:color w:val="auto"/>
        </w:rPr>
        <w:tab/>
      </w:r>
      <w:hyperlink r:id="rId141">
        <w:r>
          <w:rPr>
            <w:rFonts w:ascii="Arial" w:cs="Arial" w:eastAsia="Arial" w:hAnsi="Arial"/>
            <w:sz w:val="18"/>
            <w:szCs w:val="18"/>
            <w:u w:val="single" w:color="auto"/>
            <w:color w:val="0000FF"/>
          </w:rPr>
          <w:t>Third Amended and Restated Bylaws of Bloomin’ Brands, Inc.</w:t>
        </w:r>
      </w:hyperlink>
    </w:p>
    <w:p>
      <w:pPr>
        <w:spacing w:after="0" w:line="256"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4.1</w:t>
      </w:r>
      <w:r>
        <w:rPr>
          <w:sz w:val="20"/>
          <w:szCs w:val="20"/>
          <w:color w:val="auto"/>
        </w:rPr>
        <w:tab/>
      </w:r>
      <w:hyperlink r:id="rId142">
        <w:r>
          <w:rPr>
            <w:rFonts w:ascii="Arial" w:cs="Arial" w:eastAsia="Arial" w:hAnsi="Arial"/>
            <w:sz w:val="18"/>
            <w:szCs w:val="18"/>
            <w:u w:val="single" w:color="auto"/>
            <w:color w:val="0000FF"/>
          </w:rPr>
          <w:t>Form of Common Stock Certificate</w:t>
        </w:r>
      </w:hyperlink>
    </w:p>
    <w:p>
      <w:pPr>
        <w:spacing w:after="0" w:line="200" w:lineRule="exact"/>
        <w:rPr>
          <w:sz w:val="20"/>
          <w:szCs w:val="20"/>
          <w:color w:val="auto"/>
        </w:rPr>
      </w:pPr>
    </w:p>
    <w:p>
      <w:pPr>
        <w:spacing w:after="0" w:line="272"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4.2</w:t>
      </w:r>
      <w:r>
        <w:rPr>
          <w:sz w:val="20"/>
          <w:szCs w:val="20"/>
          <w:color w:val="auto"/>
        </w:rPr>
        <w:tab/>
      </w:r>
      <w:hyperlink r:id="rId143">
        <w:r>
          <w:rPr>
            <w:rFonts w:ascii="Arial" w:cs="Arial" w:eastAsia="Arial" w:hAnsi="Arial"/>
            <w:sz w:val="18"/>
            <w:szCs w:val="18"/>
            <w:u w:val="single" w:color="auto"/>
            <w:color w:val="0000FF"/>
          </w:rPr>
          <w:t>Description of Common Stock</w:t>
        </w:r>
      </w:hyperlink>
    </w:p>
    <w:p>
      <w:pPr>
        <w:spacing w:after="0" w:line="81" w:lineRule="exact"/>
        <w:rPr>
          <w:sz w:val="20"/>
          <w:szCs w:val="20"/>
          <w:color w:val="auto"/>
        </w:rPr>
      </w:pPr>
    </w:p>
    <w:p>
      <w:pPr>
        <w:ind w:left="1180" w:right="220" w:hanging="768"/>
        <w:spacing w:after="0" w:line="236" w:lineRule="auto"/>
        <w:tabs>
          <w:tab w:leader="none" w:pos="1160" w:val="left"/>
        </w:tabs>
        <w:rPr>
          <w:rFonts w:ascii="Arial" w:cs="Arial" w:eastAsia="Arial" w:hAnsi="Arial"/>
          <w:sz w:val="20"/>
          <w:szCs w:val="20"/>
          <w:u w:val="single" w:color="auto"/>
          <w:color w:val="0000FF"/>
        </w:rPr>
      </w:pPr>
      <w:r>
        <w:rPr>
          <w:rFonts w:ascii="Arial" w:cs="Arial" w:eastAsia="Arial" w:hAnsi="Arial"/>
          <w:sz w:val="20"/>
          <w:szCs w:val="20"/>
          <w:color w:val="auto"/>
        </w:rPr>
        <w:t>4.3</w:t>
      </w:r>
      <w:r>
        <w:rPr>
          <w:sz w:val="20"/>
          <w:szCs w:val="20"/>
          <w:color w:val="auto"/>
        </w:rPr>
        <w:tab/>
      </w:r>
      <w:hyperlink r:id="rId144">
        <w:r>
          <w:rPr>
            <w:rFonts w:ascii="Arial" w:cs="Arial" w:eastAsia="Arial" w:hAnsi="Arial"/>
            <w:sz w:val="20"/>
            <w:szCs w:val="20"/>
            <w:u w:val="single" w:color="auto"/>
            <w:color w:val="0000FF"/>
          </w:rPr>
          <w:t>Indenture, dated as of May 8, 2020, between Bloomin’ Brands, Inc. and Wells</w:t>
        </w:r>
      </w:hyperlink>
      <w:r>
        <w:rPr>
          <w:rFonts w:ascii="Arial" w:cs="Arial" w:eastAsia="Arial" w:hAnsi="Arial"/>
          <w:sz w:val="20"/>
          <w:szCs w:val="20"/>
          <w:u w:val="single" w:color="auto"/>
          <w:color w:val="0000FF"/>
        </w:rPr>
        <w:t xml:space="preserve"> </w:t>
      </w:r>
      <w:hyperlink r:id="rId144">
        <w:r>
          <w:rPr>
            <w:rFonts w:ascii="Arial" w:cs="Arial" w:eastAsia="Arial" w:hAnsi="Arial"/>
            <w:sz w:val="20"/>
            <w:szCs w:val="20"/>
            <w:u w:val="single" w:color="auto"/>
            <w:color w:val="0000FF"/>
          </w:rPr>
          <w:t>Fargo Bank, National Association</w:t>
        </w:r>
      </w:hyperlink>
    </w:p>
    <w:p>
      <w:pPr>
        <w:spacing w:after="0" w:line="47"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4.4</w:t>
      </w:r>
      <w:r>
        <w:rPr>
          <w:sz w:val="20"/>
          <w:szCs w:val="20"/>
          <w:color w:val="auto"/>
        </w:rPr>
        <w:tab/>
      </w:r>
      <w:hyperlink r:id="rId144">
        <w:r>
          <w:rPr>
            <w:rFonts w:ascii="Arial" w:cs="Arial" w:eastAsia="Arial" w:hAnsi="Arial"/>
            <w:sz w:val="18"/>
            <w:szCs w:val="18"/>
            <w:u w:val="single" w:color="auto"/>
            <w:color w:val="0000FF"/>
          </w:rPr>
          <w:t>Form of 5.00% Convertible Senior Notes due 2025</w:t>
        </w:r>
      </w:hyperlink>
    </w:p>
    <w:p>
      <w:pPr>
        <w:spacing w:after="0" w:line="258"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4.5</w:t>
      </w:r>
      <w:r>
        <w:rPr>
          <w:sz w:val="20"/>
          <w:szCs w:val="20"/>
          <w:color w:val="auto"/>
        </w:rPr>
        <w:tab/>
      </w:r>
      <w:hyperlink r:id="rId145">
        <w:r>
          <w:rPr>
            <w:rFonts w:ascii="Arial" w:cs="Arial" w:eastAsia="Arial" w:hAnsi="Arial"/>
            <w:sz w:val="18"/>
            <w:szCs w:val="18"/>
            <w:u w:val="single" w:color="auto"/>
            <w:color w:val="0000FF"/>
          </w:rPr>
          <w:t>Indenture, dated as of April 16, 2021, by and among Bloomin’ Brands, Inc., OSI</w:t>
        </w:r>
      </w:hyperlink>
    </w:p>
    <w:p>
      <w:pPr>
        <w:ind w:left="1180"/>
        <w:spacing w:after="0" w:line="220" w:lineRule="auto"/>
        <w:rPr>
          <w:rFonts w:ascii="Arial" w:cs="Arial" w:eastAsia="Arial" w:hAnsi="Arial"/>
          <w:sz w:val="20"/>
          <w:szCs w:val="20"/>
          <w:u w:val="single" w:color="auto"/>
          <w:color w:val="0000FF"/>
        </w:rPr>
      </w:pPr>
      <w:hyperlink r:id="rId145">
        <w:r>
          <w:rPr>
            <w:rFonts w:ascii="Arial" w:cs="Arial" w:eastAsia="Arial" w:hAnsi="Arial"/>
            <w:sz w:val="20"/>
            <w:szCs w:val="20"/>
            <w:u w:val="single" w:color="auto"/>
            <w:color w:val="0000FF"/>
          </w:rPr>
          <w:t>Restaurant Partners, LLC, the guarantors party thereto, and Wells Fargo Bank,</w:t>
        </w:r>
      </w:hyperlink>
      <w:r>
        <w:rPr>
          <w:rFonts w:ascii="Arial" w:cs="Arial" w:eastAsia="Arial" w:hAnsi="Arial"/>
          <w:sz w:val="20"/>
          <w:szCs w:val="20"/>
          <w:u w:val="single" w:color="auto"/>
          <w:color w:val="0000FF"/>
        </w:rPr>
        <w:t xml:space="preserve"> </w:t>
      </w:r>
      <w:hyperlink r:id="rId145">
        <w:r>
          <w:rPr>
            <w:rFonts w:ascii="Arial" w:cs="Arial" w:eastAsia="Arial" w:hAnsi="Arial"/>
            <w:sz w:val="20"/>
            <w:szCs w:val="20"/>
            <w:u w:val="single" w:color="auto"/>
            <w:color w:val="0000FF"/>
          </w:rPr>
          <w:t>National Association, as trustee</w:t>
        </w:r>
      </w:hyperlink>
    </w:p>
    <w:p>
      <w:pPr>
        <w:spacing w:after="0" w:line="62"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FF"/>
        </w:rPr>
      </w:pPr>
      <w:r>
        <w:rPr>
          <w:rFonts w:ascii="Arial" w:cs="Arial" w:eastAsia="Arial" w:hAnsi="Arial"/>
          <w:sz w:val="20"/>
          <w:szCs w:val="20"/>
          <w:color w:val="auto"/>
        </w:rPr>
        <w:t>4.6</w:t>
      </w:r>
      <w:r>
        <w:rPr>
          <w:sz w:val="20"/>
          <w:szCs w:val="20"/>
          <w:color w:val="auto"/>
        </w:rPr>
        <w:tab/>
      </w:r>
      <w:hyperlink r:id="rId146">
        <w:r>
          <w:rPr>
            <w:rFonts w:ascii="Arial" w:cs="Arial" w:eastAsia="Arial" w:hAnsi="Arial"/>
            <w:sz w:val="16"/>
            <w:szCs w:val="16"/>
            <w:u w:val="single" w:color="auto"/>
            <w:color w:val="0000FF"/>
          </w:rPr>
          <w:t>Form of 5.125% Senior Notes due 2029</w:t>
        </w:r>
      </w:hyperlink>
    </w:p>
    <w:p>
      <w:pPr>
        <w:spacing w:after="0" w:line="258" w:lineRule="exact"/>
        <w:rPr>
          <w:sz w:val="20"/>
          <w:szCs w:val="20"/>
          <w:color w:val="auto"/>
        </w:rPr>
      </w:pPr>
    </w:p>
    <w:p>
      <w:pPr>
        <w:ind w:left="360"/>
        <w:spacing w:after="0"/>
        <w:tabs>
          <w:tab w:leader="none" w:pos="1160" w:val="left"/>
        </w:tabs>
        <w:rPr>
          <w:rFonts w:ascii="Arial" w:cs="Arial" w:eastAsia="Arial" w:hAnsi="Arial"/>
          <w:sz w:val="16"/>
          <w:szCs w:val="16"/>
          <w:u w:val="single" w:color="auto"/>
          <w:color w:val="0000FF"/>
        </w:rPr>
      </w:pPr>
      <w:r>
        <w:rPr>
          <w:rFonts w:ascii="Arial" w:cs="Arial" w:eastAsia="Arial" w:hAnsi="Arial"/>
          <w:sz w:val="20"/>
          <w:szCs w:val="20"/>
          <w:color w:val="auto"/>
        </w:rPr>
        <w:t>10.1</w:t>
      </w:r>
      <w:r>
        <w:rPr>
          <w:sz w:val="20"/>
          <w:szCs w:val="20"/>
          <w:color w:val="auto"/>
        </w:rPr>
        <w:tab/>
      </w:r>
      <w:hyperlink r:id="rId147">
        <w:r>
          <w:rPr>
            <w:rFonts w:ascii="Arial" w:cs="Arial" w:eastAsia="Arial" w:hAnsi="Arial"/>
            <w:sz w:val="16"/>
            <w:szCs w:val="16"/>
            <w:u w:val="single" w:color="auto"/>
            <w:color w:val="0000FF"/>
          </w:rPr>
          <w:t>Second Amended and Restated Credit Agreement, dated April 16, 2021, by and</w:t>
        </w:r>
      </w:hyperlink>
    </w:p>
    <w:p>
      <w:pPr>
        <w:ind w:left="1180" w:right="340"/>
        <w:spacing w:after="0" w:line="255"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among Bloomin’ Brands, Inc., OSI Restaurant Partners, LLC, the guarantors</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party thereto, the lenders party thereto, and Wells Fargo Bank, National</w:t>
        </w:r>
      </w:hyperlink>
    </w:p>
    <w:p>
      <w:pPr>
        <w:spacing w:after="0" w:line="1" w:lineRule="exact"/>
        <w:rPr>
          <w:sz w:val="20"/>
          <w:szCs w:val="20"/>
          <w:color w:val="auto"/>
        </w:rPr>
      </w:pPr>
    </w:p>
    <w:p>
      <w:pPr>
        <w:ind w:left="1180"/>
        <w:spacing w:after="0"/>
        <w:rPr>
          <w:rFonts w:ascii="Arial" w:cs="Arial" w:eastAsia="Arial" w:hAnsi="Arial"/>
          <w:sz w:val="20"/>
          <w:szCs w:val="20"/>
          <w:u w:val="single" w:color="auto"/>
          <w:color w:val="0000FF"/>
        </w:rPr>
      </w:pPr>
      <w:hyperlink r:id="rId147">
        <w:r>
          <w:rPr>
            <w:rFonts w:ascii="Arial" w:cs="Arial" w:eastAsia="Arial" w:hAnsi="Arial"/>
            <w:sz w:val="20"/>
            <w:szCs w:val="20"/>
            <w:u w:val="single" w:color="auto"/>
            <w:color w:val="0000FF"/>
          </w:rPr>
          <w:t>Association, as administrative Agent</w:t>
        </w:r>
      </w:hyperlink>
    </w:p>
    <w:p>
      <w:pPr>
        <w:spacing w:after="0" w:line="20" w:lineRule="exact"/>
        <w:rPr>
          <w:sz w:val="20"/>
          <w:szCs w:val="20"/>
          <w:color w:val="auto"/>
        </w:rPr>
      </w:pPr>
      <w:r>
        <w:rPr>
          <w:sz w:val="20"/>
          <w:szCs w:val="20"/>
          <w:color w:val="auto"/>
        </w:rPr>
        <w:br w:type="column"/>
      </w:r>
    </w:p>
    <w:p>
      <w:pPr>
        <w:ind w:right="240"/>
        <w:spacing w:after="0" w:line="371" w:lineRule="auto"/>
        <w:rPr>
          <w:sz w:val="20"/>
          <w:szCs w:val="20"/>
          <w:color w:val="auto"/>
        </w:rPr>
      </w:pPr>
      <w:r>
        <w:rPr>
          <w:rFonts w:ascii="Arial" w:cs="Arial" w:eastAsia="Arial" w:hAnsi="Arial"/>
          <w:sz w:val="19"/>
          <w:szCs w:val="19"/>
          <w:color w:val="auto"/>
        </w:rPr>
        <w:t>April 20, 2022, Form 8-K, Exhibit 3.1 December 7, 2018 Form 8-K, Exhibit 3.1 Amendment No. 4 to Registration</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Statement on Form S-1, File No. 333-180615, filed on July 18, 2012, Exhibit 4.1</w:t>
      </w:r>
    </w:p>
    <w:p>
      <w:pPr>
        <w:spacing w:after="0" w:line="52" w:lineRule="exact"/>
        <w:rPr>
          <w:sz w:val="20"/>
          <w:szCs w:val="20"/>
          <w:color w:val="auto"/>
        </w:rPr>
      </w:pPr>
    </w:p>
    <w:p>
      <w:pPr>
        <w:ind w:right="40"/>
        <w:spacing w:after="0" w:line="376" w:lineRule="auto"/>
        <w:rPr>
          <w:sz w:val="20"/>
          <w:szCs w:val="20"/>
          <w:color w:val="auto"/>
        </w:rPr>
      </w:pPr>
      <w:r>
        <w:rPr>
          <w:rFonts w:ascii="Arial" w:cs="Arial" w:eastAsia="Arial" w:hAnsi="Arial"/>
          <w:sz w:val="19"/>
          <w:szCs w:val="19"/>
          <w:color w:val="auto"/>
        </w:rPr>
        <w:t>December 29, 2019 Form 10-K, Exhibit 4.2 May 11, 2020 Form 8-K, Exhibit 4.1</w:t>
      </w:r>
    </w:p>
    <w:p>
      <w:pPr>
        <w:spacing w:after="0" w:line="125" w:lineRule="exact"/>
        <w:rPr>
          <w:sz w:val="20"/>
          <w:szCs w:val="20"/>
          <w:color w:val="auto"/>
        </w:rPr>
      </w:pPr>
    </w:p>
    <w:p>
      <w:pPr>
        <w:ind w:right="560"/>
        <w:spacing w:after="0" w:line="257" w:lineRule="auto"/>
        <w:rPr>
          <w:sz w:val="20"/>
          <w:szCs w:val="20"/>
          <w:color w:val="auto"/>
        </w:rPr>
      </w:pPr>
      <w:r>
        <w:rPr>
          <w:rFonts w:ascii="Arial" w:cs="Arial" w:eastAsia="Arial" w:hAnsi="Arial"/>
          <w:sz w:val="19"/>
          <w:szCs w:val="19"/>
          <w:color w:val="auto"/>
        </w:rPr>
        <w:t>May 11, 2020 Form 8-K, Included as Exhibit A to Exhibit 4.1</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April 20, 2021 Form 8-K, Exhibit 4.1</w:t>
      </w:r>
    </w:p>
    <w:p>
      <w:pPr>
        <w:spacing w:after="0" w:line="200" w:lineRule="exact"/>
        <w:rPr>
          <w:sz w:val="20"/>
          <w:szCs w:val="20"/>
          <w:color w:val="auto"/>
        </w:rPr>
      </w:pPr>
    </w:p>
    <w:p>
      <w:pPr>
        <w:spacing w:after="0" w:line="272"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April 20, 2021 Form 8-K, Included as Exhibit A to Exhibit 4.1</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April 20, 2021 Form 8-K, Exhibit 10.1</w:t>
      </w:r>
    </w:p>
    <w:p>
      <w:pPr>
        <w:spacing w:after="0" w:line="810" w:lineRule="exact"/>
        <w:rPr>
          <w:sz w:val="20"/>
          <w:szCs w:val="20"/>
          <w:color w:val="auto"/>
        </w:rPr>
      </w:pPr>
    </w:p>
    <w:p>
      <w:pPr>
        <w:sectPr>
          <w:pgSz w:w="11900" w:h="16838" w:orient="portrait"/>
          <w:cols w:equalWidth="0" w:num="2">
            <w:col w:w="7580" w:space="160"/>
            <w:col w:w="3500"/>
          </w:cols>
          <w:pgMar w:left="32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27"/>
            <w:vMerge w:val="restart"/>
          </w:tcPr>
          <w:p>
            <w:pPr>
              <w:ind w:left="70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2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10.2</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520" w:type="dxa"/>
            <w:vAlign w:val="bottom"/>
            <w:tcBorders>
              <w:top w:val="single" w:sz="8" w:color="auto"/>
            </w:tcBorders>
            <w:gridSpan w:val="33"/>
          </w:tcPr>
          <w:p>
            <w:pPr>
              <w:spacing w:after="0"/>
              <w:rPr>
                <w:rFonts w:ascii="Arial" w:cs="Arial" w:eastAsia="Arial" w:hAnsi="Arial"/>
                <w:sz w:val="20"/>
                <w:szCs w:val="20"/>
                <w:color w:val="0000FF"/>
                <w:w w:val="93"/>
              </w:rPr>
            </w:pPr>
            <w:hyperlink r:id="rId149">
              <w:r>
                <w:rPr>
                  <w:rFonts w:ascii="Arial" w:cs="Arial" w:eastAsia="Arial" w:hAnsi="Arial"/>
                  <w:sz w:val="20"/>
                  <w:szCs w:val="20"/>
                  <w:color w:val="0000FF"/>
                  <w:w w:val="93"/>
                </w:rPr>
                <w:t>First Amendment to the Second Amended and Restated Credit Agreement and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00" w:type="dxa"/>
            <w:vAlign w:val="bottom"/>
            <w:tcBorders>
              <w:top w:val="single" w:sz="8" w:color="0000FF"/>
            </w:tcBorders>
            <w:gridSpan w:val="32"/>
          </w:tcPr>
          <w:p>
            <w:pPr>
              <w:spacing w:after="0" w:line="183" w:lineRule="exact"/>
              <w:rPr>
                <w:rFonts w:ascii="Arial" w:cs="Arial" w:eastAsia="Arial" w:hAnsi="Arial"/>
                <w:sz w:val="20"/>
                <w:szCs w:val="20"/>
                <w:color w:val="0000FF"/>
                <w:w w:val="92"/>
              </w:rPr>
            </w:pPr>
            <w:hyperlink r:id="rId149">
              <w:r>
                <w:rPr>
                  <w:rFonts w:ascii="Arial" w:cs="Arial" w:eastAsia="Arial" w:hAnsi="Arial"/>
                  <w:sz w:val="20"/>
                  <w:szCs w:val="20"/>
                  <w:color w:val="0000FF"/>
                  <w:w w:val="92"/>
                </w:rPr>
                <w:t>Incremental Amendment, dated April 26, 2022, by and among Bloomin’ Brands,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top w:val="single" w:sz="8" w:color="0000FF"/>
            </w:tcBorders>
            <w:gridSpan w:val="31"/>
          </w:tcPr>
          <w:p>
            <w:pPr>
              <w:spacing w:after="0" w:line="196" w:lineRule="exact"/>
              <w:rPr>
                <w:rFonts w:ascii="Arial" w:cs="Arial" w:eastAsia="Arial" w:hAnsi="Arial"/>
                <w:sz w:val="20"/>
                <w:szCs w:val="20"/>
                <w:color w:val="0000FF"/>
                <w:w w:val="95"/>
              </w:rPr>
            </w:pPr>
            <w:hyperlink r:id="rId149">
              <w:r>
                <w:rPr>
                  <w:rFonts w:ascii="Arial" w:cs="Arial" w:eastAsia="Arial" w:hAnsi="Arial"/>
                  <w:sz w:val="20"/>
                  <w:szCs w:val="20"/>
                  <w:color w:val="0000FF"/>
                  <w:w w:val="95"/>
                </w:rPr>
                <w:t>Inc., OSI Restaurant Partners, LLC, the guarantors party thereto, the lenders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top w:val="single" w:sz="8" w:color="0000FF"/>
              <w:bottom w:val="single" w:sz="8" w:color="0000FF"/>
            </w:tcBorders>
            <w:gridSpan w:val="29"/>
          </w:tcPr>
          <w:p>
            <w:pPr>
              <w:spacing w:after="0" w:line="196" w:lineRule="exact"/>
              <w:rPr>
                <w:rFonts w:ascii="Arial" w:cs="Arial" w:eastAsia="Arial" w:hAnsi="Arial"/>
                <w:sz w:val="20"/>
                <w:szCs w:val="20"/>
                <w:color w:val="0000FF"/>
                <w:w w:val="95"/>
              </w:rPr>
            </w:pPr>
            <w:hyperlink r:id="rId149">
              <w:r>
                <w:rPr>
                  <w:rFonts w:ascii="Arial" w:cs="Arial" w:eastAsia="Arial" w:hAnsi="Arial"/>
                  <w:sz w:val="20"/>
                  <w:szCs w:val="20"/>
                  <w:color w:val="0000FF"/>
                  <w:w w:val="95"/>
                </w:rPr>
                <w:t>party thereto, and Wells Fargo Bank, National Association, as administrative</w:t>
              </w:r>
            </w:hyperlink>
          </w:p>
        </w:tc>
        <w:tc>
          <w:tcPr>
            <w:tcW w:w="20" w:type="dxa"/>
            <w:vAlign w:val="bottom"/>
            <w:tcBorders>
              <w:bottom w:val="single" w:sz="8" w:color="0000FF"/>
            </w:tcBorders>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0000FF"/>
            </w:tcBorders>
          </w:tcPr>
          <w:p>
            <w:pPr>
              <w:spacing w:after="0" w:line="183" w:lineRule="exact"/>
              <w:rPr>
                <w:rFonts w:ascii="Arial" w:cs="Arial" w:eastAsia="Arial" w:hAnsi="Arial"/>
                <w:sz w:val="20"/>
                <w:szCs w:val="20"/>
                <w:color w:val="0000FF"/>
                <w:w w:val="87"/>
              </w:rPr>
            </w:pPr>
            <w:hyperlink r:id="rId149">
              <w:r>
                <w:rPr>
                  <w:rFonts w:ascii="Arial" w:cs="Arial" w:eastAsia="Arial" w:hAnsi="Arial"/>
                  <w:sz w:val="20"/>
                  <w:szCs w:val="20"/>
                  <w:color w:val="0000FF"/>
                  <w:w w:val="87"/>
                </w:rPr>
                <w:t>Agent</w:t>
              </w:r>
            </w:hyperlink>
          </w:p>
        </w:tc>
        <w:tc>
          <w:tcPr>
            <w:tcW w:w="5980" w:type="dxa"/>
            <w:vAlign w:val="bottom"/>
            <w:gridSpan w:val="29"/>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7"/>
          </w:tcPr>
          <w:p>
            <w:pPr>
              <w:spacing w:after="0"/>
              <w:rPr>
                <w:rFonts w:ascii="Arial" w:cs="Arial" w:eastAsia="Arial" w:hAnsi="Arial"/>
                <w:sz w:val="20"/>
                <w:szCs w:val="20"/>
                <w:color w:val="0000FF"/>
                <w:w w:val="89"/>
              </w:rPr>
            </w:pPr>
            <w:hyperlink r:id="rId150">
              <w:r>
                <w:rPr>
                  <w:rFonts w:ascii="Arial" w:cs="Arial" w:eastAsia="Arial" w:hAnsi="Arial"/>
                  <w:sz w:val="20"/>
                  <w:szCs w:val="20"/>
                  <w:color w:val="0000FF"/>
                  <w:w w:val="89"/>
                </w:rPr>
                <w:t>Purchase and Sale of Royalty Payment Stream and Termination of Royalty</w:t>
              </w:r>
            </w:hyperlink>
          </w:p>
        </w:tc>
        <w:tc>
          <w:tcPr>
            <w:tcW w:w="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33"/>
          </w:tcPr>
          <w:p>
            <w:pPr>
              <w:spacing w:after="0" w:line="169" w:lineRule="exact"/>
              <w:rPr>
                <w:rFonts w:ascii="Arial" w:cs="Arial" w:eastAsia="Arial" w:hAnsi="Arial"/>
                <w:sz w:val="19"/>
                <w:szCs w:val="19"/>
                <w:color w:val="0000FF"/>
              </w:rPr>
            </w:pPr>
            <w:hyperlink r:id="rId150">
              <w:r>
                <w:rPr>
                  <w:rFonts w:ascii="Arial" w:cs="Arial" w:eastAsia="Arial" w:hAnsi="Arial"/>
                  <w:sz w:val="19"/>
                  <w:szCs w:val="19"/>
                  <w:color w:val="0000FF"/>
                </w:rPr>
                <w:t>Agreement dated August 2, 2021 by and among Carrabba’s Italian Grill, LLC,</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tcBorders>
            <w:gridSpan w:val="23"/>
          </w:tcPr>
          <w:p>
            <w:pPr>
              <w:spacing w:after="0" w:line="183" w:lineRule="exact"/>
              <w:rPr>
                <w:rFonts w:ascii="Arial" w:cs="Arial" w:eastAsia="Arial" w:hAnsi="Arial"/>
                <w:sz w:val="20"/>
                <w:szCs w:val="20"/>
                <w:color w:val="0000FF"/>
                <w:w w:val="98"/>
              </w:rPr>
            </w:pPr>
            <w:hyperlink r:id="rId150">
              <w:r>
                <w:rPr>
                  <w:rFonts w:ascii="Arial" w:cs="Arial" w:eastAsia="Arial" w:hAnsi="Arial"/>
                  <w:sz w:val="20"/>
                  <w:szCs w:val="20"/>
                  <w:color w:val="0000FF"/>
                  <w:w w:val="98"/>
                </w:rPr>
                <w:t>OSI Restaurant Partners, LLC Mangia Beve, Inc., Mangia Beve II, Inc.,</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tcBorders>
              <w:top w:val="single" w:sz="8" w:color="0000FF"/>
            </w:tcBorders>
            <w:gridSpan w:val="13"/>
          </w:tcPr>
          <w:p>
            <w:pPr>
              <w:spacing w:after="0" w:line="183" w:lineRule="exact"/>
              <w:rPr>
                <w:rFonts w:ascii="Arial" w:cs="Arial" w:eastAsia="Arial" w:hAnsi="Arial"/>
                <w:sz w:val="20"/>
                <w:szCs w:val="20"/>
                <w:color w:val="0000FF"/>
                <w:w w:val="89"/>
              </w:rPr>
            </w:pPr>
            <w:hyperlink r:id="rId150">
              <w:r>
                <w:rPr>
                  <w:rFonts w:ascii="Arial" w:cs="Arial" w:eastAsia="Arial" w:hAnsi="Arial"/>
                  <w:sz w:val="20"/>
                  <w:szCs w:val="20"/>
                  <w:color w:val="0000FF"/>
                  <w:w w:val="89"/>
                </w:rPr>
                <w:t>Original, Inc., Voss, Inc., John C. Carrabba, III, Damian C. Mandola and</w:t>
              </w:r>
            </w:hyperlink>
          </w:p>
        </w:tc>
        <w:tc>
          <w:tcPr>
            <w:tcW w:w="840" w:type="dxa"/>
            <w:vAlign w:val="bottom"/>
            <w:gridSpan w:val="20"/>
          </w:tcPr>
          <w:p>
            <w:pPr>
              <w:ind w:left="120"/>
              <w:spacing w:after="0" w:line="183" w:lineRule="exact"/>
              <w:rPr>
                <w:rFonts w:ascii="Arial" w:cs="Arial" w:eastAsia="Arial" w:hAnsi="Arial"/>
                <w:sz w:val="20"/>
                <w:szCs w:val="20"/>
                <w:color w:val="0000FF"/>
              </w:rPr>
            </w:pPr>
            <w:hyperlink r:id="rId150">
              <w:r>
                <w:rPr>
                  <w:rFonts w:ascii="Arial" w:cs="Arial" w:eastAsia="Arial" w:hAnsi="Arial"/>
                  <w:sz w:val="20"/>
                  <w:szCs w:val="20"/>
                  <w:color w:val="0000FF"/>
                </w:rPr>
                <w:t>John 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88"/>
              </w:rPr>
            </w:pPr>
            <w:hyperlink r:id="rId150">
              <w:r>
                <w:rPr>
                  <w:rFonts w:ascii="Arial" w:cs="Arial" w:eastAsia="Arial" w:hAnsi="Arial"/>
                  <w:sz w:val="19"/>
                  <w:szCs w:val="19"/>
                  <w:color w:val="0000FF"/>
                  <w:w w:val="88"/>
                </w:rPr>
                <w:t>Carrabba, Jr.</w:t>
              </w:r>
            </w:hyperlink>
          </w:p>
        </w:tc>
        <w:tc>
          <w:tcPr>
            <w:tcW w:w="5420" w:type="dxa"/>
            <w:vAlign w:val="bottom"/>
            <w:tcBorders>
              <w:top w:val="single" w:sz="8" w:color="0000FF"/>
            </w:tcBorders>
            <w:gridSpan w:val="2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3"/>
              </w:rPr>
            </w:pPr>
            <w:hyperlink r:id="rId151">
              <w:r>
                <w:rPr>
                  <w:rFonts w:ascii="Arial" w:cs="Arial" w:eastAsia="Arial" w:hAnsi="Arial"/>
                  <w:sz w:val="20"/>
                  <w:szCs w:val="20"/>
                  <w:color w:val="0000FF"/>
                  <w:w w:val="93"/>
                </w:rPr>
                <w:t>Amended and Restated Operating Agreement for OSI/Fleming’s, LLC made as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4"/>
          </w:tcPr>
          <w:p>
            <w:pPr>
              <w:spacing w:after="0" w:line="169" w:lineRule="exact"/>
              <w:rPr>
                <w:rFonts w:ascii="Arial" w:cs="Arial" w:eastAsia="Arial" w:hAnsi="Arial"/>
                <w:sz w:val="19"/>
                <w:szCs w:val="19"/>
                <w:color w:val="0000FF"/>
                <w:w w:val="97"/>
              </w:rPr>
            </w:pPr>
            <w:hyperlink r:id="rId151">
              <w:r>
                <w:rPr>
                  <w:rFonts w:ascii="Arial" w:cs="Arial" w:eastAsia="Arial" w:hAnsi="Arial"/>
                  <w:sz w:val="19"/>
                  <w:szCs w:val="19"/>
                  <w:color w:val="0000FF"/>
                  <w:w w:val="97"/>
                </w:rPr>
                <w:t>of June 4, 2010 by and among OS Prime, LLC, a wholly-owned subsidiary of</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top w:val="single" w:sz="8" w:color="0000FF"/>
            </w:tcBorders>
            <w:gridSpan w:val="22"/>
          </w:tcPr>
          <w:p>
            <w:pPr>
              <w:spacing w:after="0" w:line="183" w:lineRule="exact"/>
              <w:rPr>
                <w:rFonts w:ascii="Arial" w:cs="Arial" w:eastAsia="Arial" w:hAnsi="Arial"/>
                <w:sz w:val="20"/>
                <w:szCs w:val="20"/>
                <w:color w:val="0000FF"/>
                <w:w w:val="98"/>
              </w:rPr>
            </w:pPr>
            <w:hyperlink r:id="rId151">
              <w:r>
                <w:rPr>
                  <w:rFonts w:ascii="Arial" w:cs="Arial" w:eastAsia="Arial" w:hAnsi="Arial"/>
                  <w:sz w:val="20"/>
                  <w:szCs w:val="20"/>
                  <w:color w:val="0000FF"/>
                  <w:w w:val="98"/>
                </w:rPr>
                <w:t>OSI Restaurant Partners, LLC, FPSH Limited Partnership and AWA III</w:t>
              </w:r>
            </w:hyperlink>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5"/>
          </w:tcPr>
          <w:p>
            <w:pPr>
              <w:spacing w:after="0" w:line="183" w:lineRule="exact"/>
              <w:rPr>
                <w:rFonts w:ascii="Arial" w:cs="Arial" w:eastAsia="Arial" w:hAnsi="Arial"/>
                <w:sz w:val="20"/>
                <w:szCs w:val="20"/>
                <w:color w:val="0000FF"/>
                <w:w w:val="85"/>
              </w:rPr>
            </w:pPr>
            <w:hyperlink r:id="rId151">
              <w:r>
                <w:rPr>
                  <w:rFonts w:ascii="Arial" w:cs="Arial" w:eastAsia="Arial" w:hAnsi="Arial"/>
                  <w:sz w:val="20"/>
                  <w:szCs w:val="20"/>
                  <w:color w:val="0000FF"/>
                  <w:w w:val="85"/>
                </w:rPr>
                <w:t>Steakhouses, Inc.</w:t>
              </w:r>
            </w:hyperlink>
          </w:p>
        </w:tc>
        <w:tc>
          <w:tcPr>
            <w:tcW w:w="4260" w:type="dxa"/>
            <w:vAlign w:val="bottom"/>
            <w:tcBorders>
              <w:top w:val="single" w:sz="8" w:color="0000FF"/>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8"/>
              </w:rPr>
            </w:pPr>
            <w:hyperlink r:id="rId152">
              <w:r>
                <w:rPr>
                  <w:rFonts w:ascii="Arial" w:cs="Arial" w:eastAsia="Arial" w:hAnsi="Arial"/>
                  <w:sz w:val="20"/>
                  <w:szCs w:val="20"/>
                  <w:color w:val="0000FF"/>
                  <w:w w:val="98"/>
                </w:rPr>
                <w:t>OSI Restaurant Partners, LLC HCE Deferred Compensation Plan effective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2"/>
              </w:rPr>
            </w:pPr>
            <w:hyperlink r:id="rId152">
              <w:r>
                <w:rPr>
                  <w:rFonts w:ascii="Arial" w:cs="Arial" w:eastAsia="Arial" w:hAnsi="Arial"/>
                  <w:sz w:val="19"/>
                  <w:szCs w:val="19"/>
                  <w:color w:val="0000FF"/>
                  <w:w w:val="92"/>
                </w:rPr>
                <w:t>October 1, 2007</w:t>
              </w:r>
            </w:hyperlink>
          </w:p>
        </w:tc>
        <w:tc>
          <w:tcPr>
            <w:tcW w:w="4620" w:type="dxa"/>
            <w:vAlign w:val="bottom"/>
            <w:tcBorders>
              <w:top w:val="single" w:sz="8" w:color="0000FF"/>
            </w:tcBorders>
            <w:gridSpan w:val="1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rPr>
            </w:pPr>
            <w:hyperlink r:id="rId153">
              <w:r>
                <w:rPr>
                  <w:rFonts w:ascii="Arial" w:cs="Arial" w:eastAsia="Arial" w:hAnsi="Arial"/>
                  <w:sz w:val="20"/>
                  <w:szCs w:val="20"/>
                  <w:color w:val="0000FF"/>
                </w:rPr>
                <w:t>Bloomin’ Brands, Inc. 2012 Incentive Award Plan</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rPr>
                <w:sz w:val="20"/>
                <w:szCs w:val="20"/>
                <w:color w:val="auto"/>
              </w:rPr>
            </w:pPr>
            <w:r>
              <w:rPr>
                <w:rFonts w:ascii="Arial" w:cs="Arial" w:eastAsia="Arial" w:hAnsi="Arial"/>
                <w:sz w:val="20"/>
                <w:szCs w:val="20"/>
                <w:color w:val="auto"/>
                <w:w w:val="98"/>
              </w:rPr>
              <w:t>10.7*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9"/>
        </w:trPr>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vMerge w:val="restart"/>
          </w:tcPr>
          <w:p>
            <w:pPr>
              <w:spacing w:after="0"/>
              <w:rPr>
                <w:rFonts w:ascii="Arial" w:cs="Arial" w:eastAsia="Arial" w:hAnsi="Arial"/>
                <w:sz w:val="20"/>
                <w:szCs w:val="20"/>
                <w:color w:val="0000FF"/>
                <w:w w:val="92"/>
              </w:rPr>
            </w:pPr>
            <w:hyperlink r:id="rId154">
              <w:r>
                <w:rPr>
                  <w:rFonts w:ascii="Arial" w:cs="Arial" w:eastAsia="Arial" w:hAnsi="Arial"/>
                  <w:sz w:val="20"/>
                  <w:szCs w:val="20"/>
                  <w:color w:val="0000FF"/>
                  <w:w w:val="92"/>
                </w:rPr>
                <w:t>Form of Nonqualified Stock Option Award Agreement for options granted under</w:t>
              </w:r>
            </w:hyperlink>
          </w:p>
        </w:tc>
        <w:tc>
          <w:tcPr>
            <w:tcW w:w="0" w:type="dxa"/>
            <w:vAlign w:val="bottom"/>
          </w:tcPr>
          <w:p>
            <w:pPr>
              <w:spacing w:after="0"/>
              <w:rPr>
                <w:sz w:val="1"/>
                <w:szCs w:val="1"/>
                <w:color w:val="auto"/>
              </w:rPr>
            </w:pPr>
          </w:p>
        </w:tc>
      </w:tr>
      <w:tr>
        <w:trPr>
          <w:trHeight w:val="36"/>
        </w:trPr>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520" w:type="dxa"/>
            <w:vAlign w:val="bottom"/>
            <w:gridSpan w:val="3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8"/>
          </w:tcPr>
          <w:p>
            <w:pPr>
              <w:spacing w:after="0" w:line="183" w:lineRule="exact"/>
              <w:rPr>
                <w:rFonts w:ascii="Arial" w:cs="Arial" w:eastAsia="Arial" w:hAnsi="Arial"/>
                <w:sz w:val="20"/>
                <w:szCs w:val="20"/>
                <w:color w:val="0000FF"/>
                <w:w w:val="91"/>
              </w:rPr>
            </w:pPr>
            <w:hyperlink r:id="rId154">
              <w:r>
                <w:rPr>
                  <w:rFonts w:ascii="Arial" w:cs="Arial" w:eastAsia="Arial" w:hAnsi="Arial"/>
                  <w:sz w:val="20"/>
                  <w:szCs w:val="20"/>
                  <w:color w:val="0000FF"/>
                  <w:w w:val="91"/>
                </w:rPr>
                <w:t>the Bloomin’ Brands, Inc. 2012 Incentive Award Plan</w:t>
              </w:r>
            </w:hyperlink>
          </w:p>
        </w:tc>
        <w:tc>
          <w:tcPr>
            <w:tcW w:w="212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9"/>
              </w:rPr>
            </w:pPr>
            <w:hyperlink r:id="rId155">
              <w:r>
                <w:rPr>
                  <w:rFonts w:ascii="Arial" w:cs="Arial" w:eastAsia="Arial" w:hAnsi="Arial"/>
                  <w:sz w:val="20"/>
                  <w:szCs w:val="20"/>
                  <w:color w:val="0000FF"/>
                  <w:w w:val="99"/>
                </w:rPr>
                <w:t>Form of Restricted Stock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11"/>
          </w:tcPr>
          <w:p>
            <w:pPr>
              <w:spacing w:after="0" w:line="169" w:lineRule="exact"/>
              <w:rPr>
                <w:rFonts w:ascii="Arial" w:cs="Arial" w:eastAsia="Arial" w:hAnsi="Arial"/>
                <w:sz w:val="19"/>
                <w:szCs w:val="19"/>
                <w:color w:val="0000FF"/>
                <w:w w:val="95"/>
              </w:rPr>
            </w:pPr>
            <w:hyperlink r:id="rId155">
              <w:r>
                <w:rPr>
                  <w:rFonts w:ascii="Arial" w:cs="Arial" w:eastAsia="Arial" w:hAnsi="Arial"/>
                  <w:sz w:val="19"/>
                  <w:szCs w:val="19"/>
                  <w:color w:val="0000FF"/>
                  <w:w w:val="95"/>
                </w:rPr>
                <w:t>directors under the Bloomin’ Brands, Inc. 2012 Incentive Award Plan</w:t>
              </w:r>
            </w:hyperlink>
          </w:p>
        </w:tc>
        <w:tc>
          <w:tcPr>
            <w:tcW w:w="3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9"/>
              </w:rPr>
            </w:pPr>
            <w:hyperlink r:id="rId156">
              <w:r>
                <w:rPr>
                  <w:rFonts w:ascii="Arial" w:cs="Arial" w:eastAsia="Arial" w:hAnsi="Arial"/>
                  <w:sz w:val="20"/>
                  <w:szCs w:val="20"/>
                  <w:color w:val="0000FF"/>
                  <w:w w:val="99"/>
                </w:rPr>
                <w:t>Form of Restricted Stock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15"/>
          </w:tcPr>
          <w:p>
            <w:pPr>
              <w:spacing w:after="0" w:line="169" w:lineRule="exact"/>
              <w:rPr>
                <w:rFonts w:ascii="Arial" w:cs="Arial" w:eastAsia="Arial" w:hAnsi="Arial"/>
                <w:sz w:val="19"/>
                <w:szCs w:val="19"/>
                <w:color w:val="0000FF"/>
                <w:w w:val="93"/>
              </w:rPr>
            </w:pPr>
            <w:hyperlink r:id="rId156">
              <w:r>
                <w:rPr>
                  <w:rFonts w:ascii="Arial" w:cs="Arial" w:eastAsia="Arial" w:hAnsi="Arial"/>
                  <w:sz w:val="19"/>
                  <w:szCs w:val="19"/>
                  <w:color w:val="0000FF"/>
                  <w:w w:val="93"/>
                </w:rPr>
                <w:t>employees and consultants under the Bloomin’ Brands, Inc. 2012 Incentive</w:t>
              </w:r>
            </w:hyperlink>
          </w:p>
        </w:tc>
        <w:tc>
          <w:tcPr>
            <w:tcW w:w="8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0000FF"/>
            </w:tcBorders>
            <w:gridSpan w:val="2"/>
          </w:tcPr>
          <w:p>
            <w:pPr>
              <w:spacing w:after="0" w:line="183" w:lineRule="exact"/>
              <w:rPr>
                <w:rFonts w:ascii="Arial" w:cs="Arial" w:eastAsia="Arial" w:hAnsi="Arial"/>
                <w:sz w:val="20"/>
                <w:szCs w:val="20"/>
                <w:color w:val="0000FF"/>
                <w:w w:val="87"/>
              </w:rPr>
            </w:pPr>
            <w:hyperlink r:id="rId156">
              <w:r>
                <w:rPr>
                  <w:rFonts w:ascii="Arial" w:cs="Arial" w:eastAsia="Arial" w:hAnsi="Arial"/>
                  <w:sz w:val="20"/>
                  <w:szCs w:val="20"/>
                  <w:color w:val="0000FF"/>
                  <w:w w:val="87"/>
                </w:rPr>
                <w:t>Award Plan</w:t>
              </w:r>
            </w:hyperlink>
          </w:p>
        </w:tc>
        <w:tc>
          <w:tcPr>
            <w:tcW w:w="504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4"/>
              </w:rPr>
            </w:pPr>
            <w:hyperlink r:id="rId157">
              <w:r>
                <w:rPr>
                  <w:rFonts w:ascii="Arial" w:cs="Arial" w:eastAsia="Arial" w:hAnsi="Arial"/>
                  <w:sz w:val="20"/>
                  <w:szCs w:val="20"/>
                  <w:color w:val="0000FF"/>
                  <w:w w:val="94"/>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11"/>
          </w:tcPr>
          <w:p>
            <w:pPr>
              <w:spacing w:after="0" w:line="169" w:lineRule="exact"/>
              <w:rPr>
                <w:rFonts w:ascii="Arial" w:cs="Arial" w:eastAsia="Arial" w:hAnsi="Arial"/>
                <w:sz w:val="19"/>
                <w:szCs w:val="19"/>
                <w:color w:val="0000FF"/>
                <w:w w:val="95"/>
              </w:rPr>
            </w:pPr>
            <w:hyperlink r:id="rId157">
              <w:r>
                <w:rPr>
                  <w:rFonts w:ascii="Arial" w:cs="Arial" w:eastAsia="Arial" w:hAnsi="Arial"/>
                  <w:sz w:val="19"/>
                  <w:szCs w:val="19"/>
                  <w:color w:val="0000FF"/>
                  <w:w w:val="95"/>
                </w:rPr>
                <w:t>directors under the Bloomin’ Brands, Inc. 2012 Incentive Award Plan</w:t>
              </w:r>
            </w:hyperlink>
          </w:p>
        </w:tc>
        <w:tc>
          <w:tcPr>
            <w:tcW w:w="780" w:type="dxa"/>
            <w:vAlign w:val="bottom"/>
            <w:tcBorders>
              <w:top w:val="single" w:sz="8" w:color="0000FF"/>
            </w:tcBorders>
            <w:gridSpan w:val="14"/>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4"/>
              </w:rPr>
            </w:pPr>
            <w:hyperlink r:id="rId158">
              <w:r>
                <w:rPr>
                  <w:rFonts w:ascii="Arial" w:cs="Arial" w:eastAsia="Arial" w:hAnsi="Arial"/>
                  <w:sz w:val="20"/>
                  <w:szCs w:val="20"/>
                  <w:color w:val="0000FF"/>
                  <w:w w:val="94"/>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25"/>
          </w:tcPr>
          <w:p>
            <w:pPr>
              <w:spacing w:after="0" w:line="169" w:lineRule="exact"/>
              <w:rPr>
                <w:rFonts w:ascii="Arial" w:cs="Arial" w:eastAsia="Arial" w:hAnsi="Arial"/>
                <w:sz w:val="19"/>
                <w:szCs w:val="19"/>
                <w:color w:val="0000FF"/>
                <w:w w:val="99"/>
              </w:rPr>
            </w:pPr>
            <w:hyperlink r:id="rId158">
              <w:r>
                <w:rPr>
                  <w:rFonts w:ascii="Arial" w:cs="Arial" w:eastAsia="Arial" w:hAnsi="Arial"/>
                  <w:sz w:val="19"/>
                  <w:szCs w:val="19"/>
                  <w:color w:val="0000FF"/>
                  <w:w w:val="99"/>
                </w:rPr>
                <w:t>employees and consultants under the Bloomin’ Brands, Inc. 2012 Incentive</w:t>
              </w:r>
            </w:hyperlink>
          </w:p>
        </w:tc>
        <w:tc>
          <w:tcPr>
            <w:tcW w:w="12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0000FF"/>
              <w:bottom w:val="single" w:sz="8" w:color="0000FF"/>
            </w:tcBorders>
            <w:gridSpan w:val="2"/>
          </w:tcPr>
          <w:p>
            <w:pPr>
              <w:spacing w:after="0" w:line="183" w:lineRule="exact"/>
              <w:rPr>
                <w:rFonts w:ascii="Arial" w:cs="Arial" w:eastAsia="Arial" w:hAnsi="Arial"/>
                <w:sz w:val="20"/>
                <w:szCs w:val="20"/>
                <w:color w:val="0000FF"/>
                <w:w w:val="87"/>
              </w:rPr>
            </w:pPr>
            <w:hyperlink r:id="rId158">
              <w:r>
                <w:rPr>
                  <w:rFonts w:ascii="Arial" w:cs="Arial" w:eastAsia="Arial" w:hAnsi="Arial"/>
                  <w:sz w:val="20"/>
                  <w:szCs w:val="20"/>
                  <w:color w:val="0000FF"/>
                  <w:w w:val="87"/>
                </w:rPr>
                <w:t>Award Plan</w:t>
              </w:r>
            </w:hyperlink>
          </w:p>
        </w:tc>
        <w:tc>
          <w:tcPr>
            <w:tcW w:w="504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6"/>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7"/>
              </w:rPr>
            </w:pPr>
            <w:hyperlink r:id="rId159">
              <w:r>
                <w:rPr>
                  <w:rFonts w:ascii="Arial" w:cs="Arial" w:eastAsia="Arial" w:hAnsi="Arial"/>
                  <w:sz w:val="20"/>
                  <w:szCs w:val="20"/>
                  <w:color w:val="0000FF"/>
                  <w:w w:val="97"/>
                </w:rPr>
                <w:t>Form of Performance Unit Award Agreement for performance units granted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5"/>
              </w:rPr>
            </w:pPr>
            <w:hyperlink r:id="rId159">
              <w:r>
                <w:rPr>
                  <w:rFonts w:ascii="Arial" w:cs="Arial" w:eastAsia="Arial" w:hAnsi="Arial"/>
                  <w:sz w:val="19"/>
                  <w:szCs w:val="19"/>
                  <w:color w:val="0000FF"/>
                  <w:w w:val="95"/>
                </w:rPr>
                <w:t>under the Bloomin’ Brands, Inc. 2012 Incentive Award Plan</w:t>
              </w:r>
            </w:hyperlink>
          </w:p>
        </w:tc>
        <w:tc>
          <w:tcPr>
            <w:tcW w:w="1240" w:type="dxa"/>
            <w:vAlign w:val="bottom"/>
            <w:tcBorders>
              <w:top w:val="single" w:sz="8" w:color="0000FF"/>
            </w:tcBorders>
            <w:gridSpan w:val="11"/>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6"/>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9"/>
              </w:rPr>
            </w:pPr>
            <w:hyperlink r:id="rId160">
              <w:r>
                <w:rPr>
                  <w:rFonts w:ascii="Arial" w:cs="Arial" w:eastAsia="Arial" w:hAnsi="Arial"/>
                  <w:sz w:val="20"/>
                  <w:szCs w:val="20"/>
                  <w:color w:val="0000FF"/>
                  <w:w w:val="99"/>
                </w:rPr>
                <w:t>Form of Bloomin’ Brands, Inc. Indemnification Agreement by and between</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Borders>
              <w:top w:val="single" w:sz="8" w:color="0000FF"/>
            </w:tcBorders>
            <w:gridSpan w:val="19"/>
          </w:tcPr>
          <w:p>
            <w:pPr>
              <w:spacing w:after="0" w:line="176" w:lineRule="exact"/>
              <w:rPr>
                <w:rFonts w:ascii="Arial" w:cs="Arial" w:eastAsia="Arial" w:hAnsi="Arial"/>
                <w:sz w:val="20"/>
                <w:szCs w:val="20"/>
                <w:color w:val="0000FF"/>
                <w:w w:val="90"/>
              </w:rPr>
            </w:pPr>
            <w:hyperlink r:id="rId160">
              <w:r>
                <w:rPr>
                  <w:rFonts w:ascii="Arial" w:cs="Arial" w:eastAsia="Arial" w:hAnsi="Arial"/>
                  <w:sz w:val="20"/>
                  <w:szCs w:val="20"/>
                  <w:color w:val="0000FF"/>
                  <w:w w:val="90"/>
                </w:rPr>
                <w:t>Bloomin’ Brands, Inc. and each member of its Board of Directors and each</w:t>
              </w:r>
            </w:hyperlink>
          </w:p>
        </w:tc>
        <w:tc>
          <w:tcPr>
            <w:tcW w:w="540" w:type="dxa"/>
            <w:vAlign w:val="bottom"/>
            <w:gridSpan w:val="14"/>
          </w:tcPr>
          <w:p>
            <w:pPr>
              <w:spacing w:after="0" w:line="176" w:lineRule="exact"/>
              <w:rPr>
                <w:rFonts w:ascii="Arial" w:cs="Arial" w:eastAsia="Arial" w:hAnsi="Arial"/>
                <w:sz w:val="20"/>
                <w:szCs w:val="20"/>
                <w:color w:val="0000FF"/>
              </w:rPr>
            </w:pPr>
            <w:hyperlink r:id="rId160">
              <w:r>
                <w:rPr>
                  <w:rFonts w:ascii="Arial" w:cs="Arial" w:eastAsia="Arial" w:hAnsi="Arial"/>
                  <w:sz w:val="20"/>
                  <w:szCs w:val="20"/>
                  <w:color w:val="0000FF"/>
                </w:rPr>
                <w:t>of its</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tcBorders>
            <w:gridSpan w:val="27"/>
          </w:tcPr>
          <w:p>
            <w:pPr>
              <w:spacing w:after="0" w:line="183" w:lineRule="exact"/>
              <w:rPr>
                <w:rFonts w:ascii="Arial" w:cs="Arial" w:eastAsia="Arial" w:hAnsi="Arial"/>
                <w:sz w:val="20"/>
                <w:szCs w:val="20"/>
                <w:color w:val="0000FF"/>
              </w:rPr>
            </w:pPr>
            <w:hyperlink r:id="rId160">
              <w:r>
                <w:rPr>
                  <w:rFonts w:ascii="Arial" w:cs="Arial" w:eastAsia="Arial" w:hAnsi="Arial"/>
                  <w:sz w:val="20"/>
                  <w:szCs w:val="20"/>
                  <w:color w:val="0000FF"/>
                </w:rPr>
                <w:t>executive officers</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rPr>
            </w:pPr>
            <w:hyperlink r:id="rId161">
              <w:r>
                <w:rPr>
                  <w:rFonts w:ascii="Arial" w:cs="Arial" w:eastAsia="Arial" w:hAnsi="Arial"/>
                  <w:sz w:val="20"/>
                  <w:szCs w:val="20"/>
                  <w:color w:val="0000FF"/>
                </w:rPr>
                <w:t>Bloomin’ Brands, Inc. 2016 Omnibus Incentive Compensation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10"/>
            <w:shd w:val="clear" w:color="auto" w:fill="0000FF"/>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33"/>
          </w:tcPr>
          <w:p>
            <w:pPr>
              <w:spacing w:after="0"/>
              <w:rPr>
                <w:rFonts w:ascii="Arial" w:cs="Arial" w:eastAsia="Arial" w:hAnsi="Arial"/>
                <w:sz w:val="20"/>
                <w:szCs w:val="20"/>
                <w:color w:val="0000FF"/>
                <w:w w:val="97"/>
              </w:rPr>
            </w:pPr>
            <w:hyperlink r:id="rId162">
              <w:r>
                <w:rPr>
                  <w:rFonts w:ascii="Arial" w:cs="Arial" w:eastAsia="Arial" w:hAnsi="Arial"/>
                  <w:sz w:val="20"/>
                  <w:szCs w:val="20"/>
                  <w:color w:val="0000FF"/>
                  <w:w w:val="97"/>
                </w:rPr>
                <w:t>Form of Nonqualified Stock Option Award Agreement for options granted to</w:t>
              </w:r>
            </w:hyperlink>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tcBorders>
              <w:top w:val="single" w:sz="8" w:color="0000FF"/>
            </w:tcBorders>
            <w:gridSpan w:val="21"/>
          </w:tcPr>
          <w:p>
            <w:pPr>
              <w:spacing w:after="0" w:line="182" w:lineRule="exact"/>
              <w:rPr>
                <w:rFonts w:ascii="Arial" w:cs="Arial" w:eastAsia="Arial" w:hAnsi="Arial"/>
                <w:sz w:val="20"/>
                <w:szCs w:val="20"/>
                <w:u w:val="single" w:color="auto"/>
                <w:color w:val="0000FF"/>
                <w:w w:val="96"/>
              </w:rPr>
            </w:pPr>
            <w:hyperlink r:id="rId162">
              <w:r>
                <w:rPr>
                  <w:rFonts w:ascii="Arial" w:cs="Arial" w:eastAsia="Arial" w:hAnsi="Arial"/>
                  <w:sz w:val="20"/>
                  <w:szCs w:val="20"/>
                  <w:u w:val="single" w:color="auto"/>
                  <w:color w:val="0000FF"/>
                  <w:w w:val="96"/>
                </w:rPr>
                <w:t>executive management under the Bloomin’ Brands, Inc. 2016 Omnibus</w:t>
              </w:r>
            </w:hyperlink>
          </w:p>
        </w:tc>
        <w:tc>
          <w:tcPr>
            <w:tcW w:w="4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bl>
    <w:p>
      <w:pPr>
        <w:ind w:left="1180"/>
        <w:spacing w:after="0"/>
        <w:rPr>
          <w:rFonts w:ascii="Arial" w:cs="Arial" w:eastAsia="Arial" w:hAnsi="Arial"/>
          <w:sz w:val="20"/>
          <w:szCs w:val="20"/>
          <w:u w:val="single" w:color="auto"/>
          <w:color w:val="0000FF"/>
        </w:rPr>
      </w:pPr>
      <w:hyperlink r:id="rId162">
        <w:r>
          <w:rPr>
            <w:rFonts w:ascii="Arial" w:cs="Arial" w:eastAsia="Arial" w:hAnsi="Arial"/>
            <w:sz w:val="20"/>
            <w:szCs w:val="20"/>
            <w:u w:val="single" w:color="auto"/>
            <w:color w:val="0000FF"/>
          </w:rPr>
          <w:t>Incentive Compensation 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right="340" w:firstLine="230"/>
        <w:spacing w:after="0" w:line="245" w:lineRule="auto"/>
        <w:rPr>
          <w:sz w:val="20"/>
          <w:szCs w:val="20"/>
          <w:color w:val="auto"/>
        </w:rPr>
      </w:pPr>
      <w:r>
        <w:rPr>
          <w:rFonts w:ascii="Arial" w:cs="Arial" w:eastAsia="Arial" w:hAnsi="Arial"/>
          <w:sz w:val="16"/>
          <w:szCs w:val="16"/>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wp:posOffset>
            </wp:positionV>
            <wp:extent cx="223710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April 29, 2022, Form 8-K,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August 5, 2021 Form 10-Q, 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Registration Statement on Form S-1, File No. 333-180615, filed on April 6, 2012,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10.8</w:t>
      </w:r>
    </w:p>
    <w:p>
      <w:pPr>
        <w:spacing w:after="0" w:line="26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Registration Statement on Form S-1, File No. 333-180615, filed on April 6, 2012,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10.46</w:t>
      </w:r>
    </w:p>
    <w:p>
      <w:pPr>
        <w:spacing w:after="0" w:line="65"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Amendment No. 4 to Registration Statement on Form S-1, File No. 333-</w:t>
      </w:r>
    </w:p>
    <w:p>
      <w:pPr>
        <w:spacing w:after="0" w:line="212" w:lineRule="auto"/>
        <w:rPr>
          <w:sz w:val="20"/>
          <w:szCs w:val="20"/>
          <w:color w:val="auto"/>
        </w:rPr>
      </w:pPr>
      <w:r>
        <w:rPr>
          <w:rFonts w:ascii="Arial" w:cs="Arial" w:eastAsia="Arial" w:hAnsi="Arial"/>
          <w:sz w:val="20"/>
          <w:szCs w:val="20"/>
          <w:color w:val="auto"/>
        </w:rPr>
        <w:t>180615, filed on July 18, 2012, Exhibit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10.2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10.4</w:t>
      </w:r>
    </w:p>
    <w:p>
      <w:pPr>
        <w:spacing w:after="0" w:line="200" w:lineRule="exact"/>
        <w:rPr>
          <w:sz w:val="20"/>
          <w:szCs w:val="20"/>
          <w:color w:val="auto"/>
        </w:rPr>
      </w:pPr>
    </w:p>
    <w:p>
      <w:pPr>
        <w:spacing w:after="0" w:line="214"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September 30, 2013 Form 10-Q, Exhibit 10.1</w:t>
      </w:r>
    </w:p>
    <w:p>
      <w:pPr>
        <w:spacing w:after="0" w:line="61"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September 30, 2013 Form 10-Q, Exhibit 10.2</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10.5</w:t>
      </w:r>
    </w:p>
    <w:p>
      <w:pPr>
        <w:spacing w:after="0" w:line="212"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Amendment No. 4 to Registration Statement on Form S-1, File No. 333-</w:t>
      </w:r>
    </w:p>
    <w:p>
      <w:pPr>
        <w:spacing w:after="0" w:line="212" w:lineRule="auto"/>
        <w:rPr>
          <w:sz w:val="20"/>
          <w:szCs w:val="20"/>
          <w:color w:val="auto"/>
        </w:rPr>
      </w:pPr>
      <w:r>
        <w:rPr>
          <w:rFonts w:ascii="Arial" w:cs="Arial" w:eastAsia="Arial" w:hAnsi="Arial"/>
          <w:sz w:val="20"/>
          <w:szCs w:val="20"/>
          <w:color w:val="auto"/>
        </w:rPr>
        <w:t>180615, filed on July 18, 2012, Exhibit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10.39</w:t>
      </w:r>
    </w:p>
    <w:p>
      <w:pPr>
        <w:spacing w:after="0" w:line="65" w:lineRule="exact"/>
        <w:rPr>
          <w:sz w:val="20"/>
          <w:szCs w:val="20"/>
          <w:color w:val="auto"/>
        </w:rPr>
      </w:pPr>
    </w:p>
    <w:p>
      <w:pPr>
        <w:spacing w:after="0" w:line="410" w:lineRule="auto"/>
        <w:rPr>
          <w:sz w:val="20"/>
          <w:szCs w:val="20"/>
          <w:color w:val="auto"/>
        </w:rPr>
      </w:pPr>
      <w:r>
        <w:rPr>
          <w:rFonts w:ascii="Arial" w:cs="Arial" w:eastAsia="Arial" w:hAnsi="Arial"/>
          <w:sz w:val="18"/>
          <w:szCs w:val="18"/>
          <w:color w:val="auto"/>
        </w:rPr>
        <w:t>March 11, 2016 Definitive Proxy Statement June 26, 2016 Form 10-Q, Exhibit 10.2</w:t>
      </w:r>
    </w:p>
    <w:p>
      <w:pPr>
        <w:spacing w:after="0" w:line="440" w:lineRule="exact"/>
        <w:rPr>
          <w:sz w:val="20"/>
          <w:szCs w:val="20"/>
          <w:color w:val="auto"/>
        </w:rPr>
      </w:pPr>
    </w:p>
    <w:p>
      <w:pPr>
        <w:sectPr>
          <w:pgSz w:w="11900" w:h="16838" w:orient="portrait"/>
          <w:cols w:equalWidth="0" w:num="2">
            <w:col w:w="7600" w:space="140"/>
            <w:col w:w="3460"/>
          </w:cols>
          <w:pgMar w:left="320" w:top="121"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80" w:type="dxa"/>
            <w:vAlign w:val="bottom"/>
            <w:gridSpan w:val="19"/>
            <w:vMerge w:val="restart"/>
          </w:tcPr>
          <w:p>
            <w:pPr>
              <w:ind w:left="56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19"/>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21"/>
          </w:tcPr>
          <w:p>
            <w:pPr>
              <w:spacing w:after="0"/>
              <w:rPr>
                <w:rFonts w:ascii="Arial" w:cs="Arial" w:eastAsia="Arial" w:hAnsi="Arial"/>
                <w:sz w:val="20"/>
                <w:szCs w:val="20"/>
                <w:color w:val="0000FF"/>
                <w:w w:val="94"/>
              </w:rPr>
            </w:pPr>
            <w:hyperlink r:id="rId165">
              <w:r>
                <w:rPr>
                  <w:rFonts w:ascii="Arial" w:cs="Arial" w:eastAsia="Arial" w:hAnsi="Arial"/>
                  <w:sz w:val="20"/>
                  <w:szCs w:val="20"/>
                  <w:color w:val="0000FF"/>
                  <w:w w:val="94"/>
                </w:rPr>
                <w:t>Form of Restricted Stock Unit Award Agreement for restricted stock granted to</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65">
              <w:r>
                <w:rPr>
                  <w:rFonts w:ascii="Arial" w:cs="Arial" w:eastAsia="Arial" w:hAnsi="Arial"/>
                  <w:sz w:val="19"/>
                  <w:szCs w:val="19"/>
                  <w:color w:val="0000FF"/>
                </w:rPr>
                <w:t>directors under the Bloomin’ Brands, Inc. 2016 Omnibus Incentive</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7"/>
              </w:rPr>
            </w:pPr>
            <w:hyperlink r:id="rId165">
              <w:r>
                <w:rPr>
                  <w:rFonts w:ascii="Arial" w:cs="Arial" w:eastAsia="Arial" w:hAnsi="Arial"/>
                  <w:sz w:val="20"/>
                  <w:szCs w:val="20"/>
                  <w:color w:val="0000FF"/>
                  <w:w w:val="87"/>
                </w:rPr>
                <w:t>Compensation Plan</w:t>
              </w:r>
            </w:hyperlink>
          </w:p>
        </w:tc>
        <w:tc>
          <w:tcPr>
            <w:tcW w:w="376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4"/>
              </w:rPr>
            </w:pPr>
            <w:hyperlink r:id="rId166">
              <w:r>
                <w:rPr>
                  <w:rFonts w:ascii="Arial" w:cs="Arial" w:eastAsia="Arial" w:hAnsi="Arial"/>
                  <w:sz w:val="20"/>
                  <w:szCs w:val="20"/>
                  <w:color w:val="0000FF"/>
                  <w:w w:val="94"/>
                </w:rPr>
                <w:t>Form of Restricted Stock Unit Award Agreement for restricted stock granted to</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66">
              <w:r>
                <w:rPr>
                  <w:rFonts w:ascii="Arial" w:cs="Arial" w:eastAsia="Arial" w:hAnsi="Arial"/>
                  <w:sz w:val="19"/>
                  <w:szCs w:val="19"/>
                  <w:color w:val="0000FF"/>
                </w:rPr>
                <w:t>executive management under the Bloomin’ Brands, Inc. 2016 Omnibus</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8"/>
          </w:tcPr>
          <w:p>
            <w:pPr>
              <w:spacing w:after="0" w:line="183" w:lineRule="exact"/>
              <w:rPr>
                <w:rFonts w:ascii="Arial" w:cs="Arial" w:eastAsia="Arial" w:hAnsi="Arial"/>
                <w:sz w:val="20"/>
                <w:szCs w:val="20"/>
                <w:color w:val="0000FF"/>
              </w:rPr>
            </w:pPr>
            <w:hyperlink r:id="rId166">
              <w:r>
                <w:rPr>
                  <w:rFonts w:ascii="Arial" w:cs="Arial" w:eastAsia="Arial" w:hAnsi="Arial"/>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1"/>
              </w:rPr>
            </w:pPr>
            <w:hyperlink r:id="rId167">
              <w:r>
                <w:rPr>
                  <w:rFonts w:ascii="Arial" w:cs="Arial" w:eastAsia="Arial" w:hAnsi="Arial"/>
                  <w:sz w:val="20"/>
                  <w:szCs w:val="20"/>
                  <w:color w:val="0000FF"/>
                  <w:w w:val="91"/>
                </w:rPr>
                <w:t>Form of Performance Award Agreement for performance units granted under the</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tcBorders>
              <w:top w:val="single" w:sz="8" w:color="0000FF"/>
            </w:tcBorders>
            <w:gridSpan w:val="19"/>
          </w:tcPr>
          <w:p>
            <w:pPr>
              <w:spacing w:after="0" w:line="169" w:lineRule="exact"/>
              <w:rPr>
                <w:rFonts w:ascii="Arial" w:cs="Arial" w:eastAsia="Arial" w:hAnsi="Arial"/>
                <w:sz w:val="19"/>
                <w:szCs w:val="19"/>
                <w:color w:val="0000FF"/>
              </w:rPr>
            </w:pPr>
            <w:hyperlink r:id="rId167">
              <w:r>
                <w:rPr>
                  <w:rFonts w:ascii="Arial" w:cs="Arial" w:eastAsia="Arial" w:hAnsi="Arial"/>
                  <w:sz w:val="19"/>
                  <w:szCs w:val="19"/>
                  <w:color w:val="0000FF"/>
                </w:rPr>
                <w:t>Bloomin’ Brands, Inc. 2016 Omnibus Incentive Compensation Plan</w:t>
              </w:r>
            </w:hyperlink>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4"/>
              </w:rPr>
            </w:pPr>
            <w:hyperlink r:id="rId168">
              <w:r>
                <w:rPr>
                  <w:rFonts w:ascii="Arial" w:cs="Arial" w:eastAsia="Arial" w:hAnsi="Arial"/>
                  <w:sz w:val="20"/>
                  <w:szCs w:val="20"/>
                  <w:color w:val="0000FF"/>
                  <w:w w:val="94"/>
                </w:rPr>
                <w:t>Form of Restricted Cash Award Agreement for cash awards granted under the</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26, 2017 Form 10-Q, Exhibit 10.1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60" w:type="dxa"/>
            <w:vAlign w:val="bottom"/>
            <w:tcBorders>
              <w:top w:val="single" w:sz="8" w:color="0000FF"/>
            </w:tcBorders>
            <w:gridSpan w:val="14"/>
          </w:tcPr>
          <w:p>
            <w:pPr>
              <w:spacing w:after="0" w:line="169" w:lineRule="exact"/>
              <w:rPr>
                <w:rFonts w:ascii="Arial" w:cs="Arial" w:eastAsia="Arial" w:hAnsi="Arial"/>
                <w:sz w:val="19"/>
                <w:szCs w:val="19"/>
                <w:color w:val="0000FF"/>
              </w:rPr>
            </w:pPr>
            <w:hyperlink r:id="rId168">
              <w:r>
                <w:rPr>
                  <w:rFonts w:ascii="Arial" w:cs="Arial" w:eastAsia="Arial" w:hAnsi="Arial"/>
                  <w:sz w:val="19"/>
                  <w:szCs w:val="19"/>
                  <w:color w:val="0000FF"/>
                </w:rPr>
                <w:t>Bloomin’ Brands, Inc. 2016 Omnibus Incentive Compensation Plan</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rPr>
            </w:pPr>
            <w:hyperlink r:id="rId169">
              <w:r>
                <w:rPr>
                  <w:rFonts w:ascii="Arial" w:cs="Arial" w:eastAsia="Arial" w:hAnsi="Arial"/>
                  <w:sz w:val="20"/>
                  <w:szCs w:val="20"/>
                  <w:color w:val="0000FF"/>
                </w:rPr>
                <w:t>Bloomin’ Brands, Inc. 2020 Omnibus Incentive Compensation Plan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8"/>
              </w:rPr>
              <w:t>April 9, 2020 Definitive Proxy Statement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4"/>
              </w:rPr>
            </w:pPr>
            <w:hyperlink r:id="rId170">
              <w:r>
                <w:rPr>
                  <w:rFonts w:ascii="Arial" w:cs="Arial" w:eastAsia="Arial" w:hAnsi="Arial"/>
                  <w:sz w:val="20"/>
                  <w:szCs w:val="20"/>
                  <w:color w:val="0000FF"/>
                  <w:w w:val="94"/>
                </w:rPr>
                <w:t>Form of Restricted Stock Unit Award Agreement for restricted stock granted to</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29, 2020 Form 8-K, Exhibit 10.2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70">
              <w:r>
                <w:rPr>
                  <w:rFonts w:ascii="Arial" w:cs="Arial" w:eastAsia="Arial" w:hAnsi="Arial"/>
                  <w:sz w:val="19"/>
                  <w:szCs w:val="19"/>
                  <w:color w:val="0000FF"/>
                </w:rPr>
                <w:t>directors under the Bloomin’ Brands, Inc. 2020 Omnibus Incentive</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7"/>
              </w:rPr>
            </w:pPr>
            <w:hyperlink r:id="rId170">
              <w:r>
                <w:rPr>
                  <w:rFonts w:ascii="Arial" w:cs="Arial" w:eastAsia="Arial" w:hAnsi="Arial"/>
                  <w:sz w:val="20"/>
                  <w:szCs w:val="20"/>
                  <w:color w:val="0000FF"/>
                  <w:w w:val="87"/>
                </w:rPr>
                <w:t>Compensation Plan</w:t>
              </w:r>
            </w:hyperlink>
          </w:p>
        </w:tc>
        <w:tc>
          <w:tcPr>
            <w:tcW w:w="3760" w:type="dxa"/>
            <w:vAlign w:val="bottom"/>
            <w:tcBorders>
              <w:top w:val="single" w:sz="8" w:color="0000FF"/>
            </w:tcBorders>
            <w:gridSpan w:val="4"/>
          </w:tcPr>
          <w:p>
            <w:pPr>
              <w:spacing w:after="0"/>
              <w:rPr>
                <w:sz w:val="15"/>
                <w:szCs w:val="15"/>
                <w:color w:val="auto"/>
              </w:rPr>
            </w:pPr>
          </w:p>
        </w:tc>
        <w:tc>
          <w:tcPr>
            <w:tcW w:w="32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7"/>
              </w:rPr>
            </w:pPr>
            <w:hyperlink r:id="rId171">
              <w:r>
                <w:rPr>
                  <w:rFonts w:ascii="Arial" w:cs="Arial" w:eastAsia="Arial" w:hAnsi="Arial"/>
                  <w:sz w:val="20"/>
                  <w:szCs w:val="20"/>
                  <w:color w:val="0000FF"/>
                  <w:w w:val="97"/>
                </w:rPr>
                <w:t>Form of Nonqualified Stock Option Award Agreement for options granted to</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29, 2020 Form 8-K, Exhibit 10.3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13"/>
          </w:tcPr>
          <w:p>
            <w:pPr>
              <w:spacing w:after="0" w:line="169" w:lineRule="exact"/>
              <w:rPr>
                <w:rFonts w:ascii="Arial" w:cs="Arial" w:eastAsia="Arial" w:hAnsi="Arial"/>
                <w:sz w:val="19"/>
                <w:szCs w:val="19"/>
                <w:color w:val="0000FF"/>
              </w:rPr>
            </w:pPr>
            <w:hyperlink r:id="rId171">
              <w:r>
                <w:rPr>
                  <w:rFonts w:ascii="Arial" w:cs="Arial" w:eastAsia="Arial" w:hAnsi="Arial"/>
                  <w:sz w:val="19"/>
                  <w:szCs w:val="19"/>
                  <w:color w:val="0000FF"/>
                </w:rPr>
                <w:t>executive management under the Bloomin’ Brands, Inc. 2020 Omnibus</w:t>
              </w:r>
            </w:hyperlink>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8"/>
          </w:tcPr>
          <w:p>
            <w:pPr>
              <w:spacing w:after="0" w:line="183" w:lineRule="exact"/>
              <w:rPr>
                <w:rFonts w:ascii="Arial" w:cs="Arial" w:eastAsia="Arial" w:hAnsi="Arial"/>
                <w:sz w:val="20"/>
                <w:szCs w:val="20"/>
                <w:color w:val="0000FF"/>
              </w:rPr>
            </w:pPr>
            <w:hyperlink r:id="rId171">
              <w:r>
                <w:rPr>
                  <w:rFonts w:ascii="Arial" w:cs="Arial" w:eastAsia="Arial" w:hAnsi="Arial"/>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4"/>
              </w:rPr>
            </w:pPr>
            <w:hyperlink r:id="rId172">
              <w:r>
                <w:rPr>
                  <w:rFonts w:ascii="Arial" w:cs="Arial" w:eastAsia="Arial" w:hAnsi="Arial"/>
                  <w:sz w:val="20"/>
                  <w:szCs w:val="20"/>
                  <w:color w:val="0000FF"/>
                  <w:w w:val="94"/>
                </w:rPr>
                <w:t>Form of Restricted Stock Unit Award Agreement for restricted stock granted to</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29, 2020 Form 8-K,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72">
              <w:r>
                <w:rPr>
                  <w:rFonts w:ascii="Arial" w:cs="Arial" w:eastAsia="Arial" w:hAnsi="Arial"/>
                  <w:sz w:val="19"/>
                  <w:szCs w:val="19"/>
                  <w:color w:val="0000FF"/>
                </w:rPr>
                <w:t>executive management under the Bloomin’ Brands, Inc. 2020 Omnibus</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8"/>
          </w:tcPr>
          <w:p>
            <w:pPr>
              <w:spacing w:after="0" w:line="183" w:lineRule="exact"/>
              <w:rPr>
                <w:rFonts w:ascii="Arial" w:cs="Arial" w:eastAsia="Arial" w:hAnsi="Arial"/>
                <w:sz w:val="20"/>
                <w:szCs w:val="20"/>
                <w:color w:val="0000FF"/>
              </w:rPr>
            </w:pPr>
            <w:hyperlink r:id="rId172">
              <w:r>
                <w:rPr>
                  <w:rFonts w:ascii="Arial" w:cs="Arial" w:eastAsia="Arial" w:hAnsi="Arial"/>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rPr>
            </w:pPr>
            <w:hyperlink r:id="rId173">
              <w:r>
                <w:rPr>
                  <w:rFonts w:ascii="Arial" w:cs="Arial" w:eastAsia="Arial" w:hAnsi="Arial"/>
                  <w:sz w:val="20"/>
                  <w:szCs w:val="20"/>
                  <w:color w:val="0000FF"/>
                </w:rPr>
                <w:t>Form of Performance Award Agreement for performance units granted to</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29, 2020 Form 8-K, Exhibit 10.5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1"/>
          </w:tcPr>
          <w:p>
            <w:pPr>
              <w:spacing w:after="0" w:line="169" w:lineRule="exact"/>
              <w:rPr>
                <w:rFonts w:ascii="Arial" w:cs="Arial" w:eastAsia="Arial" w:hAnsi="Arial"/>
                <w:sz w:val="19"/>
                <w:szCs w:val="19"/>
                <w:color w:val="0000FF"/>
                <w:w w:val="97"/>
              </w:rPr>
            </w:pPr>
            <w:hyperlink r:id="rId173">
              <w:r>
                <w:rPr>
                  <w:rFonts w:ascii="Arial" w:cs="Arial" w:eastAsia="Arial" w:hAnsi="Arial"/>
                  <w:sz w:val="19"/>
                  <w:szCs w:val="19"/>
                  <w:color w:val="0000FF"/>
                  <w:w w:val="97"/>
                </w:rPr>
                <w:t>executive management under the Bloomin’ Brands, Inc. 2020 Omnibus</w:t>
              </w:r>
            </w:hyperlink>
          </w:p>
        </w:tc>
        <w:tc>
          <w:tcPr>
            <w:tcW w:w="2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8"/>
          </w:tcPr>
          <w:p>
            <w:pPr>
              <w:spacing w:after="0" w:line="183" w:lineRule="exact"/>
              <w:rPr>
                <w:rFonts w:ascii="Arial" w:cs="Arial" w:eastAsia="Arial" w:hAnsi="Arial"/>
                <w:sz w:val="20"/>
                <w:szCs w:val="20"/>
                <w:color w:val="0000FF"/>
              </w:rPr>
            </w:pPr>
            <w:hyperlink r:id="rId173">
              <w:r>
                <w:rPr>
                  <w:rFonts w:ascii="Arial" w:cs="Arial" w:eastAsia="Arial" w:hAnsi="Arial"/>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1"/>
              </w:rPr>
            </w:pPr>
            <w:hyperlink r:id="rId174">
              <w:r>
                <w:rPr>
                  <w:rFonts w:ascii="Arial" w:cs="Arial" w:eastAsia="Arial" w:hAnsi="Arial"/>
                  <w:sz w:val="20"/>
                  <w:szCs w:val="20"/>
                  <w:color w:val="0000FF"/>
                  <w:w w:val="91"/>
                </w:rPr>
                <w:t>Form of Restricted Cash Award Agreement for cash awards granted to executive</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29, 2020 Form 8-K, Exhibit 10.6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174">
              <w:r>
                <w:rPr>
                  <w:rFonts w:ascii="Arial" w:cs="Arial" w:eastAsia="Arial" w:hAnsi="Arial"/>
                  <w:sz w:val="19"/>
                  <w:szCs w:val="19"/>
                  <w:color w:val="0000FF"/>
                </w:rPr>
                <w:t>management under the Bloomin’ Brands, Inc. 2020 Omnibus Incentive</w:t>
              </w:r>
            </w:hyperlink>
          </w:p>
        </w:tc>
        <w:tc>
          <w:tcPr>
            <w:tcW w:w="1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7"/>
              </w:rPr>
            </w:pPr>
            <w:hyperlink r:id="rId174">
              <w:r>
                <w:rPr>
                  <w:rFonts w:ascii="Arial" w:cs="Arial" w:eastAsia="Arial" w:hAnsi="Arial"/>
                  <w:sz w:val="20"/>
                  <w:szCs w:val="20"/>
                  <w:color w:val="0000FF"/>
                  <w:w w:val="87"/>
                </w:rPr>
                <w:t>Compensation Plan</w:t>
              </w:r>
            </w:hyperlink>
          </w:p>
        </w:tc>
        <w:tc>
          <w:tcPr>
            <w:tcW w:w="4080" w:type="dxa"/>
            <w:vAlign w:val="bottom"/>
            <w:tcBorders>
              <w:top w:val="single" w:sz="8" w:color="0000FF"/>
            </w:tcBorders>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rPr>
            </w:pPr>
            <w:hyperlink r:id="rId175">
              <w:r>
                <w:rPr>
                  <w:rFonts w:ascii="Arial" w:cs="Arial" w:eastAsia="Arial" w:hAnsi="Arial"/>
                  <w:sz w:val="20"/>
                  <w:szCs w:val="20"/>
                  <w:color w:val="0000FF"/>
                </w:rPr>
                <w:t>Amended Form of Performance Award Agreement for performance units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0000FF"/>
            </w:tcBorders>
            <w:gridSpan w:val="10"/>
          </w:tcPr>
          <w:p>
            <w:pPr>
              <w:spacing w:after="0" w:line="176" w:lineRule="exact"/>
              <w:rPr>
                <w:rFonts w:ascii="Arial" w:cs="Arial" w:eastAsia="Arial" w:hAnsi="Arial"/>
                <w:sz w:val="20"/>
                <w:szCs w:val="20"/>
                <w:color w:val="0000FF"/>
                <w:w w:val="90"/>
              </w:rPr>
            </w:pPr>
            <w:hyperlink r:id="rId175">
              <w:r>
                <w:rPr>
                  <w:rFonts w:ascii="Arial" w:cs="Arial" w:eastAsia="Arial" w:hAnsi="Arial"/>
                  <w:sz w:val="20"/>
                  <w:szCs w:val="20"/>
                  <w:color w:val="0000FF"/>
                  <w:w w:val="90"/>
                </w:rPr>
                <w:t>granted to executive management under the Bloomin’ Brands, Inc. 2020</w:t>
              </w:r>
            </w:hyperlink>
          </w:p>
        </w:tc>
        <w:tc>
          <w:tcPr>
            <w:tcW w:w="24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10.48</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3"/>
          </w:tcPr>
          <w:p>
            <w:pPr>
              <w:spacing w:after="0" w:line="183" w:lineRule="exact"/>
              <w:rPr>
                <w:rFonts w:ascii="Arial" w:cs="Arial" w:eastAsia="Arial" w:hAnsi="Arial"/>
                <w:sz w:val="20"/>
                <w:szCs w:val="20"/>
                <w:color w:val="0000FF"/>
                <w:w w:val="89"/>
              </w:rPr>
            </w:pPr>
            <w:hyperlink r:id="rId175">
              <w:r>
                <w:rPr>
                  <w:rFonts w:ascii="Arial" w:cs="Arial" w:eastAsia="Arial" w:hAnsi="Arial"/>
                  <w:sz w:val="20"/>
                  <w:szCs w:val="20"/>
                  <w:color w:val="0000FF"/>
                  <w:w w:val="89"/>
                </w:rPr>
                <w:t>Omnibus Incentive Compensation Plan</w:t>
              </w:r>
            </w:hyperlink>
          </w:p>
        </w:tc>
        <w:tc>
          <w:tcPr>
            <w:tcW w:w="2620" w:type="dxa"/>
            <w:vAlign w:val="bottom"/>
            <w:tcBorders>
              <w:top w:val="single" w:sz="8" w:color="0000FF"/>
            </w:tcBorders>
            <w:gridSpan w:val="6"/>
          </w:tcPr>
          <w:p>
            <w:pPr>
              <w:spacing w:after="0"/>
              <w:rPr>
                <w:sz w:val="15"/>
                <w:szCs w:val="15"/>
                <w:color w:val="auto"/>
              </w:rPr>
            </w:pPr>
          </w:p>
        </w:tc>
        <w:tc>
          <w:tcPr>
            <w:tcW w:w="30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3"/>
              </w:rPr>
            </w:pPr>
            <w:hyperlink r:id="rId176">
              <w:r>
                <w:rPr>
                  <w:rFonts w:ascii="Arial" w:cs="Arial" w:eastAsia="Arial" w:hAnsi="Arial"/>
                  <w:sz w:val="20"/>
                  <w:szCs w:val="20"/>
                  <w:color w:val="0000FF"/>
                  <w:w w:val="93"/>
                </w:rPr>
                <w:t>Amended Form of Performance Award Agreement with adapted service criteria</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top w:val="single" w:sz="8" w:color="0000FF"/>
            </w:tcBorders>
            <w:gridSpan w:val="17"/>
          </w:tcPr>
          <w:p>
            <w:pPr>
              <w:spacing w:after="0" w:line="176" w:lineRule="exact"/>
              <w:rPr>
                <w:rFonts w:ascii="Arial" w:cs="Arial" w:eastAsia="Arial" w:hAnsi="Arial"/>
                <w:sz w:val="20"/>
                <w:szCs w:val="20"/>
                <w:color w:val="0000FF"/>
                <w:w w:val="93"/>
              </w:rPr>
            </w:pPr>
            <w:hyperlink r:id="rId176">
              <w:r>
                <w:rPr>
                  <w:rFonts w:ascii="Arial" w:cs="Arial" w:eastAsia="Arial" w:hAnsi="Arial"/>
                  <w:sz w:val="20"/>
                  <w:szCs w:val="20"/>
                  <w:color w:val="0000FF"/>
                  <w:w w:val="93"/>
                </w:rPr>
                <w:t>for performance units granted to executive management under the Bloomin’</w:t>
              </w:r>
            </w:hyperlink>
          </w:p>
        </w:tc>
        <w:tc>
          <w:tcPr>
            <w:tcW w:w="240" w:type="dxa"/>
            <w:vAlign w:val="bottom"/>
            <w:gridSpan w:val="4"/>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10.49</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FF"/>
              <w:bottom w:val="single" w:sz="8" w:color="0000FF"/>
            </w:tcBorders>
            <w:gridSpan w:val="4"/>
          </w:tcPr>
          <w:p>
            <w:pPr>
              <w:spacing w:after="0" w:line="183" w:lineRule="exact"/>
              <w:rPr>
                <w:rFonts w:ascii="Arial" w:cs="Arial" w:eastAsia="Arial" w:hAnsi="Arial"/>
                <w:sz w:val="20"/>
                <w:szCs w:val="20"/>
                <w:color w:val="0000FF"/>
                <w:w w:val="89"/>
              </w:rPr>
            </w:pPr>
            <w:hyperlink r:id="rId176">
              <w:r>
                <w:rPr>
                  <w:rFonts w:ascii="Arial" w:cs="Arial" w:eastAsia="Arial" w:hAnsi="Arial"/>
                  <w:sz w:val="20"/>
                  <w:szCs w:val="20"/>
                  <w:color w:val="0000FF"/>
                  <w:w w:val="89"/>
                </w:rPr>
                <w:t>Brands, Inc. 2020 Omnibus Incentive Compensation Plan</w:t>
              </w:r>
            </w:hyperlink>
          </w:p>
        </w:tc>
        <w:tc>
          <w:tcPr>
            <w:tcW w:w="1460" w:type="dxa"/>
            <w:vAlign w:val="bottom"/>
            <w:tcBorders>
              <w:top w:val="single" w:sz="8" w:color="0000FF"/>
            </w:tcBorders>
            <w:gridSpan w:val="8"/>
          </w:tcPr>
          <w:p>
            <w:pPr>
              <w:spacing w:after="0"/>
              <w:rPr>
                <w:sz w:val="15"/>
                <w:szCs w:val="15"/>
                <w:color w:val="auto"/>
              </w:rPr>
            </w:pPr>
          </w:p>
        </w:tc>
        <w:tc>
          <w:tcPr>
            <w:tcW w:w="160" w:type="dxa"/>
            <w:vAlign w:val="bottom"/>
            <w:gridSpan w:val="3"/>
          </w:tcPr>
          <w:p>
            <w:pPr>
              <w:spacing w:after="0"/>
              <w:rPr>
                <w:sz w:val="15"/>
                <w:szCs w:val="15"/>
                <w:color w:val="auto"/>
              </w:rPr>
            </w:pPr>
          </w:p>
        </w:tc>
        <w:tc>
          <w:tcPr>
            <w:tcW w:w="360" w:type="dxa"/>
            <w:vAlign w:val="bottom"/>
            <w:gridSpan w:val="6"/>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21"/>
          </w:tcPr>
          <w:p>
            <w:pPr>
              <w:spacing w:after="0"/>
              <w:rPr>
                <w:rFonts w:ascii="Arial" w:cs="Arial" w:eastAsia="Arial" w:hAnsi="Arial"/>
                <w:sz w:val="20"/>
                <w:szCs w:val="20"/>
                <w:color w:val="0000FF"/>
                <w:w w:val="95"/>
              </w:rPr>
            </w:pPr>
            <w:hyperlink r:id="rId177">
              <w:r>
                <w:rPr>
                  <w:rFonts w:ascii="Arial" w:cs="Arial" w:eastAsia="Arial" w:hAnsi="Arial"/>
                  <w:sz w:val="20"/>
                  <w:szCs w:val="20"/>
                  <w:color w:val="0000FF"/>
                  <w:w w:val="95"/>
                </w:rPr>
                <w:t>Form of Restricted Stock Unit Award Agreement with adapted service criteria</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27, 2020 Form 10-K, Exhibit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80" w:type="dxa"/>
            <w:vAlign w:val="bottom"/>
            <w:tcBorders>
              <w:top w:val="single" w:sz="8" w:color="0000FF"/>
            </w:tcBorders>
            <w:gridSpan w:val="15"/>
          </w:tcPr>
          <w:p>
            <w:pPr>
              <w:spacing w:after="0" w:line="188" w:lineRule="exact"/>
              <w:rPr>
                <w:rFonts w:ascii="Arial" w:cs="Arial" w:eastAsia="Arial" w:hAnsi="Arial"/>
                <w:sz w:val="20"/>
                <w:szCs w:val="20"/>
                <w:u w:val="single" w:color="auto"/>
                <w:color w:val="0000FF"/>
                <w:w w:val="89"/>
              </w:rPr>
            </w:pPr>
            <w:hyperlink r:id="rId177">
              <w:r>
                <w:rPr>
                  <w:rFonts w:ascii="Arial" w:cs="Arial" w:eastAsia="Arial" w:hAnsi="Arial"/>
                  <w:sz w:val="20"/>
                  <w:szCs w:val="20"/>
                  <w:u w:val="single" w:color="auto"/>
                  <w:color w:val="0000FF"/>
                  <w:w w:val="89"/>
                </w:rPr>
                <w:t>for restricted stock units granted to executive management under the Bloomin’</w:t>
              </w:r>
            </w:hyperlink>
          </w:p>
        </w:tc>
        <w:tc>
          <w:tcPr>
            <w:tcW w:w="360" w:type="dxa"/>
            <w:vAlign w:val="bottom"/>
            <w:gridSpan w:val="6"/>
          </w:tcPr>
          <w:p>
            <w:pPr>
              <w:spacing w:after="0"/>
              <w:rPr>
                <w:sz w:val="16"/>
                <w:szCs w:val="16"/>
                <w:color w:val="auto"/>
              </w:rPr>
            </w:pPr>
          </w:p>
        </w:tc>
        <w:tc>
          <w:tcPr>
            <w:tcW w:w="3520" w:type="dxa"/>
            <w:vAlign w:val="bottom"/>
          </w:tcPr>
          <w:p>
            <w:pPr>
              <w:ind w:left="20"/>
              <w:spacing w:after="0" w:line="188" w:lineRule="exact"/>
              <w:rPr>
                <w:sz w:val="20"/>
                <w:szCs w:val="20"/>
                <w:color w:val="auto"/>
              </w:rPr>
            </w:pPr>
            <w:r>
              <w:rPr>
                <w:rFonts w:ascii="Arial" w:cs="Arial" w:eastAsia="Arial" w:hAnsi="Arial"/>
                <w:sz w:val="20"/>
                <w:szCs w:val="20"/>
                <w:color w:val="auto"/>
              </w:rPr>
              <w:t>10.50</w:t>
            </w:r>
          </w:p>
        </w:tc>
        <w:tc>
          <w:tcPr>
            <w:tcW w:w="0" w:type="dxa"/>
            <w:vAlign w:val="bottom"/>
          </w:tcPr>
          <w:p>
            <w:pPr>
              <w:spacing w:after="0"/>
              <w:rPr>
                <w:sz w:val="1"/>
                <w:szCs w:val="1"/>
                <w:color w:val="auto"/>
              </w:rPr>
            </w:pPr>
          </w:p>
        </w:tc>
      </w:tr>
    </w:tbl>
    <w:p>
      <w:pPr>
        <w:ind w:left="1180"/>
        <w:spacing w:after="0"/>
        <w:rPr>
          <w:rFonts w:ascii="Arial" w:cs="Arial" w:eastAsia="Arial" w:hAnsi="Arial"/>
          <w:sz w:val="20"/>
          <w:szCs w:val="20"/>
          <w:u w:val="single" w:color="auto"/>
          <w:color w:val="0000FF"/>
        </w:rPr>
      </w:pPr>
      <w:hyperlink r:id="rId177">
        <w:r>
          <w:rPr>
            <w:rFonts w:ascii="Arial" w:cs="Arial" w:eastAsia="Arial" w:hAnsi="Arial"/>
            <w:sz w:val="20"/>
            <w:szCs w:val="20"/>
            <w:u w:val="single" w:color="auto"/>
            <w:color w:val="0000FF"/>
          </w:rPr>
          <w:t>Brands, Inc. 2020 Omnibus Incentive Compensation Plan</w:t>
        </w:r>
      </w:hyperlink>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10.30*</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6"/>
          </w:tcPr>
          <w:p>
            <w:pPr>
              <w:spacing w:after="0"/>
              <w:rPr>
                <w:rFonts w:ascii="Arial" w:cs="Arial" w:eastAsia="Arial" w:hAnsi="Arial"/>
                <w:sz w:val="20"/>
                <w:szCs w:val="20"/>
                <w:color w:val="0000FF"/>
                <w:w w:val="91"/>
              </w:rPr>
            </w:pPr>
            <w:hyperlink r:id="rId178">
              <w:r>
                <w:rPr>
                  <w:rFonts w:ascii="Arial" w:cs="Arial" w:eastAsia="Arial" w:hAnsi="Arial"/>
                  <w:sz w:val="20"/>
                  <w:szCs w:val="20"/>
                  <w:color w:val="0000FF"/>
                  <w:w w:val="91"/>
                </w:rPr>
                <w:t>Bloomin’ Brands, Inc. Executive Change in Control Plan, effective December 6,</w:t>
              </w:r>
            </w:hyperlink>
          </w:p>
        </w:tc>
        <w:tc>
          <w:tcPr>
            <w:tcW w:w="3500" w:type="dxa"/>
            <w:vAlign w:val="bottom"/>
          </w:tcPr>
          <w:p>
            <w:pPr>
              <w:ind w:left="140"/>
              <w:spacing w:after="0"/>
              <w:rPr>
                <w:sz w:val="20"/>
                <w:szCs w:val="20"/>
                <w:color w:val="auto"/>
              </w:rPr>
            </w:pPr>
            <w:r>
              <w:rPr>
                <w:rFonts w:ascii="Arial" w:cs="Arial" w:eastAsia="Arial" w:hAnsi="Arial"/>
                <w:sz w:val="20"/>
                <w:szCs w:val="20"/>
                <w:color w:val="auto"/>
                <w:w w:val="90"/>
              </w:rPr>
              <w:t>December 7, 2012 Form 8-K, Exhibit 10.1</w:t>
            </w:r>
          </w:p>
        </w:tc>
      </w:tr>
      <w:tr>
        <w:trPr>
          <w:trHeight w:val="183"/>
        </w:trPr>
        <w:tc>
          <w:tcPr>
            <w:tcW w:w="38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0"/>
              </w:rPr>
            </w:pPr>
            <w:hyperlink r:id="rId178">
              <w:r>
                <w:rPr>
                  <w:rFonts w:ascii="Arial" w:cs="Arial" w:eastAsia="Arial" w:hAnsi="Arial"/>
                  <w:sz w:val="20"/>
                  <w:szCs w:val="20"/>
                  <w:color w:val="0000FF"/>
                  <w:w w:val="80"/>
                </w:rPr>
                <w:t>2012</w:t>
              </w:r>
            </w:hyperlink>
          </w:p>
        </w:tc>
        <w:tc>
          <w:tcPr>
            <w:tcW w:w="42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4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85"/>
        </w:trPr>
        <w:tc>
          <w:tcPr>
            <w:tcW w:w="6420" w:type="dxa"/>
            <w:vAlign w:val="bottom"/>
            <w:tcBorders>
              <w:bottom w:val="single" w:sz="8" w:color="0000FF"/>
            </w:tcBorders>
            <w:gridSpan w:val="6"/>
          </w:tcPr>
          <w:p>
            <w:pPr>
              <w:spacing w:after="0"/>
              <w:rPr>
                <w:rFonts w:ascii="Arial" w:cs="Arial" w:eastAsia="Arial" w:hAnsi="Arial"/>
                <w:sz w:val="20"/>
                <w:szCs w:val="20"/>
                <w:color w:val="0000FF"/>
                <w:w w:val="89"/>
              </w:rPr>
            </w:pPr>
            <w:hyperlink r:id="rId179">
              <w:r>
                <w:rPr>
                  <w:rFonts w:ascii="Arial" w:cs="Arial" w:eastAsia="Arial" w:hAnsi="Arial"/>
                  <w:sz w:val="20"/>
                  <w:szCs w:val="20"/>
                  <w:color w:val="0000FF"/>
                  <w:w w:val="89"/>
                </w:rPr>
                <w:t>Second Amended and Restated Employment Agreement, effective April 1, 2019,</w:t>
              </w:r>
            </w:hyperlink>
          </w:p>
        </w:tc>
        <w:tc>
          <w:tcPr>
            <w:tcW w:w="3500" w:type="dxa"/>
            <w:vAlign w:val="bottom"/>
          </w:tcPr>
          <w:p>
            <w:pPr>
              <w:ind w:left="140"/>
              <w:spacing w:after="0"/>
              <w:rPr>
                <w:sz w:val="20"/>
                <w:szCs w:val="20"/>
                <w:color w:val="auto"/>
              </w:rPr>
            </w:pPr>
            <w:r>
              <w:rPr>
                <w:rFonts w:ascii="Arial" w:cs="Arial" w:eastAsia="Arial" w:hAnsi="Arial"/>
                <w:sz w:val="20"/>
                <w:szCs w:val="20"/>
                <w:color w:val="auto"/>
                <w:w w:val="93"/>
              </w:rPr>
              <w:t>March 31, 2019 Form 10-Q, Exhibit 10.2</w:t>
            </w:r>
          </w:p>
        </w:tc>
      </w:tr>
      <w:tr>
        <w:trPr>
          <w:trHeight w:val="169"/>
        </w:trPr>
        <w:tc>
          <w:tcPr>
            <w:tcW w:w="6420" w:type="dxa"/>
            <w:vAlign w:val="bottom"/>
            <w:gridSpan w:val="6"/>
          </w:tcPr>
          <w:p>
            <w:pPr>
              <w:spacing w:after="0" w:line="169" w:lineRule="exact"/>
              <w:rPr>
                <w:rFonts w:ascii="Arial" w:cs="Arial" w:eastAsia="Arial" w:hAnsi="Arial"/>
                <w:sz w:val="19"/>
                <w:szCs w:val="19"/>
                <w:color w:val="0000FF"/>
              </w:rPr>
            </w:pPr>
            <w:hyperlink r:id="rId179">
              <w:r>
                <w:rPr>
                  <w:rFonts w:ascii="Arial" w:cs="Arial" w:eastAsia="Arial" w:hAnsi="Arial"/>
                  <w:sz w:val="19"/>
                  <w:szCs w:val="19"/>
                  <w:color w:val="0000FF"/>
                </w:rPr>
                <w:t>by and between Elizabeth A. Smith and Bloomin’ Brands, Inc.</w:t>
              </w:r>
            </w:hyperlink>
          </w:p>
        </w:tc>
        <w:tc>
          <w:tcPr>
            <w:tcW w:w="3500" w:type="dxa"/>
            <w:vAlign w:val="bottom"/>
          </w:tcPr>
          <w:p>
            <w:pPr>
              <w:spacing w:after="0"/>
              <w:rPr>
                <w:sz w:val="14"/>
                <w:szCs w:val="14"/>
                <w:color w:val="auto"/>
              </w:rPr>
            </w:pPr>
          </w:p>
        </w:tc>
      </w:tr>
      <w:tr>
        <w:trPr>
          <w:trHeight w:val="20"/>
        </w:trPr>
        <w:tc>
          <w:tcPr>
            <w:tcW w:w="45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90"/>
        </w:trPr>
        <w:tc>
          <w:tcPr>
            <w:tcW w:w="6420" w:type="dxa"/>
            <w:vAlign w:val="bottom"/>
            <w:gridSpan w:val="6"/>
          </w:tcPr>
          <w:p>
            <w:pPr>
              <w:spacing w:after="0"/>
              <w:rPr>
                <w:rFonts w:ascii="Arial" w:cs="Arial" w:eastAsia="Arial" w:hAnsi="Arial"/>
                <w:sz w:val="20"/>
                <w:szCs w:val="20"/>
                <w:color w:val="0000FF"/>
                <w:w w:val="90"/>
              </w:rPr>
            </w:pPr>
            <w:hyperlink r:id="rId180">
              <w:r>
                <w:rPr>
                  <w:rFonts w:ascii="Arial" w:cs="Arial" w:eastAsia="Arial" w:hAnsi="Arial"/>
                  <w:sz w:val="20"/>
                  <w:szCs w:val="20"/>
                  <w:color w:val="0000FF"/>
                  <w:w w:val="90"/>
                </w:rPr>
                <w:t>Amended and Restated Officer Employment Agreement, effective April 1, 2019,</w:t>
              </w:r>
            </w:hyperlink>
          </w:p>
        </w:tc>
        <w:tc>
          <w:tcPr>
            <w:tcW w:w="3500" w:type="dxa"/>
            <w:vAlign w:val="bottom"/>
          </w:tcPr>
          <w:p>
            <w:pPr>
              <w:ind w:left="140"/>
              <w:spacing w:after="0"/>
              <w:rPr>
                <w:sz w:val="20"/>
                <w:szCs w:val="20"/>
                <w:color w:val="auto"/>
              </w:rPr>
            </w:pPr>
            <w:r>
              <w:rPr>
                <w:rFonts w:ascii="Arial" w:cs="Arial" w:eastAsia="Arial" w:hAnsi="Arial"/>
                <w:sz w:val="20"/>
                <w:szCs w:val="20"/>
                <w:color w:val="auto"/>
                <w:w w:val="93"/>
              </w:rPr>
              <w:t>March 31, 2019 Form 10-Q, Exhibit 10.3</w:t>
            </w:r>
          </w:p>
        </w:tc>
      </w:tr>
      <w:tr>
        <w:trPr>
          <w:trHeight w:val="169"/>
        </w:trPr>
        <w:tc>
          <w:tcPr>
            <w:tcW w:w="458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4"/>
              </w:rPr>
            </w:pPr>
            <w:hyperlink r:id="rId180">
              <w:r>
                <w:rPr>
                  <w:rFonts w:ascii="Arial" w:cs="Arial" w:eastAsia="Arial" w:hAnsi="Arial"/>
                  <w:sz w:val="19"/>
                  <w:szCs w:val="19"/>
                  <w:color w:val="0000FF"/>
                  <w:w w:val="94"/>
                </w:rPr>
                <w:t>by and between David J. Deno and Bloomin’ Brands, Inc.</w:t>
              </w:r>
            </w:hyperlink>
          </w:p>
        </w:tc>
        <w:tc>
          <w:tcPr>
            <w:tcW w:w="18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800" w:space="380"/>
            <w:col w:w="10060"/>
          </w:cols>
          <w:pgMar w:left="320" w:top="121" w:right="3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gridSpan w:val="27"/>
            <w:vMerge w:val="restart"/>
          </w:tcPr>
          <w:p>
            <w:pPr>
              <w:ind w:left="56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27"/>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30"/>
          </w:tcPr>
          <w:p>
            <w:pPr>
              <w:spacing w:after="0"/>
              <w:rPr>
                <w:rFonts w:ascii="Arial" w:cs="Arial" w:eastAsia="Arial" w:hAnsi="Arial"/>
                <w:sz w:val="20"/>
                <w:szCs w:val="20"/>
                <w:color w:val="0000FF"/>
              </w:rPr>
            </w:pPr>
            <w:hyperlink r:id="rId182">
              <w:r>
                <w:rPr>
                  <w:rFonts w:ascii="Arial" w:cs="Arial" w:eastAsia="Arial" w:hAnsi="Arial"/>
                  <w:sz w:val="20"/>
                  <w:szCs w:val="20"/>
                  <w:color w:val="0000FF"/>
                </w:rPr>
                <w:t>Employment Offer Letter Agreement, dated as of March 7, 2019,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31, 2019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182">
              <w:r>
                <w:rPr>
                  <w:rFonts w:ascii="Arial" w:cs="Arial" w:eastAsia="Arial" w:hAnsi="Arial"/>
                  <w:sz w:val="19"/>
                  <w:szCs w:val="19"/>
                  <w:color w:val="0000FF"/>
                </w:rPr>
                <w:t>Bloomin’ Brands, Inc. and Christopher Meyer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w w:val="95"/>
              </w:rPr>
            </w:pPr>
            <w:hyperlink r:id="rId183">
              <w:r>
                <w:rPr>
                  <w:rFonts w:ascii="Arial" w:cs="Arial" w:eastAsia="Arial" w:hAnsi="Arial"/>
                  <w:sz w:val="20"/>
                  <w:szCs w:val="20"/>
                  <w:color w:val="0000FF"/>
                  <w:w w:val="95"/>
                </w:rPr>
                <w:t>Employment Offer Letter Agreement, dated as of May 1, 2019, between Kelly</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June 30, 2019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6"/>
              </w:rPr>
            </w:pPr>
            <w:hyperlink r:id="rId183">
              <w:r>
                <w:rPr>
                  <w:rFonts w:ascii="Arial" w:cs="Arial" w:eastAsia="Arial" w:hAnsi="Arial"/>
                  <w:sz w:val="19"/>
                  <w:szCs w:val="19"/>
                  <w:color w:val="0000FF"/>
                  <w:w w:val="96"/>
                </w:rPr>
                <w:t>Lefferts and Bloomin’ Brands, Inc.</w:t>
              </w:r>
            </w:hyperlink>
          </w:p>
        </w:tc>
        <w:tc>
          <w:tcPr>
            <w:tcW w:w="342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w w:val="94"/>
              </w:rPr>
            </w:pPr>
            <w:hyperlink r:id="rId184">
              <w:r>
                <w:rPr>
                  <w:rFonts w:ascii="Arial" w:cs="Arial" w:eastAsia="Arial" w:hAnsi="Arial"/>
                  <w:sz w:val="20"/>
                  <w:szCs w:val="20"/>
                  <w:color w:val="0000FF"/>
                  <w:w w:val="94"/>
                </w:rPr>
                <w:t>Resignation Agreement, effective March 6, 2020, by and between Elizabeth A.</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29, 2019 Form 10-K, Exhibit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tcBorders>
            <w:gridSpan w:val="25"/>
          </w:tcPr>
          <w:p>
            <w:pPr>
              <w:spacing w:after="0" w:line="176" w:lineRule="exact"/>
              <w:rPr>
                <w:rFonts w:ascii="Arial" w:cs="Arial" w:eastAsia="Arial" w:hAnsi="Arial"/>
                <w:sz w:val="20"/>
                <w:szCs w:val="20"/>
                <w:color w:val="0000FF"/>
              </w:rPr>
            </w:pPr>
            <w:hyperlink r:id="rId184">
              <w:r>
                <w:rPr>
                  <w:rFonts w:ascii="Arial" w:cs="Arial" w:eastAsia="Arial" w:hAnsi="Arial"/>
                  <w:sz w:val="20"/>
                  <w:szCs w:val="20"/>
                  <w:color w:val="0000FF"/>
                </w:rPr>
                <w:t>Smith and Bloomin’ Brands, Inc.</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10.39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w w:val="94"/>
              </w:rPr>
            </w:pPr>
            <w:hyperlink r:id="rId185">
              <w:r>
                <w:rPr>
                  <w:rFonts w:ascii="Arial" w:cs="Arial" w:eastAsia="Arial" w:hAnsi="Arial"/>
                  <w:sz w:val="20"/>
                  <w:szCs w:val="20"/>
                  <w:color w:val="0000FF"/>
                  <w:w w:val="94"/>
                </w:rPr>
                <w:t>Employment Offer Letter Agreement, dated as of February 14, 2020,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29, 2019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0000FF"/>
              <w:bottom w:val="single" w:sz="8" w:color="0000FF"/>
            </w:tcBorders>
            <w:gridSpan w:val="7"/>
          </w:tcPr>
          <w:p>
            <w:pPr>
              <w:spacing w:after="0" w:line="176" w:lineRule="exact"/>
              <w:rPr>
                <w:rFonts w:ascii="Arial" w:cs="Arial" w:eastAsia="Arial" w:hAnsi="Arial"/>
                <w:sz w:val="20"/>
                <w:szCs w:val="20"/>
                <w:color w:val="0000FF"/>
                <w:w w:val="90"/>
              </w:rPr>
            </w:pPr>
            <w:hyperlink r:id="rId185">
              <w:r>
                <w:rPr>
                  <w:rFonts w:ascii="Arial" w:cs="Arial" w:eastAsia="Arial" w:hAnsi="Arial"/>
                  <w:sz w:val="20"/>
                  <w:szCs w:val="20"/>
                  <w:color w:val="0000FF"/>
                  <w:w w:val="90"/>
                </w:rPr>
                <w:t>Bloomin’ Brands, Inc. and Gregg Scarlett</w:t>
              </w:r>
            </w:hyperlink>
          </w:p>
        </w:tc>
        <w:tc>
          <w:tcPr>
            <w:tcW w:w="2860" w:type="dxa"/>
            <w:vAlign w:val="bottom"/>
            <w:tcBorders>
              <w:top w:val="single" w:sz="8" w:color="0000FF"/>
            </w:tcBorders>
            <w:gridSpan w:val="15"/>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10.40</w:t>
            </w: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rPr>
            </w:pPr>
            <w:hyperlink r:id="rId186">
              <w:r>
                <w:rPr>
                  <w:rFonts w:ascii="Arial" w:cs="Arial" w:eastAsia="Arial" w:hAnsi="Arial"/>
                  <w:sz w:val="20"/>
                  <w:szCs w:val="20"/>
                  <w:color w:val="0000FF"/>
                </w:rPr>
                <w:t>Amendment to Officer Employment Agreement, dated as of April 6, 2020,</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29, 2020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1"/>
          </w:tcPr>
          <w:p>
            <w:pPr>
              <w:spacing w:after="0" w:line="169" w:lineRule="exact"/>
              <w:rPr>
                <w:rFonts w:ascii="Arial" w:cs="Arial" w:eastAsia="Arial" w:hAnsi="Arial"/>
                <w:sz w:val="19"/>
                <w:szCs w:val="19"/>
                <w:color w:val="0000FF"/>
                <w:w w:val="95"/>
              </w:rPr>
            </w:pPr>
            <w:hyperlink r:id="rId186">
              <w:r>
                <w:rPr>
                  <w:rFonts w:ascii="Arial" w:cs="Arial" w:eastAsia="Arial" w:hAnsi="Arial"/>
                  <w:sz w:val="19"/>
                  <w:szCs w:val="19"/>
                  <w:color w:val="0000FF"/>
                  <w:w w:val="95"/>
                </w:rPr>
                <w:t>between Bloomin’ Brands, Inc. and David J. Deno</w:t>
              </w:r>
            </w:hyperlink>
          </w:p>
        </w:tc>
        <w:tc>
          <w:tcPr>
            <w:tcW w:w="19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w w:val="95"/>
              </w:rPr>
            </w:pPr>
            <w:hyperlink r:id="rId187">
              <w:r>
                <w:rPr>
                  <w:rFonts w:ascii="Arial" w:cs="Arial" w:eastAsia="Arial" w:hAnsi="Arial"/>
                  <w:sz w:val="20"/>
                  <w:szCs w:val="20"/>
                  <w:color w:val="0000FF"/>
                  <w:w w:val="95"/>
                </w:rPr>
                <w:t>Second Amendment to Officer Employment Agreement, dated as of February</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26, 2021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top w:val="single" w:sz="8" w:color="0000FF"/>
            </w:tcBorders>
            <w:gridSpan w:val="21"/>
          </w:tcPr>
          <w:p>
            <w:pPr>
              <w:spacing w:after="0" w:line="176" w:lineRule="exact"/>
              <w:rPr>
                <w:rFonts w:ascii="Arial" w:cs="Arial" w:eastAsia="Arial" w:hAnsi="Arial"/>
                <w:sz w:val="20"/>
                <w:szCs w:val="20"/>
                <w:color w:val="0000FF"/>
              </w:rPr>
            </w:pPr>
            <w:hyperlink r:id="rId187">
              <w:r>
                <w:rPr>
                  <w:rFonts w:ascii="Arial" w:cs="Arial" w:eastAsia="Arial" w:hAnsi="Arial"/>
                  <w:sz w:val="20"/>
                  <w:szCs w:val="20"/>
                  <w:color w:val="0000FF"/>
                </w:rPr>
                <w:t>21, 2022, between Bloomin’ Brands, Inc. and David J. Deno</w:t>
              </w:r>
            </w:hyperlink>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10.48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rPr>
            </w:pPr>
            <w:hyperlink r:id="rId188">
              <w:r>
                <w:rPr>
                  <w:rFonts w:ascii="Arial" w:cs="Arial" w:eastAsia="Arial" w:hAnsi="Arial"/>
                  <w:sz w:val="20"/>
                  <w:szCs w:val="20"/>
                  <w:color w:val="0000FF"/>
                </w:rPr>
                <w:t>Employment Offer Letter Agreement, dated as of April 14, 2021,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December 26, 2021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8"/>
          </w:tcPr>
          <w:p>
            <w:pPr>
              <w:spacing w:after="0" w:line="176" w:lineRule="exact"/>
              <w:rPr>
                <w:rFonts w:ascii="Arial" w:cs="Arial" w:eastAsia="Arial" w:hAnsi="Arial"/>
                <w:sz w:val="20"/>
                <w:szCs w:val="20"/>
                <w:color w:val="0000FF"/>
                <w:w w:val="91"/>
              </w:rPr>
            </w:pPr>
            <w:hyperlink r:id="rId188">
              <w:r>
                <w:rPr>
                  <w:rFonts w:ascii="Arial" w:cs="Arial" w:eastAsia="Arial" w:hAnsi="Arial"/>
                  <w:sz w:val="20"/>
                  <w:szCs w:val="20"/>
                  <w:color w:val="0000FF"/>
                  <w:w w:val="91"/>
                </w:rPr>
                <w:t>Patrick Murtha and Bloomin’ Brands, Inc.</w:t>
              </w:r>
            </w:hyperlink>
          </w:p>
        </w:tc>
        <w:tc>
          <w:tcPr>
            <w:tcW w:w="2540" w:type="dxa"/>
            <w:vAlign w:val="bottom"/>
            <w:tcBorders>
              <w:top w:val="single" w:sz="8" w:color="0000FF"/>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10.47</w:t>
            </w: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w w:val="99"/>
              </w:rPr>
            </w:pPr>
            <w:hyperlink r:id="rId189">
              <w:r>
                <w:rPr>
                  <w:rFonts w:ascii="Arial" w:cs="Arial" w:eastAsia="Arial" w:hAnsi="Arial"/>
                  <w:sz w:val="20"/>
                  <w:szCs w:val="20"/>
                  <w:color w:val="0000FF"/>
                  <w:w w:val="99"/>
                </w:rPr>
                <w:t>Employment Offer Letter Agreement, dated as of August 4, 2022,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November 1, 2022 Form 10-Q, Exhibit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9"/>
          </w:tcPr>
          <w:p>
            <w:pPr>
              <w:spacing w:after="0" w:line="176" w:lineRule="exact"/>
              <w:rPr>
                <w:rFonts w:ascii="Arial" w:cs="Arial" w:eastAsia="Arial" w:hAnsi="Arial"/>
                <w:sz w:val="20"/>
                <w:szCs w:val="20"/>
                <w:color w:val="0000FF"/>
                <w:w w:val="89"/>
              </w:rPr>
            </w:pPr>
            <w:hyperlink r:id="rId189">
              <w:r>
                <w:rPr>
                  <w:rFonts w:ascii="Arial" w:cs="Arial" w:eastAsia="Arial" w:hAnsi="Arial"/>
                  <w:sz w:val="20"/>
                  <w:szCs w:val="20"/>
                  <w:color w:val="0000FF"/>
                  <w:w w:val="89"/>
                </w:rPr>
                <w:t>Suzann Trevisan and Bloomin' Brands, Inc.</w:t>
              </w:r>
            </w:hyperlink>
          </w:p>
        </w:tc>
        <w:tc>
          <w:tcPr>
            <w:tcW w:w="2480" w:type="dxa"/>
            <w:vAlign w:val="bottom"/>
            <w:tcBorders>
              <w:top w:val="single" w:sz="8" w:color="0000FF"/>
            </w:tcBorders>
            <w:gridSpan w:val="11"/>
          </w:tcPr>
          <w:p>
            <w:pPr>
              <w:spacing w:after="0"/>
              <w:rPr>
                <w:sz w:val="15"/>
                <w:szCs w:val="15"/>
                <w:color w:val="auto"/>
              </w:rPr>
            </w:pPr>
          </w:p>
        </w:tc>
        <w:tc>
          <w:tcPr>
            <w:tcW w:w="3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rPr>
            </w:pPr>
            <w:hyperlink r:id="rId190">
              <w:r>
                <w:rPr>
                  <w:rFonts w:ascii="Arial" w:cs="Arial" w:eastAsia="Arial" w:hAnsi="Arial"/>
                  <w:sz w:val="20"/>
                  <w:szCs w:val="20"/>
                  <w:color w:val="0000FF"/>
                </w:rPr>
                <w:t>Form of Convertible Note Hedge Transactions confirmation</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11, 2020 Form 8-K, Exhibit 10.1</w:t>
            </w: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top w:val="single" w:sz="8" w:color="0000FF"/>
            </w:tcBorders>
            <w:gridSpan w:val="13"/>
          </w:tcPr>
          <w:p>
            <w:pPr>
              <w:spacing w:after="0"/>
              <w:rPr>
                <w:rFonts w:ascii="Arial" w:cs="Arial" w:eastAsia="Arial" w:hAnsi="Arial"/>
                <w:sz w:val="20"/>
                <w:szCs w:val="20"/>
                <w:color w:val="0000FF"/>
              </w:rPr>
            </w:pPr>
            <w:hyperlink r:id="rId191">
              <w:r>
                <w:rPr>
                  <w:rFonts w:ascii="Arial" w:cs="Arial" w:eastAsia="Arial" w:hAnsi="Arial"/>
                  <w:sz w:val="20"/>
                  <w:szCs w:val="20"/>
                  <w:color w:val="0000FF"/>
                </w:rPr>
                <w:t>Form of Warrant Transactions confirmation</w:t>
              </w:r>
            </w:hyperlink>
          </w:p>
        </w:tc>
        <w:tc>
          <w:tcPr>
            <w:tcW w:w="1760" w:type="dxa"/>
            <w:vAlign w:val="bottom"/>
            <w:gridSpan w:val="17"/>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May 11, 2020 Form 8-K, Exhibit 10.2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rFonts w:ascii="Arial" w:cs="Arial" w:eastAsia="Arial" w:hAnsi="Arial"/>
                <w:sz w:val="20"/>
                <w:szCs w:val="20"/>
                <w:color w:val="0000FF"/>
                <w:w w:val="99"/>
              </w:rPr>
            </w:pPr>
            <w:hyperlink r:id="rId192">
              <w:r>
                <w:rPr>
                  <w:rFonts w:ascii="Arial" w:cs="Arial" w:eastAsia="Arial" w:hAnsi="Arial"/>
                  <w:sz w:val="20"/>
                  <w:szCs w:val="20"/>
                  <w:color w:val="0000FF"/>
                  <w:w w:val="99"/>
                </w:rPr>
                <w:t>Form of Exchange Agreement, dated as of May 25, 2022, by and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26, 2022, Form 8-K, Exhibit 10.1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2"/>
          </w:tcPr>
          <w:p>
            <w:pPr>
              <w:spacing w:after="0" w:line="169" w:lineRule="exact"/>
              <w:rPr>
                <w:rFonts w:ascii="Arial" w:cs="Arial" w:eastAsia="Arial" w:hAnsi="Arial"/>
                <w:sz w:val="19"/>
                <w:szCs w:val="19"/>
                <w:color w:val="0000FF"/>
                <w:w w:val="95"/>
              </w:rPr>
            </w:pPr>
            <w:hyperlink r:id="rId192">
              <w:r>
                <w:rPr>
                  <w:rFonts w:ascii="Arial" w:cs="Arial" w:eastAsia="Arial" w:hAnsi="Arial"/>
                  <w:sz w:val="19"/>
                  <w:szCs w:val="19"/>
                  <w:color w:val="0000FF"/>
                  <w:w w:val="95"/>
                </w:rPr>
                <w:t>Bloomin’ Brands, Inc. and the applicable Noteholder</w:t>
              </w:r>
            </w:hyperlink>
          </w:p>
        </w:tc>
        <w:tc>
          <w:tcPr>
            <w:tcW w:w="2200" w:type="dxa"/>
            <w:vAlign w:val="bottom"/>
            <w:tcBorders>
              <w:top w:val="single" w:sz="8" w:color="0000FF"/>
            </w:tcBorders>
            <w:gridSpan w:val="16"/>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0"/>
              </w:rPr>
              <w:t>List of Subsidiaries</w:t>
            </w:r>
          </w:p>
        </w:tc>
        <w:tc>
          <w:tcPr>
            <w:tcW w:w="5000" w:type="dxa"/>
            <w:vAlign w:val="bottom"/>
            <w:gridSpan w:val="28"/>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88"/>
              </w:rPr>
              <w:t>Consent of PricewaterhouseCoopers LLP</w:t>
            </w:r>
          </w:p>
        </w:tc>
        <w:tc>
          <w:tcPr>
            <w:tcW w:w="3260" w:type="dxa"/>
            <w:vAlign w:val="bottom"/>
            <w:gridSpan w:val="2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0000FF"/>
              </w:rPr>
              <w:t>Certification of Chief Executive Officer pursuant to Section 302 of the</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9"/>
                <w:szCs w:val="19"/>
                <w:color w:val="0000FF"/>
              </w:rPr>
              <w:t>Sarbanes-Oxley Act of 2002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8"/>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0000FF"/>
                <w:w w:val="93"/>
              </w:rPr>
              <w:t>Certification of Chief Financial Officer pursuant to Section 302 of the Sarbanes-</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9"/>
                <w:szCs w:val="19"/>
                <w:color w:val="0000FF"/>
              </w:rPr>
              <w:t>Oxley Act of 2002</w:t>
            </w:r>
          </w:p>
        </w:tc>
        <w:tc>
          <w:tcPr>
            <w:tcW w:w="18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0000FF"/>
                <w:w w:val="94"/>
              </w:rPr>
              <w:t>Certification of Chief Executive Officer pursuant to 18 U.S.C. Section 1350, as</w:t>
            </w:r>
          </w:p>
        </w:tc>
        <w:tc>
          <w:tcPr>
            <w:tcW w:w="3520" w:type="dxa"/>
            <w:vAlign w:val="bottom"/>
          </w:tcPr>
          <w:p>
            <w:pPr>
              <w:ind w:left="2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bottom w:val="single" w:sz="8" w:color="0000FF"/>
            </w:tcBorders>
            <w:gridSpan w:val="16"/>
          </w:tcPr>
          <w:p>
            <w:pPr>
              <w:spacing w:after="0" w:line="169" w:lineRule="exact"/>
              <w:rPr>
                <w:sz w:val="20"/>
                <w:szCs w:val="20"/>
                <w:color w:val="auto"/>
              </w:rPr>
            </w:pPr>
            <w:r>
              <w:rPr>
                <w:rFonts w:ascii="Arial" w:cs="Arial" w:eastAsia="Arial" w:hAnsi="Arial"/>
                <w:sz w:val="19"/>
                <w:szCs w:val="19"/>
                <w:color w:val="0000FF"/>
                <w:w w:val="94"/>
              </w:rPr>
              <w:t>adopted pursuant to Section 906 of the Sarbanes-Oxley Act of 2002 (1)</w:t>
            </w:r>
          </w:p>
        </w:tc>
        <w:tc>
          <w:tcPr>
            <w:tcW w:w="620" w:type="dxa"/>
            <w:vAlign w:val="bottom"/>
            <w:tcBorders>
              <w:top w:val="single" w:sz="8" w:color="0000FF"/>
            </w:tcBorders>
            <w:gridSpan w:val="10"/>
          </w:tcPr>
          <w:p>
            <w:pPr>
              <w:spacing w:after="0"/>
              <w:rPr>
                <w:sz w:val="14"/>
                <w:szCs w:val="14"/>
                <w:color w:val="auto"/>
              </w:rPr>
            </w:pPr>
          </w:p>
        </w:tc>
        <w:tc>
          <w:tcPr>
            <w:tcW w:w="260" w:type="dxa"/>
            <w:vAlign w:val="bottom"/>
            <w:gridSpan w:val="4"/>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0000FF"/>
                <w:w w:val="95"/>
              </w:rPr>
              <w:t>Certification of Chief Financial Officer pursuant to 18 U.S.C. Section 1350, as</w:t>
            </w:r>
          </w:p>
        </w:tc>
        <w:tc>
          <w:tcPr>
            <w:tcW w:w="3520" w:type="dxa"/>
            <w:vAlign w:val="bottom"/>
          </w:tcPr>
          <w:p>
            <w:pPr>
              <w:ind w:left="2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9"/>
                <w:szCs w:val="19"/>
                <w:color w:val="0000FF"/>
                <w:w w:val="93"/>
              </w:rPr>
              <w:t>adopted pursuant to Section 906 of the Sarbanes-Oxley Act of 2002 (1)</w:t>
            </w:r>
          </w:p>
        </w:tc>
        <w:tc>
          <w:tcPr>
            <w:tcW w:w="580" w:type="dxa"/>
            <w:vAlign w:val="bottom"/>
            <w:tcBorders>
              <w:top w:val="single" w:sz="8" w:color="0000FF"/>
            </w:tcBorders>
            <w:gridSpan w:val="9"/>
          </w:tcPr>
          <w:p>
            <w:pPr>
              <w:spacing w:after="0"/>
              <w:rPr>
                <w:sz w:val="14"/>
                <w:szCs w:val="14"/>
                <w:color w:val="auto"/>
              </w:rPr>
            </w:pPr>
          </w:p>
        </w:tc>
        <w:tc>
          <w:tcPr>
            <w:tcW w:w="320" w:type="dxa"/>
            <w:vAlign w:val="bottom"/>
            <w:gridSpan w:val="6"/>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160" w:type="dxa"/>
            <w:vAlign w:val="bottom"/>
            <w:gridSpan w:val="2"/>
          </w:tcPr>
          <w:p>
            <w:pPr>
              <w:ind w:left="200"/>
              <w:spacing w:after="0"/>
              <w:rPr>
                <w:sz w:val="20"/>
                <w:szCs w:val="20"/>
                <w:color w:val="auto"/>
              </w:rPr>
            </w:pPr>
            <w:r>
              <w:rPr>
                <w:rFonts w:ascii="Arial" w:cs="Arial" w:eastAsia="Arial" w:hAnsi="Arial"/>
                <w:sz w:val="20"/>
                <w:szCs w:val="20"/>
                <w:color w:val="auto"/>
              </w:rPr>
              <w:t>101.INS</w:t>
            </w: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auto"/>
              </w:rPr>
              <w:t>Inline XBRL Instance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101.SCH</w:t>
            </w: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auto"/>
              </w:rPr>
              <w:t>Inline XBRL Taxonomy Extension Schema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11"/>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101.DEF</w:t>
            </w: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80"/>
              <w:spacing w:after="0"/>
              <w:rPr>
                <w:sz w:val="20"/>
                <w:szCs w:val="20"/>
                <w:color w:val="auto"/>
              </w:rPr>
            </w:pPr>
            <w:r>
              <w:rPr>
                <w:rFonts w:ascii="Arial" w:cs="Arial" w:eastAsia="Arial" w:hAnsi="Arial"/>
                <w:sz w:val="20"/>
                <w:szCs w:val="20"/>
                <w:color w:val="auto"/>
              </w:rPr>
              <w:t>101.PRE</w:t>
            </w:r>
          </w:p>
        </w:tc>
        <w:tc>
          <w:tcPr>
            <w:tcW w:w="20" w:type="dxa"/>
            <w:vAlign w:val="bottom"/>
          </w:tcPr>
          <w:p>
            <w:pPr>
              <w:spacing w:after="0"/>
              <w:rPr>
                <w:sz w:val="24"/>
                <w:szCs w:val="24"/>
                <w:color w:val="auto"/>
              </w:rPr>
            </w:pPr>
          </w:p>
        </w:tc>
        <w:tc>
          <w:tcPr>
            <w:tcW w:w="6540" w:type="dxa"/>
            <w:vAlign w:val="bottom"/>
            <w:gridSpan w:val="30"/>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900"/>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4"/>
          </w:tcPr>
          <w:p>
            <w:pPr>
              <w:jc w:val="right"/>
              <w:ind w:right="200"/>
              <w:spacing w:after="0"/>
              <w:rPr>
                <w:sz w:val="20"/>
                <w:szCs w:val="20"/>
                <w:color w:val="auto"/>
              </w:rPr>
            </w:pPr>
            <w:r>
              <w:rPr>
                <w:rFonts w:ascii="Arial" w:cs="Arial" w:eastAsia="Arial" w:hAnsi="Arial"/>
                <w:sz w:val="18"/>
                <w:szCs w:val="18"/>
                <w:color w:val="auto"/>
              </w:rPr>
              <w:t>120</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644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64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229"/>
        </w:trPr>
        <w:tc>
          <w:tcPr>
            <w:tcW w:w="104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20" w:type="dxa"/>
            <w:vAlign w:val="bottom"/>
          </w:tcPr>
          <w:p>
            <w:pPr>
              <w:spacing w:after="0"/>
              <w:rPr>
                <w:sz w:val="19"/>
                <w:szCs w:val="19"/>
                <w:color w:val="auto"/>
              </w:rPr>
            </w:pPr>
          </w:p>
        </w:tc>
        <w:tc>
          <w:tcPr>
            <w:tcW w:w="6560" w:type="dxa"/>
            <w:vAlign w:val="bottom"/>
            <w:gridSpan w:val="2"/>
          </w:tcPr>
          <w:p>
            <w:pPr>
              <w:ind w:left="20"/>
              <w:spacing w:after="0"/>
              <w:rPr>
                <w:sz w:val="20"/>
                <w:szCs w:val="20"/>
                <w:color w:val="auto"/>
              </w:rPr>
            </w:pPr>
            <w:r>
              <w:rPr>
                <w:rFonts w:ascii="Arial" w:cs="Arial" w:eastAsia="Arial" w:hAnsi="Arial"/>
                <w:sz w:val="20"/>
                <w:szCs w:val="20"/>
                <w:color w:val="auto"/>
                <w:w w:val="96"/>
              </w:rPr>
              <w:t>Cover Page Interactive Data File (formatted as inline XBRL and contained in</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60" w:type="dxa"/>
            <w:vAlign w:val="bottom"/>
            <w:gridSpan w:val="2"/>
          </w:tcPr>
          <w:p>
            <w:pPr>
              <w:ind w:left="20"/>
              <w:spacing w:after="0"/>
              <w:rPr>
                <w:sz w:val="20"/>
                <w:szCs w:val="20"/>
                <w:color w:val="auto"/>
              </w:rPr>
            </w:pPr>
            <w:r>
              <w:rPr>
                <w:rFonts w:ascii="Arial" w:cs="Arial" w:eastAsia="Arial" w:hAnsi="Arial"/>
                <w:sz w:val="20"/>
                <w:szCs w:val="20"/>
                <w:color w:val="auto"/>
              </w:rPr>
              <w:t>Exhibit 101)</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*Management contract or compensatory plan or arrangement required to be filed as an exhibit.</w:t>
      </w:r>
    </w:p>
    <w:p>
      <w:pPr>
        <w:spacing w:after="0" w:line="297" w:lineRule="exact"/>
        <w:rPr>
          <w:sz w:val="20"/>
          <w:szCs w:val="20"/>
          <w:color w:val="auto"/>
        </w:rPr>
      </w:pPr>
    </w:p>
    <w:p>
      <w:pPr>
        <w:jc w:val="both"/>
        <w:ind w:left="20" w:right="20" w:firstLine="6"/>
        <w:spacing w:after="0" w:line="223" w:lineRule="auto"/>
        <w:tabs>
          <w:tab w:leader="none" w:pos="308"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1020"/>
        <w:spacing w:after="0"/>
        <w:tabs>
          <w:tab w:leader="none" w:pos="1700" w:val="left"/>
          <w:tab w:leader="none" w:pos="4520" w:val="left"/>
        </w:tabs>
        <w:rPr>
          <w:sz w:val="20"/>
          <w:szCs w:val="20"/>
          <w:color w:val="auto"/>
        </w:rPr>
      </w:pPr>
      <w:r>
        <w:rPr>
          <w:rFonts w:ascii="Arial" w:cs="Arial" w:eastAsia="Arial" w:hAnsi="Arial"/>
          <w:sz w:val="20"/>
          <w:szCs w:val="20"/>
          <w:color w:val="auto"/>
        </w:rPr>
        <w:t>Date:</w:t>
        <w:tab/>
        <w:t>February 22, 2023</w:t>
      </w:r>
      <w:r>
        <w:rPr>
          <w:sz w:val="20"/>
          <w:szCs w:val="20"/>
          <w:color w:val="auto"/>
        </w:rPr>
        <w:tab/>
      </w:r>
      <w:r>
        <w:rPr>
          <w:rFonts w:ascii="Arial" w:cs="Arial" w:eastAsia="Arial" w:hAnsi="Arial"/>
          <w:sz w:val="18"/>
          <w:szCs w:val="18"/>
          <w:color w:val="auto"/>
        </w:rPr>
        <w:t>Bloomin’ Brands, Inc.</w:t>
      </w:r>
    </w:p>
    <w:p>
      <w:pPr>
        <w:spacing w:after="0" w:line="297"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19050</wp:posOffset>
            </wp:positionV>
            <wp:extent cx="35744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9"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David J. Deno</w:t>
      </w:r>
    </w:p>
    <w:p>
      <w:pPr>
        <w:ind w:left="5340"/>
        <w:spacing w:after="0" w:line="211" w:lineRule="auto"/>
        <w:rPr>
          <w:sz w:val="20"/>
          <w:szCs w:val="20"/>
          <w:color w:val="auto"/>
        </w:rPr>
      </w:pPr>
      <w:r>
        <w:rPr>
          <w:rFonts w:ascii="Arial" w:cs="Arial" w:eastAsia="Arial" w:hAnsi="Arial"/>
          <w:sz w:val="20"/>
          <w:szCs w:val="20"/>
          <w:color w:val="auto"/>
        </w:rPr>
        <w:t>Chief Executive Officer</w:t>
      </w:r>
    </w:p>
    <w:p>
      <w:pPr>
        <w:ind w:left="5340"/>
        <w:spacing w:after="0"/>
        <w:rPr>
          <w:sz w:val="20"/>
          <w:szCs w:val="20"/>
          <w:color w:val="auto"/>
        </w:rPr>
      </w:pPr>
      <w:r>
        <w:rPr>
          <w:rFonts w:ascii="Arial" w:cs="Arial" w:eastAsia="Arial" w:hAnsi="Arial"/>
          <w:sz w:val="20"/>
          <w:szCs w:val="20"/>
          <w:color w:val="auto"/>
        </w:rPr>
        <w:t>(Principal Executive Officer)</w:t>
      </w:r>
    </w:p>
    <w:p>
      <w:pPr>
        <w:spacing w:after="0" w:line="32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bookmarkStart w:id="123" w:name="page124"/>
    <w:bookmarkEnd w:id="123"/>
    <w:p>
      <w:pPr>
        <w:ind w:left="108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19113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David J. Deno</w:t>
      </w:r>
    </w:p>
    <w:p>
      <w:pPr>
        <w:spacing w:after="0" w:line="283" w:lineRule="exact"/>
        <w:rPr>
          <w:sz w:val="20"/>
          <w:szCs w:val="20"/>
          <w:color w:val="auto"/>
        </w:rPr>
      </w:pPr>
    </w:p>
    <w:p>
      <w:pPr>
        <w:ind w:right="880"/>
        <w:spacing w:after="0" w:line="378" w:lineRule="auto"/>
        <w:rPr>
          <w:sz w:val="20"/>
          <w:szCs w:val="20"/>
          <w:color w:val="auto"/>
        </w:rPr>
      </w:pPr>
      <w:r>
        <w:rPr>
          <w:rFonts w:ascii="Arial" w:cs="Arial" w:eastAsia="Arial" w:hAnsi="Arial"/>
          <w:sz w:val="18"/>
          <w:szCs w:val="18"/>
          <w:color w:val="auto"/>
        </w:rPr>
        <w:t>/s/ Christopher Meyer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19113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Philip Pace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James R. Craigie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James R. Craigie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David R. Fitzjohn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David R. Fitzjohn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John Gainor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John Gainor</w:t>
      </w:r>
    </w:p>
    <w:p>
      <w:pPr>
        <w:spacing w:after="0" w:line="243" w:lineRule="exact"/>
        <w:rPr>
          <w:sz w:val="20"/>
          <w:szCs w:val="20"/>
          <w:color w:val="auto"/>
        </w:rPr>
      </w:pPr>
    </w:p>
    <w:p>
      <w:pPr>
        <w:ind w:right="920"/>
        <w:spacing w:after="0" w:line="456" w:lineRule="auto"/>
        <w:rPr>
          <w:sz w:val="20"/>
          <w:szCs w:val="20"/>
          <w:color w:val="auto"/>
        </w:rPr>
      </w:pPr>
      <w:r>
        <w:rPr>
          <w:rFonts w:ascii="Arial" w:cs="Arial" w:eastAsia="Arial" w:hAnsi="Arial"/>
          <w:sz w:val="16"/>
          <w:szCs w:val="16"/>
          <w:color w:val="auto"/>
        </w:rPr>
        <w:t>/s/ Lawrence Jackson Lawrence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19113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/s/ Julie Kunkel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Julie Kunkel</w:t>
      </w:r>
    </w:p>
    <w:p>
      <w:pPr>
        <w:spacing w:after="0" w:line="297" w:lineRule="exact"/>
        <w:rPr>
          <w:sz w:val="20"/>
          <w:szCs w:val="20"/>
          <w:color w:val="auto"/>
        </w:rPr>
      </w:pPr>
    </w:p>
    <w:p>
      <w:pPr>
        <w:ind w:right="900"/>
        <w:spacing w:after="0" w:line="378" w:lineRule="auto"/>
        <w:rPr>
          <w:sz w:val="20"/>
          <w:szCs w:val="20"/>
          <w:color w:val="auto"/>
        </w:rPr>
      </w:pPr>
      <w:r>
        <w:rPr>
          <w:rFonts w:ascii="Arial" w:cs="Arial" w:eastAsia="Arial" w:hAnsi="Arial"/>
          <w:sz w:val="18"/>
          <w:szCs w:val="18"/>
          <w:color w:val="auto"/>
        </w:rPr>
        <w:t>/s/ Tara Walpert Levy Tara Walpert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19113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/s/ John J.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9113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John J. Mahoney</w:t>
      </w:r>
    </w:p>
    <w:p>
      <w:pPr>
        <w:spacing w:after="0" w:line="297" w:lineRule="exact"/>
        <w:rPr>
          <w:sz w:val="20"/>
          <w:szCs w:val="20"/>
          <w:color w:val="auto"/>
        </w:rPr>
      </w:pPr>
    </w:p>
    <w:p>
      <w:pPr>
        <w:ind w:right="600"/>
        <w:spacing w:after="0" w:line="378" w:lineRule="auto"/>
        <w:rPr>
          <w:sz w:val="20"/>
          <w:szCs w:val="20"/>
          <w:color w:val="auto"/>
        </w:rPr>
      </w:pPr>
      <w:r>
        <w:rPr>
          <w:rFonts w:ascii="Arial" w:cs="Arial" w:eastAsia="Arial" w:hAnsi="Arial"/>
          <w:sz w:val="18"/>
          <w:szCs w:val="18"/>
          <w:color w:val="auto"/>
        </w:rPr>
        <w:t>/s/ Melanie Marein-Efron Melanie Marein-Efron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19113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38" w:lineRule="exact"/>
        <w:rPr>
          <w:sz w:val="20"/>
          <w:szCs w:val="20"/>
          <w:color w:val="auto"/>
        </w:rPr>
      </w:pPr>
    </w:p>
    <w:p>
      <w:pPr>
        <w:ind w:right="880"/>
        <w:spacing w:after="0" w:line="378" w:lineRule="auto"/>
        <w:rPr>
          <w:sz w:val="20"/>
          <w:szCs w:val="20"/>
          <w:color w:val="auto"/>
        </w:rPr>
      </w:pPr>
      <w:r>
        <w:rPr>
          <w:rFonts w:ascii="Arial" w:cs="Arial" w:eastAsia="Arial" w:hAnsi="Arial"/>
          <w:sz w:val="18"/>
          <w:szCs w:val="18"/>
          <w:color w:val="auto"/>
        </w:rPr>
        <w:t>/s/ R. Michael Mohan R. Michael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19113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38" w:lineRule="exact"/>
        <w:rPr>
          <w:sz w:val="20"/>
          <w:szCs w:val="20"/>
          <w:color w:val="auto"/>
        </w:rPr>
      </w:pPr>
    </w:p>
    <w:p>
      <w:pPr>
        <w:ind w:right="860"/>
        <w:spacing w:after="0" w:line="378" w:lineRule="auto"/>
        <w:rPr>
          <w:sz w:val="20"/>
          <w:szCs w:val="20"/>
          <w:color w:val="auto"/>
        </w:rPr>
      </w:pPr>
      <w:r>
        <w:rPr>
          <w:rFonts w:ascii="Arial" w:cs="Arial" w:eastAsia="Arial" w:hAnsi="Arial"/>
          <w:sz w:val="18"/>
          <w:szCs w:val="18"/>
          <w:color w:val="auto"/>
        </w:rPr>
        <w:t>/s/ Elizabeth A. Smith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19113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5520" w:type="dxa"/>
            <w:vAlign w:val="bottom"/>
            <w:tcBorders>
              <w:bottom w:val="single" w:sz="8" w:color="auto"/>
            </w:tcBorders>
          </w:tcPr>
          <w:p>
            <w:pPr>
              <w:ind w:left="2560"/>
              <w:spacing w:after="0"/>
              <w:rPr>
                <w:sz w:val="20"/>
                <w:szCs w:val="20"/>
                <w:color w:val="auto"/>
              </w:rPr>
            </w:pPr>
            <w:r>
              <w:rPr>
                <w:rFonts w:ascii="Arial" w:cs="Arial" w:eastAsia="Arial" w:hAnsi="Arial"/>
                <w:sz w:val="20"/>
                <w:szCs w:val="20"/>
                <w:b w:val="1"/>
                <w:bCs w:val="1"/>
                <w:color w:val="auto"/>
              </w:rPr>
              <w:t>Title</w:t>
            </w:r>
          </w:p>
        </w:tc>
        <w:tc>
          <w:tcPr>
            <w:tcW w:w="340" w:type="dxa"/>
            <w:vAlign w:val="bottom"/>
          </w:tcPr>
          <w:p>
            <w:pPr>
              <w:spacing w:after="0"/>
              <w:rPr>
                <w:sz w:val="23"/>
                <w:szCs w:val="23"/>
                <w:color w:val="auto"/>
              </w:rPr>
            </w:pP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55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Chief Executive Officer and Director</w:t>
            </w: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25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6"/>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and Chief Financial Officer</w:t>
            </w: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25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Financial Officer)</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Senior Vice President, Chief Accounting Officer</w:t>
            </w: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25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Accounting Officer)</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97"/>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Chairman of the Board and 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756"/>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756"/>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r>
        <w:trPr>
          <w:trHeight w:val="810"/>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22, 2023</w:t>
            </w:r>
          </w:p>
        </w:tc>
        <w:tc>
          <w:tcPr>
            <w:tcW w:w="0" w:type="dxa"/>
            <w:vAlign w:val="bottom"/>
          </w:tcPr>
          <w:p>
            <w:pPr>
              <w:spacing w:after="0"/>
              <w:rPr>
                <w:sz w:val="1"/>
                <w:szCs w:val="1"/>
                <w:color w:val="auto"/>
              </w:rPr>
            </w:pPr>
          </w:p>
        </w:tc>
      </w:tr>
    </w:tbl>
    <w:p>
      <w:pPr>
        <w:sectPr>
          <w:pgSz w:w="11900" w:h="16838" w:orient="portrait"/>
          <w:cols w:equalWidth="0" w:num="2">
            <w:col w:w="2620" w:space="720"/>
            <w:col w:w="7880"/>
          </w:cols>
          <w:pgMar w:left="340" w:top="157"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20" w:type="dxa"/>
            <w:vAlign w:val="bottom"/>
            <w:gridSpan w:val="2"/>
          </w:tcPr>
          <w:p>
            <w:pPr>
              <w:ind w:left="5600"/>
              <w:spacing w:after="0"/>
              <w:rPr>
                <w:sz w:val="20"/>
                <w:szCs w:val="20"/>
                <w:color w:val="auto"/>
              </w:rPr>
            </w:pPr>
            <w:r>
              <w:rPr>
                <w:rFonts w:ascii="Arial" w:cs="Arial" w:eastAsia="Arial" w:hAnsi="Arial"/>
                <w:sz w:val="20"/>
                <w:szCs w:val="20"/>
                <w:b w:val="1"/>
                <w:bCs w:val="1"/>
                <w:color w:val="auto"/>
                <w:w w:val="89"/>
              </w:rPr>
              <w:t>Exhibit 21.1</w:t>
            </w:r>
          </w:p>
        </w:tc>
        <w:tc>
          <w:tcPr>
            <w:tcW w:w="0" w:type="dxa"/>
            <w:vAlign w:val="bottom"/>
          </w:tcPr>
          <w:p>
            <w:pPr>
              <w:spacing w:after="0"/>
              <w:rPr>
                <w:sz w:val="1"/>
                <w:szCs w:val="1"/>
                <w:color w:val="auto"/>
              </w:rPr>
            </w:pPr>
          </w:p>
        </w:tc>
      </w:tr>
      <w:tr>
        <w:trPr>
          <w:trHeight w:val="699"/>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Annapolis Outback, Inc.</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BBI International Holdings,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BBI Ristorante Italiano,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Bel Air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BFG Nebraska,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BFG New Jersey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BFG Oklahoma,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BFG Pennsylvania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BFG/FPS of Marlton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Brands Holdings I C.V.</w:t>
            </w:r>
          </w:p>
        </w:tc>
        <w:tc>
          <w:tcPr>
            <w:tcW w:w="6600" w:type="dxa"/>
            <w:vAlign w:val="bottom"/>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Bloom Brands Holdings II C.V.</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Group Holdings B.V.</w:t>
            </w:r>
          </w:p>
        </w:tc>
        <w:tc>
          <w:tcPr>
            <w:tcW w:w="6600" w:type="dxa"/>
            <w:vAlign w:val="bottom"/>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Bloom Group Restaurants,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No.1 Limited</w:t>
            </w:r>
          </w:p>
        </w:tc>
        <w:tc>
          <w:tcPr>
            <w:tcW w:w="6600" w:type="dxa"/>
            <w:vAlign w:val="bottom"/>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Bloom Participações, Ltda.</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BR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Bloomin’ Brands Gift Card Services,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Bloomin’ Brands International,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Bloomin Puerto Rico L.P.</w:t>
            </w:r>
          </w:p>
        </w:tc>
        <w:tc>
          <w:tcPr>
            <w:tcW w:w="6600" w:type="dxa"/>
            <w:vAlign w:val="bottom"/>
          </w:tcPr>
          <w:p>
            <w:pPr>
              <w:jc w:val="center"/>
              <w:spacing w:after="0"/>
              <w:rPr>
                <w:sz w:val="20"/>
                <w:szCs w:val="20"/>
                <w:color w:val="auto"/>
              </w:rPr>
            </w:pPr>
            <w:r>
              <w:rPr>
                <w:rFonts w:ascii="Arial" w:cs="Arial" w:eastAsia="Arial" w:hAnsi="Arial"/>
                <w:sz w:val="14"/>
                <w:szCs w:val="14"/>
                <w:color w:val="auto"/>
                <w:w w:val="99"/>
              </w:rPr>
              <w:t>CI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 Baltimore County,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Beverages,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 Brandywine,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 Grill International,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Grill,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 Holdings,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TX</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Kansas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 of Bel Air,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of Gaithersburg,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Bonefish/Anne Arundel,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Bonefish/Asheville,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Bonefish/Carolinas,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Bonefish/Columbus-I,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Bonefish/Crescent Springs,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Bonefish/Fredericksburg,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Bonefish/Glen Burnie,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Bonefish/Greensboro,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Bonefish/Hyde Park,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Bonefish/Newport News,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Bonefish/Richmond,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Bonefish/Southern Virginia,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Bonefish/Virginia,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Carrabba’s Italian Grill of Howard County,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Italian Grill of Overlea,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Carrabba’s Italian Grill,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Kansas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Carrabba’s of Bowie,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Germantown,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Carrabba’s of Ocean City,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Pasadena,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Carrabba’s of Waldorf,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Carrabba’s/Birmingham 280,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Carrabba’s/DC-I,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 Beverages of Texas,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33"/>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18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CIGI Florida Services, Ltd</w:t>
            </w:r>
          </w:p>
        </w:tc>
        <w:tc>
          <w:tcPr>
            <w:tcW w:w="120" w:type="dxa"/>
            <w:vAlign w:val="bottom"/>
            <w:tcBorders>
              <w:bottom w:val="single" w:sz="8" w:color="CCEEFF"/>
            </w:tcBorders>
            <w:shd w:val="clear" w:color="auto" w:fill="CCEEFF"/>
          </w:tcPr>
          <w:p>
            <w:pPr>
              <w:spacing w:after="0"/>
              <w:rPr>
                <w:sz w:val="15"/>
                <w:szCs w:val="15"/>
                <w:color w:val="auto"/>
              </w:rPr>
            </w:pP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 Holdings,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CIGI Oklahoma,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CIGI/BFG of East Brunswick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2"/>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DoorSide,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Dutch Holdings I,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Fleming’s Beverages,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Fleming’s International,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Fleming’s of Baltimore,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Fleming’s/Outback Holdings,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FPS NEBRASKA,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FPS Oklahoma,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Frederick Outback,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Hagerstown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New Private Restaurant Properties,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OBTex Holdings,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Ocean City Outback,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Management,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 Niagara Falls,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Prime,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 Realty,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Restaurant Services,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OSF Florida Services, Ltd</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Nebraska,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OSF New York Services,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Oklahoma,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OSF Virginia Services,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OSF/BFG of Deptford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OSF/BFG of Lawrenceville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OSF/CIGI of Evesham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OSI HoldCo,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HoldCo I, Inc.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OSI HoldCo II,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International,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OSI Restaurant Partners,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OSI/Fleming’s,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&amp; Carrabba’s of New Mexico,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Alabama,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AL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Beverages of Texas,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Kansas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KS</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Aspen Hill,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of Calvert County,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Conway,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AR</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2"/>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of Germantown,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La Plata,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of Laurel,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Waldorf,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Philippines Development Holdings Corporation</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PI</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Puerto Rico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International Investments, Co.</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CI</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International, L.P.</w:t>
            </w:r>
          </w:p>
        </w:tc>
        <w:tc>
          <w:tcPr>
            <w:tcW w:w="6600" w:type="dxa"/>
            <w:vAlign w:val="bottom"/>
          </w:tcPr>
          <w:p>
            <w:pPr>
              <w:jc w:val="center"/>
              <w:spacing w:after="0"/>
              <w:rPr>
                <w:sz w:val="20"/>
                <w:szCs w:val="20"/>
                <w:color w:val="auto"/>
              </w:rPr>
            </w:pPr>
            <w:r>
              <w:rPr>
                <w:rFonts w:ascii="Arial" w:cs="Arial" w:eastAsia="Arial" w:hAnsi="Arial"/>
                <w:sz w:val="14"/>
                <w:szCs w:val="14"/>
                <w:color w:val="auto"/>
              </w:rPr>
              <w:t>GA</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International,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Bowie,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bl>
    <w:p>
      <w:pPr>
        <w:sectPr>
          <w:pgSz w:w="11900" w:h="16838" w:orient="portrait"/>
          <w:cols w:equalWidth="0" w:num="1">
            <w:col w:w="11220"/>
          </w:cols>
          <w:pgMar w:left="320" w:top="886" w:right="35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33"/>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18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Outback Steakhouse of Canton, Inc.</w:t>
            </w:r>
          </w:p>
        </w:tc>
        <w:tc>
          <w:tcPr>
            <w:tcW w:w="120" w:type="dxa"/>
            <w:vAlign w:val="bottom"/>
            <w:tcBorders>
              <w:bottom w:val="single" w:sz="8" w:color="CCEEFF"/>
            </w:tcBorders>
            <w:shd w:val="clear" w:color="auto" w:fill="CCEEFF"/>
          </w:tcPr>
          <w:p>
            <w:pPr>
              <w:spacing w:after="0"/>
              <w:rPr>
                <w:sz w:val="15"/>
                <w:szCs w:val="15"/>
                <w:color w:val="auto"/>
              </w:rPr>
            </w:pP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Florida,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Howard County,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Jonesboro, Inc.</w:t>
            </w:r>
          </w:p>
        </w:tc>
        <w:tc>
          <w:tcPr>
            <w:tcW w:w="6600" w:type="dxa"/>
            <w:vAlign w:val="bottom"/>
          </w:tcPr>
          <w:p>
            <w:pPr>
              <w:jc w:val="center"/>
              <w:spacing w:after="0"/>
              <w:rPr>
                <w:sz w:val="20"/>
                <w:szCs w:val="20"/>
                <w:color w:val="auto"/>
              </w:rPr>
            </w:pPr>
            <w:r>
              <w:rPr>
                <w:rFonts w:ascii="Arial" w:cs="Arial" w:eastAsia="Arial" w:hAnsi="Arial"/>
                <w:sz w:val="14"/>
                <w:szCs w:val="14"/>
                <w:color w:val="auto"/>
              </w:rPr>
              <w:t>AR</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Salisbury,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St. Mary’s County,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2"/>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Restaurantes Brasil, S.A. (f/k/a Bloom Holdco)</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BR</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West Virginia,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WV</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Outback/Carrabba’s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Outback/Fleming’s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Outback/Hampton, Limited Partnership</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Outback/Stone-II,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Outback-Carrabba’s of Hunt Valley,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Owings Mills Incorporated</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Perry Hall Outback, Inc.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Prince George’s County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Private Restaurant Master Lessee, LLC</w:t>
            </w:r>
          </w:p>
        </w:tc>
        <w:tc>
          <w:tcPr>
            <w:tcW w:w="6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Williamsburg Square Joint Venture</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PA</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Xuanmei Food and Beverage (Shanghai) Co., Ltd.</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CN</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20"/>
          </w:cols>
          <w:pgMar w:left="320" w:top="886" w:right="35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333-183270, 333-187035, 333-194261, 333-202259, 333-209691, 333-210868 and 333-238805) of Bloomin’ Brands, Inc. of our report dated February 22, 2023 relating to the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2023</w:t>
      </w:r>
    </w:p>
    <w:p>
      <w:pPr>
        <w:sectPr>
          <w:pgSz w:w="11900" w:h="16838" w:orient="portrait"/>
          <w:cols w:equalWidth="0" w:num="1">
            <w:col w:w="11240"/>
          </w:cols>
          <w:pgMar w:left="320" w:top="36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56" w:lineRule="exact"/>
        <w:rPr>
          <w:rFonts w:ascii="Arial" w:cs="Arial" w:eastAsia="Arial" w:hAnsi="Arial"/>
          <w:sz w:val="20"/>
          <w:szCs w:val="20"/>
          <w:color w:val="auto"/>
        </w:rPr>
      </w:pPr>
    </w:p>
    <w:p>
      <w:pPr>
        <w:jc w:val="both"/>
        <w:ind w:left="580" w:hanging="572"/>
        <w:spacing w:after="0" w:line="257" w:lineRule="auto"/>
        <w:tabs>
          <w:tab w:leader="none" w:pos="5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9" w:lineRule="exact"/>
        <w:rPr>
          <w:rFonts w:ascii="Arial" w:cs="Arial" w:eastAsia="Arial" w:hAnsi="Arial"/>
          <w:sz w:val="20"/>
          <w:szCs w:val="20"/>
          <w:color w:val="auto"/>
        </w:rPr>
      </w:pPr>
    </w:p>
    <w:p>
      <w:pPr>
        <w:jc w:val="both"/>
        <w:ind w:left="580" w:hanging="572"/>
        <w:spacing w:after="0" w:line="257" w:lineRule="auto"/>
        <w:tabs>
          <w:tab w:leader="none" w:pos="5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20"/>
          <w:szCs w:val="20"/>
          <w:color w:val="auto"/>
        </w:rPr>
      </w:pPr>
    </w:p>
    <w:p>
      <w:pPr>
        <w:jc w:val="both"/>
        <w:ind w:left="580" w:hanging="572"/>
        <w:spacing w:after="0" w:line="264" w:lineRule="auto"/>
        <w:tabs>
          <w:tab w:leader="none" w:pos="5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300" w:hanging="482"/>
        <w:spacing w:after="0" w:line="299" w:lineRule="auto"/>
        <w:tabs>
          <w:tab w:leader="none" w:pos="129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300" w:hanging="482"/>
        <w:spacing w:after="0" w:line="277" w:lineRule="auto"/>
        <w:tabs>
          <w:tab w:leader="none" w:pos="1288" w:val="left"/>
        </w:tabs>
        <w:numPr>
          <w:ilvl w:val="1"/>
          <w:numId w:val="9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300" w:hanging="482"/>
        <w:spacing w:after="0" w:line="257" w:lineRule="auto"/>
        <w:tabs>
          <w:tab w:leader="none" w:pos="1290" w:val="left"/>
        </w:tabs>
        <w:numPr>
          <w:ilvl w:val="1"/>
          <w:numId w:val="9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20"/>
          <w:szCs w:val="20"/>
          <w:color w:val="auto"/>
        </w:rPr>
      </w:pPr>
    </w:p>
    <w:p>
      <w:pPr>
        <w:jc w:val="both"/>
        <w:ind w:left="1300" w:hanging="482"/>
        <w:spacing w:after="0" w:line="306" w:lineRule="auto"/>
        <w:tabs>
          <w:tab w:leader="none" w:pos="12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jc w:val="both"/>
        <w:ind w:left="1300" w:hanging="482"/>
        <w:spacing w:after="0" w:line="257" w:lineRule="auto"/>
        <w:tabs>
          <w:tab w:leader="none" w:pos="129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9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700"/>
        <w:spacing w:after="0"/>
        <w:tabs>
          <w:tab w:leader="none" w:pos="4980" w:val="left"/>
        </w:tabs>
        <w:rPr>
          <w:sz w:val="20"/>
          <w:szCs w:val="20"/>
          <w:color w:val="auto"/>
        </w:rPr>
      </w:pPr>
      <w:r>
        <w:rPr>
          <w:rFonts w:ascii="Arial" w:cs="Arial" w:eastAsia="Arial" w:hAnsi="Arial"/>
          <w:sz w:val="20"/>
          <w:szCs w:val="20"/>
          <w:color w:val="auto"/>
        </w:rPr>
        <w:t>Date:  February 22, 2023</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5490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Chief Executive Officer</w:t>
      </w:r>
    </w:p>
    <w:p>
      <w:pPr>
        <w:ind w:left="500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6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56" w:lineRule="exact"/>
        <w:rPr>
          <w:rFonts w:ascii="Arial" w:cs="Arial" w:eastAsia="Arial" w:hAnsi="Arial"/>
          <w:sz w:val="20"/>
          <w:szCs w:val="20"/>
          <w:color w:val="auto"/>
        </w:rPr>
      </w:pPr>
    </w:p>
    <w:p>
      <w:pPr>
        <w:jc w:val="both"/>
        <w:ind w:left="580" w:hanging="572"/>
        <w:spacing w:after="0" w:line="257" w:lineRule="auto"/>
        <w:tabs>
          <w:tab w:leader="none" w:pos="5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9" w:lineRule="exact"/>
        <w:rPr>
          <w:rFonts w:ascii="Arial" w:cs="Arial" w:eastAsia="Arial" w:hAnsi="Arial"/>
          <w:sz w:val="20"/>
          <w:szCs w:val="20"/>
          <w:color w:val="auto"/>
        </w:rPr>
      </w:pPr>
    </w:p>
    <w:p>
      <w:pPr>
        <w:jc w:val="both"/>
        <w:ind w:left="580" w:hanging="572"/>
        <w:spacing w:after="0" w:line="257" w:lineRule="auto"/>
        <w:tabs>
          <w:tab w:leader="none" w:pos="5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20"/>
          <w:szCs w:val="20"/>
          <w:color w:val="auto"/>
        </w:rPr>
      </w:pPr>
    </w:p>
    <w:p>
      <w:pPr>
        <w:jc w:val="both"/>
        <w:ind w:left="580" w:hanging="572"/>
        <w:spacing w:after="0" w:line="264" w:lineRule="auto"/>
        <w:tabs>
          <w:tab w:leader="none" w:pos="5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300" w:hanging="482"/>
        <w:spacing w:after="0" w:line="299"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300" w:hanging="482"/>
        <w:spacing w:after="0" w:line="277" w:lineRule="auto"/>
        <w:tabs>
          <w:tab w:leader="none" w:pos="1288" w:val="left"/>
        </w:tabs>
        <w:numPr>
          <w:ilvl w:val="1"/>
          <w:numId w:val="9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300" w:hanging="482"/>
        <w:spacing w:after="0" w:line="257" w:lineRule="auto"/>
        <w:tabs>
          <w:tab w:leader="none" w:pos="1290" w:val="left"/>
        </w:tabs>
        <w:numPr>
          <w:ilvl w:val="1"/>
          <w:numId w:val="9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20"/>
          <w:szCs w:val="20"/>
          <w:color w:val="auto"/>
        </w:rPr>
      </w:pPr>
    </w:p>
    <w:p>
      <w:pPr>
        <w:jc w:val="both"/>
        <w:ind w:left="1300" w:hanging="482"/>
        <w:spacing w:after="0" w:line="306" w:lineRule="auto"/>
        <w:tabs>
          <w:tab w:leader="none" w:pos="12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jc w:val="both"/>
        <w:ind w:left="1300" w:hanging="482"/>
        <w:spacing w:after="0" w:line="257" w:lineRule="auto"/>
        <w:tabs>
          <w:tab w:leader="none" w:pos="1290" w:val="left"/>
        </w:tabs>
        <w:numPr>
          <w:ilvl w:val="1"/>
          <w:numId w:val="9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9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700"/>
        <w:spacing w:after="0"/>
        <w:tabs>
          <w:tab w:leader="none" w:pos="4980" w:val="left"/>
        </w:tabs>
        <w:rPr>
          <w:sz w:val="20"/>
          <w:szCs w:val="20"/>
          <w:color w:val="auto"/>
        </w:rPr>
      </w:pPr>
      <w:r>
        <w:rPr>
          <w:rFonts w:ascii="Arial" w:cs="Arial" w:eastAsia="Arial" w:hAnsi="Arial"/>
          <w:sz w:val="20"/>
          <w:szCs w:val="20"/>
          <w:color w:val="auto"/>
        </w:rPr>
        <w:t>Date:  February 22, 2023</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5490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Christopher Meyer</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Executive Vice President and Chief Financial Officer</w:t>
      </w:r>
    </w:p>
    <w:p>
      <w:pPr>
        <w:ind w:left="500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240"/>
          </w:cols>
          <w:pgMar w:left="320" w:top="36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1"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25, 2022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24" w:lineRule="exact"/>
        <w:rPr>
          <w:sz w:val="20"/>
          <w:szCs w:val="20"/>
          <w:color w:val="auto"/>
        </w:rPr>
      </w:pPr>
    </w:p>
    <w:p>
      <w:pPr>
        <w:ind w:left="640" w:hanging="308"/>
        <w:spacing w:after="0"/>
        <w:tabs>
          <w:tab w:leader="none" w:pos="6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58"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22, 2023</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19050</wp:posOffset>
            </wp:positionV>
            <wp:extent cx="401193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Chief Executive Officer</w:t>
      </w:r>
    </w:p>
    <w:p>
      <w:pPr>
        <w:ind w:left="4920"/>
        <w:spacing w:after="0"/>
        <w:rPr>
          <w:sz w:val="20"/>
          <w:szCs w:val="20"/>
          <w:color w:val="auto"/>
        </w:rPr>
      </w:pPr>
      <w:r>
        <w:rPr>
          <w:rFonts w:ascii="Arial" w:cs="Arial" w:eastAsia="Arial" w:hAnsi="Arial"/>
          <w:sz w:val="20"/>
          <w:szCs w:val="20"/>
          <w:color w:val="auto"/>
        </w:rPr>
        <w:t>(Principal Executive Officer)</w:t>
      </w:r>
    </w:p>
    <w:p>
      <w:pPr>
        <w:spacing w:after="0" w:line="32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1"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25, 2022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24" w:lineRule="exact"/>
        <w:rPr>
          <w:sz w:val="20"/>
          <w:szCs w:val="20"/>
          <w:color w:val="auto"/>
        </w:rPr>
      </w:pP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58"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22, 2023</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19050</wp:posOffset>
            </wp:positionV>
            <wp:extent cx="401193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Christopher Meyer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Executive Vice President and Chief Financial Officer</w:t>
      </w:r>
    </w:p>
    <w:p>
      <w:pPr>
        <w:ind w:left="4920"/>
        <w:spacing w:after="0"/>
        <w:rPr>
          <w:sz w:val="20"/>
          <w:szCs w:val="20"/>
          <w:color w:val="auto"/>
        </w:rPr>
      </w:pPr>
      <w:r>
        <w:rPr>
          <w:rFonts w:ascii="Arial" w:cs="Arial" w:eastAsia="Arial" w:hAnsi="Arial"/>
          <w:sz w:val="20"/>
          <w:szCs w:val="20"/>
          <w:color w:val="auto"/>
        </w:rPr>
        <w:t>(Principal Financial Officer)</w:t>
      </w:r>
    </w:p>
    <w:p>
      <w:pPr>
        <w:spacing w:after="0" w:line="32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lowerRoman"/>
      <w:start w:val="1"/>
    </w:lvl>
  </w:abstractNum>
  <w:abstractNum w:abstractNumId="3">
    <w:nsid w:val="75C6C33A"/>
    <w:multiLevelType w:val="hybridMultilevel"/>
    <w:lvl w:ilvl="0">
      <w:lvlJc w:val="left"/>
      <w:lvlText w:val="(%1)"/>
      <w:numFmt w:val="lowerRoman"/>
      <w:start w:val="9"/>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lvl w:ilvl="1">
      <w:lvlJc w:val="left"/>
      <w:lvlText w:val="(%2)"/>
      <w:numFmt w:val="lowerRoman"/>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2"/>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decimal"/>
      <w:start w:val="5"/>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6"/>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7"/>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9"/>
    </w:lvl>
  </w:abstractNum>
  <w:abstractNum w:abstractNumId="66">
    <w:nsid w:val="71EA1109"/>
    <w:multiLevelType w:val="hybridMultilevel"/>
    <w:lvl w:ilvl="0">
      <w:lvlJc w:val="left"/>
      <w:lvlText w:val="%1."/>
      <w:numFmt w:val="decimal"/>
      <w:start w:val="10"/>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decimal"/>
      <w:start w:val="12"/>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3"/>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lowerRoman"/>
      <w:start w:val="2"/>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16"/>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decimal"/>
      <w:start w:val="17"/>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19"/>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decimal"/>
      <w:start w:val="2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lowerRoman"/>
      <w:start w:val="1"/>
    </w:lvl>
  </w:abstractNum>
  <w:abstractNum w:abstractNumId="91">
    <w:nsid w:val="7055A5F5"/>
    <w:multiLevelType w:val="hybridMultilevel"/>
    <w:lvl w:ilvl="0">
      <w:lvlJc w:val="left"/>
      <w:lvlText w:val="(%1)"/>
      <w:numFmt w:val="decimal"/>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8"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81"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140" Type="http://schemas.openxmlformats.org/officeDocument/2006/relationships/hyperlink" Target="http://www.sec.gov/Archives/edgar/data/1546417/000154641722000038/blmn-042022_ex31.htm" TargetMode="External"/><Relationship Id="rId141" Type="http://schemas.openxmlformats.org/officeDocument/2006/relationships/hyperlink" Target="http://www.sec.gov/Archives/edgar/data/1546417/000154641718000142/ex31-thirdamendedandrestat.htm" TargetMode="External"/><Relationship Id="rId142" Type="http://schemas.openxmlformats.org/officeDocument/2006/relationships/hyperlink" Target="http://www.sec.gov/Archives/edgar/data/1546417/000119312512306157/d319863dex41.htm" TargetMode="External"/><Relationship Id="rId143" Type="http://schemas.openxmlformats.org/officeDocument/2006/relationships/hyperlink" Target="http://www.sec.gov/Archives/edgar/data/1546417/000154641720000032/blmn-122919_ex42.htm" TargetMode="External"/><Relationship Id="rId144" Type="http://schemas.openxmlformats.org/officeDocument/2006/relationships/hyperlink" Target="http://www.sec.gov/Archives/edgar/data/1546417/000119312520139247/d905014dex41.htm" TargetMode="External"/><Relationship Id="rId145" Type="http://schemas.openxmlformats.org/officeDocument/2006/relationships/hyperlink" Target="http://www.sec.gov/Archives/edgar/data/1546417/000119312521122784/d138233dex41.htm" TargetMode="External"/><Relationship Id="rId146" Type="http://schemas.openxmlformats.org/officeDocument/2006/relationships/hyperlink" Target="http://www.sec.gov/Archives/edgar/data/1546417/000119312521122784/d138233dex41.htm#tx138233_100" TargetMode="External"/><Relationship Id="rId147" Type="http://schemas.openxmlformats.org/officeDocument/2006/relationships/hyperlink" Target="http://www.sec.gov/Archives/edgar/data/1546417/000119312521122784/d138233dex101.htm" TargetMode="External"/><Relationship Id="rId149" Type="http://schemas.openxmlformats.org/officeDocument/2006/relationships/hyperlink" Target="http://www.sec.gov/Archives/edgar/data/1546417/000119312522130055/d142506dex101.htm" TargetMode="External"/><Relationship Id="rId150" Type="http://schemas.openxmlformats.org/officeDocument/2006/relationships/hyperlink" Target="http://www.sec.gov/Archives/edgar/data/1546417/000154641721000089/blmn-62721_ex102.htm" TargetMode="External"/><Relationship Id="rId151" Type="http://schemas.openxmlformats.org/officeDocument/2006/relationships/hyperlink" Target="http://www.sec.gov/Archives/edgar/data/1546417/000119312512153440/d319863dex108.htm" TargetMode="External"/><Relationship Id="rId152" Type="http://schemas.openxmlformats.org/officeDocument/2006/relationships/hyperlink" Target="http://www.sec.gov/Archives/edgar/data/1546417/000119312512153440/d319863dex1046.htm" TargetMode="External"/><Relationship Id="rId153" Type="http://schemas.openxmlformats.org/officeDocument/2006/relationships/hyperlink" Target="http://www.sec.gov/Archives/edgar/data/1546417/000119312512306157/d319863dex102.htm" TargetMode="External"/><Relationship Id="rId154" Type="http://schemas.openxmlformats.org/officeDocument/2006/relationships/hyperlink" Target="http://www.sec.gov/Archives/edgar/data/1546417/000154641712000034/exhibit102-formofnonqualif.htm" TargetMode="External"/><Relationship Id="rId155" Type="http://schemas.openxmlformats.org/officeDocument/2006/relationships/hyperlink" Target="http://www.sec.gov/Archives/edgar/data/1546417/000154641712000034/exhibit103-formofrestricte.htm" TargetMode="External"/><Relationship Id="rId156" Type="http://schemas.openxmlformats.org/officeDocument/2006/relationships/hyperlink" Target="http://www.sec.gov/Archives/edgar/data/1546417/000154641712000034/exhibit104-formofrestricte.htm" TargetMode="External"/><Relationship Id="rId157" Type="http://schemas.openxmlformats.org/officeDocument/2006/relationships/hyperlink" Target="http://www.sec.gov/Archives/edgar/data/1546417/000154641713000118/blmn-93013_ex101.htm" TargetMode="External"/><Relationship Id="rId158" Type="http://schemas.openxmlformats.org/officeDocument/2006/relationships/hyperlink" Target="http://www.sec.gov/Archives/edgar/data/1546417/000154641713000118/blmn-93013_ex102.htm" TargetMode="External"/><Relationship Id="rId159" Type="http://schemas.openxmlformats.org/officeDocument/2006/relationships/hyperlink" Target="http://www.sec.gov/Archives/edgar/data/1546417/000154641712000034/exhibit105-formofperforman.htm" TargetMode="External"/><Relationship Id="rId160" Type="http://schemas.openxmlformats.org/officeDocument/2006/relationships/hyperlink" Target="http://www.sec.gov/Archives/edgar/data/1546417/000119312512306157/d319863dex1039.htm" TargetMode="External"/><Relationship Id="rId161" Type="http://schemas.openxmlformats.org/officeDocument/2006/relationships/hyperlink" Target="http://www.sec.gov/Archives/edgar/data/1546417/000119312516500868/d94759ddef14a.htm" TargetMode="External"/><Relationship Id="rId162" Type="http://schemas.openxmlformats.org/officeDocument/2006/relationships/hyperlink" Target="http://www.sec.gov/Archives/edgar/data/1546417/000154641716000179/blmn-62616_ex102.htm" TargetMode="External"/><Relationship Id="rId165" Type="http://schemas.openxmlformats.org/officeDocument/2006/relationships/hyperlink" Target="http://www.sec.gov/Archives/edgar/data/1546417/000154641716000179/blmn-62616_ex103.htm" TargetMode="External"/><Relationship Id="rId166" Type="http://schemas.openxmlformats.org/officeDocument/2006/relationships/hyperlink" Target="http://www.sec.gov/Archives/edgar/data/1546417/000154641716000179/blmn-62616_ex104.htm" TargetMode="External"/><Relationship Id="rId167" Type="http://schemas.openxmlformats.org/officeDocument/2006/relationships/hyperlink" Target="http://www.sec.gov/Archives/edgar/data/1546417/000154641716000179/blmn-62616_ex105.htm" TargetMode="External"/><Relationship Id="rId168" Type="http://schemas.openxmlformats.org/officeDocument/2006/relationships/hyperlink" Target="http://www.sec.gov/Archives/edgar/data/1546417/000154641717000056/blmn-032617_ex101.htm" TargetMode="External"/><Relationship Id="rId169" Type="http://schemas.openxmlformats.org/officeDocument/2006/relationships/hyperlink" Target="http://www.sec.gov/Archives/edgar/data/1546417/000154641720000056/blmn-122919_proxystatement.htm" TargetMode="External"/><Relationship Id="rId170" Type="http://schemas.openxmlformats.org/officeDocument/2006/relationships/hyperlink" Target="http://www.sec.gov/Archives/edgar/data/1546417/000154641720000070/blmn-52920ex102.htm" TargetMode="External"/><Relationship Id="rId171" Type="http://schemas.openxmlformats.org/officeDocument/2006/relationships/hyperlink" Target="http://www.sec.gov/Archives/edgar/data/1546417/000154641720000070/blmn-52920ex103.htm" TargetMode="External"/><Relationship Id="rId172" Type="http://schemas.openxmlformats.org/officeDocument/2006/relationships/hyperlink" Target="http://www.sec.gov/Archives/edgar/data/1546417/000154641720000070/blmn-52920ex104.htm" TargetMode="External"/><Relationship Id="rId173" Type="http://schemas.openxmlformats.org/officeDocument/2006/relationships/hyperlink" Target="http://www.sec.gov/Archives/edgar/data/1546417/000154641720000070/blmn-52920ex105.htm" TargetMode="External"/><Relationship Id="rId174" Type="http://schemas.openxmlformats.org/officeDocument/2006/relationships/hyperlink" Target="http://www.sec.gov/Archives/edgar/data/1546417/000154641720000070/blmn-52920ex106.htm" TargetMode="External"/><Relationship Id="rId175" Type="http://schemas.openxmlformats.org/officeDocument/2006/relationships/hyperlink" Target="http://www.sec.gov/Archives/edgar/data/1546417/000154641721000023/blmn-122720_ex1048.htm" TargetMode="External"/><Relationship Id="rId176" Type="http://schemas.openxmlformats.org/officeDocument/2006/relationships/hyperlink" Target="http://www.sec.gov/Archives/edgar/data/1546417/000154641721000023/blmn-122720_ex1049.htm" TargetMode="External"/><Relationship Id="rId177" Type="http://schemas.openxmlformats.org/officeDocument/2006/relationships/hyperlink" Target="http://www.sec.gov/Archives/edgar/data/1546417/000154641721000023/blmn-122720_ex1050.htm" TargetMode="External"/><Relationship Id="rId178" Type="http://schemas.openxmlformats.org/officeDocument/2006/relationships/hyperlink" Target="http://www.sec.gov/Archives/edgar/data/1546417/000154641712000034/exhibit101-executivechange.htm" TargetMode="External"/><Relationship Id="rId179" Type="http://schemas.openxmlformats.org/officeDocument/2006/relationships/hyperlink" Target="http://www.sec.gov/Archives/edgar/data/1546417/000154641719000068/blmn-33119_ex102.htm" TargetMode="External"/><Relationship Id="rId180" Type="http://schemas.openxmlformats.org/officeDocument/2006/relationships/hyperlink" Target="http://www.sec.gov/Archives/edgar/data/1546417/000154641719000068/blmn-33119_ex103.htm" TargetMode="External"/><Relationship Id="rId182" Type="http://schemas.openxmlformats.org/officeDocument/2006/relationships/hyperlink" Target="http://www.sec.gov/Archives/edgar/data/1546417/000154641719000068/blmn-33119_ex104.htm" TargetMode="External"/><Relationship Id="rId183" Type="http://schemas.openxmlformats.org/officeDocument/2006/relationships/hyperlink" Target="http://www.sec.gov/Archives/edgar/data/1546417/000154641719000084/blmn-63019ex104.htm" TargetMode="External"/><Relationship Id="rId184" Type="http://schemas.openxmlformats.org/officeDocument/2006/relationships/hyperlink" Target="http://www.sec.gov/Archives/edgar/data/1546417/000154641720000032/blmn-122919ex1039.htm" TargetMode="External"/><Relationship Id="rId185" Type="http://schemas.openxmlformats.org/officeDocument/2006/relationships/hyperlink" Target="http://www.sec.gov/Archives/edgar/data/1546417/000154641720000032/blmn-122919ex1040.htm" TargetMode="External"/><Relationship Id="rId186" Type="http://schemas.openxmlformats.org/officeDocument/2006/relationships/hyperlink" Target="http://www.sec.gov/Archives/edgar/data/1546417/000154641720000067/blmn-32920ex104.htm" TargetMode="External"/><Relationship Id="rId187" Type="http://schemas.openxmlformats.org/officeDocument/2006/relationships/hyperlink" Target="http://www.sec.gov/Archives/edgar/data/1546417/000154641722000006/blmn-122621_ex1048.htm" TargetMode="External"/><Relationship Id="rId188" Type="http://schemas.openxmlformats.org/officeDocument/2006/relationships/hyperlink" Target="http://www.sec.gov/Archives/edgar/data/1546417/000154641722000006/blmn-122621_ex1047.htm" TargetMode="External"/><Relationship Id="rId189" Type="http://schemas.openxmlformats.org/officeDocument/2006/relationships/hyperlink" Target="https://www.sec.gov/Archives/edgar/data/1546417/000154641722000096/blmn-092522_ex101.htm" TargetMode="External"/><Relationship Id="rId190" Type="http://schemas.openxmlformats.org/officeDocument/2006/relationships/hyperlink" Target="http://www.sec.gov/Archives/edgar/data/1546417/000119312520139247/d905014dex101.htm" TargetMode="External"/><Relationship Id="rId191" Type="http://schemas.openxmlformats.org/officeDocument/2006/relationships/hyperlink" Target="http://www.sec.gov/Archives/edgar/data/1546417/000119312520139247/d905014dex102.htm" TargetMode="External"/><Relationship Id="rId192" Type="http://schemas.openxmlformats.org/officeDocument/2006/relationships/hyperlink" Target="http://www.sec.gov/Archives/edgar/data/1546417/000154641722000064/ex101-formofexchange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2023-02-22T15:46:11Z</dcterms:created>
  <dcterms:modified xsi:type="dcterms:W3CDTF">2023-02-22T15:46:11Z</dcterms:modified>
</cp:coreProperties>
</file>