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740410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688975</wp:posOffset>
            </wp:positionV>
            <wp:extent cx="70891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342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May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179705</wp:posOffset>
            </wp:positionV>
            <wp:extent cx="865505" cy="1379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69" w:lineRule="exact"/>
        <w:rPr>
          <w:sz w:val="24"/>
          <w:szCs w:val="24"/>
          <w:color w:val="auto"/>
        </w:rPr>
      </w:pPr>
    </w:p>
    <w:tbl>
      <w:tblPr>
        <w:tblLayout w:type="fixed"/>
        <w:tblInd w:w="1200" w:type="dxa"/>
        <w:tblCellMar>
          <w:top w:w="0" w:type="dxa"/>
          <w:left w:w="0" w:type="dxa"/>
          <w:bottom w:w="0" w:type="dxa"/>
          <w:right w:w="0" w:type="dxa"/>
        </w:tblCellMar>
      </w:tblPr>
      <w:tr>
        <w:trPr>
          <w:trHeight w:val="244"/>
        </w:trPr>
        <w:tc>
          <w:tcPr>
            <w:tcW w:w="2340" w:type="dxa"/>
            <w:vAlign w:val="bottom"/>
          </w:tcPr>
          <w:p>
            <w:pPr>
              <w:spacing w:after="0"/>
              <w:rPr>
                <w:sz w:val="21"/>
                <w:szCs w:val="21"/>
                <w:color w:val="auto"/>
              </w:rPr>
            </w:pPr>
          </w:p>
        </w:tc>
        <w:tc>
          <w:tcPr>
            <w:tcW w:w="438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8"/>
              </w:rPr>
              <w:t>(Exact name of registrant as specified in its charter)</w:t>
            </w:r>
          </w:p>
        </w:tc>
        <w:tc>
          <w:tcPr>
            <w:tcW w:w="1720" w:type="dxa"/>
            <w:vAlign w:val="bottom"/>
          </w:tcPr>
          <w:p>
            <w:pPr>
              <w:spacing w:after="0"/>
              <w:rPr>
                <w:sz w:val="21"/>
                <w:szCs w:val="21"/>
                <w:color w:val="auto"/>
              </w:rPr>
            </w:pPr>
          </w:p>
        </w:tc>
      </w:tr>
      <w:tr>
        <w:trPr>
          <w:trHeight w:val="260"/>
        </w:trPr>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380" w:type="dxa"/>
            <w:vAlign w:val="bottom"/>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9"/>
              </w:rPr>
              <w:t>001-35625</w:t>
            </w:r>
          </w:p>
        </w:tc>
        <w:tc>
          <w:tcPr>
            <w:tcW w:w="1720" w:type="dxa"/>
            <w:vAlign w:val="bottom"/>
          </w:tcPr>
          <w:p>
            <w:pPr>
              <w:jc w:val="center"/>
              <w:ind w:left="141"/>
              <w:spacing w:after="0"/>
              <w:rPr>
                <w:sz w:val="20"/>
                <w:szCs w:val="20"/>
                <w:color w:val="auto"/>
              </w:rPr>
            </w:pPr>
            <w:r>
              <w:rPr>
                <w:rFonts w:ascii="Times New Roman" w:cs="Times New Roman" w:eastAsia="Times New Roman" w:hAnsi="Times New Roman"/>
                <w:sz w:val="20"/>
                <w:szCs w:val="20"/>
                <w:b w:val="1"/>
                <w:bCs w:val="1"/>
                <w:color w:val="auto"/>
                <w:w w:val="99"/>
              </w:rPr>
              <w:t>20-8023465</w:t>
            </w:r>
          </w:p>
        </w:tc>
      </w:tr>
      <w:tr>
        <w:trPr>
          <w:trHeight w:val="202"/>
        </w:trPr>
        <w:tc>
          <w:tcPr>
            <w:tcW w:w="234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(State or other jurisdiction of</w:t>
            </w:r>
          </w:p>
        </w:tc>
        <w:tc>
          <w:tcPr>
            <w:tcW w:w="4380" w:type="dxa"/>
            <w:vAlign w:val="bottom"/>
          </w:tcPr>
          <w:p>
            <w:pPr>
              <w:jc w:val="center"/>
              <w:ind w:right="121"/>
              <w:spacing w:after="0" w:line="203" w:lineRule="exact"/>
              <w:rPr>
                <w:sz w:val="20"/>
                <w:szCs w:val="20"/>
                <w:color w:val="auto"/>
              </w:rPr>
            </w:pPr>
            <w:r>
              <w:rPr>
                <w:rFonts w:ascii="Times New Roman" w:cs="Times New Roman" w:eastAsia="Times New Roman" w:hAnsi="Times New Roman"/>
                <w:sz w:val="20"/>
                <w:szCs w:val="20"/>
                <w:color w:val="auto"/>
                <w:w w:val="99"/>
              </w:rPr>
              <w:t>(Commission File Number)</w:t>
            </w:r>
          </w:p>
        </w:tc>
        <w:tc>
          <w:tcPr>
            <w:tcW w:w="1720" w:type="dxa"/>
            <w:vAlign w:val="bottom"/>
          </w:tcPr>
          <w:p>
            <w:pPr>
              <w:jc w:val="center"/>
              <w:ind w:left="141"/>
              <w:spacing w:after="0" w:line="203"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incorporation)</w:t>
            </w:r>
          </w:p>
        </w:tc>
        <w:tc>
          <w:tcPr>
            <w:tcW w:w="4380" w:type="dxa"/>
            <w:vAlign w:val="bottom"/>
          </w:tcPr>
          <w:p>
            <w:pPr>
              <w:spacing w:after="0"/>
              <w:rPr>
                <w:sz w:val="22"/>
                <w:szCs w:val="22"/>
                <w:color w:val="auto"/>
              </w:rPr>
            </w:pPr>
          </w:p>
        </w:tc>
        <w:tc>
          <w:tcPr>
            <w:tcW w:w="1720" w:type="dxa"/>
            <w:vAlign w:val="bottom"/>
          </w:tcPr>
          <w:p>
            <w:pPr>
              <w:jc w:val="center"/>
              <w:ind w:left="141"/>
              <w:spacing w:after="0"/>
              <w:rPr>
                <w:sz w:val="20"/>
                <w:szCs w:val="20"/>
                <w:color w:val="auto"/>
              </w:rPr>
            </w:pPr>
            <w:r>
              <w:rPr>
                <w:rFonts w:ascii="Times New Roman" w:cs="Times New Roman" w:eastAsia="Times New Roman" w:hAnsi="Times New Roman"/>
                <w:sz w:val="20"/>
                <w:szCs w:val="20"/>
                <w:color w:val="auto"/>
                <w:w w:val="99"/>
              </w:rPr>
              <w:t>Identification No.)</w:t>
            </w:r>
          </w:p>
        </w:tc>
      </w:tr>
    </w:tbl>
    <w:p>
      <w:pPr>
        <w:spacing w:after="0" w:line="3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 xml:space="preserve">2202 North West Shore Boulevard, Suite 500, Tampa, </w:t>
      </w:r>
      <w:r>
        <w:rPr>
          <w:rFonts w:ascii="Times New Roman" w:cs="Times New Roman" w:eastAsia="Times New Roman" w:hAnsi="Times New Roman"/>
          <w:sz w:val="17"/>
          <w:szCs w:val="17"/>
          <w:b w:val="1"/>
          <w:bCs w:val="1"/>
          <w:color w:val="auto"/>
        </w:rPr>
        <w:t>FL</w:t>
      </w:r>
      <w:r>
        <w:rPr>
          <w:rFonts w:ascii="Times New Roman" w:cs="Times New Roman" w:eastAsia="Times New Roman" w:hAnsi="Times New Roman"/>
          <w:sz w:val="20"/>
          <w:szCs w:val="20"/>
          <w:b w:val="1"/>
          <w:bCs w:val="1"/>
          <w:color w:val="auto"/>
        </w:rPr>
        <w:t xml:space="preserve"> 33607</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7"/>
          <w:szCs w:val="17"/>
          <w:b w:val="1"/>
          <w:bCs w:val="1"/>
          <w:color w:val="auto"/>
        </w:rPr>
        <w:t>813</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b w:val="1"/>
          <w:bCs w:val="1"/>
          <w:color w:val="auto"/>
        </w:rPr>
        <w:t>282-1225</w:t>
      </w:r>
    </w:p>
    <w:p>
      <w:pPr>
        <w:spacing w:after="0" w:line="25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3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35"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13"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080"/>
          </w:cols>
          <w:pgMar w:left="320" w:top="1440" w:right="499" w:bottom="467" w:gutter="0" w:footer="0" w:header="0"/>
        </w:sectPr>
      </w:pPr>
    </w:p>
    <w:p>
      <w:pPr>
        <w:spacing w:after="0" w:line="154"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3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color w:val="auto"/>
        </w:rPr>
        <w:t>Trading Symbol(s)</w:t>
      </w:r>
    </w:p>
    <w:p>
      <w:pPr>
        <w:spacing w:after="0" w:line="3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160"/>
        <w:spacing w:after="0" w:line="263" w:lineRule="auto"/>
        <w:rPr>
          <w:sz w:val="20"/>
          <w:szCs w:val="20"/>
          <w:color w:val="auto"/>
        </w:rPr>
      </w:pPr>
      <w:r>
        <w:rPr>
          <w:rFonts w:ascii="Times New Roman" w:cs="Times New Roman" w:eastAsia="Times New Roman" w:hAnsi="Times New Roman"/>
          <w:sz w:val="16"/>
          <w:szCs w:val="16"/>
          <w:color w:val="auto"/>
        </w:rPr>
        <w:t xml:space="preserve">Name of each exchange on which registered </w:t>
      </w:r>
      <w:r>
        <w:rPr>
          <w:rFonts w:ascii="Times New Roman" w:cs="Times New Roman" w:eastAsia="Times New Roman" w:hAnsi="Times New Roman"/>
          <w:sz w:val="16"/>
          <w:szCs w:val="16"/>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4580" w:space="720"/>
            <w:col w:w="2040" w:space="720"/>
            <w:col w:w="3020"/>
          </w:cols>
          <w:pgMar w:left="320" w:top="1440" w:right="499" w:bottom="467" w:gutter="0" w:footer="0" w:header="0"/>
          <w:type w:val="continuous"/>
        </w:sectPr>
      </w:pPr>
    </w:p>
    <w:p>
      <w:pPr>
        <w:spacing w:after="0" w:line="17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317"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55245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1440" w:right="499" w:bottom="467"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May 7, 2025, Bloomin’ Brands, Inc. issued a press release reporting its financial results for the thirteen weeks ended March 30, 2025. A copy of the release is attached as Exhibit 99.1.</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information in Item 2.02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9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9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40" w:type="dxa"/>
            <w:vAlign w:val="bottom"/>
          </w:tcPr>
          <w:p>
            <w:pPr>
              <w:spacing w:after="0"/>
              <w:rPr>
                <w:sz w:val="18"/>
                <w:szCs w:val="18"/>
                <w:color w:val="auto"/>
              </w:rPr>
            </w:pPr>
          </w:p>
        </w:tc>
        <w:tc>
          <w:tcPr>
            <w:tcW w:w="228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Exhibit</w:t>
            </w:r>
          </w:p>
        </w:tc>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6"/>
              </w:rPr>
              <w:t>Description</w:t>
            </w:r>
          </w:p>
        </w:tc>
        <w:tc>
          <w:tcPr>
            <w:tcW w:w="750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660" w:type="dxa"/>
            <w:vAlign w:val="bottom"/>
            <w:tcBorders>
              <w:bottom w:val="single" w:sz="8" w:color="auto"/>
            </w:tcBorders>
          </w:tcPr>
          <w:p>
            <w:pPr>
              <w:spacing w:after="0" w:line="212" w:lineRule="exact"/>
              <w:rPr>
                <w:sz w:val="20"/>
                <w:szCs w:val="20"/>
                <w:color w:val="auto"/>
              </w:rPr>
            </w:pPr>
            <w:r>
              <w:rPr>
                <w:rFonts w:ascii="Times New Roman" w:cs="Times New Roman" w:eastAsia="Times New Roman" w:hAnsi="Times New Roman"/>
                <w:sz w:val="20"/>
                <w:szCs w:val="20"/>
                <w:color w:val="auto"/>
                <w:w w:val="97"/>
              </w:rPr>
              <w:t>Number</w:t>
            </w:r>
          </w:p>
        </w:tc>
        <w:tc>
          <w:tcPr>
            <w:tcW w:w="162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7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0" w:type="dxa"/>
            <w:vAlign w:val="bottom"/>
            <w:gridSpan w:val="2"/>
          </w:tcPr>
          <w:p>
            <w:pPr>
              <w:ind w:left="540"/>
              <w:spacing w:after="0" w:line="223" w:lineRule="exact"/>
              <w:rPr>
                <w:sz w:val="20"/>
                <w:szCs w:val="20"/>
                <w:color w:val="auto"/>
              </w:rPr>
            </w:pPr>
            <w:r>
              <w:rPr>
                <w:rFonts w:ascii="Times New Roman" w:cs="Times New Roman" w:eastAsia="Times New Roman" w:hAnsi="Times New Roman"/>
                <w:sz w:val="20"/>
                <w:szCs w:val="20"/>
                <w:color w:val="auto"/>
              </w:rPr>
              <w:t>99.1</w:t>
            </w:r>
          </w:p>
        </w:tc>
        <w:tc>
          <w:tcPr>
            <w:tcW w:w="1620" w:type="dxa"/>
            <w:vAlign w:val="bottom"/>
          </w:tcPr>
          <w:p>
            <w:pPr>
              <w:spacing w:after="0"/>
              <w:rPr>
                <w:sz w:val="19"/>
                <w:szCs w:val="19"/>
                <w:color w:val="auto"/>
              </w:rPr>
            </w:pPr>
          </w:p>
        </w:tc>
        <w:tc>
          <w:tcPr>
            <w:tcW w:w="842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0000FF"/>
              </w:rPr>
              <w:t>Press Release of Bloomin’ Brands, Inc. dated May 7, 2025</w:t>
            </w: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2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104</w:t>
            </w:r>
          </w:p>
        </w:tc>
        <w:tc>
          <w:tcPr>
            <w:tcW w:w="162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1270"/>
        </w:trPr>
        <w:tc>
          <w:tcPr>
            <w:tcW w:w="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3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200"/>
        <w:spacing w:after="0"/>
        <w:tabs>
          <w:tab w:leader="none" w:pos="5160" w:val="left"/>
          <w:tab w:leader="none" w:pos="5640" w:val="left"/>
        </w:tabs>
        <w:rPr>
          <w:sz w:val="20"/>
          <w:szCs w:val="20"/>
          <w:color w:val="auto"/>
        </w:rPr>
      </w:pPr>
      <w:r>
        <w:rPr>
          <w:rFonts w:ascii="Times New Roman" w:cs="Times New Roman" w:eastAsia="Times New Roman" w:hAnsi="Times New Roman"/>
          <w:sz w:val="20"/>
          <w:szCs w:val="20"/>
          <w:color w:val="auto"/>
        </w:rPr>
        <w:t>Date: May 7,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W. Michael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22860</wp:posOffset>
            </wp:positionV>
            <wp:extent cx="34632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W. Michael Healy</w:t>
      </w:r>
    </w:p>
    <w:p>
      <w:pPr>
        <w:spacing w:after="0" w:line="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ind w:left="566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1900" w:h="16838" w:orient="portrait"/>
          <w:cols w:equalWidth="0" w:num="1">
            <w:col w:w="11080"/>
          </w:cols>
          <w:pgMar w:left="320" w:top="923" w:right="499" w:bottom="1440" w:gutter="0" w:footer="0" w:header="0"/>
        </w:sectPr>
      </w:pPr>
    </w:p>
    <w:bookmarkStart w:id="4" w:name="page5"/>
    <w:bookmarkEnd w:id="4"/>
    <w:p>
      <w:pPr>
        <w:ind w:left="1560"/>
        <w:spacing w:after="0"/>
        <w:rPr>
          <w:sz w:val="20"/>
          <w:szCs w:val="20"/>
          <w:color w:val="auto"/>
        </w:rPr>
      </w:pPr>
      <w:r>
        <w:rPr>
          <w:rFonts w:ascii="Times New Roman" w:cs="Times New Roman" w:eastAsia="Times New Roman" w:hAnsi="Times New Roman"/>
          <w:sz w:val="75"/>
          <w:szCs w:val="75"/>
          <w:color w:val="auto"/>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-467360</wp:posOffset>
            </wp:positionV>
            <wp:extent cx="617220" cy="994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 cy="994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703" w:lineRule="exact"/>
        <w:rPr>
          <w:sz w:val="20"/>
          <w:szCs w:val="20"/>
          <w:color w:val="auto"/>
        </w:rPr>
      </w:pPr>
    </w:p>
    <w:p>
      <w:pPr>
        <w:sectPr>
          <w:pgSz w:w="11900" w:h="16838" w:orient="portrait"/>
          <w:cols w:equalWidth="0" w:num="2">
            <w:col w:w="9420" w:space="720"/>
            <w:col w:w="1100"/>
          </w:cols>
          <w:pgMar w:left="320" w:top="838" w:right="339" w:bottom="1440" w:gutter="0" w:footer="0" w:header="0"/>
        </w:sectPr>
      </w:pPr>
    </w:p>
    <w:p>
      <w:pPr>
        <w:ind w:left="1560"/>
        <w:spacing w:after="0"/>
        <w:rPr>
          <w:sz w:val="20"/>
          <w:szCs w:val="20"/>
          <w:color w:val="auto"/>
        </w:rPr>
      </w:pPr>
      <w:r>
        <w:rPr>
          <w:rFonts w:ascii="Times New Roman" w:cs="Times New Roman" w:eastAsia="Times New Roman" w:hAnsi="Times New Roman"/>
          <w:sz w:val="20"/>
          <w:szCs w:val="20"/>
          <w:color w:val="auto"/>
        </w:rPr>
        <w:t>Tara Kurian</w:t>
      </w:r>
    </w:p>
    <w:p>
      <w:pPr>
        <w:spacing w:after="0" w:line="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VP, Corporate Finance and Investor Relations</w:t>
      </w:r>
    </w:p>
    <w:p>
      <w:pPr>
        <w:spacing w:after="0" w:line="4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(813) 830-5311</w:t>
      </w:r>
    </w:p>
    <w:p>
      <w:pPr>
        <w:spacing w:after="0" w:line="34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Bloomin’ Brands Announces 2025 Q1 Financial Results</w:t>
      </w:r>
    </w:p>
    <w:p>
      <w:pPr>
        <w:spacing w:after="0" w:line="2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Q1 Diluted EPS of $0.50 and Q1 Adjusted Diluted EPS of $0.59</w:t>
      </w:r>
    </w:p>
    <w:p>
      <w:pPr>
        <w:spacing w:after="0" w:line="200" w:lineRule="exact"/>
        <w:rPr>
          <w:sz w:val="20"/>
          <w:szCs w:val="20"/>
          <w:color w:val="auto"/>
        </w:rPr>
      </w:pPr>
    </w:p>
    <w:p>
      <w:pPr>
        <w:spacing w:after="0" w:line="26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TAMPA, Fla., May 7, 2025 </w:t>
      </w:r>
      <w:r>
        <w:rPr>
          <w:rFonts w:ascii="Times New Roman" w:cs="Times New Roman" w:eastAsia="Times New Roman" w:hAnsi="Times New Roman"/>
          <w:sz w:val="20"/>
          <w:szCs w:val="20"/>
          <w:color w:val="auto"/>
        </w:rPr>
        <w:t>- Bloomin’ Brands, Inc. (Nasdaq: BLMN) today reported results for the first quarter 2025 (“Q1 2025”)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the first quarter 2024 (“Q1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CEO Comments</w:t>
      </w:r>
    </w:p>
    <w:p>
      <w:pPr>
        <w:spacing w:after="0" w:line="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continue to make progress on our operating priorities to simplify the business and consistently deliver a great guest experience while balancing our longer-term priorities to turnaround Outback and drive sustainable sales and profit growth,” said Mike Spanos, CEO. “We are navigating a choppy macro environment and are leaning in to our abundant everyday value offerings. This is reflected in our current guidance.”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Diluted EPS and Adjusted Diluted EPS</w:t>
      </w:r>
    </w:p>
    <w:p>
      <w:pPr>
        <w:spacing w:after="0" w:line="7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reconciles Diluted earnings (loss) per share from continuing operations to Adjusted diluted earnings per share from continuing operations for the periods indicated (unaudited):</w:t>
      </w:r>
    </w:p>
    <w:p>
      <w:pPr>
        <w:spacing w:after="0" w:line="4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7940" w:type="dxa"/>
            <w:vAlign w:val="bottom"/>
            <w:tcBorders>
              <w:top w:val="single" w:sz="8" w:color="auto"/>
              <w:left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Q1</w:t>
            </w: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r>
      <w:tr>
        <w:trPr>
          <w:trHeight w:val="196"/>
        </w:trPr>
        <w:tc>
          <w:tcPr>
            <w:tcW w:w="7940" w:type="dxa"/>
            <w:vAlign w:val="bottom"/>
            <w:tcBorders>
              <w:left w:val="single" w:sz="8" w:color="auto"/>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79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ind w:left="281"/>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right w:val="single" w:sz="8" w:color="auto"/>
            </w:tcBorders>
            <w:shd w:val="clear" w:color="auto" w:fill="CCEEFF"/>
          </w:tcPr>
          <w:p>
            <w:pPr>
              <w:jc w:val="center"/>
              <w:ind w:left="401"/>
              <w:spacing w:after="0"/>
              <w:rPr>
                <w:sz w:val="20"/>
                <w:szCs w:val="20"/>
                <w:color w:val="auto"/>
              </w:rPr>
            </w:pPr>
            <w:r>
              <w:rPr>
                <w:rFonts w:ascii="Times New Roman" w:cs="Times New Roman" w:eastAsia="Times New Roman" w:hAnsi="Times New Roman"/>
                <w:sz w:val="16"/>
                <w:szCs w:val="16"/>
                <w:color w:val="auto"/>
                <w:w w:val="99"/>
              </w:rPr>
              <w:t>1.50</w:t>
            </w:r>
          </w:p>
        </w:tc>
      </w:tr>
      <w:tr>
        <w:trPr>
          <w:trHeight w:val="223"/>
        </w:trPr>
        <w:tc>
          <w:tcPr>
            <w:tcW w:w="7940" w:type="dxa"/>
            <w:vAlign w:val="bottom"/>
            <w:tcBorders>
              <w:left w:val="single" w:sz="8" w:color="auto"/>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Adjustments (1)</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01"/>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ind w:left="361"/>
              <w:spacing w:after="0"/>
              <w:rPr>
                <w:sz w:val="20"/>
                <w:szCs w:val="20"/>
                <w:color w:val="auto"/>
              </w:rPr>
            </w:pPr>
            <w:r>
              <w:rPr>
                <w:rFonts w:ascii="Times New Roman" w:cs="Times New Roman" w:eastAsia="Times New Roman" w:hAnsi="Times New Roman"/>
                <w:sz w:val="16"/>
                <w:szCs w:val="16"/>
                <w:color w:val="auto"/>
              </w:rPr>
              <w:t>(1.55)</w:t>
            </w:r>
          </w:p>
        </w:tc>
      </w:tr>
      <w:tr>
        <w:trPr>
          <w:trHeight w:val="214"/>
        </w:trPr>
        <w:tc>
          <w:tcPr>
            <w:tcW w:w="794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diluted earnings per share (1)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0.59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center"/>
              <w:ind w:left="301"/>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right w:val="single" w:sz="8" w:color="auto"/>
            </w:tcBorders>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rPr>
              <w:t>(0.05)</w:t>
            </w:r>
          </w:p>
        </w:tc>
      </w:tr>
      <w:tr>
        <w:trPr>
          <w:trHeight w:val="82"/>
        </w:trPr>
        <w:tc>
          <w:tcPr>
            <w:tcW w:w="7940" w:type="dxa"/>
            <w:vAlign w:val="bottom"/>
            <w:tcBorders>
              <w:top w:val="single" w:sz="8" w:color="CCEEFF"/>
              <w:left w:val="single" w:sz="8" w:color="auto"/>
              <w:bottom w:val="single" w:sz="8" w:color="auto"/>
            </w:tcBorders>
          </w:tcPr>
          <w:p>
            <w:pPr>
              <w:spacing w:after="0"/>
              <w:rPr>
                <w:sz w:val="7"/>
                <w:szCs w:val="7"/>
                <w:color w:val="auto"/>
              </w:rPr>
            </w:pPr>
          </w:p>
        </w:tc>
        <w:tc>
          <w:tcPr>
            <w:tcW w:w="200" w:type="dxa"/>
            <w:vAlign w:val="bottom"/>
            <w:tcBorders>
              <w:top w:val="single" w:sz="8" w:color="CCEEFF"/>
              <w:bottom w:val="single" w:sz="8" w:color="auto"/>
            </w:tcBorders>
          </w:tcPr>
          <w:p>
            <w:pPr>
              <w:spacing w:after="0"/>
              <w:rPr>
                <w:sz w:val="7"/>
                <w:szCs w:val="7"/>
                <w:color w:val="auto"/>
              </w:rPr>
            </w:pPr>
          </w:p>
        </w:tc>
        <w:tc>
          <w:tcPr>
            <w:tcW w:w="720" w:type="dxa"/>
            <w:vAlign w:val="bottom"/>
            <w:tcBorders>
              <w:top w:val="single" w:sz="8" w:color="CCEEFF"/>
              <w:bottom w:val="single" w:sz="8" w:color="auto"/>
            </w:tcBorders>
          </w:tcPr>
          <w:p>
            <w:pPr>
              <w:spacing w:after="0"/>
              <w:rPr>
                <w:sz w:val="7"/>
                <w:szCs w:val="7"/>
                <w:color w:val="auto"/>
              </w:rPr>
            </w:pPr>
          </w:p>
        </w:tc>
        <w:tc>
          <w:tcPr>
            <w:tcW w:w="80" w:type="dxa"/>
            <w:vAlign w:val="bottom"/>
            <w:tcBorders>
              <w:top w:val="single" w:sz="8" w:color="CCEEFF"/>
              <w:bottom w:val="single" w:sz="8" w:color="auto"/>
            </w:tcBorders>
          </w:tcPr>
          <w:p>
            <w:pPr>
              <w:spacing w:after="0"/>
              <w:rPr>
                <w:sz w:val="7"/>
                <w:szCs w:val="7"/>
                <w:color w:val="auto"/>
              </w:rPr>
            </w:pPr>
          </w:p>
        </w:tc>
        <w:tc>
          <w:tcPr>
            <w:tcW w:w="260" w:type="dxa"/>
            <w:vAlign w:val="bottom"/>
            <w:tcBorders>
              <w:top w:val="single" w:sz="8" w:color="CCEEFF"/>
              <w:bottom w:val="single" w:sz="8" w:color="auto"/>
            </w:tcBorders>
          </w:tcPr>
          <w:p>
            <w:pPr>
              <w:spacing w:after="0"/>
              <w:rPr>
                <w:sz w:val="7"/>
                <w:szCs w:val="7"/>
                <w:color w:val="auto"/>
              </w:rPr>
            </w:pPr>
          </w:p>
        </w:tc>
        <w:tc>
          <w:tcPr>
            <w:tcW w:w="800" w:type="dxa"/>
            <w:vAlign w:val="bottom"/>
            <w:tcBorders>
              <w:top w:val="single" w:sz="8" w:color="CCEEFF"/>
              <w:bottom w:val="single" w:sz="8" w:color="auto"/>
            </w:tcBorders>
          </w:tcPr>
          <w:p>
            <w:pPr>
              <w:spacing w:after="0"/>
              <w:rPr>
                <w:sz w:val="7"/>
                <w:szCs w:val="7"/>
                <w:color w:val="auto"/>
              </w:rPr>
            </w:pPr>
          </w:p>
        </w:tc>
        <w:tc>
          <w:tcPr>
            <w:tcW w:w="100" w:type="dxa"/>
            <w:vAlign w:val="bottom"/>
            <w:tcBorders>
              <w:top w:val="single" w:sz="8" w:color="CCEEFF"/>
              <w:bottom w:val="single" w:sz="8" w:color="auto"/>
            </w:tcBorders>
          </w:tcPr>
          <w:p>
            <w:pPr>
              <w:spacing w:after="0"/>
              <w:rPr>
                <w:sz w:val="7"/>
                <w:szCs w:val="7"/>
                <w:color w:val="auto"/>
              </w:rPr>
            </w:pPr>
          </w:p>
        </w:tc>
        <w:tc>
          <w:tcPr>
            <w:tcW w:w="140" w:type="dxa"/>
            <w:vAlign w:val="bottom"/>
            <w:tcBorders>
              <w:top w:val="single" w:sz="8" w:color="CCEEFF"/>
              <w:bottom w:val="single" w:sz="8" w:color="auto"/>
            </w:tcBorders>
          </w:tcPr>
          <w:p>
            <w:pPr>
              <w:spacing w:after="0"/>
              <w:rPr>
                <w:sz w:val="7"/>
                <w:szCs w:val="7"/>
                <w:color w:val="auto"/>
              </w:rPr>
            </w:pPr>
          </w:p>
        </w:tc>
        <w:tc>
          <w:tcPr>
            <w:tcW w:w="920" w:type="dxa"/>
            <w:vAlign w:val="bottom"/>
            <w:tcBorders>
              <w:top w:val="single" w:sz="8" w:color="CCEEFF"/>
              <w:bottom w:val="single" w:sz="8" w:color="auto"/>
            </w:tcBorders>
          </w:tcPr>
          <w:p>
            <w:pPr>
              <w:spacing w:after="0"/>
              <w:rPr>
                <w:sz w:val="7"/>
                <w:szCs w:val="7"/>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13" w:lineRule="exact"/>
        <w:rPr>
          <w:sz w:val="20"/>
          <w:szCs w:val="20"/>
          <w:color w:val="auto"/>
        </w:rPr>
      </w:pPr>
    </w:p>
    <w:p>
      <w:pPr>
        <w:jc w:val="both"/>
        <w:ind w:left="660" w:hanging="652"/>
        <w:spacing w:after="0" w:line="256" w:lineRule="auto"/>
        <w:tabs>
          <w:tab w:leader="none" w:pos="660" w:val="left"/>
        </w:tabs>
        <w:numPr>
          <w:ilvl w:val="0"/>
          <w:numId w:val="2"/>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252525"/>
        </w:rPr>
        <w:t xml:space="preserve">Adjustments for Q1 2025 primarily include severance and other costs incurred as a result of transformational and restructuring initiatives. Adjustments for Q1 2024 primarily include losses in connection with the retirement of the $83.6 million of our outstanding convertible notes and charges in connection with the 2023 Restaurant Closures. </w:t>
      </w:r>
      <w:r>
        <w:rPr>
          <w:rFonts w:ascii="Times New Roman" w:cs="Times New Roman" w:eastAsia="Times New Roman" w:hAnsi="Times New Roman"/>
          <w:sz w:val="16"/>
          <w:szCs w:val="16"/>
          <w:color w:val="000000"/>
        </w:rPr>
        <w:t>See non-GAAP Measures later in this release. Also see Tables Four, Five and Six for details regarding the nature of diluted earnings (loss)</w:t>
      </w:r>
      <w:r>
        <w:rPr>
          <w:rFonts w:ascii="Times New Roman" w:cs="Times New Roman" w:eastAsia="Times New Roman" w:hAnsi="Times New Roman"/>
          <w:sz w:val="16"/>
          <w:szCs w:val="16"/>
          <w:color w:val="252525"/>
        </w:rPr>
        <w:t xml:space="preserve"> </w:t>
      </w:r>
      <w:r>
        <w:rPr>
          <w:rFonts w:ascii="Times New Roman" w:cs="Times New Roman" w:eastAsia="Times New Roman" w:hAnsi="Times New Roman"/>
          <w:sz w:val="16"/>
          <w:szCs w:val="16"/>
          <w:color w:val="000000"/>
        </w:rPr>
        <w:t>per share adjustments for the periods presented.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Financial Results from Continuing Operations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 unaudited)</w:t>
            </w:r>
          </w:p>
        </w:tc>
        <w:tc>
          <w:tcPr>
            <w:tcW w:w="26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Q1 2025</w:t>
            </w:r>
          </w:p>
        </w:tc>
        <w:tc>
          <w:tcPr>
            <w:tcW w:w="26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Q1 2024</w:t>
            </w:r>
          </w:p>
        </w:tc>
        <w:tc>
          <w:tcPr>
            <w:tcW w:w="13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1,049.6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1,069.1</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56"/>
        </w:trPr>
        <w:tc>
          <w:tcPr>
            <w:tcW w:w="7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operating income margin</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income margin (1)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59"/>
        </w:trPr>
        <w:tc>
          <w:tcPr>
            <w:tcW w:w="7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Restaurant-level operating margin (1)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restaurant-level operating margin (1)</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14" w:lineRule="exact"/>
        <w:rPr>
          <w:sz w:val="20"/>
          <w:szCs w:val="20"/>
          <w:color w:val="auto"/>
        </w:rPr>
      </w:pPr>
    </w:p>
    <w:p>
      <w:pPr>
        <w:ind w:left="660" w:right="20" w:hanging="652"/>
        <w:spacing w:after="0" w:line="273"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non-GAAP Measures later in this release. Also see Tables Four and Five for details regarding the nature of restaurant-level operating margin and operating income margin adjustments, respectively.</w:t>
      </w:r>
    </w:p>
    <w:p>
      <w:pPr>
        <w:spacing w:after="0" w:line="188" w:lineRule="exact"/>
        <w:rPr>
          <w:sz w:val="20"/>
          <w:szCs w:val="20"/>
          <w:color w:val="auto"/>
        </w:rPr>
      </w:pPr>
    </w:p>
    <w:p>
      <w:pPr>
        <w:ind w:left="340" w:right="20" w:hanging="332"/>
        <w:spacing w:after="0" w:line="28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decrease in Total revenues was primarily due to the net impact of restaurant closures and openings and a decrease in comparable restaurant sales.</w:t>
      </w:r>
    </w:p>
    <w:p>
      <w:pPr>
        <w:spacing w:after="0" w:line="173" w:lineRule="exact"/>
        <w:rPr>
          <w:rFonts w:ascii="Times New Roman" w:cs="Times New Roman" w:eastAsia="Times New Roman" w:hAnsi="Times New Roman"/>
          <w:sz w:val="20"/>
          <w:szCs w:val="20"/>
          <w:color w:val="auto"/>
        </w:rPr>
      </w:pPr>
    </w:p>
    <w:p>
      <w:pPr>
        <w:ind w:left="340" w:hanging="332"/>
        <w:spacing w:after="0"/>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operating income margin from continuing operations decreased from Q1 2024 primarily due to a decrease in restaurant-level operating margin, as detailed below, and severance and other costs incurred as a</w:t>
      </w:r>
    </w:p>
    <w:p>
      <w:pPr>
        <w:sectPr>
          <w:pgSz w:w="11900" w:h="16838" w:orient="portrait"/>
          <w:cols w:equalWidth="0" w:num="1">
            <w:col w:w="11240"/>
          </w:cols>
          <w:pgMar w:left="320" w:top="838" w:right="33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838" w:right="339" w:bottom="1440" w:gutter="0" w:footer="0" w:header="0"/>
          <w:type w:val="continuous"/>
        </w:sectPr>
      </w:pPr>
    </w:p>
    <w:bookmarkStart w:id="5" w:name="page6"/>
    <w:bookmarkEnd w:id="5"/>
    <w:p>
      <w:pPr>
        <w:ind w:left="340"/>
        <w:spacing w:after="0" w:line="255" w:lineRule="auto"/>
        <w:rPr>
          <w:sz w:val="20"/>
          <w:szCs w:val="20"/>
          <w:color w:val="auto"/>
        </w:rPr>
      </w:pPr>
      <w:r>
        <w:rPr>
          <w:rFonts w:ascii="Times New Roman" w:cs="Times New Roman" w:eastAsia="Times New Roman" w:hAnsi="Times New Roman"/>
          <w:sz w:val="20"/>
          <w:szCs w:val="20"/>
          <w:color w:val="auto"/>
        </w:rPr>
        <w:t>result of transformational and restructuring initiatives. These decreases were partially offset by Q1 2024 impairment and closure costs in connection with the Q1 2024 closure of 36 U.S. restaurants.</w:t>
      </w:r>
    </w:p>
    <w:p>
      <w:pPr>
        <w:spacing w:after="0" w:line="173" w:lineRule="exact"/>
        <w:rPr>
          <w:sz w:val="20"/>
          <w:szCs w:val="20"/>
          <w:color w:val="auto"/>
        </w:rPr>
      </w:pPr>
    </w:p>
    <w:p>
      <w:pPr>
        <w:jc w:val="both"/>
        <w:ind w:left="340" w:hanging="332"/>
        <w:spacing w:after="0" w:line="232" w:lineRule="auto"/>
        <w:tabs>
          <w:tab w:leader="none" w:pos="32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Restaurant-level operating margin from continuing operations decreased from Q1 2024 primarily due to: (i) lower revenues, as discussed above, (ii) higher operating, labor and commodity costs, primarily due to inflation, and (iii) unfavorable product cost mix. These decreases were partially offset by an increase in average check per person, primarily due to pricing, and the impact of certain cost-saving and productivity initiatives.</w:t>
      </w:r>
    </w:p>
    <w:p>
      <w:pPr>
        <w:spacing w:after="0" w:line="204" w:lineRule="exact"/>
        <w:rPr>
          <w:rFonts w:ascii="Times New Roman" w:cs="Times New Roman" w:eastAsia="Times New Roman" w:hAnsi="Times New Roman"/>
          <w:sz w:val="20"/>
          <w:szCs w:val="20"/>
          <w:color w:val="auto"/>
        </w:rPr>
      </w:pPr>
    </w:p>
    <w:p>
      <w:pPr>
        <w:jc w:val="both"/>
        <w:ind w:left="340" w:hanging="332"/>
        <w:spacing w:after="0"/>
        <w:tabs>
          <w:tab w:leader="none" w:pos="316" w:val="left"/>
        </w:tabs>
        <w:numPr>
          <w:ilvl w:val="0"/>
          <w:numId w:val="5"/>
        </w:numPr>
        <w:rPr>
          <w:rFonts w:ascii="Arial" w:cs="Arial" w:eastAsia="Arial" w:hAnsi="Arial"/>
          <w:sz w:val="16"/>
          <w:szCs w:val="16"/>
          <w:b w:val="1"/>
          <w:bCs w:val="1"/>
          <w:i w:val="1"/>
          <w:iCs w:val="1"/>
          <w:color w:val="auto"/>
        </w:rPr>
      </w:pPr>
      <w:r>
        <w:rPr>
          <w:rFonts w:ascii="Times New Roman" w:cs="Times New Roman" w:eastAsia="Times New Roman" w:hAnsi="Times New Roman"/>
          <w:sz w:val="20"/>
          <w:szCs w:val="20"/>
          <w:color w:val="auto"/>
        </w:rPr>
        <w:t>Adjusted income from continuing operations primarily excludes Q1 2024 impairment and closure costs in connection with the Q1 2024 closure of 36 U.S. restaurants, and severance and other costs incurred in Q1 2025 as a result of transformational and restructuring initiatives.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Comparable Restaurant Sales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THIRTEEN WEEKS ENDED MARCH 30, 2025</w:t>
            </w:r>
          </w:p>
        </w:tc>
        <w:tc>
          <w:tcPr>
            <w:tcW w:w="24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COMPANY-OWNED</w:t>
            </w:r>
          </w:p>
        </w:tc>
      </w:tr>
      <w:tr>
        <w:trPr>
          <w:trHeight w:val="30"/>
        </w:trPr>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Comparable restaurant sales (stores open 18 months or more):</w:t>
            </w:r>
          </w:p>
        </w:tc>
        <w:tc>
          <w:tcPr>
            <w:tcW w:w="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7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w:t>
            </w:r>
          </w:p>
        </w:tc>
        <w:tc>
          <w:tcPr>
            <w:tcW w:w="24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Outback Steakhouse</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20" w:type="dxa"/>
            <w:vAlign w:val="bottom"/>
          </w:tcPr>
          <w:p>
            <w:pPr>
              <w:spacing w:after="0"/>
              <w:rPr>
                <w:sz w:val="18"/>
                <w:szCs w:val="18"/>
                <w:color w:val="auto"/>
              </w:rPr>
            </w:pP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Carrabba’s Italian Grill</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9"/>
        </w:trPr>
        <w:tc>
          <w:tcPr>
            <w:tcW w:w="20" w:type="dxa"/>
            <w:vAlign w:val="bottom"/>
            <w:shd w:val="clear" w:color="auto" w:fill="CCEEFF"/>
          </w:tcPr>
          <w:p>
            <w:pPr>
              <w:spacing w:after="0"/>
              <w:rPr>
                <w:sz w:val="19"/>
                <w:szCs w:val="19"/>
                <w:color w:val="auto"/>
              </w:rPr>
            </w:pPr>
          </w:p>
        </w:tc>
        <w:tc>
          <w:tcPr>
            <w:tcW w:w="8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Bonefish Grill</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3"/>
        </w:trPr>
        <w:tc>
          <w:tcPr>
            <w:tcW w:w="20" w:type="dxa"/>
            <w:vAlign w:val="bottom"/>
          </w:tcPr>
          <w:p>
            <w:pPr>
              <w:spacing w:after="0"/>
              <w:rPr>
                <w:sz w:val="18"/>
                <w:szCs w:val="18"/>
                <w:color w:val="auto"/>
              </w:rPr>
            </w:pPr>
          </w:p>
        </w:tc>
        <w:tc>
          <w:tcPr>
            <w:tcW w:w="87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9"/>
        </w:trPr>
        <w:tc>
          <w:tcPr>
            <w:tcW w:w="20" w:type="dxa"/>
            <w:vAlign w:val="bottom"/>
            <w:shd w:val="clear" w:color="auto" w:fill="CCEEFF"/>
          </w:tcPr>
          <w:p>
            <w:pPr>
              <w:spacing w:after="0"/>
              <w:rPr>
                <w:sz w:val="19"/>
                <w:szCs w:val="19"/>
                <w:color w:val="auto"/>
              </w:rPr>
            </w:pPr>
          </w:p>
        </w:tc>
        <w:tc>
          <w:tcPr>
            <w:tcW w:w="8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Combined U.S.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Dividend Declaration and Share Repurchases</w:t>
      </w:r>
    </w:p>
    <w:p>
      <w:pPr>
        <w:spacing w:after="0" w:line="5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On April 23, 2025, our Board of Directors declared a quarterly cash dividend of $0.15 per share, payable on June 4, 2025 to stockholders of record at the close of business on May 20, 2025.</w:t>
      </w:r>
    </w:p>
    <w:p>
      <w:pPr>
        <w:spacing w:after="0" w:line="1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252525"/>
        </w:rPr>
        <w:t xml:space="preserve">There have been no share repurchases during 2025. We have </w:t>
      </w:r>
      <w:r>
        <w:rPr>
          <w:rFonts w:ascii="Times New Roman" w:cs="Times New Roman" w:eastAsia="Times New Roman" w:hAnsi="Times New Roman"/>
          <w:sz w:val="20"/>
          <w:szCs w:val="20"/>
          <w:color w:val="000000"/>
        </w:rPr>
        <w:t>$96.8 million of share repurchase authorization remaining under the 2024 Share</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Repurchase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2025 Financial Outlook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reaffirming our full-year financial guidance as previously communicated in our February 26, 2025 earnings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Q2 2025 Financial Outlook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our expectations for selected fiscal Q2 2025 financial operating results from continuing operations.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Results: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Q2 2025 Outlook</w:t>
            </w:r>
          </w:p>
        </w:tc>
      </w:tr>
      <w:tr>
        <w:trPr>
          <w:trHeight w:val="216"/>
        </w:trPr>
        <w:tc>
          <w:tcPr>
            <w:tcW w:w="8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comparable restaurant sales</w:t>
            </w:r>
          </w:p>
        </w:tc>
        <w:tc>
          <w:tcPr>
            <w:tcW w:w="1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 to (1.5%)</w:t>
            </w:r>
          </w:p>
        </w:tc>
      </w:tr>
      <w:tr>
        <w:trPr>
          <w:trHeight w:val="54"/>
        </w:trPr>
        <w:tc>
          <w:tcPr>
            <w:tcW w:w="8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Pr>
          <w:p>
            <w:pPr>
              <w:spacing w:after="0"/>
              <w:rPr>
                <w:sz w:val="4"/>
                <w:szCs w:val="4"/>
                <w:color w:val="auto"/>
              </w:rPr>
            </w:pPr>
          </w:p>
        </w:tc>
      </w:tr>
      <w:tr>
        <w:trPr>
          <w:trHeight w:val="216"/>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 (1)</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$0.20 to $0.25</w:t>
            </w:r>
          </w:p>
        </w:tc>
      </w:tr>
      <w:tr>
        <w:trPr>
          <w:trHeight w:val="54"/>
        </w:trPr>
        <w:tc>
          <w:tcPr>
            <w:tcW w:w="8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Pr>
          <w:p>
            <w:pPr>
              <w:spacing w:after="0"/>
              <w:rPr>
                <w:sz w:val="4"/>
                <w:szCs w:val="4"/>
                <w:color w:val="auto"/>
              </w:rPr>
            </w:pPr>
          </w:p>
        </w:tc>
      </w:tr>
      <w:tr>
        <w:trPr>
          <w:trHeight w:val="216"/>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 (1)</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$0.22 to $0.27</w:t>
            </w:r>
          </w:p>
        </w:tc>
      </w:tr>
      <w:tr>
        <w:trPr>
          <w:trHeight w:val="221"/>
        </w:trPr>
        <w:tc>
          <w:tcPr>
            <w:tcW w:w="896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ind w:left="500" w:hanging="492"/>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diluted weighted average shares of approximately 85 million.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The Company will host a conference call today, May 7, 2025 at 8:30 AM EST. The conference call will be webcast live from the Company’s website at </w:t>
      </w:r>
      <w:r>
        <w:rPr>
          <w:rFonts w:ascii="Times New Roman" w:cs="Times New Roman" w:eastAsia="Times New Roman" w:hAnsi="Times New Roman"/>
          <w:sz w:val="20"/>
          <w:szCs w:val="20"/>
          <w:u w:val="single" w:color="auto"/>
          <w:color w:val="0000FF"/>
        </w:rPr>
        <w:t>http://www.bloominbrands.com</w:t>
      </w:r>
      <w:r>
        <w:rPr>
          <w:rFonts w:ascii="Times New Roman" w:cs="Times New Roman" w:eastAsia="Times New Roman" w:hAnsi="Times New Roman"/>
          <w:sz w:val="20"/>
          <w:szCs w:val="20"/>
          <w:color w:val="auto"/>
        </w:rPr>
        <w:t xml:space="preserve"> under the Investors section. A replay of this webcast will be available on the Company’s website after the call.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Bloomin’ Brands, Inc.</w:t>
      </w:r>
    </w:p>
    <w:p>
      <w:pPr>
        <w:spacing w:after="0" w:line="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Bloomin’ Brands, Inc. is one of the largest casual dining restaurant companies in the world with a portfolio of leading, differentiated restaurant concepts. The Company’s restaurant portfolio includes Outback Steakhouse, Carrabba’s Italian Grill, Bonefish Grill and Fleming’s Prime Steakhouse &amp; Wine Bar. The Company owns, operates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87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9"/>
          <w:szCs w:val="19"/>
          <w:color w:val="auto"/>
        </w:rPr>
        <w:t>and franchises more than 1,450 restaurants in 46 states, Guam and 12 countries. For more information, please visit www.bloominbrands.com.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addition to the results provided in accordance with GAAP, this press release and related tables include certain non-GAAP measures, which present operating results on an adjusted basis. These are supplemental measures of performance that are not required by or presented in accordance with GAAP and include: (i) Restaurant-level operating income, adjusted restaurant-level operating income and their corresponding margins, (ii) Adjusted income from operations and the corresponding margin, (iii) Adjusted segment income from operations and the corresponding margin, (iv) Adjusted net income and (v) Adjusted diluted earnings per share.</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Restaurant-level operating margin is a non-GAAP financial measure widely regarded in the industry as a useful metric to evaluate restaurant-level operating efficiency and performance of ongoing restaurant-level operations, and we use it for these purposes.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believe that our use of non-GAAP financial measures permits investors to assess the operating performance of our business relative to our performance based on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These non-GAAP financial measures are not intended to replace GAAP financial measures, and they are not necessarily standardized or comparable to similarly titled measures used by other companies. We maintain internal guidelines with respect to the types of adjustments we include in our non-GAAP measures. These guidelines endeavor to differentiate between types of gains and expenses that are reflective of our core operations in a period, and those that may vary from period to period without correlation to our core performance in that period. However, implementation of these guidelines necessarily involves the application of judgment, and the treatment of any items not directly addressed by, or changes to, our guidelines will be considered by our disclosure committee. You should refer to the reconciliations of non-GAAP measures in Tables Four, Five and Six included later in this release for descriptions of the actual adjustments made in the current period and the corresponding prior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Certain statements contained herein, including statements under the headings “CEO Comments”, “Fiscal 2025 Financial Outlook” and “Q2 2025 Financial Outlook” are not based on historical fact and are “forward-looking statements” within the meaning of applicable securities laws. Generally, these statements can be identified by the use of words such as “guidance,” “believes,” “estimates,” “anticipates,” “expects,” “on track,” “feels,” “forecasts,” “seeks,” “projects,” “intends,” “plans,” “may,” “will,” “should,” “could,” “would” and similar expressions intended to identify forward-looking statements, although not all forward-looking statements contain these identifying words. These forward-looking statements include all matters that are not historical facts. By their nature, forward-looking statements involve risks and uncertainties that could cause actual results to differ materially from the Company’s forward-looking statements. These risks and uncertainties include, but are not limited to: consumer reaction to public health and food safety issues; increases in labor costs and fluctuations in the availability of employees; increases in unemployment rates and taxes; competition; interruption or breach of our systems or loss of consumer or employee information; price and availability of commodities and other impacts of inflation; our dependence on a limited number of suppliers and distributors; political, social and legal conditions in international markets and their effects on foreign operations and foreign currency exchange rates; the impacts of our operations in Brazil as a minority investor and franchisor following our recent sale transaction on our results; our ability to address corporate citizenship and sustainability matters and investor expectations; local, regional, national and international economic conditions; changes in patterns of consumer traffic, consumer tastes and dietary habits; the effects of changes in tax</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6"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9"/>
          <w:szCs w:val="19"/>
          <w:color w:val="auto"/>
        </w:rPr>
        <w:t>laws; costs, diversion of management attention and reputational damage from any claims or litigation; government actions and policies; challenges associated with our remodeling, relocation and expansion plans; our ability to preserve the value of and grow our brands; consumer confidence and spending patterns; the effects of a health pandemic, weather, acts of God and other disasters and the ability or success in executing related business continuity plans; the Company’s ability to make debt payments and planned investments and the Company’s compliance with debt covenants; the cost and availability of credit; interest rate changes; and any impairments in the carrying value of goodwill and other assets. Further information on potential factors that could affect the financial results of the Company and its forward-looking statements is included in its most recent Form 10-K and subsequent filings with the Securities and Exchange Commission. The Company assumes no obligation to update any forward-looking statement, except as may be required by law. These forward-looking statements speak only as of the date of this release. All forward-looking statements are qualified in their entirety by this cautionary statement.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Note: Numerical figures included in this release have been subject to rounding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6"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ONE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060" w:type="dxa"/>
            <w:vAlign w:val="bottom"/>
            <w:tcBorders>
              <w:top w:val="single" w:sz="8" w:color="auto"/>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60" w:type="dxa"/>
            <w:vAlign w:val="bottom"/>
          </w:tcPr>
          <w:p>
            <w:pPr>
              <w:spacing w:after="0"/>
              <w:rPr>
                <w:sz w:val="18"/>
                <w:szCs w:val="18"/>
                <w:color w:val="auto"/>
              </w:rPr>
            </w:pPr>
          </w:p>
        </w:tc>
        <w:tc>
          <w:tcPr>
            <w:tcW w:w="14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3"/>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1,029,517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1,046,690</w:t>
            </w:r>
          </w:p>
        </w:tc>
      </w:tr>
      <w:tr>
        <w:trPr>
          <w:trHeight w:val="226"/>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22,383</w:t>
            </w:r>
          </w:p>
        </w:tc>
      </w:tr>
      <w:tr>
        <w:trPr>
          <w:trHeight w:val="223"/>
        </w:trPr>
        <w:tc>
          <w:tcPr>
            <w:tcW w:w="79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1,049,594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1,069,073</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Food and beverage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315,521</w:t>
            </w: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Labor and other related</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314,718</w:t>
            </w: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restaurant operating</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254,868</w:t>
            </w:r>
          </w:p>
        </w:tc>
      </w:tr>
      <w:tr>
        <w:trPr>
          <w:trHeight w:val="219"/>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42,700</w:t>
            </w: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59,476</w:t>
            </w:r>
          </w:p>
        </w:tc>
      </w:tr>
      <w:tr>
        <w:trPr>
          <w:trHeight w:val="212"/>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10,873</w:t>
            </w:r>
          </w:p>
        </w:tc>
      </w:tr>
      <w:tr>
        <w:trPr>
          <w:trHeight w:val="223"/>
        </w:trPr>
        <w:tc>
          <w:tcPr>
            <w:tcW w:w="79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992,363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998,156</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70,917</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(135,797)</w:t>
            </w:r>
          </w:p>
        </w:tc>
      </w:tr>
      <w:tr>
        <w:trPr>
          <w:trHeight w:val="23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(13,676)</w:t>
            </w:r>
          </w:p>
        </w:tc>
      </w:tr>
      <w:tr>
        <w:trPr>
          <w:trHeight w:val="20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(78,556)</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6,642</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from equity method investment, net of tax</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(85,198)</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income from discontinued operations, net of tax</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2,908</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(82,290)</w:t>
            </w:r>
          </w:p>
        </w:tc>
      </w:tr>
      <w:tr>
        <w:trPr>
          <w:trHeight w:val="223"/>
        </w:trPr>
        <w:tc>
          <w:tcPr>
            <w:tcW w:w="7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w:t>
            </w:r>
          </w:p>
        </w:tc>
      </w:tr>
      <w:tr>
        <w:trPr>
          <w:trHeight w:val="21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Bloomin’ Brands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7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26"/>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16"/>
        </w:trPr>
        <w:tc>
          <w:tcPr>
            <w:tcW w:w="7960" w:type="dxa"/>
            <w:vAlign w:val="bottom"/>
            <w:tcBorders>
              <w:top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basic earnings (loss)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(0.96)</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7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7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14"/>
        </w:trPr>
        <w:tc>
          <w:tcPr>
            <w:tcW w:w="79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diluted earnings (loss) per share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89"/>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84,902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87,024</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5"/>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60" w:top="934"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TABLE TWO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SEGMENT RESULTS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bottom w:val="single" w:sz="8" w:color="auto"/>
            </w:tcBorders>
          </w:tcPr>
          <w:p>
            <w:pPr>
              <w:spacing w:after="0"/>
              <w:rPr>
                <w:sz w:val="19"/>
                <w:szCs w:val="19"/>
                <w:color w:val="auto"/>
              </w:rPr>
            </w:pPr>
          </w:p>
        </w:tc>
        <w:tc>
          <w:tcPr>
            <w:tcW w:w="3060" w:type="dxa"/>
            <w:vAlign w:val="bottom"/>
            <w:tcBorders>
              <w:top w:val="single" w:sz="8" w:color="auto"/>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09"/>
        </w:trPr>
        <w:tc>
          <w:tcPr>
            <w:tcW w:w="79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U.S. Segment</w:t>
            </w: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60" w:type="dxa"/>
            <w:vAlign w:val="bottom"/>
          </w:tcPr>
          <w:p>
            <w:pPr>
              <w:spacing w:after="0"/>
              <w:rPr>
                <w:sz w:val="18"/>
                <w:szCs w:val="18"/>
                <w:color w:val="auto"/>
              </w:rPr>
            </w:pPr>
          </w:p>
        </w:tc>
        <w:tc>
          <w:tcPr>
            <w:tcW w:w="14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3"/>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3"/>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1,020,130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1,030,896</w:t>
            </w:r>
          </w:p>
        </w:tc>
      </w:tr>
      <w:tr>
        <w:trPr>
          <w:trHeight w:val="239"/>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18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12,208</w:t>
            </w:r>
          </w:p>
        </w:tc>
      </w:tr>
      <w:tr>
        <w:trPr>
          <w:trHeight w:val="196"/>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U.S. segment revenues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1,030,903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1,043,104</w:t>
            </w:r>
          </w:p>
        </w:tc>
      </w:tr>
      <w:tr>
        <w:trPr>
          <w:trHeight w:val="243"/>
        </w:trPr>
        <w:tc>
          <w:tcPr>
            <w:tcW w:w="7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Franchise Segment</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7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Franchise revenues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10,112</w:t>
            </w:r>
          </w:p>
        </w:tc>
      </w:tr>
      <w:tr>
        <w:trPr>
          <w:trHeight w:val="216"/>
        </w:trPr>
        <w:tc>
          <w:tcPr>
            <w:tcW w:w="7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 other revenues (1)</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15,857</w:t>
            </w:r>
          </w:p>
        </w:tc>
      </w:tr>
      <w:tr>
        <w:trPr>
          <w:trHeight w:val="24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1,049,594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1,069,073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Segment Operating Income to Consolidated Operating Income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income from operations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97,484</w:t>
            </w:r>
          </w:p>
        </w:tc>
      </w:tr>
      <w:tr>
        <w:trPr>
          <w:trHeight w:val="223"/>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International Franchise</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9,689</w:t>
            </w:r>
          </w:p>
        </w:tc>
      </w:tr>
      <w:tr>
        <w:trPr>
          <w:trHeight w:val="216"/>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segment income from operations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107,173</w:t>
            </w:r>
          </w:p>
        </w:tc>
      </w:tr>
      <w:tr>
        <w:trPr>
          <w:trHeight w:val="213"/>
        </w:trPr>
        <w:tc>
          <w:tcPr>
            <w:tcW w:w="7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Unallocated corporate operating expense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(35,739)</w:t>
            </w:r>
          </w:p>
        </w:tc>
      </w:tr>
      <w:tr>
        <w:trPr>
          <w:trHeight w:val="226"/>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income (loss) from operations (1)</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r>
      <w:tr>
        <w:trPr>
          <w:trHeight w:val="216"/>
        </w:trPr>
        <w:tc>
          <w:tcPr>
            <w:tcW w:w="7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income from operations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57,231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70,917</w:t>
            </w:r>
          </w:p>
        </w:tc>
      </w:tr>
      <w:tr>
        <w:trPr>
          <w:trHeight w:val="20"/>
        </w:trPr>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revenues and income from operations related to our equity method investment in Brazil and its Hong Kong subsidiary.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THREE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SUPPLEMENTAL BALANCE SHEET INFORMATION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29, 2024</w:t>
            </w:r>
          </w:p>
        </w:tc>
      </w:tr>
      <w:tr>
        <w:trPr>
          <w:trHeight w:val="222"/>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70,056</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working capital (deficit) (1)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(459,584)</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(631,817)</w:t>
            </w: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3,305,370</w:t>
            </w:r>
          </w:p>
        </w:tc>
        <w:tc>
          <w:tcPr>
            <w:tcW w:w="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3,384,805</w:t>
            </w: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917,610</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1,027,398</w:t>
            </w: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384,850</w:t>
            </w:r>
          </w:p>
        </w:tc>
        <w:tc>
          <w:tcPr>
            <w:tcW w:w="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139,446</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3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TABLE FOUR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RESTAURANT-LEVEL AND ADJUSTED RESTAURANT-LEVEL OPERATING INCOME AND MARGINS NON-GAAP RECONCILIATIONS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tc>
        <w:tc>
          <w:tcPr>
            <w:tcW w:w="20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00" w:type="dxa"/>
            <w:vAlign w:val="bottom"/>
          </w:tcPr>
          <w:p>
            <w:pPr>
              <w:spacing w:after="0"/>
              <w:rPr>
                <w:sz w:val="18"/>
                <w:szCs w:val="18"/>
                <w:color w:val="auto"/>
              </w:rPr>
            </w:pPr>
          </w:p>
        </w:tc>
        <w:tc>
          <w:tcPr>
            <w:tcW w:w="14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1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57,231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70,917</w:t>
            </w:r>
          </w:p>
        </w:tc>
      </w:tr>
      <w:tr>
        <w:trPr>
          <w:trHeight w:val="214"/>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 continuing operations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18"/>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and other revenues</w:t>
            </w:r>
          </w:p>
        </w:tc>
        <w:tc>
          <w:tcPr>
            <w:tcW w:w="200" w:type="dxa"/>
            <w:vAlign w:val="bottom"/>
          </w:tcPr>
          <w:p>
            <w:pPr>
              <w:spacing w:after="0"/>
              <w:rPr>
                <w:sz w:val="18"/>
                <w:szCs w:val="18"/>
                <w:color w:val="auto"/>
              </w:rPr>
            </w:pPr>
          </w:p>
        </w:tc>
        <w:tc>
          <w:tcPr>
            <w:tcW w:w="14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20,077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22,383</w:t>
            </w:r>
          </w:p>
        </w:tc>
      </w:tr>
      <w:tr>
        <w:trPr>
          <w:trHeight w:val="219"/>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Plus: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4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43,947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42,700</w:t>
            </w: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61,377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59,476</w:t>
            </w:r>
          </w:p>
        </w:tc>
      </w:tr>
      <w:tr>
        <w:trPr>
          <w:trHeight w:val="223"/>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impaired assets and restaurant closings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10,873</w:t>
            </w:r>
          </w:p>
        </w:tc>
      </w:tr>
      <w:tr>
        <w:trPr>
          <w:trHeight w:val="236"/>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Restaurant-level operating income from continuing operations (1)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142,828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161,583</w:t>
            </w:r>
          </w:p>
        </w:tc>
      </w:tr>
      <w:tr>
        <w:trPr>
          <w:trHeight w:val="200"/>
        </w:trPr>
        <w:tc>
          <w:tcPr>
            <w:tcW w:w="77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Restaurant-level operating margin, continuing operations</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Closure-related charges</w:t>
            </w: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r>
      <w:tr>
        <w:trPr>
          <w:trHeight w:val="223"/>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restaurant-level operating income adjustments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restaurant-level operating income from continuing operations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142,828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162,017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restaurant-level operating margin, continuing operations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r>
      <w:tr>
        <w:trPr>
          <w:trHeight w:val="278"/>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ind w:left="500" w:hanging="492"/>
        <w:spacing w:after="0" w:line="253"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categories of revenue and operating expenses are not included in restaurant-level operating income and the corresponding margin because we do not consider them reflective of operating performance at the restaurant-level within a period:</w:t>
      </w:r>
    </w:p>
    <w:p>
      <w:pPr>
        <w:ind w:left="820" w:hanging="326"/>
        <w:spacing w:after="0" w:line="255" w:lineRule="auto"/>
        <w:tabs>
          <w:tab w:leader="none" w:pos="811"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Franchise and other revenues, which are earned primarily from franchise royalties and other non-food and beverage revenue streams, such as rental and sublease income.</w:t>
      </w:r>
    </w:p>
    <w:p>
      <w:pPr>
        <w:ind w:left="820" w:right="20" w:hanging="326"/>
        <w:spacing w:after="0" w:line="255" w:lineRule="auto"/>
        <w:tabs>
          <w:tab w:leader="none" w:pos="8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and amortization, which, although substantially all of which is related to restaurant-level assets, represent historical sunk costs rather than cash outlays for the restaurants.</w:t>
      </w:r>
    </w:p>
    <w:p>
      <w:pPr>
        <w:ind w:left="820" w:hanging="326"/>
        <w:spacing w:after="0" w:line="248" w:lineRule="auto"/>
        <w:tabs>
          <w:tab w:leader="none" w:pos="811"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 which includes primarily non-restaurant-level costs associated with support of the restaurants and other activities at our corporate offices.</w:t>
      </w:r>
    </w:p>
    <w:p>
      <w:pPr>
        <w:spacing w:after="0" w:line="1" w:lineRule="exact"/>
        <w:rPr>
          <w:rFonts w:ascii="Times New Roman" w:cs="Times New Roman" w:eastAsia="Times New Roman" w:hAnsi="Times New Roman"/>
          <w:sz w:val="16"/>
          <w:szCs w:val="16"/>
          <w:color w:val="auto"/>
        </w:rPr>
      </w:pPr>
    </w:p>
    <w:p>
      <w:pPr>
        <w:ind w:left="820" w:hanging="326"/>
        <w:spacing w:after="0"/>
        <w:tabs>
          <w:tab w:leader="none" w:pos="8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impairment charges and restaurant closing costs, which are not reflective of ongoing restaurant performance in a period.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2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TABLE FIVE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ADJUSTED INCOME FROM OPERATIONS AND MARGIN NON-GAAP RECONCILIATIONS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bottom w:val="single" w:sz="8" w:color="auto"/>
            </w:tcBorders>
          </w:tcPr>
          <w:p>
            <w:pPr>
              <w:spacing w:after="0"/>
              <w:rPr>
                <w:sz w:val="20"/>
                <w:szCs w:val="20"/>
                <w:color w:val="auto"/>
              </w:rPr>
            </w:pPr>
          </w:p>
        </w:tc>
        <w:tc>
          <w:tcPr>
            <w:tcW w:w="3160" w:type="dxa"/>
            <w:vAlign w:val="bottom"/>
            <w:tcBorders>
              <w:top w:val="single" w:sz="8" w:color="auto"/>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Consolidated</w:t>
            </w:r>
          </w:p>
        </w:tc>
        <w:tc>
          <w:tcPr>
            <w:tcW w:w="18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80" w:type="dxa"/>
            <w:vAlign w:val="bottom"/>
          </w:tcPr>
          <w:p>
            <w:pPr>
              <w:spacing w:after="0"/>
              <w:rPr>
                <w:sz w:val="18"/>
                <w:szCs w:val="18"/>
                <w:color w:val="auto"/>
              </w:rPr>
            </w:pPr>
          </w:p>
        </w:tc>
        <w:tc>
          <w:tcPr>
            <w:tcW w:w="14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16"/>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57,231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70,917</w:t>
            </w:r>
          </w:p>
        </w:tc>
        <w:tc>
          <w:tcPr>
            <w:tcW w:w="0" w:type="dxa"/>
            <w:vAlign w:val="bottom"/>
          </w:tcPr>
          <w:p>
            <w:pPr>
              <w:spacing w:after="0"/>
              <w:rPr>
                <w:sz w:val="1"/>
                <w:szCs w:val="1"/>
                <w:color w:val="auto"/>
              </w:rPr>
            </w:pPr>
          </w:p>
        </w:tc>
      </w:tr>
      <w:tr>
        <w:trPr>
          <w:trHeight w:val="214"/>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 continuing operations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restaurant-level operating income adjustments (1)</w:t>
            </w:r>
          </w:p>
        </w:tc>
        <w:tc>
          <w:tcPr>
            <w:tcW w:w="18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Severance and other transformational costs (2)</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forward contract costs (3)</w:t>
            </w:r>
          </w:p>
        </w:tc>
        <w:tc>
          <w:tcPr>
            <w:tcW w:w="180" w:type="dxa"/>
            <w:vAlign w:val="bottom"/>
          </w:tcPr>
          <w:p>
            <w:pPr>
              <w:spacing w:after="0"/>
              <w:rPr>
                <w:sz w:val="18"/>
                <w:szCs w:val="18"/>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impairments and closure-related charges (4)</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12,521</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income from operations adjustments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6,457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12,955</w:t>
            </w:r>
          </w:p>
        </w:tc>
        <w:tc>
          <w:tcPr>
            <w:tcW w:w="0" w:type="dxa"/>
            <w:vAlign w:val="bottom"/>
          </w:tcPr>
          <w:p>
            <w:pPr>
              <w:spacing w:after="0"/>
              <w:rPr>
                <w:sz w:val="1"/>
                <w:szCs w:val="1"/>
                <w:color w:val="auto"/>
              </w:rPr>
            </w:pPr>
          </w:p>
        </w:tc>
      </w:tr>
      <w:tr>
        <w:trPr>
          <w:trHeight w:val="241"/>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from operations,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63,688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83,872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operating income margin, continuing operations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rPr>
                <w:sz w:val="1"/>
                <w:szCs w:val="1"/>
                <w:color w:val="auto"/>
              </w:rPr>
            </w:pPr>
          </w:p>
        </w:tc>
      </w:tr>
      <w:tr>
        <w:trPr>
          <w:trHeight w:val="39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Segment</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87,670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97,484</w:t>
            </w:r>
          </w:p>
        </w:tc>
        <w:tc>
          <w:tcPr>
            <w:tcW w:w="0" w:type="dxa"/>
            <w:vAlign w:val="bottom"/>
          </w:tcPr>
          <w:p>
            <w:pPr>
              <w:spacing w:after="0"/>
              <w:rPr>
                <w:sz w:val="1"/>
                <w:szCs w:val="1"/>
                <w:color w:val="auto"/>
              </w:rPr>
            </w:pPr>
          </w:p>
        </w:tc>
      </w:tr>
      <w:tr>
        <w:trPr>
          <w:trHeight w:val="214"/>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Operating income margin</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restaurant-level operating income adjustments (1)</w:t>
            </w:r>
          </w:p>
        </w:tc>
        <w:tc>
          <w:tcPr>
            <w:tcW w:w="18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2"/>
        </w:trPr>
        <w:tc>
          <w:tcPr>
            <w:tcW w:w="7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impairments and closure-related charges (4)</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11,685</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income from operations adjustments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(1,710)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12,119</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85,960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109,603</w:t>
            </w:r>
          </w:p>
        </w:tc>
        <w:tc>
          <w:tcPr>
            <w:tcW w:w="0" w:type="dxa"/>
            <w:vAlign w:val="bottom"/>
          </w:tcPr>
          <w:p>
            <w:pPr>
              <w:spacing w:after="0"/>
              <w:rPr>
                <w:sz w:val="1"/>
                <w:szCs w:val="1"/>
                <w:color w:val="auto"/>
              </w:rPr>
            </w:pPr>
          </w:p>
        </w:tc>
      </w:tr>
      <w:tr>
        <w:trPr>
          <w:trHeight w:val="197"/>
        </w:trPr>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39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Segment</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9,004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9,689</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23" w:lineRule="exact"/>
        <w:rPr>
          <w:sz w:val="20"/>
          <w:szCs w:val="20"/>
          <w:color w:val="auto"/>
        </w:rPr>
      </w:pPr>
    </w:p>
    <w:p>
      <w:pPr>
        <w:ind w:left="660" w:hanging="652"/>
        <w:spacing w:after="0" w:line="248"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Table Four </w:t>
      </w:r>
      <w:r>
        <w:rPr>
          <w:rFonts w:ascii="Times New Roman" w:cs="Times New Roman" w:eastAsia="Times New Roman" w:hAnsi="Times New Roman"/>
          <w:sz w:val="16"/>
          <w:szCs w:val="16"/>
          <w:i w:val="1"/>
          <w:iCs w:val="1"/>
          <w:color w:val="auto"/>
        </w:rPr>
        <w:t>Restaurant-level and Adjusted Restaurant-Level Operating Income and Margins Non-GAAP Reconciliations</w:t>
      </w:r>
      <w:r>
        <w:rPr>
          <w:rFonts w:ascii="Times New Roman" w:cs="Times New Roman" w:eastAsia="Times New Roman" w:hAnsi="Times New Roman"/>
          <w:sz w:val="16"/>
          <w:szCs w:val="16"/>
          <w:color w:val="auto"/>
        </w:rPr>
        <w:t xml:space="preserve"> for details regarding restaurant-level operating income adjustments.</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and other costs incurred as a result of transformational and restructuring activities.</w:t>
      </w:r>
    </w:p>
    <w:p>
      <w:pPr>
        <w:spacing w:after="0" w:line="15" w:lineRule="exact"/>
        <w:rPr>
          <w:rFonts w:ascii="Times New Roman" w:cs="Times New Roman" w:eastAsia="Times New Roman" w:hAnsi="Times New Roman"/>
          <w:sz w:val="16"/>
          <w:szCs w:val="16"/>
          <w:color w:val="auto"/>
        </w:rPr>
      </w:pPr>
    </w:p>
    <w:p>
      <w:pPr>
        <w:ind w:left="660" w:right="20" w:hanging="652"/>
        <w:spacing w:after="0" w:line="255"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 connection with the foreign currency forward contracts that mostly offset foreign currency exchange risk associated with installment payments from the sale of our Brazil operations.</w:t>
      </w:r>
    </w:p>
    <w:p>
      <w:pPr>
        <w:ind w:left="660" w:hanging="652"/>
        <w:spacing w:after="0" w:line="257"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gains from certain lease terminations for the thirteen weeks ended March 30, 2025. Includes asset impairment, closure costs and severance in connection with the 2023 Restaurant Closures for the thirteen weeks ended March 31, 2024.</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3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TABLE SIX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ADJUSTED NET INCOME AND ADJUSTED DILUTED EARNINGS PER SHARE NON-GAAP RECONCILIATIONS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10"/>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60" w:type="dxa"/>
            <w:vAlign w:val="bottom"/>
          </w:tcPr>
          <w:p>
            <w:pPr>
              <w:spacing w:after="0"/>
              <w:rPr>
                <w:sz w:val="18"/>
                <w:szCs w:val="18"/>
                <w:color w:val="auto"/>
              </w:rPr>
            </w:pPr>
          </w:p>
        </w:tc>
        <w:tc>
          <w:tcPr>
            <w:tcW w:w="14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43"/>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Bloomin</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 xml:space="preserve"> Brands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(83,872)</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income from discontinued operations, net of tax</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2,908</w:t>
            </w: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Bloomin’ Brands from continuing operations (1)</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(86,780)</w:t>
            </w:r>
          </w:p>
        </w:tc>
      </w:t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 adjustments (2)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12,955</w:t>
            </w:r>
          </w:p>
        </w:tc>
      </w:tr>
      <w:tr>
        <w:trPr>
          <w:trHeight w:val="209"/>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 (3)</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135,797</w:t>
            </w:r>
          </w:p>
        </w:tc>
      </w:tr>
      <w:tr>
        <w:trPr>
          <w:trHeight w:val="216"/>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148,752</w:t>
            </w:r>
          </w:p>
        </w:tc>
      </w:tr>
      <w:tr>
        <w:trPr>
          <w:trHeight w:val="223"/>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Adjustment to provision for income taxes (4)</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adjustments, continuing operations</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147,709</w:t>
            </w:r>
          </w:p>
        </w:tc>
      </w:tr>
      <w:tr>
        <w:trPr>
          <w:trHeight w:val="200"/>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Adjusted net income, continuing operations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60,929</w:t>
            </w:r>
          </w:p>
        </w:tc>
      </w:tr>
      <w:tr>
        <w:trPr>
          <w:trHeight w:val="226"/>
        </w:trPr>
        <w:tc>
          <w:tcPr>
            <w:tcW w:w="8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net (loss) income, discontinued operations (5)</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49,739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63,514</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41"/>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diluted earnings (loss) per share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r>
      <w:tr>
        <w:trPr>
          <w:trHeight w:val="22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16"/>
        </w:trPr>
        <w:tc>
          <w:tcPr>
            <w:tcW w:w="80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 (6)(7)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0.67</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8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outstanding (7)</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85,130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87,024</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weighted average common shares outstanding (6)(7)</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95,376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net income (loss) from continuing operations less net income attributable to noncontrolling interests.</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Table Five </w:t>
      </w:r>
      <w:r>
        <w:rPr>
          <w:rFonts w:ascii="Times New Roman" w:cs="Times New Roman" w:eastAsia="Times New Roman" w:hAnsi="Times New Roman"/>
          <w:sz w:val="16"/>
          <w:szCs w:val="16"/>
          <w:i w:val="1"/>
          <w:iCs w:val="1"/>
          <w:color w:val="auto"/>
        </w:rPr>
        <w:t>Adjusted Income from Operations and Margin Non-GAAP Reconciliations</w:t>
      </w:r>
      <w:r>
        <w:rPr>
          <w:rFonts w:ascii="Times New Roman" w:cs="Times New Roman" w:eastAsia="Times New Roman" w:hAnsi="Times New Roman"/>
          <w:sz w:val="16"/>
          <w:szCs w:val="16"/>
          <w:color w:val="auto"/>
        </w:rPr>
        <w:t xml:space="preserve"> above for details regarding Income from operations adjustments.</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1"/>
        </w:numPr>
        <w:rPr>
          <w:rFonts w:ascii="Times New Roman" w:cs="Times New Roman" w:eastAsia="Times New Roman" w:hAnsi="Times New Roman"/>
          <w:sz w:val="16"/>
          <w:szCs w:val="16"/>
          <w:color w:val="252525"/>
        </w:rPr>
      </w:pPr>
      <w:r>
        <w:rPr>
          <w:rFonts w:ascii="Times New Roman" w:cs="Times New Roman" w:eastAsia="Times New Roman" w:hAnsi="Times New Roman"/>
          <w:sz w:val="16"/>
          <w:szCs w:val="16"/>
          <w:color w:val="auto"/>
        </w:rPr>
        <w:t>Includes losses in connection with the partial repurchase of the 2025 Notes, including settlements of the related convertible senior note hedges and warrants.</w:t>
      </w:r>
    </w:p>
    <w:p>
      <w:pPr>
        <w:spacing w:after="0" w:line="15" w:lineRule="exact"/>
        <w:rPr>
          <w:rFonts w:ascii="Times New Roman" w:cs="Times New Roman" w:eastAsia="Times New Roman" w:hAnsi="Times New Roman"/>
          <w:sz w:val="16"/>
          <w:szCs w:val="16"/>
          <w:color w:val="252525"/>
        </w:rPr>
      </w:pPr>
    </w:p>
    <w:p>
      <w:pPr>
        <w:jc w:val="both"/>
        <w:ind w:left="660" w:hanging="652"/>
        <w:spacing w:after="0" w:line="252"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tax effects of non-GAAP adjustments determined based on the nature of the underlying non-GAAP adjustments and their relevant jurisdictional tax rates for all periods presented. The thirteen weeks ended March 30, 2025 include an adjustment to income tax expense related to foreign currency gains on the Brazil sale installment receivable. For the thirteen weeks ended March 31, 2024, the difference between GAAP and adjusted effective income tax rates primarily relates to nondeductible losses and other tax costs associated with the partial repurchase of the 2025 Notes.</w:t>
      </w:r>
    </w:p>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(loss) income from our Brazil operations for the periods presented.</w:t>
      </w:r>
    </w:p>
    <w:p>
      <w:pPr>
        <w:spacing w:after="0" w:line="15" w:lineRule="exact"/>
        <w:rPr>
          <w:rFonts w:ascii="Times New Roman" w:cs="Times New Roman" w:eastAsia="Times New Roman" w:hAnsi="Times New Roman"/>
          <w:sz w:val="16"/>
          <w:szCs w:val="16"/>
          <w:color w:val="auto"/>
        </w:rPr>
      </w:pPr>
    </w:p>
    <w:p>
      <w:pPr>
        <w:jc w:val="both"/>
        <w:ind w:left="660" w:hanging="652"/>
        <w:spacing w:after="0" w:line="254"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diluted weighted average common shares outstanding for the thirteen weeks ended March 31, 2024 were calculated including the effect of 4.3 million dilutive securities for outstanding 2025 Notes and the effect of 3.1 million dilutive securities for the Warrant Transactions, as defined below. In connection with the offering of the 2025 Notes, we entered into convertible note hedge transactions and concurrently entered into warrant transactions relating to the same number of shares of our common stock (the “Warrant Transactions”). The impact of dilutive securities for the outstanding 2025 Notes and the Warrant Transactions were immaterial for the thirteen weeks ended March 30, 2025. Adjusted diluted earnings per share and adjusted diluted weighted average common shares outstanding for the thirteen weeks ended March 31, 2024 have been recast to remove the 4.3 million share benefit of the convertible note hedge transactions we issued in connection with the offering of the 2025 Notes, which was previously included as a non-GAAP share adjustment.</w:t>
      </w:r>
    </w:p>
    <w:p>
      <w:pPr>
        <w:jc w:val="both"/>
        <w:ind w:left="660" w:hanging="652"/>
        <w:spacing w:after="0" w:line="26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a GAAP net loss from continuing operations, antidilutive securities are excluded from diluted weighted average common shares outstanding for the fiscal year thirteen weeks ended March 31, 2024. However, considering the adjusted net income position, adjusted diluted weighted average common shares outstanding incorporates securities that would have been dilutive for GAAP.</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3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auto"/>
        </w:rPr>
        <w:t>Following is a summary of the financial statement line item classification of the net income (loss) adjustments from continuing operations: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24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30"/>
        </w:trPr>
        <w:tc>
          <w:tcPr>
            <w:tcW w:w="7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980" w:type="dxa"/>
            <w:vAlign w:val="bottom"/>
            <w:vMerge w:val="continue"/>
          </w:tcPr>
          <w:p>
            <w:pPr>
              <w:spacing w:after="0"/>
              <w:rPr>
                <w:sz w:val="16"/>
                <w:szCs w:val="16"/>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6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Labor and other related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p>
      <w:pPr>
        <w:spacing w:after="0" w:line="32" w:lineRule="exact"/>
        <w:rPr>
          <w:sz w:val="20"/>
          <w:szCs w:val="20"/>
          <w:color w:val="auto"/>
        </w:rPr>
      </w:pPr>
    </w:p>
    <w:p>
      <w:pPr>
        <w:ind w:left="20"/>
        <w:spacing w:after="0" w:line="290" w:lineRule="auto"/>
        <w:rPr>
          <w:sz w:val="20"/>
          <w:szCs w:val="20"/>
          <w:color w:val="auto"/>
        </w:rPr>
      </w:pPr>
      <w:r>
        <w:rPr>
          <w:rFonts w:ascii="Times New Roman" w:cs="Times New Roman" w:eastAsia="Times New Roman" w:hAnsi="Times New Roman"/>
          <w:sz w:val="16"/>
          <w:szCs w:val="16"/>
          <w:color w:val="auto"/>
        </w:rPr>
        <w:t>Provision for impaired assets and restaurant closings Loss on extinguishment of debt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adjustments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180" w:type="dxa"/>
        <w:tblCellMar>
          <w:top w:w="0" w:type="dxa"/>
          <w:left w:w="0" w:type="dxa"/>
          <w:bottom w:w="0" w:type="dxa"/>
          <w:right w:w="0" w:type="dxa"/>
        </w:tblCellMar>
      </w:tblPr>
      <w:tr>
        <w:trPr>
          <w:trHeight w:val="217"/>
        </w:trPr>
        <w:tc>
          <w:tcPr>
            <w:tcW w:w="5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6"/>
        </w:trPr>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w:t>
            </w:r>
          </w:p>
        </w:tc>
      </w:tr>
      <w:tr>
        <w:trPr>
          <w:trHeight w:val="216"/>
        </w:trPr>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10,094</w:t>
            </w:r>
          </w:p>
        </w:tc>
      </w:tr>
      <w:tr>
        <w:trPr>
          <w:trHeight w:val="216"/>
        </w:trPr>
        <w:tc>
          <w:tcPr>
            <w:tcW w:w="5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135,797</w:t>
            </w:r>
          </w:p>
        </w:tc>
      </w:tr>
      <w:tr>
        <w:trPr>
          <w:trHeight w:val="229"/>
        </w:trPr>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r>
      <w:tr>
        <w:trPr>
          <w:trHeight w:val="213"/>
        </w:trPr>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7,587</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147,709</w:t>
            </w:r>
          </w:p>
        </w:tc>
      </w:tr>
      <w:tr>
        <w:trPr>
          <w:trHeight w:val="23"/>
        </w:trPr>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-599440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-325120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6"/>
          <w:szCs w:val="16"/>
          <w:b w:val="1"/>
          <w:bCs w:val="1"/>
          <w:color w:val="auto"/>
        </w:rPr>
        <w:t>TABLE SEVEN</w:t>
      </w:r>
    </w:p>
    <w:p>
      <w:pPr>
        <w:spacing w:after="0" w:line="32"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5"/>
          <w:szCs w:val="15"/>
          <w:b w:val="1"/>
          <w:bCs w:val="1"/>
          <w:color w:val="auto"/>
        </w:rPr>
        <w:t>COMPARATIVE RESTAURANT INFORMATION</w:t>
      </w:r>
    </w:p>
    <w:p>
      <w:pPr>
        <w:spacing w:after="0" w:line="44"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 w:lineRule="exact"/>
        <w:rPr>
          <w:sz w:val="20"/>
          <w:szCs w:val="20"/>
          <w:color w:val="auto"/>
        </w:rPr>
      </w:pPr>
    </w:p>
    <w:p>
      <w:pPr>
        <w:sectPr>
          <w:pgSz w:w="11900" w:h="16838" w:orient="portrait"/>
          <w:cols w:equalWidth="0" w:num="2">
            <w:col w:w="3440" w:space="380"/>
            <w:col w:w="7420"/>
          </w:cols>
          <w:pgMar w:left="320" w:top="886"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restaurants:</w:t>
            </w:r>
          </w:p>
        </w:tc>
        <w:tc>
          <w:tcPr>
            <w:tcW w:w="21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29, 2024 (1)</w:t>
            </w:r>
          </w:p>
        </w:tc>
        <w:tc>
          <w:tcPr>
            <w:tcW w:w="11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OPENINGS</w:t>
            </w:r>
          </w:p>
        </w:tc>
        <w:tc>
          <w:tcPr>
            <w:tcW w:w="11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CLOSURES</w:t>
            </w:r>
          </w:p>
        </w:tc>
        <w:tc>
          <w:tcPr>
            <w:tcW w:w="12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 (2)</w:t>
            </w:r>
          </w:p>
        </w:tc>
        <w:tc>
          <w:tcPr>
            <w:tcW w:w="16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MARCH 30, 2025</w:t>
            </w:r>
          </w:p>
        </w:tc>
      </w:tr>
      <w:tr>
        <w:trPr>
          <w:trHeight w:val="20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2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Outback Steakhouse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6"/>
              </w:rPr>
              <w:t>(3)</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r>
      <w:tr>
        <w:trPr>
          <w:trHeight w:val="223"/>
        </w:trPr>
        <w:tc>
          <w:tcPr>
            <w:tcW w:w="3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36"/>
        </w:trPr>
        <w:tc>
          <w:tcPr>
            <w:tcW w:w="3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6"/>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187"/>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Carrabba’s Italian Grill</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23"/>
        </w:trPr>
        <w:tc>
          <w:tcPr>
            <w:tcW w:w="3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6"/>
        </w:trPr>
        <w:tc>
          <w:tcPr>
            <w:tcW w:w="3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187"/>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Bonefish Grill</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23"/>
        </w:trPr>
        <w:tc>
          <w:tcPr>
            <w:tcW w:w="3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6"/>
        </w:trPr>
        <w:tc>
          <w:tcPr>
            <w:tcW w:w="3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187"/>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Company-owned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187"/>
        </w:trPr>
        <w:tc>
          <w:tcPr>
            <w:tcW w:w="38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Aussie Grill</w:t>
            </w:r>
          </w:p>
        </w:tc>
        <w:tc>
          <w:tcPr>
            <w:tcW w:w="20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r>
      <w:tr>
        <w:trPr>
          <w:trHeight w:val="225"/>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Franchised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3860" w:type="dxa"/>
            <w:vAlign w:val="bottom"/>
            <w:tcBorders>
              <w:top w:val="single" w:sz="8" w:color="CCEEFF"/>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U.S. total</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8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6"/>
              </w:rPr>
              <w:t>(7)</w:t>
            </w:r>
          </w:p>
        </w:tc>
        <w:tc>
          <w:tcPr>
            <w:tcW w:w="10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w:t>
            </w: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Franchise</w:t>
            </w: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3"/>
        </w:trPr>
        <w:tc>
          <w:tcPr>
            <w:tcW w:w="3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Outback Steakhouse - South Korea</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23"/>
        </w:trPr>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33"/>
        </w:trPr>
        <w:tc>
          <w:tcPr>
            <w:tcW w:w="3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International Franchise total</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19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 other - Company-owned</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Outback Steakhouse - Hong Kong/China</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Outback Steakhouse - Brazil</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 Brazil</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System-wide total</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80" w:type="dxa"/>
            <w:vAlign w:val="bottom"/>
            <w:tcBorders>
              <w:top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6"/>
              </w:rPr>
              <w:t>(9)</w:t>
            </w: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System-wide total - Company-owned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6"/>
              </w:rPr>
              <w:t>(4)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10"/>
        </w:trPr>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System-wide total - Franchised</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6"/>
              </w:rPr>
              <w:t>(5)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restaurant counts for Brazil, are reported as of November 30, 2024 to correspond with the balance sheet date of this subsidiary.</w:t>
      </w:r>
    </w:p>
    <w:p>
      <w:pPr>
        <w:spacing w:after="0" w:line="5" w:lineRule="exact"/>
        <w:rPr>
          <w:rFonts w:ascii="Times New Roman" w:cs="Times New Roman" w:eastAsia="Times New Roman" w:hAnsi="Times New Roman"/>
          <w:sz w:val="16"/>
          <w:szCs w:val="16"/>
          <w:color w:val="auto"/>
        </w:rPr>
      </w:pPr>
    </w:p>
    <w:p>
      <w:pPr>
        <w:ind w:left="660" w:hanging="652"/>
        <w:spacing w:after="0" w:line="275"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close of the sale of our Brazil operations on December 30, 2024, all restaurants in that market operate as unconsolidated franchisees and the related store count is no longer reported on a one-month lag.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6"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TABLE EIGHT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BLOOMIN’ BRANDS,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COMPARABLE RESTAURANT SALES INFORMATION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40" w:type="dxa"/>
            <w:vAlign w:val="bottom"/>
            <w:tcBorders>
              <w:top w:val="single" w:sz="8" w:color="auto"/>
            </w:tcBorders>
          </w:tcPr>
          <w:p>
            <w:pPr>
              <w:spacing w:after="0"/>
              <w:rPr>
                <w:sz w:val="18"/>
                <w:szCs w:val="18"/>
                <w:color w:val="auto"/>
              </w:rPr>
            </w:pPr>
          </w:p>
        </w:tc>
        <w:tc>
          <w:tcPr>
            <w:tcW w:w="3300" w:type="dxa"/>
            <w:vAlign w:val="bottom"/>
            <w:tcBorders>
              <w:top w:val="single" w:sz="8" w:color="auto"/>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09"/>
        </w:trPr>
        <w:tc>
          <w:tcPr>
            <w:tcW w:w="7940" w:type="dxa"/>
            <w:vAlign w:val="bottom"/>
          </w:tcPr>
          <w:p>
            <w:pPr>
              <w:spacing w:after="0"/>
              <w:rPr>
                <w:sz w:val="18"/>
                <w:szCs w:val="18"/>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16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over year percentage change:</w:t>
            </w: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Comparable restaurant sales (restaurants open 18 months or more):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(1)</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73"/>
        </w:trPr>
        <w:tc>
          <w:tcPr>
            <w:tcW w:w="79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Traffic:</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73"/>
        </w:trPr>
        <w:tc>
          <w:tcPr>
            <w:tcW w:w="79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Average check per person (2):</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Outback Steakhouse</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Carrabba’s Italian Grill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Bonefish Grill</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Fleming’s Prime Steakhouse &amp; Wine Bar</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0"/>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Combined U.S.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23"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Relocated restaurants closed more than 60 days are excluded from comparable restaurant sales until at least 18 months after reopening.</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impact of menu pricing changes, product mix and discounts.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Bloomin’ Brands, Inc.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1240"/>
      </w:cols>
      <w:pgMar w:left="320" w:top="9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lvl w:ilvl="1">
      <w:lvlJc w:val="left"/>
      <w:lvlText w:val="(%2)"/>
      <w:numFmt w:val="lowerLetter"/>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2025-05-07T06:17:26Z</dcterms:created>
  <dcterms:modified xsi:type="dcterms:W3CDTF">2025-05-07T06:17:26Z</dcterms:modified>
</cp:coreProperties>
</file>