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414"/>
        <w:gridCol w:w="363"/>
        <w:gridCol w:w="365"/>
        <w:gridCol w:w="959"/>
        <w:gridCol w:w="959"/>
        <w:gridCol w:w="959"/>
        <w:gridCol w:w="959"/>
        <w:gridCol w:w="959"/>
        <w:gridCol w:w="959"/>
        <w:gridCol w:w="959"/>
        <w:gridCol w:w="959"/>
        <w:gridCol w:w="1391"/>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(Mark One)</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QUARTERLY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quarterly period ended March 30,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or</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For the transition period from ______ to ______</w:t>
            </w:r>
          </w:p>
        </w:tc>
      </w:tr>
    </w:tbl>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Commission File Number: 001-35625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BLOOMIN’ BRANDS, INC.</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20-8023465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2202 North West Shore Boulevard, Suite 500, Tampa, FL 33607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(813) 282-1225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N/A</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016" w:type="dxa"/>
        <w:jc w:val="center"/>
        <w:tblInd w:w="0" w:type="dxa"/>
        <w:tblLayout w:type="fixed"/>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Common Stock</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Large accelerated filer </w:t>
      </w:r>
      <w:r>
        <w:rPr>
          <w:color w:val="000000"/>
        </w:rPr>
        <w:t xml:space="preserve">☒ </w:t>
      </w:r>
      <w:r>
        <w:rPr>
          <w:rFonts w:ascii="Times New Roman;sans-serif" w:hAnsi="Times New Roman;sans-serif"/>
          <w:b w:val="false"/>
          <w:color w:val="000000"/>
          <w:sz w:val="20"/>
        </w:rPr>
        <w:t>Accelerated filer</w:t>
      </w:r>
      <w:r>
        <w:rPr>
          <w:color w:val="000000"/>
        </w:rPr>
        <w:t xml:space="preserve"> ☐ </w:t>
      </w:r>
      <w:r>
        <w:rPr>
          <w:rFonts w:ascii="Times New Roman;sans-serif" w:hAnsi="Times New Roman;sans-serif"/>
          <w:b w:val="false"/>
          <w:color w:val="000000"/>
          <w:sz w:val="20"/>
        </w:rPr>
        <w:t xml:space="preserve">Non-accelerated filer </w:t>
      </w:r>
      <w:r>
        <w:rPr>
          <w:color w:val="000000"/>
        </w:rPr>
        <w:t>☐</w:t>
      </w:r>
    </w:p>
    <w:p>
      <w:pPr>
        <w:pStyle w:val="TextBody"/>
        <w:bidi w:val="0"/>
        <w:spacing w:lineRule="auto" w:line="288" w:before="0" w:after="0"/>
        <w:jc w:val="center"/>
        <w:rPr/>
      </w:pPr>
      <w:r>
        <w:rPr>
          <w:rFonts w:ascii="Times New Roman;sans-serif" w:hAnsi="Times New Roman;sans-serif"/>
          <w:b w:val="false"/>
          <w:color w:val="000000"/>
          <w:sz w:val="20"/>
        </w:rPr>
        <w:t xml:space="preserve">Smaller reporting company </w:t>
      </w:r>
      <w:r>
        <w:rPr>
          <w:color w:val="000000"/>
        </w:rPr>
        <w:t xml:space="preserve">☐ </w:t>
      </w:r>
      <w:r>
        <w:rPr>
          <w:rFonts w:ascii="Times New Roman;sans-serif" w:hAnsi="Times New Roman;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May 5, 2025, 85,061,349 shares of common stock of the registrant were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INDEX TO QUARTERLY REPORT ON FORM 10-Q</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For the Quarterly Period Ended March 30, 2025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(Unaudited)</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39"/>
        <w:gridCol w:w="297"/>
        <w:gridCol w:w="300"/>
        <w:gridCol w:w="2757"/>
        <w:gridCol w:w="2757"/>
        <w:gridCol w:w="2760"/>
        <w:gridCol w:w="290"/>
        <w:gridCol w:w="290"/>
        <w:gridCol w:w="415"/>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13">
              <w:r>
                <w:rPr>
                  <w:rStyle w:val="InternetLink"/>
                  <w:rFonts w:ascii="Times New Roman;sans-serif" w:hAnsi="Times New Roman;sans-serif"/>
                  <w:b w:val="false"/>
                  <w:color w:val="0000FF"/>
                  <w:sz w:val="22"/>
                  <w:u w:val="single"/>
                </w:rPr>
                <w:t>PART I — FINANCIAL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Page No.</w:t>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f8d64f4349426bb6089f20c9056705_16">
              <w:r>
                <w:rPr>
                  <w:rStyle w:val="InternetLink"/>
                  <w:rFonts w:ascii="Times New Roman;sans-serif" w:hAnsi="Times New Roman;sans-serif"/>
                  <w:b w:val="false"/>
                  <w:color w:val="0000FF"/>
                  <w:sz w:val="22"/>
                  <w:u w:val="single"/>
                </w:rPr>
                <w:t>Financial Statements (Unaudited)</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16">
              <w:r>
                <w:rPr>
                  <w:rStyle w:val="InternetLink"/>
                  <w:rFonts w:ascii="Times New Roman;sans-serif" w:hAnsi="Times New Roman;sans-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f8d64f4349426bb6089f20c9056705_16">
              <w:r>
                <w:rPr>
                  <w:rStyle w:val="InternetLink"/>
                  <w:rFonts w:ascii="Times New Roman;sans-serif" w:hAnsi="Times New Roman;sans-serif"/>
                  <w:b w:val="false"/>
                  <w:color w:val="0000FF"/>
                  <w:sz w:val="22"/>
                  <w:u w:val="single"/>
                </w:rPr>
                <w:t>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f8d64f4349426bb6089f20c9056705_19">
              <w:r>
                <w:rPr>
                  <w:rStyle w:val="InternetLink"/>
                  <w:rFonts w:ascii="Times New Roman;sans-serif" w:hAnsi="Times New Roman;sans-serif"/>
                  <w:b w:val="false"/>
                  <w:color w:val="000080"/>
                  <w:sz w:val="22"/>
                  <w:u w:val="single"/>
                </w:rPr>
                <w:t xml:space="preserve">Consolidated Balance Sheets — </w:t>
              </w:r>
            </w:hyperlink>
            <w:hyperlink w:anchor="i67f8d64f4349426bb6089f20c9056705_19">
              <w:r>
                <w:rPr>
                  <w:rStyle w:val="InternetLink"/>
                  <w:rFonts w:ascii="Times New Roman;sans-serif" w:hAnsi="Times New Roman;sans-serif"/>
                  <w:b w:val="false"/>
                  <w:color w:val="000080"/>
                  <w:sz w:val="22"/>
                  <w:u w:val="single"/>
                </w:rPr>
                <w:t>March 30, 2025</w:t>
              </w:r>
            </w:hyperlink>
            <w:hyperlink w:anchor="i67f8d64f4349426bb6089f20c9056705_19">
              <w:r>
                <w:rPr>
                  <w:rStyle w:val="InternetLink"/>
                  <w:rFonts w:ascii="Times New Roman;sans-serif" w:hAnsi="Times New Roman;sans-serif"/>
                  <w:b w:val="false"/>
                  <w:color w:val="000080"/>
                  <w:sz w:val="22"/>
                  <w:u w:val="single"/>
                </w:rPr>
                <w:t xml:space="preserve"> and Decembe</w:t>
              </w:r>
            </w:hyperlink>
            <w:hyperlink w:anchor="i67f8d64f4349426bb6089f20c9056705_19">
              <w:r>
                <w:rPr>
                  <w:rStyle w:val="InternetLink"/>
                  <w:rFonts w:ascii="Times New Roman;sans-serif" w:hAnsi="Times New Roman;sans-serif"/>
                  <w:b w:val="false"/>
                  <w:color w:val="000080"/>
                  <w:sz w:val="22"/>
                  <w:u w:val="single"/>
                </w:rPr>
                <w:t>r 29, 2024</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19">
              <w:r>
                <w:rPr>
                  <w:rStyle w:val="InternetLink"/>
                  <w:rFonts w:ascii="Times New Roman;sans-serif" w:hAnsi="Times New Roman;sans-serif"/>
                  <w:b w:val="false"/>
                  <w:color w:val="0000FF"/>
                  <w:sz w:val="22"/>
                  <w:u w:val="single"/>
                </w:rPr>
                <w:t>3</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f8d64f4349426bb6089f20c9056705_22">
              <w:r>
                <w:rPr>
                  <w:rStyle w:val="InternetLink"/>
                  <w:rFonts w:ascii="Times New Roman;sans-serif" w:hAnsi="Times New Roman;sans-serif"/>
                  <w:b w:val="false"/>
                  <w:color w:val="000080"/>
                  <w:sz w:val="22"/>
                  <w:u w:val="single"/>
                </w:rPr>
                <w:t>Consolidated Statements of Operations and Comprehensive</w:t>
              </w:r>
            </w:hyperlink>
            <w:hyperlink w:anchor="i67f8d64f4349426bb6089f20c9056705_22">
              <w:r>
                <w:rPr>
                  <w:rStyle w:val="InternetLink"/>
                  <w:rFonts w:ascii="Times New Roman;sans-serif" w:hAnsi="Times New Roman;sans-serif"/>
                  <w:b w:val="false"/>
                  <w:color w:val="000080"/>
                  <w:sz w:val="22"/>
                  <w:u w:val="single"/>
                </w:rPr>
                <w:t xml:space="preserve"> Income</w:t>
              </w:r>
            </w:hyperlink>
            <w:hyperlink w:anchor="i67f8d64f4349426bb6089f20c9056705_22">
              <w:r>
                <w:rPr>
                  <w:rStyle w:val="InternetLink"/>
                  <w:rFonts w:ascii="Times New Roman;sans-serif" w:hAnsi="Times New Roman;sans-serif"/>
                  <w:b w:val="false"/>
                  <w:color w:val="000080"/>
                  <w:sz w:val="22"/>
                  <w:u w:val="single"/>
                </w:rPr>
                <w:t xml:space="preserve"> (Loss)</w:t>
              </w:r>
            </w:hyperlink>
            <w:hyperlink w:anchor="i67f8d64f4349426bb6089f20c9056705_22">
              <w:r>
                <w:rPr>
                  <w:rStyle w:val="InternetLink"/>
                  <w:rFonts w:ascii="Times New Roman;sans-serif" w:hAnsi="Times New Roman;sans-serif"/>
                  <w:b w:val="false"/>
                  <w:color w:val="000080"/>
                  <w:sz w:val="22"/>
                  <w:u w:val="single"/>
                </w:rPr>
                <w:t xml:space="preserve"> —</w:t>
              </w:r>
            </w:hyperlink>
          </w:p>
          <w:p>
            <w:pPr>
              <w:pStyle w:val="TableContents"/>
              <w:bidi w:val="0"/>
              <w:spacing w:lineRule="auto" w:line="240" w:before="0" w:after="0"/>
              <w:jc w:val="left"/>
              <w:rPr/>
            </w:pPr>
            <w:hyperlink w:anchor="i67f8d64f4349426bb6089f20c9056705_22">
              <w:r>
                <w:rPr>
                  <w:rStyle w:val="InternetLink"/>
                  <w:rFonts w:ascii="Times New Roman;sans-serif" w:hAnsi="Times New Roman;sans-serif"/>
                  <w:b w:val="false"/>
                  <w:color w:val="000080"/>
                  <w:sz w:val="22"/>
                  <w:u w:val="single"/>
                </w:rPr>
                <w:t>For the Thirteen</w:t>
              </w:r>
            </w:hyperlink>
            <w:hyperlink w:anchor="i67f8d64f4349426bb6089f20c9056705_22">
              <w:r>
                <w:rPr>
                  <w:rStyle w:val="InternetLink"/>
                  <w:rFonts w:ascii="Times New Roman;sans-serif" w:hAnsi="Times New Roman;sans-serif"/>
                  <w:b w:val="false"/>
                  <w:color w:val="000080"/>
                  <w:sz w:val="22"/>
                  <w:u w:val="single"/>
                </w:rPr>
                <w:t xml:space="preserve"> </w:t>
              </w:r>
            </w:hyperlink>
            <w:hyperlink w:anchor="i67f8d64f4349426bb6089f20c9056705_22">
              <w:r>
                <w:rPr>
                  <w:rStyle w:val="InternetLink"/>
                  <w:rFonts w:ascii="Times New Roman;sans-serif" w:hAnsi="Times New Roman;sans-serif"/>
                  <w:b w:val="false"/>
                  <w:color w:val="000080"/>
                  <w:sz w:val="22"/>
                  <w:u w:val="single"/>
                </w:rPr>
                <w:t>Weeks Ended</w:t>
              </w:r>
            </w:hyperlink>
            <w:hyperlink w:anchor="i67f8d64f4349426bb6089f20c9056705_22">
              <w:r>
                <w:rPr>
                  <w:rStyle w:val="InternetLink"/>
                  <w:rFonts w:ascii="Times New Roman;sans-serif" w:hAnsi="Times New Roman;sans-serif"/>
                  <w:b w:val="false"/>
                  <w:color w:val="000080"/>
                  <w:sz w:val="22"/>
                  <w:u w:val="single"/>
                </w:rPr>
                <w:t xml:space="preserve"> March 30, 2025 and March 31, 2024</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22">
              <w:r>
                <w:rPr>
                  <w:rStyle w:val="InternetLink"/>
                  <w:rFonts w:ascii="Times New Roman;sans-serif" w:hAnsi="Times New Roman;sans-serif"/>
                  <w:b w:val="false"/>
                  <w:color w:val="0000FF"/>
                  <w:sz w:val="22"/>
                  <w:u w:val="single"/>
                </w:rPr>
                <w:t>4</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f8d64f4349426bb6089f20c9056705_25">
              <w:r>
                <w:rPr>
                  <w:rStyle w:val="InternetLink"/>
                  <w:rFonts w:ascii="Times New Roman;sans-serif" w:hAnsi="Times New Roman;sans-serif"/>
                  <w:b w:val="false"/>
                  <w:color w:val="0000FF"/>
                  <w:sz w:val="22"/>
                  <w:u w:val="single"/>
                </w:rPr>
                <w:t>Consolidated Statements of Changes in Stockholders’ Equity —</w:t>
              </w:r>
            </w:hyperlink>
          </w:p>
          <w:p>
            <w:pPr>
              <w:pStyle w:val="TableContents"/>
              <w:bidi w:val="0"/>
              <w:spacing w:lineRule="auto" w:line="240" w:before="0" w:after="0"/>
              <w:jc w:val="left"/>
              <w:rPr/>
            </w:pPr>
            <w:hyperlink w:anchor="i67f8d64f4349426bb6089f20c9056705_25">
              <w:r>
                <w:rPr>
                  <w:rStyle w:val="InternetLink"/>
                  <w:rFonts w:ascii="Times New Roman;sans-serif" w:hAnsi="Times New Roman;sans-serif"/>
                  <w:b w:val="false"/>
                  <w:color w:val="000080"/>
                  <w:sz w:val="22"/>
                  <w:u w:val="single"/>
                </w:rPr>
                <w:t xml:space="preserve">For the Thirteen </w:t>
              </w:r>
            </w:hyperlink>
            <w:hyperlink w:anchor="i67f8d64f4349426bb6089f20c9056705_25">
              <w:r>
                <w:rPr>
                  <w:rStyle w:val="InternetLink"/>
                  <w:rFonts w:ascii="Times New Roman;sans-serif" w:hAnsi="Times New Roman;sans-serif"/>
                  <w:b w:val="false"/>
                  <w:color w:val="000080"/>
                  <w:sz w:val="22"/>
                  <w:u w:val="single"/>
                </w:rPr>
                <w:t xml:space="preserve">Weeks Ended </w:t>
              </w:r>
            </w:hyperlink>
            <w:hyperlink w:anchor="i67f8d64f4349426bb6089f20c9056705_25">
              <w:r>
                <w:rPr>
                  <w:rStyle w:val="InternetLink"/>
                  <w:rFonts w:ascii="Times New Roman;sans-serif" w:hAnsi="Times New Roman;sans-serif"/>
                  <w:b w:val="false"/>
                  <w:color w:val="000080"/>
                  <w:sz w:val="22"/>
                  <w:u w:val="single"/>
                </w:rPr>
                <w:t>M</w:t>
              </w:r>
            </w:hyperlink>
            <w:hyperlink w:anchor="i67f8d64f4349426bb6089f20c9056705_25">
              <w:r>
                <w:rPr>
                  <w:rStyle w:val="InternetLink"/>
                  <w:rFonts w:ascii="Times New Roman;sans-serif" w:hAnsi="Times New Roman;sans-serif"/>
                  <w:b w:val="false"/>
                  <w:color w:val="000080"/>
                  <w:sz w:val="22"/>
                  <w:u w:val="single"/>
                </w:rPr>
                <w:t>arch 30, 2025 and March 31</w:t>
              </w:r>
            </w:hyperlink>
            <w:hyperlink w:anchor="i67f8d64f4349426bb6089f20c9056705_25">
              <w:r>
                <w:rPr>
                  <w:rStyle w:val="InternetLink"/>
                  <w:rFonts w:ascii="Times New Roman;sans-serif" w:hAnsi="Times New Roman;sans-serif"/>
                  <w:b w:val="false"/>
                  <w:color w:val="000080"/>
                  <w:sz w:val="22"/>
                  <w:u w:val="single"/>
                </w:rPr>
                <w:t>, 2024</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25">
              <w:r>
                <w:rPr>
                  <w:rStyle w:val="InternetLink"/>
                  <w:rFonts w:ascii="Times New Roman;sans-serif" w:hAnsi="Times New Roman;sans-serif"/>
                  <w:b w:val="false"/>
                  <w:color w:val="0000FF"/>
                  <w:sz w:val="22"/>
                  <w:u w:val="single"/>
                </w:rPr>
                <w:t>5</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f8d64f4349426bb6089f20c9056705_28">
              <w:r>
                <w:rPr>
                  <w:rStyle w:val="InternetLink"/>
                  <w:rFonts w:ascii="Times New Roman;sans-serif" w:hAnsi="Times New Roman;sans-serif"/>
                  <w:b w:val="false"/>
                  <w:color w:val="0000FF"/>
                  <w:sz w:val="22"/>
                  <w:u w:val="single"/>
                </w:rPr>
                <w:t>Condensed Consolidated Statements of Cash Flows —</w:t>
              </w:r>
            </w:hyperlink>
          </w:p>
          <w:p>
            <w:pPr>
              <w:pStyle w:val="TableContents"/>
              <w:bidi w:val="0"/>
              <w:spacing w:lineRule="auto" w:line="240" w:before="0" w:after="0"/>
              <w:jc w:val="left"/>
              <w:rPr/>
            </w:pPr>
            <w:hyperlink w:anchor="i67f8d64f4349426bb6089f20c9056705_28">
              <w:r>
                <w:rPr>
                  <w:rStyle w:val="InternetLink"/>
                  <w:rFonts w:ascii="Times New Roman;sans-serif" w:hAnsi="Times New Roman;sans-serif"/>
                  <w:b w:val="false"/>
                  <w:color w:val="000080"/>
                  <w:sz w:val="22"/>
                  <w:u w:val="single"/>
                </w:rPr>
                <w:t xml:space="preserve">For the </w:t>
              </w:r>
            </w:hyperlink>
            <w:hyperlink w:anchor="i67f8d64f4349426bb6089f20c9056705_28">
              <w:r>
                <w:rPr>
                  <w:rStyle w:val="InternetLink"/>
                  <w:rFonts w:ascii="Times New Roman;sans-serif" w:hAnsi="Times New Roman;sans-serif"/>
                  <w:b w:val="false"/>
                  <w:color w:val="000080"/>
                  <w:sz w:val="22"/>
                  <w:u w:val="single"/>
                </w:rPr>
                <w:t>Thirteen</w:t>
              </w:r>
            </w:hyperlink>
            <w:hyperlink w:anchor="i67f8d64f4349426bb6089f20c9056705_28">
              <w:r>
                <w:rPr>
                  <w:rStyle w:val="InternetLink"/>
                  <w:rFonts w:ascii="Times New Roman;sans-serif" w:hAnsi="Times New Roman;sans-serif"/>
                  <w:b w:val="false"/>
                  <w:color w:val="000080"/>
                  <w:sz w:val="22"/>
                  <w:u w:val="single"/>
                </w:rPr>
                <w:t xml:space="preserve"> Weeks Ended</w:t>
              </w:r>
            </w:hyperlink>
            <w:hyperlink w:anchor="i67f8d64f4349426bb6089f20c9056705_28">
              <w:r>
                <w:rPr>
                  <w:rStyle w:val="InternetLink"/>
                  <w:rFonts w:ascii="Times New Roman;sans-serif" w:hAnsi="Times New Roman;sans-serif"/>
                  <w:b w:val="false"/>
                  <w:color w:val="000080"/>
                  <w:sz w:val="22"/>
                  <w:u w:val="single"/>
                </w:rPr>
                <w:t xml:space="preserve"> March 30, 2025 and March 31, 2024</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28">
              <w:r>
                <w:rPr>
                  <w:rStyle w:val="InternetLink"/>
                  <w:rFonts w:ascii="Times New Roman;sans-serif" w:hAnsi="Times New Roman;sans-serif"/>
                  <w:b w:val="false"/>
                  <w:color w:val="0000FF"/>
                  <w:sz w:val="22"/>
                  <w:u w:val="single"/>
                </w:rPr>
                <w:t>6</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f8d64f4349426bb6089f20c9056705_34">
              <w:r>
                <w:rPr>
                  <w:rStyle w:val="InternetLink"/>
                  <w:rFonts w:ascii="Times New Roman;sans-serif" w:hAnsi="Times New Roman;sans-serif"/>
                  <w:b w:val="false"/>
                  <w:color w:val="0000FF"/>
                  <w:sz w:val="22"/>
                  <w:u w:val="single"/>
                </w:rPr>
                <w:t>Notes to Consolidated Financial Statements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34">
              <w:r>
                <w:rPr>
                  <w:rStyle w:val="InternetLink"/>
                  <w:rFonts w:ascii="Times New Roman;sans-serif" w:hAnsi="Times New Roman;sans-serif"/>
                  <w:b w:val="false"/>
                  <w:color w:val="0000FF"/>
                  <w:sz w:val="22"/>
                  <w:u w:val="single"/>
                </w:rPr>
                <w:t>8</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7f8d64f4349426bb6089f20c9056705_109">
              <w:r>
                <w:rPr>
                  <w:rStyle w:val="InternetLink"/>
                  <w:rFonts w:ascii="Times New Roman;sans-serif" w:hAnsi="Times New Roman;sans-serif"/>
                  <w:b w:val="false"/>
                  <w:color w:val="0000FF"/>
                  <w:sz w:val="22"/>
                  <w:u w:val="single"/>
                </w:rPr>
                <w:t>Management’s Discussion and Analysis of Financial Condition and Results of Operations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109">
              <w:r>
                <w:rPr>
                  <w:rStyle w:val="InternetLink"/>
                  <w:rFonts w:ascii="Times New Roman;sans-serif" w:hAnsi="Times New Roman;sans-serif"/>
                  <w:b w:val="false"/>
                  <w:color w:val="0000FF"/>
                  <w:sz w:val="22"/>
                  <w:u w:val="single"/>
                </w:rPr>
                <w:t>24</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3.</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7f8d64f4349426bb6089f20c9056705_289">
              <w:r>
                <w:rPr>
                  <w:rStyle w:val="InternetLink"/>
                  <w:rFonts w:ascii="Times New Roman;sans-serif" w:hAnsi="Times New Roman;sans-serif"/>
                  <w:b w:val="false"/>
                  <w:color w:val="0000FF"/>
                  <w:sz w:val="22"/>
                  <w:u w:val="single"/>
                </w:rPr>
                <w:t>Quantitative and Qualitative Disclosures About Market Risk</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289">
              <w:r>
                <w:rPr>
                  <w:rStyle w:val="InternetLink"/>
                  <w:rFonts w:ascii="Times New Roman;sans-serif" w:hAnsi="Times New Roman;sans-serif"/>
                  <w:b w:val="false"/>
                  <w:color w:val="0000FF"/>
                  <w:sz w:val="22"/>
                  <w:u w:val="single"/>
                </w:rPr>
                <w:t>40</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4.</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7f8d64f4349426bb6089f20c9056705_292">
              <w:r>
                <w:rPr>
                  <w:rStyle w:val="InternetLink"/>
                  <w:rFonts w:ascii="Times New Roman;sans-serif" w:hAnsi="Times New Roman;sans-serif"/>
                  <w:b w:val="false"/>
                  <w:color w:val="0000FF"/>
                  <w:sz w:val="22"/>
                  <w:u w:val="single"/>
                </w:rPr>
                <w:t>Controls and Procedures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292">
              <w:r>
                <w:rPr>
                  <w:rStyle w:val="InternetLink"/>
                  <w:rFonts w:ascii="Times New Roman;sans-serif" w:hAnsi="Times New Roman;sans-serif"/>
                  <w:b w:val="false"/>
                  <w:color w:val="0000FF"/>
                  <w:sz w:val="22"/>
                  <w:u w:val="single"/>
                </w:rPr>
                <w:t>40</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295">
              <w:r>
                <w:rPr>
                  <w:rStyle w:val="InternetLink"/>
                  <w:rFonts w:ascii="Times New Roman;sans-serif" w:hAnsi="Times New Roman;sans-serif"/>
                  <w:b w:val="false"/>
                  <w:color w:val="0000FF"/>
                  <w:sz w:val="22"/>
                  <w:u w:val="single"/>
                </w:rPr>
                <w:t>PART II — OTHER INFORMATION</w:t>
              </w:r>
            </w:hyperlink>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7f8d64f4349426bb6089f20c9056705_298">
              <w:r>
                <w:rPr>
                  <w:rStyle w:val="InternetLink"/>
                  <w:rFonts w:ascii="Times New Roman;sans-serif" w:hAnsi="Times New Roman;sans-serif"/>
                  <w:b w:val="false"/>
                  <w:color w:val="0000FF"/>
                  <w:sz w:val="22"/>
                  <w:u w:val="single"/>
                </w:rPr>
                <w:t>Legal Proceedings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298">
              <w:r>
                <w:rPr>
                  <w:rStyle w:val="InternetLink"/>
                  <w:rFonts w:ascii="Times New Roman;sans-serif" w:hAnsi="Times New Roman;sans-serif"/>
                  <w:b w:val="false"/>
                  <w:color w:val="0000FF"/>
                  <w:sz w:val="22"/>
                  <w:u w:val="single"/>
                </w:rPr>
                <w:t>41</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1A.</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7f8d64f4349426bb6089f20c9056705_301">
              <w:r>
                <w:rPr>
                  <w:rStyle w:val="InternetLink"/>
                  <w:rFonts w:ascii="Times New Roman;sans-serif" w:hAnsi="Times New Roman;sans-serif"/>
                  <w:b w:val="false"/>
                  <w:color w:val="0000FF"/>
                  <w:sz w:val="22"/>
                  <w:u w:val="single"/>
                </w:rPr>
                <w:t>Risk Factors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301">
              <w:r>
                <w:rPr>
                  <w:rStyle w:val="InternetLink"/>
                  <w:rFonts w:ascii="Times New Roman;sans-serif" w:hAnsi="Times New Roman;sans-serif"/>
                  <w:b w:val="false"/>
                  <w:color w:val="0000FF"/>
                  <w:sz w:val="22"/>
                  <w:u w:val="single"/>
                </w:rPr>
                <w:t>41</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2.</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7f8d64f4349426bb6089f20c9056705_304">
              <w:r>
                <w:rPr>
                  <w:rStyle w:val="InternetLink"/>
                  <w:rFonts w:ascii="Times New Roman;sans-serif" w:hAnsi="Times New Roman;sans-serif"/>
                  <w:b w:val="false"/>
                  <w:color w:val="0000FF"/>
                  <w:sz w:val="22"/>
                  <w:u w:val="single"/>
                </w:rPr>
                <w:t>Unregistered Sales of Equity Securities and Use of Proceeds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304">
              <w:r>
                <w:rPr>
                  <w:rStyle w:val="InternetLink"/>
                  <w:rFonts w:ascii="Times New Roman;sans-serif" w:hAnsi="Times New Roman;sans-serif"/>
                  <w:b w:val="false"/>
                  <w:color w:val="0000FF"/>
                  <w:sz w:val="22"/>
                  <w:u w:val="single"/>
                </w:rPr>
                <w:t>41</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5.</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7f8d64f4349426bb6089f20c9056705_307">
              <w:r>
                <w:rPr>
                  <w:rStyle w:val="InternetLink"/>
                  <w:rFonts w:ascii="Times New Roman;sans-serif" w:hAnsi="Times New Roman;sans-serif"/>
                  <w:b w:val="false"/>
                  <w:color w:val="0000FF"/>
                  <w:sz w:val="22"/>
                  <w:u w:val="single"/>
                </w:rPr>
                <w:t>Other Information</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307">
              <w:r>
                <w:rPr>
                  <w:rStyle w:val="InternetLink"/>
                  <w:rFonts w:ascii="Times New Roman;sans-serif" w:hAnsi="Times New Roman;sans-serif"/>
                  <w:b w:val="false"/>
                  <w:color w:val="0000FF"/>
                  <w:sz w:val="22"/>
                  <w:u w:val="single"/>
                </w:rPr>
                <w:t>41</w:t>
              </w:r>
            </w:hyperlink>
          </w:p>
        </w:tc>
      </w:tr>
      <w:tr>
        <w:trPr/>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Item 6.</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7f8d64f4349426bb6089f20c9056705_319">
              <w:r>
                <w:rPr>
                  <w:rStyle w:val="InternetLink"/>
                  <w:rFonts w:ascii="Times New Roman;sans-serif" w:hAnsi="Times New Roman;sans-serif"/>
                  <w:b w:val="false"/>
                  <w:color w:val="0000FF"/>
                  <w:sz w:val="22"/>
                  <w:u w:val="single"/>
                </w:rPr>
                <w:t>Exhibits</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319">
              <w:r>
                <w:rPr>
                  <w:rStyle w:val="InternetLink"/>
                  <w:rFonts w:ascii="Times New Roman;sans-serif" w:hAnsi="Times New Roman;sans-serif"/>
                  <w:b w:val="false"/>
                  <w:color w:val="0000FF"/>
                  <w:sz w:val="22"/>
                  <w:u w:val="single"/>
                </w:rPr>
                <w:t>42</w:t>
              </w:r>
            </w:hyperlink>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7f8d64f4349426bb6089f20c9056705_322">
              <w:r>
                <w:rPr>
                  <w:rStyle w:val="InternetLink"/>
                  <w:rFonts w:ascii="Times New Roman;sans-serif" w:hAnsi="Times New Roman;sans-serif"/>
                  <w:b w:val="false"/>
                  <w:color w:val="0000FF"/>
                  <w:sz w:val="22"/>
                  <w:u w:val="single"/>
                </w:rPr>
                <w:t>Signature</w:t>
              </w:r>
            </w:hyperlink>
          </w:p>
        </w:tc>
        <w:tc>
          <w:tcPr>
            <w:tcW w:w="99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7f8d64f4349426bb6089f20c9056705_322">
              <w:r>
                <w:rPr>
                  <w:rStyle w:val="InternetLink"/>
                  <w:rFonts w:ascii="Times New Roman;sans-serif" w:hAnsi="Times New Roman;sans-serif"/>
                  <w:b w:val="false"/>
                  <w:color w:val="0000FF"/>
                  <w:sz w:val="22"/>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2"/>
        </w:rPr>
      </w:pPr>
      <w:bookmarkStart w:id="1" w:name="i8fbbe2f1ce8a4978b09d8d66619a7396_96"/>
      <w:bookmarkEnd w:id="1"/>
      <w:r>
        <w:rPr>
          <w:rFonts w:ascii="Times New Roman;sans-serif" w:hAnsi="Times New Roman;sans-serif"/>
          <w:b/>
          <w:color w:val="000000"/>
          <w:sz w:val="22"/>
        </w:rPr>
        <w:t>CONSOLIDATED BALANCE SHEETS</w:t>
      </w:r>
    </w:p>
    <w:p>
      <w:pPr>
        <w:pStyle w:val="TextBody"/>
        <w:bidi w:val="0"/>
        <w:spacing w:lineRule="auto" w:line="288" w:before="0" w:after="0"/>
        <w:jc w:val="center"/>
        <w:rPr/>
      </w:pPr>
      <w:r>
        <w:rPr>
          <w:rFonts w:ascii="Times New Roman;sans-serif" w:hAnsi="Times New Roman;sans-serif"/>
          <w:b/>
          <w:color w:val="000000"/>
          <w:sz w:val="18"/>
        </w:rPr>
        <w:t>(IN THOUSANDS, EXCEPT SHARE AND PER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853"/>
        <w:gridCol w:w="2120"/>
        <w:gridCol w:w="2133"/>
        <w:gridCol w:w="215"/>
        <w:gridCol w:w="959"/>
        <w:gridCol w:w="119"/>
        <w:gridCol w:w="109"/>
        <w:gridCol w:w="109"/>
        <w:gridCol w:w="109"/>
        <w:gridCol w:w="236"/>
        <w:gridCol w:w="1052"/>
        <w:gridCol w:w="191"/>
      </w:tblGrid>
      <w:tr>
        <w:trPr/>
        <w:tc>
          <w:tcPr>
            <w:tcW w:w="2853"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7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29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158,775 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of discontinued operations held for sale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7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318,881 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320,519 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951,544 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948,521 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1,031,937 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1,012,857 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428,135 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429,091 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assets,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 of discontinued operations held for sale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200,501 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3,305,370 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3,384,805 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806" w:type="dxa"/>
            <w:gridSpan w:val="6"/>
            <w:tcBorders/>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12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158,806 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of discontinued operations held for sale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87,956 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778,465 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952,336 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1,095,873 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1,088,518 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liabilities,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917,610 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1,027,398 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93,420 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 of discontinued operations held for sale</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2,920,520 </w:t>
            </w:r>
          </w:p>
        </w:tc>
        <w:tc>
          <w:tcPr>
            <w:tcW w:w="1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3,245,359 </w:t>
            </w:r>
          </w:p>
        </w:tc>
        <w:tc>
          <w:tcPr>
            <w:tcW w:w="1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15)</w:t>
            </w:r>
          </w:p>
        </w:tc>
        <w:tc>
          <w:tcPr>
            <w:tcW w:w="129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Bloomin’ Brands stockholders’ equity</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25,000,000 shares authorized; no shares issued and outstanding as of March 30, 2025 and December 29, 2024</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475,000,000 shares authorized; 84,987,054 and 84,854,768 shares issued and outstanding as of March 30, 2025 and December 29, 2024, respectively</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1,261,204 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1,273,288 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(883,682)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(925,834)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Bloomin’ Brands stockholders’ equity</w:t>
            </w:r>
          </w:p>
        </w:tc>
        <w:tc>
          <w:tcPr>
            <w:tcW w:w="117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380,597 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135,510 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7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384,850 </w:t>
            </w:r>
          </w:p>
        </w:tc>
        <w:tc>
          <w:tcPr>
            <w:tcW w:w="1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139,446 </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1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3,305,370 </w:t>
            </w:r>
          </w:p>
        </w:tc>
        <w:tc>
          <w:tcPr>
            <w:tcW w:w="1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3,384,805 </w:t>
            </w:r>
          </w:p>
        </w:tc>
        <w:tc>
          <w:tcPr>
            <w:tcW w:w="1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 (LOSS)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248"/>
        <w:gridCol w:w="1931"/>
        <w:gridCol w:w="1942"/>
        <w:gridCol w:w="109"/>
        <w:gridCol w:w="109"/>
        <w:gridCol w:w="164"/>
        <w:gridCol w:w="164"/>
        <w:gridCol w:w="295"/>
        <w:gridCol w:w="1315"/>
        <w:gridCol w:w="164"/>
        <w:gridCol w:w="109"/>
        <w:gridCol w:w="109"/>
        <w:gridCol w:w="109"/>
        <w:gridCol w:w="230"/>
        <w:gridCol w:w="1024"/>
        <w:gridCol w:w="183"/>
      </w:tblGrid>
      <w:tr>
        <w:trPr/>
        <w:tc>
          <w:tcPr>
            <w:tcW w:w="224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64" w:type="dxa"/>
            <w:gridSpan w:val="6"/>
            <w:tcBorders/>
          </w:tcPr>
          <w:p>
            <w:pPr>
              <w:pStyle w:val="TableContents"/>
              <w:bidi w:val="0"/>
              <w:spacing w:before="0" w:after="283"/>
              <w:jc w:val="left"/>
              <w:rPr>
                <w:sz w:val="4"/>
                <w:szCs w:val="4"/>
              </w:rPr>
            </w:pPr>
            <w:r>
              <w:rPr>
                <w:sz w:val="4"/>
                <w:szCs w:val="4"/>
              </w:rPr>
            </w:r>
          </w:p>
        </w:tc>
      </w:tr>
      <w:tr>
        <w:trPr/>
        <w:tc>
          <w:tcPr>
            <w:tcW w:w="6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1,029,517 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1,046,690 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1,049,594 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1,069,073 </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313,304 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315,521 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315,250 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314,718 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254,868 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59,476 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992,363 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998,156 </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57,231 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70,917 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46,044 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(78,556)</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equity method investment,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43,850 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(85,198)</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43,596 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(82,290)</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42,152 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(83,872)</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(82,290)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foreign currency translation adjustments into earnings due to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gain on derivatives,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258,614 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(83,064)</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257,170 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(84,646)</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87,024 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1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85,130 </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87,024 </w:t>
            </w:r>
          </w:p>
        </w:tc>
        <w:tc>
          <w:tcPr>
            <w:tcW w:w="1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w:t>
      </w:r>
      <w:bookmarkStart w:id="2" w:name="i47c149e2190b4b5ea75df2869f88e538_115"/>
      <w:bookmarkEnd w:id="2"/>
      <w:r>
        <w:rPr>
          <w:rFonts w:ascii="Times New Roman;sans-serif" w:hAnsi="Times New Roman;sans-serif"/>
          <w:b w:val="false"/>
          <w:color w:val="000000"/>
          <w:sz w:val="22"/>
        </w:rPr>
        <w:t>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547"/>
        <w:gridCol w:w="370"/>
        <w:gridCol w:w="269"/>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December 29, 2024</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84,855 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1,273,288 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(925,834)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(212,793)</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3,936 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139,446 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$0.15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w:t>
              <w:br/>
              <w:t>March 30, 2025</w:t>
            </w:r>
          </w:p>
        </w:tc>
        <w:tc>
          <w:tcPr>
            <w:tcW w:w="64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84,987 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1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1,261,204 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(883,682)</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2,225 </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4,253 </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384,850 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bl>
    <w:tbl>
      <w:tblPr>
        <w:tblW w:w="11601" w:type="dxa"/>
        <w:jc w:val="left"/>
        <w:tblInd w:w="0" w:type="dxa"/>
        <w:tblLayout w:type="fixed"/>
        <w:tblCellMar>
          <w:top w:w="28" w:type="dxa"/>
          <w:left w:w="28" w:type="dxa"/>
          <w:bottom w:w="28" w:type="dxa"/>
          <w:right w:w="28" w:type="dxa"/>
        </w:tblCellMar>
      </w:tblPr>
      <w:tblGrid>
        <w:gridCol w:w="547"/>
        <w:gridCol w:w="370"/>
        <w:gridCol w:w="269"/>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December 31, 2023</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86,969 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1,115,387 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(528,831)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412,003 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declared, $0.24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and retirement of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under stock plans (1)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from repurchase of convertible senior notes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convertible senior note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Retirement of warrants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w:t>
              <w:br/>
              <w:t>March 31, 2024</w:t>
            </w:r>
          </w:p>
        </w:tc>
        <w:tc>
          <w:tcPr>
            <w:tcW w:w="64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87,811 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878 </w:t>
            </w:r>
          </w:p>
        </w:tc>
        <w:tc>
          <w:tcPr>
            <w:tcW w:w="1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1,290,765 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(809,880)</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(179,078)</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2,750 </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305,435 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18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(1)Net of shares withheld for employee taxes.</w:t>
      </w:r>
    </w:p>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7"/>
        <w:gridCol w:w="2264"/>
        <w:gridCol w:w="2280"/>
        <w:gridCol w:w="249"/>
        <w:gridCol w:w="901"/>
        <w:gridCol w:w="138"/>
        <w:gridCol w:w="109"/>
        <w:gridCol w:w="109"/>
        <w:gridCol w:w="109"/>
        <w:gridCol w:w="247"/>
        <w:gridCol w:w="893"/>
        <w:gridCol w:w="199"/>
      </w:tblGrid>
      <w:tr>
        <w:trPr/>
        <w:tc>
          <w:tcPr>
            <w:tcW w:w="2707"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7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bookmarkStart w:id="3" w:name="i73c48d49c7854fe5ae06543e4f2a49c4_3-0-1-"/>
            <w:bookmarkEnd w:id="3"/>
            <w:r>
              <w:rPr>
                <w:rFonts w:ascii="Times New Roman;sans-serif" w:hAnsi="Times New Roman;sans-serif"/>
                <w:b w:val="false"/>
                <w:color w:val="000000"/>
                <w:sz w:val="18"/>
              </w:rPr>
              <w:t>Cash flows provided by operating activities:</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(82,290)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continuing operations</w:t>
            </w:r>
          </w:p>
        </w:tc>
        <w:tc>
          <w:tcPr>
            <w:tcW w:w="115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43,850 </w:t>
            </w:r>
          </w:p>
        </w:tc>
        <w:tc>
          <w:tcPr>
            <w:tcW w:w="1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(85,198)</w:t>
            </w:r>
          </w:p>
        </w:tc>
        <w:tc>
          <w:tcPr>
            <w:tcW w:w="19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(loss) from continuing operations to cash provided by operating activities of continuing operations:</w:t>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discounts and issuance costs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gift card sales commissions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foreign currency forward contracts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equity method investment, net of tax</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gain on installment receivable from sale of business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on installment receivable from sale of business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assets and liabilities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(29,365)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(46,936)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 of continuing operations</w:t>
            </w:r>
          </w:p>
        </w:tc>
        <w:tc>
          <w:tcPr>
            <w:tcW w:w="11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70,840 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66,879 </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 of discontinued operations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73,465 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73,786 </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provided by (used in) investing activities:</w:t>
            </w:r>
          </w:p>
        </w:tc>
        <w:tc>
          <w:tcPr>
            <w:tcW w:w="128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(45,771)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(53,768)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foreign currency forward contracts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received from sale, net of tax withheld and cash left in business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investments, net</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 of continuing operations</w:t>
            </w:r>
          </w:p>
        </w:tc>
        <w:tc>
          <w:tcPr>
            <w:tcW w:w="11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41,356 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(53,481)</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 of discontinued operations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39,733 </w:t>
            </w:r>
          </w:p>
        </w:tc>
        <w:tc>
          <w:tcPr>
            <w:tcW w:w="1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(64,585)</w:t>
            </w:r>
          </w:p>
        </w:tc>
        <w:tc>
          <w:tcPr>
            <w:tcW w:w="1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(DOLLARS 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13"/>
        <w:gridCol w:w="2237"/>
        <w:gridCol w:w="2255"/>
        <w:gridCol w:w="256"/>
        <w:gridCol w:w="964"/>
        <w:gridCol w:w="142"/>
        <w:gridCol w:w="109"/>
        <w:gridCol w:w="109"/>
        <w:gridCol w:w="109"/>
        <w:gridCol w:w="253"/>
        <w:gridCol w:w="954"/>
        <w:gridCol w:w="204"/>
      </w:tblGrid>
      <w:tr>
        <w:trPr/>
        <w:tc>
          <w:tcPr>
            <w:tcW w:w="2613"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7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provided by financing activities:</w:t>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 on revolving credit facilities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 on revolving credit facilities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(296,000)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long-term debt and finance lease obligations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settlements and repurchase of convertible senior notes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retirement of convertible senior note hedges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118,197 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retirement of warrants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(102,213)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taxes from share-based compensation, net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noncontrolling interests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noncontrolling interests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(232,903)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on common stock</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 of continuing operations</w:t>
            </w:r>
          </w:p>
        </w:tc>
        <w:tc>
          <w:tcPr>
            <w:tcW w:w="12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(125,175)</w:t>
            </w:r>
          </w:p>
        </w:tc>
        <w:tc>
          <w:tcPr>
            <w:tcW w:w="14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9,021 </w:t>
            </w:r>
          </w:p>
        </w:tc>
        <w:tc>
          <w:tcPr>
            <w:tcW w:w="20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 of discontinued operations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12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(125,240)</w:t>
            </w:r>
          </w:p>
        </w:tc>
        <w:tc>
          <w:tcPr>
            <w:tcW w:w="14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8,758 </w:t>
            </w:r>
          </w:p>
        </w:tc>
        <w:tc>
          <w:tcPr>
            <w:tcW w:w="20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22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14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w:t>
            </w:r>
          </w:p>
        </w:tc>
        <w:tc>
          <w:tcPr>
            <w:tcW w:w="20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12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(12,365)</w:t>
            </w:r>
          </w:p>
        </w:tc>
        <w:tc>
          <w:tcPr>
            <w:tcW w:w="14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17,291 </w:t>
            </w:r>
          </w:p>
        </w:tc>
        <w:tc>
          <w:tcPr>
            <w:tcW w:w="20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as of the beginning of the period</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114,373 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as of the end of the period</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57,691 </w:t>
            </w:r>
          </w:p>
        </w:tc>
        <w:tc>
          <w:tcPr>
            <w:tcW w:w="14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131,664 </w:t>
            </w:r>
          </w:p>
        </w:tc>
        <w:tc>
          <w:tcPr>
            <w:tcW w:w="20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cash flow information:</w:t>
            </w:r>
          </w:p>
        </w:tc>
        <w:tc>
          <w:tcPr>
            <w:tcW w:w="136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 net of refunds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disclosures of non-cash investing and financing activities:</w:t>
            </w:r>
          </w:p>
        </w:tc>
        <w:tc>
          <w:tcPr>
            <w:tcW w:w="1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operating lease liabilities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assets obtained in exchange for new finance lease liabilities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included in current liabilities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on settlement of convertible senior notes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216,152 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received and retired on exercise of call option under bond hedge upon settlement of convertible senior notes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5"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2"/>
        </w:rPr>
      </w:pPr>
      <w:bookmarkStart w:id="4" w:name="i5623291602fc4541ba582a7832d9e76e_144"/>
      <w:bookmarkEnd w:id="4"/>
      <w:r>
        <w:rPr>
          <w:rFonts w:ascii="Times New Roman;sans-serif" w:hAnsi="Times New Roman;sans-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Description of the Business - </w:t>
      </w:r>
      <w:r>
        <w:rPr>
          <w:rFonts w:ascii="Times New Roman;sans-serif" w:hAnsi="Times New Roman;sans-serif"/>
          <w:b w:val="false"/>
          <w:color w:val="000000"/>
          <w:sz w:val="22"/>
        </w:rPr>
        <w:t xml:space="preserve">Bloomin’ Brands (“Bloomin’ Brands” or the “Company”) owns and operates casual, upscale casual and fine dining restaurants. OSI Restaurant Partners, LLC (“OSI”) is the Company’s primary operating entity. The Company’s restaurant portfolio includes Outback Steakhouse, Carrabba’s Italian Grill, Bonefish Grill and Fleming’s Prime Steakhouse &amp; Wine Bar. Additional Outback Steakhouse, Carrabba’s Italian Grill and Bonefish Grill restaurants are operated under franchise agreements.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Basis of Presentation - </w:t>
      </w:r>
      <w:r>
        <w:rPr>
          <w:rFonts w:ascii="Times New Roman;sans-serif" w:hAnsi="Times New Roman;sans-serif"/>
          <w:b w:val="false"/>
          <w:color w:val="000000"/>
          <w:sz w:val="22"/>
        </w:rPr>
        <w:t>The accompanying interim unaudited condensed consolidated financial statements have been prepared by the Company pursuant to the rules and regulations of the Securities and Exchange Commission. Accordingly, they do not include all the information and footnotes required by generally accepted accounting principles in the United States (“U.S. GAAP”) for complete financial statements. In the opinion of the Company, all adjustments necessary for fair statement of results for the periods presented have been included and are of a normal, recurring nature. The results of operations for interim periods are not necessarily indicative of the results to be expected for the full year. Unless otherwise noted, disclosures within these Notes to Consolidated Financial Statements relate solely to the Company’s continuing operations. These financial statements should be read in conjunction with the audited financial statements and notes thereto included in the Company’s Annual Report on Form 10-K for the year ended December 29,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Recently Issued Financial Accounting Standards Not Yet Adopted</w:t>
      </w:r>
      <w:r>
        <w:rPr>
          <w:color w:val="000000"/>
        </w:rPr>
        <w:t xml:space="preserve"> </w:t>
      </w:r>
      <w:r>
        <w:rPr>
          <w:rFonts w:ascii="Times New Roman;sans-serif" w:hAnsi="Times New Roman;sans-serif"/>
          <w:b w:val="false"/>
          <w:color w:val="000000"/>
          <w:sz w:val="22"/>
        </w:rPr>
        <w:t>- In December 2023, the FASB issued ASU No. 2023-09, “Income Taxes (Topic 740): Improvements to Income Tax Disclosures,” (“ASU No. 2023-09”) which expands existing income tax disclosures, including disaggregation of the Company’s effective income tax rate reconciliation table and income taxes paid disclosures. ASU No. 2023-09 is effective for the Company beginning with the 2025 Form 10-K, with early adoption permitted, and may be applied either prospectively for reporting periods after the effective date or retrospectively to prior periods presented. The Company is currently evaluating the impact ASU No. 2023-09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November 2024, the FASB issued ASU No. 2024-03, “Income Statement - Reporting Comprehensive Income (Subtopic 220-40): Disaggregation of Income Statement Expenses,” (“ASU No. 2024-03”) which requires detailed disclosures in the notes to financial statements of expense categories within relevant income statement captions including purchases of inventory, employee compensation, depreciation and intangible asset amortization. ASU No. 2024-03 is effective for the Company beginning with the 2027 Form 10-K, with early adoption permitted, and may be applied either prospectively for reporting periods after the effective date or retrospectively to prior periods presented. The Company is currently evaluating the impact ASU No. 2024-03 will have on its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Recent accounting guidance not discussed herein is not applicable, did not have or is not expected to have a material impact to the Company.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Reclassifications</w:t>
      </w:r>
      <w:r>
        <w:rPr>
          <w:color w:val="000000"/>
        </w:rPr>
        <w:t xml:space="preserve"> </w:t>
      </w:r>
      <w:r>
        <w:rPr>
          <w:rFonts w:ascii="Times New Roman;sans-serif" w:hAnsi="Times New Roman;sans-serif"/>
          <w:b w:val="false"/>
          <w:color w:val="000000"/>
          <w:sz w:val="22"/>
        </w:rPr>
        <w:t>- The Company reclassified certain immaterial amounts in prior period financial statements to conform to the current period’s presentation. These reclassifications had no effect on previously reported net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2.    </w:t>
      </w:r>
      <w:bookmarkStart w:id="5" w:name="ic3c9376b16eb4c25ada14dd928d7f802_13587"/>
      <w:bookmarkEnd w:id="5"/>
      <w:r>
        <w:rPr>
          <w:rFonts w:ascii="Times New Roman;sans-serif" w:hAnsi="Times New Roman;sans-serif"/>
          <w:b w:val="false"/>
          <w:color w:val="000000"/>
          <w:sz w:val="22"/>
        </w:rPr>
        <w:t>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On December 30, 2024 (the “Closing Date”), an indirect wholly owned subsidiary of the Company (the “Seller”) completed the sale of 67% of the ownership interest in its business in Brazil (the “Disposal Group”) to a fund managed by an affiliate of Vinci Partners Investments Ltd. (the “Buyer”) (the “Brazil Sale Transaction”). Following the closing, the Brazil restaurants began operating as unconsolidated franchisees.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pPr>
      <w:r>
        <w:rPr>
          <w:rFonts w:ascii="Times New Roman;sans-serif" w:hAnsi="Times New Roman;sans-serif"/>
          <w:b w:val="false"/>
          <w:color w:val="000000"/>
          <w:sz w:val="22"/>
        </w:rPr>
        <w:t>The aggregate consideration paid to the Seller consists of 67% of the enterprise valuation of the Disposal Group in the amount of R$2.06 billion Brazilian Reais, which equals R$1.4 billion Brazilian Reais (approximately $225.3 million in U.S. Dollars based on the exchange rate on the Closing Date), subject to customary adjustments, and withholding for Brazilian taxes (the “Purchase Price”). On December 30, 2024 the Company received cash proceeds, net of withheld income taxes, of $103.9 million, in U.S. dollars based on the exchange rate on the Closing Date, representing 52% of the Purchase Price. The proceeds were applied to the Company’s revolving credit facility during the thirteen weeks ended March 30, 2025. The second installment payment, representing 48% of the Purchase Price, is due on the first anniversary of the Closing Date (based on the exchange rate on the date of payment) and will generate interest income based on the interbank deposit rate in Brazil until paid. During the thirteen weeks ended March 30, 2025 the Company recorded a pretax gain on the sale of the Disposal Group of $2.9 million</w:t>
      </w:r>
      <w:r>
        <w:rPr>
          <w:color w:val="000000"/>
        </w:rPr>
        <w:t xml:space="preserve"> </w:t>
      </w:r>
      <w:r>
        <w:rPr>
          <w:rFonts w:ascii="Times New Roman;sans-serif" w:hAnsi="Times New Roman;sans-serif"/>
          <w:b w:val="false"/>
          <w:color w:val="000000"/>
          <w:sz w:val="22"/>
        </w:rPr>
        <w:t>within Net (loss) income from discontinued operations, net of tax in its Consolidated Statements of Operations and Comprehensive Income (Loss).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sale represents a strategic shift to a primarily franchised model for the Company’s international operations. The assets and liabilities of the Disposal Group were classified as held for sale on the Company’s Consolidated Balance Sheet as of December 29, 2024. For the thirteen weeks ended March 30, 2025 and March 31, 2024, all sales, direct costs and expenses and income taxes attributable to restaurants classified as discontinued operations have been aggregated to a single caption titled (Loss) income from discontinued operations, net of tax in the Company’s Consolidated Statements of Operations and Comprehensive Income (Loss) for all periods presented.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As of the Closing Date, the fair value of the Company’s retained interest was $59.9 million based on the proportional enterprise valuation of the Disposal Group, adjusted for debt used by the Buyer to fund a portion of the Purchase Price and to be pushed down to the operating entity subsequent to the second installment payment. See Note 3 - </w:t>
      </w:r>
      <w:r>
        <w:rPr>
          <w:rFonts w:ascii="Times New Roman;sans-serif" w:hAnsi="Times New Roman;sans-serif"/>
          <w:b w:val="false"/>
          <w:i/>
          <w:color w:val="000000"/>
          <w:sz w:val="22"/>
        </w:rPr>
        <w:t xml:space="preserve">Equity Method Investment </w:t>
      </w:r>
      <w:r>
        <w:rPr>
          <w:rFonts w:ascii="Times New Roman;sans-serif" w:hAnsi="Times New Roman;sans-serif"/>
          <w:b w:val="false"/>
          <w:color w:val="000000"/>
          <w:sz w:val="22"/>
        </w:rPr>
        <w:t>for additional details regarding the Company’s retained interest in its Brazil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(Loss) income from discontinued operations, net of tax, in the Company’s Consolidated Statements of Operations and Comprehensive Income (Loss) includes the following for the periods indicated: </w:t>
      </w:r>
    </w:p>
    <w:tbl>
      <w:tblPr>
        <w:tblW w:w="7667" w:type="dxa"/>
        <w:jc w:val="center"/>
        <w:tblInd w:w="0" w:type="dxa"/>
        <w:tblLayout w:type="fixed"/>
        <w:tblCellMar>
          <w:top w:w="28" w:type="dxa"/>
          <w:left w:w="28" w:type="dxa"/>
          <w:bottom w:w="28" w:type="dxa"/>
          <w:right w:w="28" w:type="dxa"/>
        </w:tblCellMar>
      </w:tblPr>
      <w:tblGrid>
        <w:gridCol w:w="1447"/>
        <w:gridCol w:w="1276"/>
        <w:gridCol w:w="1281"/>
        <w:gridCol w:w="348"/>
        <w:gridCol w:w="883"/>
        <w:gridCol w:w="193"/>
        <w:gridCol w:w="111"/>
        <w:gridCol w:w="111"/>
        <w:gridCol w:w="111"/>
        <w:gridCol w:w="268"/>
        <w:gridCol w:w="1009"/>
        <w:gridCol w:w="148"/>
        <w:gridCol w:w="109"/>
        <w:gridCol w:w="109"/>
        <w:gridCol w:w="109"/>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132,810 </w:t>
            </w:r>
          </w:p>
        </w:tc>
        <w:tc>
          <w:tcPr>
            <w:tcW w:w="14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costs and expenses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126,574 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Brazil business (1)</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23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2,903 </w:t>
            </w:r>
          </w:p>
        </w:tc>
        <w:tc>
          <w:tcPr>
            <w:tcW w:w="19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6,236 </w:t>
            </w:r>
          </w:p>
        </w:tc>
        <w:tc>
          <w:tcPr>
            <w:tcW w:w="14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from discontinued operations, net of tax</w:t>
            </w:r>
          </w:p>
        </w:tc>
        <w:tc>
          <w:tcPr>
            <w:tcW w:w="34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9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2,908 </w:t>
            </w:r>
          </w:p>
        </w:tc>
        <w:tc>
          <w:tcPr>
            <w:tcW w:w="14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bookmarkStart w:id="6" w:name="i93d5df649ac648feb49dbda097e98954_2092"/>
      <w:bookmarkEnd w:id="6"/>
      <w:r>
        <w:rPr>
          <w:rFonts w:ascii="Times New Roman;sans-serif" w:hAnsi="Times New Roman;sans-serif"/>
          <w:b w:val="false"/>
          <w:color w:val="000000"/>
          <w:sz w:val="18"/>
        </w:rPr>
        <w:t>(1)Includes $1.6 million of foreign currency translation gains on contingent consideration assets and indemnification liabilities, as discussed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Contingent Consideration Assets and Indemnification Liabilities</w:t>
      </w:r>
      <w:r>
        <w:rPr>
          <w:color w:val="000000"/>
        </w:rPr>
        <w:t xml:space="preserve"> </w:t>
      </w:r>
      <w:r>
        <w:rPr>
          <w:rFonts w:ascii="Times New Roman;sans-serif" w:hAnsi="Times New Roman;sans-serif"/>
          <w:b w:val="false"/>
          <w:color w:val="000000"/>
          <w:sz w:val="22"/>
        </w:rPr>
        <w:t>- During the thirteen weeks ended March 30, 2025</w:t>
      </w:r>
      <w:r>
        <w:rPr>
          <w:rFonts w:ascii="Times New Roman;sans-serif" w:hAnsi="Times New Roman;sans-serif"/>
          <w:b w:val="false"/>
          <w:color w:val="000000"/>
          <w:sz w:val="18"/>
        </w:rPr>
        <w:t>,</w:t>
      </w:r>
      <w:r>
        <w:rPr>
          <w:color w:val="000000"/>
        </w:rPr>
        <w:t xml:space="preserve"> </w:t>
      </w:r>
      <w:r>
        <w:rPr>
          <w:rFonts w:ascii="Times New Roman;sans-serif" w:hAnsi="Times New Roman;sans-serif"/>
          <w:b w:val="false"/>
          <w:color w:val="000000"/>
          <w:sz w:val="22"/>
        </w:rPr>
        <w:t>the Company recognized contingent consideration assets of $29.3 million and indemnification liabilities of $6.9 million within Other assets, net and Other long-term liabilities, net, respectively, on the Company’s Consolidated Balance Sheet in connection with the</w:t>
      </w:r>
      <w:bookmarkStart w:id="7" w:name="i75a945c669ea471e8ce7833fc7f6e701_365"/>
      <w:bookmarkEnd w:id="7"/>
      <w:r>
        <w:rPr>
          <w:rFonts w:ascii="Times New Roman;sans-serif" w:hAnsi="Times New Roman;sans-serif"/>
          <w:b w:val="false"/>
          <w:color w:val="000000"/>
          <w:sz w:val="22"/>
        </w:rPr>
        <w:t xml:space="preserve"> Brazil Sale Transaction. As of March 30, 2025, the Company’s balance of contingent consideration assets and indemnification liabilities, which are denominated in Brazilian Reais, increased to $31.5 million and $7.5 million, respectively, as a result of fluctuations in foreign exchange rates. All future activity related to contingent consideration assets and indemnification liabilities, including foreign exchange gains and losses, will also be reflected in 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3.    </w:t>
      </w:r>
      <w:bookmarkStart w:id="8" w:name="i0cdec0b40cc74623b6bcf56a7cf9db19_10701"/>
      <w:bookmarkEnd w:id="8"/>
      <w:r>
        <w:rPr>
          <w:rFonts w:ascii="Times New Roman;sans-serif" w:hAnsi="Times New Roman;sans-serif"/>
          <w:b w:val="false"/>
          <w:color w:val="000000"/>
          <w:sz w:val="22"/>
        </w:rPr>
        <w:t>Equity Method Investment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Subsequent to the Brazil Sale Transaction, the Company retained a 33% interest in the franchisee of the Company’s restaurants in Brazil, which is accounted for using the equity method of accounting. To ensure timely reporting, the Company records the results of the equity method investment in Brazil on a calendar basis one-month lag.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As of March 30, 2025, the carrying value of the Company’s equity method investment was $61.8 million and is recorded in Equity method investment on its Consolidated Balance Sheet. The Company’s proportionate share of net loss from its equity interest was $1.3 million</w:t>
      </w:r>
      <w:r>
        <w:rPr>
          <w:color w:val="000000"/>
        </w:rPr>
        <w:t xml:space="preserve"> </w:t>
      </w:r>
      <w:r>
        <w:rPr>
          <w:rFonts w:ascii="Times New Roman;sans-serif" w:hAnsi="Times New Roman;sans-serif"/>
          <w:b w:val="false"/>
          <w:color w:val="000000"/>
          <w:sz w:val="22"/>
        </w:rPr>
        <w:t xml:space="preserve">for the quarter ended March 30, 2025 and is recorded within Loss from equity method investment, net of tax in the Consolidated Statements of Operations and Comprehensive Income (Loss).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4.    </w:t>
      </w:r>
      <w:bookmarkStart w:id="9" w:name="i6c7be507f0f84208848ac042521475b7_1676"/>
      <w:bookmarkEnd w:id="9"/>
      <w:r>
        <w:rPr>
          <w:rFonts w:ascii="Times New Roman;sans-serif" w:hAnsi="Times New Roman;sans-serif"/>
          <w:b w:val="false"/>
          <w:color w:val="000000"/>
          <w:sz w:val="22"/>
        </w:rPr>
        <w:t xml:space="preserve">Revenue Recognition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the disaggregation of Restaurant sales and franchise revenues by restaurant concept and segment for the periods indicated:</w:t>
      </w:r>
    </w:p>
    <w:tbl>
      <w:tblPr>
        <w:tblW w:w="10205" w:type="dxa"/>
        <w:jc w:val="left"/>
        <w:tblInd w:w="0" w:type="dxa"/>
        <w:tblLayout w:type="fixed"/>
        <w:tblCellMar>
          <w:top w:w="28" w:type="dxa"/>
          <w:left w:w="28" w:type="dxa"/>
          <w:bottom w:w="28" w:type="dxa"/>
          <w:right w:w="28" w:type="dxa"/>
        </w:tblCellMar>
      </w:tblPr>
      <w:tblGrid>
        <w:gridCol w:w="919"/>
        <w:gridCol w:w="768"/>
        <w:gridCol w:w="771"/>
        <w:gridCol w:w="270"/>
        <w:gridCol w:w="1201"/>
        <w:gridCol w:w="151"/>
        <w:gridCol w:w="109"/>
        <w:gridCol w:w="109"/>
        <w:gridCol w:w="109"/>
        <w:gridCol w:w="356"/>
        <w:gridCol w:w="1180"/>
        <w:gridCol w:w="200"/>
        <w:gridCol w:w="109"/>
        <w:gridCol w:w="109"/>
        <w:gridCol w:w="109"/>
        <w:gridCol w:w="270"/>
        <w:gridCol w:w="1201"/>
        <w:gridCol w:w="151"/>
        <w:gridCol w:w="109"/>
        <w:gridCol w:w="109"/>
        <w:gridCol w:w="109"/>
        <w:gridCol w:w="349"/>
        <w:gridCol w:w="1155"/>
        <w:gridCol w:w="282"/>
      </w:tblGrid>
      <w:tr>
        <w:trPr/>
        <w:tc>
          <w:tcPr>
            <w:tcW w:w="91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6125" w:type="dxa"/>
            <w:gridSpan w:val="18"/>
            <w:tcBorders/>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4062" w:type="dxa"/>
            <w:gridSpan w:val="12"/>
            <w:tcBorders/>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7"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FRANCHISE REVENUES</w:t>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597,481 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603,613 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184,330 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102,328 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96,162 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1,020,130 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8,935 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1,030,896 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9,254 </w:t>
            </w:r>
          </w:p>
        </w:tc>
        <w:tc>
          <w:tcPr>
            <w:tcW w:w="28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 (1)</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(2)</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8"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1,029,517 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18,240 </w:t>
            </w:r>
          </w:p>
        </w:tc>
        <w:tc>
          <w:tcPr>
            <w:tcW w:w="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1,046,690 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19,366 </w:t>
            </w:r>
          </w:p>
        </w:tc>
        <w:tc>
          <w:tcPr>
            <w:tcW w:w="28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(1)The thirteen weeks ended March 30, 2025 include intercompany royalties from Brazil prior to the sale and </w:t>
      </w:r>
      <w:bookmarkStart w:id="10" w:name="i6c7be507f0f84208848ac042521475b7_1677"/>
      <w:bookmarkEnd w:id="10"/>
      <w:r>
        <w:rPr>
          <w:rFonts w:ascii="Times New Roman;sans-serif" w:hAnsi="Times New Roman;sans-serif"/>
          <w:b w:val="false"/>
          <w:color w:val="000000"/>
          <w:sz w:val="18"/>
        </w:rPr>
        <w:t>royalties from Brazil after the sale.</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Restaurant sales for Company-owned restaurants in Hong Kong and China.</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assets and liabilities from contracts with customers included on the Company’s Consolidated Balance Sheets as of the periods indicated:</w:t>
      </w:r>
    </w:p>
    <w:tbl>
      <w:tblPr>
        <w:tblW w:w="6906" w:type="dxa"/>
        <w:jc w:val="center"/>
        <w:tblInd w:w="0" w:type="dxa"/>
        <w:tblLayout w:type="fixed"/>
        <w:tblCellMar>
          <w:top w:w="28" w:type="dxa"/>
          <w:left w:w="28" w:type="dxa"/>
          <w:bottom w:w="28" w:type="dxa"/>
          <w:right w:w="28" w:type="dxa"/>
        </w:tblCellMar>
      </w:tblPr>
      <w:tblGrid>
        <w:gridCol w:w="992"/>
        <w:gridCol w:w="875"/>
        <w:gridCol w:w="878"/>
        <w:gridCol w:w="268"/>
        <w:gridCol w:w="1008"/>
        <w:gridCol w:w="149"/>
        <w:gridCol w:w="109"/>
        <w:gridCol w:w="109"/>
        <w:gridCol w:w="109"/>
        <w:gridCol w:w="322"/>
        <w:gridCol w:w="1209"/>
        <w:gridCol w:w="17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Unearned revenue</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revenue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loyalty revenue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current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Unearned revenue</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317,671 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374,099 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franchise fees - non-current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deferred gift card sales commissions for the periods indicated:</w:t>
      </w:r>
    </w:p>
    <w:tbl>
      <w:tblPr>
        <w:tblW w:w="7939" w:type="dxa"/>
        <w:jc w:val="center"/>
        <w:tblInd w:w="0" w:type="dxa"/>
        <w:tblLayout w:type="fixed"/>
        <w:tblCellMar>
          <w:top w:w="28" w:type="dxa"/>
          <w:left w:w="28" w:type="dxa"/>
          <w:bottom w:w="28" w:type="dxa"/>
          <w:right w:w="28" w:type="dxa"/>
        </w:tblCellMar>
      </w:tblPr>
      <w:tblGrid>
        <w:gridCol w:w="1339"/>
        <w:gridCol w:w="1180"/>
        <w:gridCol w:w="1185"/>
        <w:gridCol w:w="109"/>
        <w:gridCol w:w="109"/>
        <w:gridCol w:w="207"/>
        <w:gridCol w:w="207"/>
        <w:gridCol w:w="372"/>
        <w:gridCol w:w="1227"/>
        <w:gridCol w:w="207"/>
        <w:gridCol w:w="109"/>
        <w:gridCol w:w="109"/>
        <w:gridCol w:w="109"/>
        <w:gridCol w:w="289"/>
        <w:gridCol w:w="954"/>
        <w:gridCol w:w="227"/>
      </w:tblGrid>
      <w:tr>
        <w:trPr/>
        <w:tc>
          <w:tcPr>
            <w:tcW w:w="133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18,081 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(7,498)</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 capitalization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3,914 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13,127 </w:t>
            </w:r>
          </w:p>
        </w:tc>
        <w:tc>
          <w:tcPr>
            <w:tcW w:w="20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13,520 </w:t>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rollforward of unearned gift card revenue for the periods indicated:</w:t>
      </w:r>
    </w:p>
    <w:tbl>
      <w:tblPr>
        <w:tblW w:w="6647" w:type="dxa"/>
        <w:jc w:val="center"/>
        <w:tblInd w:w="0" w:type="dxa"/>
        <w:tblLayout w:type="fixed"/>
        <w:tblCellMar>
          <w:top w:w="28" w:type="dxa"/>
          <w:left w:w="28" w:type="dxa"/>
          <w:bottom w:w="28" w:type="dxa"/>
          <w:right w:w="28" w:type="dxa"/>
        </w:tblCellMar>
      </w:tblPr>
      <w:tblGrid>
        <w:gridCol w:w="873"/>
        <w:gridCol w:w="769"/>
        <w:gridCol w:w="772"/>
        <w:gridCol w:w="109"/>
        <w:gridCol w:w="109"/>
        <w:gridCol w:w="192"/>
        <w:gridCol w:w="192"/>
        <w:gridCol w:w="345"/>
        <w:gridCol w:w="1298"/>
        <w:gridCol w:w="192"/>
        <w:gridCol w:w="109"/>
        <w:gridCol w:w="109"/>
        <w:gridCol w:w="109"/>
        <w:gridCol w:w="265"/>
        <w:gridCol w:w="996"/>
        <w:gridCol w:w="208"/>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6" w:type="dxa"/>
            <w:gridSpan w:val="6"/>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366,059 </w:t>
            </w:r>
          </w:p>
        </w:tc>
        <w:tc>
          <w:tcPr>
            <w:tcW w:w="19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372,551 </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45,161 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redemptions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(97,594)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(101,016)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Gift card breakage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308,738 </w:t>
            </w:r>
          </w:p>
        </w:tc>
        <w:tc>
          <w:tcPr>
            <w:tcW w:w="1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bookmarkStart w:id="11" w:name="i4627cfbfce944fbea0d1480957fab3d1_6-7-1-"/>
            <w:bookmarkEnd w:id="11"/>
            <w:r>
              <w:rPr>
                <w:rFonts w:ascii="Times New Roman;sans-serif" w:hAnsi="Times New Roman;sans-serif"/>
                <w:b w:val="false"/>
                <w:color w:val="000000"/>
                <w:sz w:val="18"/>
              </w:rPr>
              <w:t>310,634 </w:t>
            </w:r>
          </w:p>
        </w:tc>
        <w:tc>
          <w:tcPr>
            <w:tcW w:w="2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5.    Impairments and Exit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components of Provision for impaired assets and restaurant closings are as follows for the period indicated:</w:t>
      </w:r>
    </w:p>
    <w:tbl>
      <w:tblPr>
        <w:tblW w:w="7028" w:type="dxa"/>
        <w:jc w:val="center"/>
        <w:tblInd w:w="0" w:type="dxa"/>
        <w:tblLayout w:type="fixed"/>
        <w:tblCellMar>
          <w:top w:w="28" w:type="dxa"/>
          <w:left w:w="28" w:type="dxa"/>
          <w:bottom w:w="28" w:type="dxa"/>
          <w:right w:w="28" w:type="dxa"/>
        </w:tblCellMar>
      </w:tblPr>
      <w:tblGrid>
        <w:gridCol w:w="1487"/>
        <w:gridCol w:w="1309"/>
        <w:gridCol w:w="1314"/>
        <w:gridCol w:w="109"/>
        <w:gridCol w:w="109"/>
        <w:gridCol w:w="109"/>
        <w:gridCol w:w="109"/>
        <w:gridCol w:w="109"/>
        <w:gridCol w:w="109"/>
        <w:gridCol w:w="443"/>
        <w:gridCol w:w="1468"/>
        <w:gridCol w:w="353"/>
      </w:tblGrid>
      <w:tr>
        <w:trPr/>
        <w:tc>
          <w:tcPr>
            <w:tcW w:w="1487"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impairment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1,852 </w:t>
            </w:r>
          </w:p>
        </w:tc>
        <w:tc>
          <w:tcPr>
            <w:tcW w:w="35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 closure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9,021 </w:t>
            </w:r>
          </w:p>
        </w:tc>
        <w:tc>
          <w:tcPr>
            <w:tcW w:w="35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10,873 </w:t>
            </w:r>
          </w:p>
        </w:tc>
        <w:tc>
          <w:tcPr>
            <w:tcW w:w="3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(1)Primarily related to the closure of 36 predominantly older, underperforming U.S. restaurants (the “2023 Restaurant Closures”). Activity for the thirteen weeks ended March 30, 2025 is immaterial.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6.    Earnings (Loss) Per Share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computation of basic and diluted earnings (loss) per share for the periods indicated:</w:t>
      </w:r>
    </w:p>
    <w:tbl>
      <w:tblPr>
        <w:tblW w:w="9860" w:type="dxa"/>
        <w:jc w:val="left"/>
        <w:tblInd w:w="0" w:type="dxa"/>
        <w:tblLayout w:type="fixed"/>
        <w:tblCellMar>
          <w:top w:w="28" w:type="dxa"/>
          <w:left w:w="28" w:type="dxa"/>
          <w:bottom w:w="28" w:type="dxa"/>
          <w:right w:w="28" w:type="dxa"/>
        </w:tblCellMar>
      </w:tblPr>
      <w:tblGrid>
        <w:gridCol w:w="2038"/>
        <w:gridCol w:w="1790"/>
        <w:gridCol w:w="1797"/>
        <w:gridCol w:w="109"/>
        <w:gridCol w:w="109"/>
        <w:gridCol w:w="207"/>
        <w:gridCol w:w="207"/>
        <w:gridCol w:w="372"/>
        <w:gridCol w:w="1227"/>
        <w:gridCol w:w="207"/>
        <w:gridCol w:w="109"/>
        <w:gridCol w:w="109"/>
        <w:gridCol w:w="109"/>
        <w:gridCol w:w="269"/>
        <w:gridCol w:w="990"/>
        <w:gridCol w:w="211"/>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42,152 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(83,872)</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42,406 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(86,780)</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84,902 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87,024 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85,130 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87,024 </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basic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Antidilutive stock-based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7.    </w:t>
      </w:r>
      <w:bookmarkStart w:id="12" w:name="ibe22418c2c394b3dbf68d40993abed7b_1847"/>
      <w:bookmarkEnd w:id="12"/>
      <w:r>
        <w:rPr>
          <w:rFonts w:ascii="Times New Roman;sans-serif" w:hAnsi="Times New Roman;sans-serif"/>
          <w:b w:val="false"/>
          <w:color w:val="000000"/>
          <w:sz w:val="22"/>
        </w:rPr>
        <w:t>Stock-based Compensation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bookmarkStart w:id="13" w:name="i0a7cfee017e34381b3a633ac1276e6e9_1049"/>
      <w:bookmarkEnd w:id="13"/>
      <w:r>
        <w:rPr>
          <w:rFonts w:ascii="Times New Roman;sans-serif" w:hAnsi="Times New Roman;sans-serif"/>
          <w:b w:val="false"/>
          <w:color w:val="000000"/>
          <w:sz w:val="22"/>
        </w:rPr>
        <w:t>The following table presents a summary of the Company’s performance-based share units (“PSUs”) and restricted stock units (“RSUs”) activity:</w:t>
      </w:r>
    </w:p>
    <w:tbl>
      <w:tblPr>
        <w:tblW w:w="10205" w:type="dxa"/>
        <w:jc w:val="left"/>
        <w:tblInd w:w="0" w:type="dxa"/>
        <w:tblLayout w:type="fixed"/>
        <w:tblCellMar>
          <w:top w:w="28" w:type="dxa"/>
          <w:left w:w="28" w:type="dxa"/>
          <w:bottom w:w="28" w:type="dxa"/>
          <w:right w:w="28" w:type="dxa"/>
        </w:tblCellMar>
      </w:tblPr>
      <w:tblGrid>
        <w:gridCol w:w="760"/>
        <w:gridCol w:w="602"/>
        <w:gridCol w:w="604"/>
        <w:gridCol w:w="230"/>
        <w:gridCol w:w="232"/>
        <w:gridCol w:w="161"/>
        <w:gridCol w:w="109"/>
        <w:gridCol w:w="109"/>
        <w:gridCol w:w="109"/>
        <w:gridCol w:w="278"/>
        <w:gridCol w:w="278"/>
        <w:gridCol w:w="166"/>
        <w:gridCol w:w="109"/>
        <w:gridCol w:w="109"/>
        <w:gridCol w:w="109"/>
        <w:gridCol w:w="321"/>
        <w:gridCol w:w="911"/>
        <w:gridCol w:w="178"/>
        <w:gridCol w:w="178"/>
        <w:gridCol w:w="178"/>
        <w:gridCol w:w="178"/>
        <w:gridCol w:w="321"/>
        <w:gridCol w:w="911"/>
        <w:gridCol w:w="178"/>
        <w:gridCol w:w="109"/>
        <w:gridCol w:w="109"/>
        <w:gridCol w:w="109"/>
        <w:gridCol w:w="229"/>
        <w:gridCol w:w="650"/>
        <w:gridCol w:w="127"/>
        <w:gridCol w:w="127"/>
        <w:gridCol w:w="127"/>
        <w:gridCol w:w="127"/>
        <w:gridCol w:w="229"/>
        <w:gridCol w:w="755"/>
        <w:gridCol w:w="188"/>
      </w:tblGrid>
      <w:tr>
        <w:trPr/>
        <w:tc>
          <w:tcPr>
            <w:tcW w:w="76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 (1)</w:t>
            </w:r>
          </w:p>
        </w:tc>
      </w:tr>
      <w:tr>
        <w:trPr/>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unit data)</w:t>
            </w:r>
          </w:p>
        </w:tc>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c>
          <w:tcPr>
            <w:tcW w:w="5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PSUs</w:t>
            </w:r>
          </w:p>
        </w:tc>
        <w:tc>
          <w:tcPr>
            <w:tcW w:w="3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RSUs</w:t>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December 29, 2024</w:t>
            </w:r>
          </w:p>
        </w:tc>
        <w:tc>
          <w:tcPr>
            <w:tcW w:w="4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27.42 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7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8,860 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12,814 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 (2)</w:t>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adjustment (3)</w:t>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as of March 30, 2025</w:t>
            </w:r>
          </w:p>
        </w:tc>
        <w:tc>
          <w:tcPr>
            <w:tcW w:w="4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to vest as of March 30, 2025 (4)</w:t>
            </w:r>
          </w:p>
        </w:tc>
        <w:tc>
          <w:tcPr>
            <w:tcW w:w="46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(1)Based on the $12.27 and $7.41 share price of the Company’s common stock on December 27, 2024 and March 28, 2025, the last trading day of the year ended December 29, 2024 and thirteen weeks ended March 30, 2025, respectively.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(2)The weighted average dividend yield was 6.40% and 6.46% for PSUs and RSUs, respectively. For PSU’s, a new performance structure was used for grants beginning in 2025. The new structure contains separate performance goals that are set at the beginning of each of the three annual performance periods and cliff vest after three years.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(3)Represents adjustment to 0% payout for PSUs granted during 2022.</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(4)For PSUs, estimated number of units to be issued upon the vesting of outstanding PSUs based on Company performance projections of performance criteria set forth in the 2023, 2024 and 2025 PSU award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bookmarkStart w:id="14" w:name="ib823b3e1ebb447f09ee3ad4533d3120a_143"/>
      <w:bookmarkEnd w:id="14"/>
      <w:r>
        <w:rPr>
          <w:rFonts w:ascii="Times New Roman;sans-serif" w:hAnsi="Times New Roman;sans-serif"/>
          <w:b w:val="false"/>
          <w:color w:val="000000"/>
          <w:sz w:val="22"/>
        </w:rPr>
        <w:t>The following represents unrecognized stock-based compensation expense and the remaining weighted average recognition period as of March 30, 2025:</w:t>
      </w:r>
    </w:p>
    <w:tbl>
      <w:tblPr>
        <w:tblW w:w="10205" w:type="dxa"/>
        <w:jc w:val="left"/>
        <w:tblInd w:w="0" w:type="dxa"/>
        <w:tblLayout w:type="fixed"/>
        <w:tblCellMar>
          <w:top w:w="28" w:type="dxa"/>
          <w:left w:w="28" w:type="dxa"/>
          <w:bottom w:w="28" w:type="dxa"/>
          <w:right w:w="28" w:type="dxa"/>
        </w:tblCellMar>
      </w:tblPr>
      <w:tblGrid>
        <w:gridCol w:w="760"/>
        <w:gridCol w:w="668"/>
        <w:gridCol w:w="670"/>
        <w:gridCol w:w="647"/>
        <w:gridCol w:w="2135"/>
        <w:gridCol w:w="361"/>
        <w:gridCol w:w="109"/>
        <w:gridCol w:w="109"/>
        <w:gridCol w:w="109"/>
        <w:gridCol w:w="1356"/>
        <w:gridCol w:w="1356"/>
        <w:gridCol w:w="1925"/>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UNRECOGNIZED COMPENSATION EXPENSE</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 AVERAGE RECOGNITION PERIOD (in years)</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Performance-based share units</w:t>
            </w:r>
          </w:p>
        </w:tc>
        <w:tc>
          <w:tcPr>
            <w:tcW w:w="6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2,349 </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2"/>
        </w:rPr>
      </w:pPr>
      <w:bookmarkStart w:id="15" w:name="i35990beb38544292803cb65383ef2b0d_47"/>
      <w:bookmarkEnd w:id="15"/>
      <w:r>
        <w:rPr>
          <w:rFonts w:ascii="Times New Roman;sans-serif" w:hAnsi="Times New Roman;sans-serif"/>
          <w:b w:val="false"/>
          <w:color w:val="000000"/>
          <w:sz w:val="22"/>
        </w:rPr>
        <w:t>8.    Supplemental Balance Sheet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16" w:name="i1e6c13392d884ed88374d5f7a46160f5_111"/>
      <w:bookmarkEnd w:id="16"/>
      <w:r>
        <w:rPr>
          <w:rFonts w:ascii="Times New Roman;sans-serif" w:hAnsi="Times New Roman;sans-serif"/>
          <w:b w:val="false"/>
          <w:i/>
          <w:color w:val="000000"/>
          <w:sz w:val="22"/>
        </w:rPr>
        <w:t>Other current assets, net</w:t>
      </w:r>
      <w:r>
        <w:rPr>
          <w:rFonts w:ascii="Times New Roman;sans-serif" w:hAnsi="Times New Roman;sans-serif"/>
          <w:b w:val="false"/>
          <w:color w:val="000000"/>
          <w:sz w:val="22"/>
        </w:rPr>
        <w:t>, consisted of the following as of the periods indicated:</w:t>
      </w:r>
    </w:p>
    <w:tbl>
      <w:tblPr>
        <w:tblW w:w="6934" w:type="dxa"/>
        <w:jc w:val="left"/>
        <w:tblInd w:w="0" w:type="dxa"/>
        <w:tblLayout w:type="fixed"/>
        <w:tblCellMar>
          <w:top w:w="28" w:type="dxa"/>
          <w:left w:w="28" w:type="dxa"/>
          <w:bottom w:w="28" w:type="dxa"/>
          <w:right w:w="28" w:type="dxa"/>
        </w:tblCellMar>
      </w:tblPr>
      <w:tblGrid>
        <w:gridCol w:w="1160"/>
        <w:gridCol w:w="1023"/>
        <w:gridCol w:w="1026"/>
        <w:gridCol w:w="268"/>
        <w:gridCol w:w="1008"/>
        <w:gridCol w:w="149"/>
        <w:gridCol w:w="109"/>
        <w:gridCol w:w="109"/>
        <w:gridCol w:w="109"/>
        <w:gridCol w:w="322"/>
        <w:gridCol w:w="1209"/>
        <w:gridCol w:w="179"/>
        <w:gridCol w:w="109"/>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28,329 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23,102 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Installment receivable from sale of business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120,214 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gift cards, net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vendors,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franchisees, net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 other,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gift card sales commissions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200,625 </w:t>
            </w:r>
          </w:p>
        </w:tc>
        <w:tc>
          <w:tcPr>
            <w:tcW w:w="1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158,775 </w:t>
            </w:r>
          </w:p>
        </w:tc>
        <w:tc>
          <w:tcPr>
            <w:tcW w:w="17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left"/>
        <w:rPr/>
      </w:pPr>
      <w:bookmarkStart w:id="17" w:name="i95ed11e7867c429681d7edd2cfcc117b_1077"/>
      <w:bookmarkEnd w:id="17"/>
      <w:r>
        <w:rPr>
          <w:rFonts w:ascii="Times New Roman;sans-serif" w:hAnsi="Times New Roman;sans-serif"/>
          <w:b w:val="false"/>
          <w:i/>
          <w:color w:val="000000"/>
          <w:sz w:val="22"/>
        </w:rPr>
        <w:t>Other assets, net</w:t>
      </w:r>
      <w:r>
        <w:rPr>
          <w:rFonts w:ascii="Times New Roman;sans-serif" w:hAnsi="Times New Roman;sans-serif"/>
          <w:b w:val="false"/>
          <w:color w:val="000000"/>
          <w:sz w:val="22"/>
        </w:rPr>
        <w:t>, consisted of the following as of the periods indicated:</w:t>
      </w:r>
    </w:p>
    <w:tbl>
      <w:tblPr>
        <w:tblW w:w="7801" w:type="dxa"/>
        <w:jc w:val="left"/>
        <w:tblInd w:w="0" w:type="dxa"/>
        <w:tblLayout w:type="fixed"/>
        <w:tblCellMar>
          <w:top w:w="28" w:type="dxa"/>
          <w:left w:w="28" w:type="dxa"/>
          <w:bottom w:w="28" w:type="dxa"/>
          <w:right w:w="28" w:type="dxa"/>
        </w:tblCellMar>
      </w:tblPr>
      <w:tblGrid>
        <w:gridCol w:w="1514"/>
        <w:gridCol w:w="1333"/>
        <w:gridCol w:w="1338"/>
        <w:gridCol w:w="268"/>
        <w:gridCol w:w="1008"/>
        <w:gridCol w:w="149"/>
        <w:gridCol w:w="109"/>
        <w:gridCol w:w="109"/>
        <w:gridCol w:w="109"/>
        <w:gridCol w:w="351"/>
        <w:gridCol w:w="1161"/>
        <w:gridCol w:w="198"/>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 life insurance</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30,999 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31,971 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debt issuance costs - revolving credit facility (1)</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Liquor licenses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22,422 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assets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105,991 </w:t>
            </w:r>
          </w:p>
        </w:tc>
        <w:tc>
          <w:tcPr>
            <w:tcW w:w="1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74,471 </w:t>
            </w:r>
          </w:p>
        </w:tc>
        <w:tc>
          <w:tcPr>
            <w:tcW w:w="1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(1)Net of accumulated amortization of $1.2 million and $0.6 million as of March 30, 2025 and December 29,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i/>
          <w:color w:val="000000"/>
          <w:sz w:val="22"/>
        </w:rPr>
        <w:t>Accrued and other current liabilities</w:t>
      </w:r>
      <w:r>
        <w:rPr>
          <w:color w:val="000000"/>
        </w:rPr>
        <w:t xml:space="preserve"> </w:t>
      </w:r>
      <w:r>
        <w:rPr>
          <w:rFonts w:ascii="Times New Roman;sans-serif" w:hAnsi="Times New Roman;sans-serif"/>
          <w:b w:val="false"/>
          <w:color w:val="000000"/>
          <w:sz w:val="22"/>
        </w:rPr>
        <w:t>consisted of the following as of the periods indicated:</w:t>
      </w:r>
    </w:p>
    <w:tbl>
      <w:tblPr>
        <w:tblW w:w="6492" w:type="dxa"/>
        <w:jc w:val="left"/>
        <w:tblInd w:w="0" w:type="dxa"/>
        <w:tblLayout w:type="fixed"/>
        <w:tblCellMar>
          <w:top w:w="28" w:type="dxa"/>
          <w:left w:w="28" w:type="dxa"/>
          <w:bottom w:w="28" w:type="dxa"/>
          <w:right w:w="28" w:type="dxa"/>
        </w:tblCellMar>
      </w:tblPr>
      <w:tblGrid>
        <w:gridCol w:w="1079"/>
        <w:gridCol w:w="951"/>
        <w:gridCol w:w="955"/>
        <w:gridCol w:w="268"/>
        <w:gridCol w:w="1008"/>
        <w:gridCol w:w="149"/>
        <w:gridCol w:w="109"/>
        <w:gridCol w:w="109"/>
        <w:gridCol w:w="109"/>
        <w:gridCol w:w="316"/>
        <w:gridCol w:w="1190"/>
        <w:gridCol w:w="24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other compensation</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50,961 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64,522 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insurance</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19,527 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94,265 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156,360 </w:t>
            </w:r>
          </w:p>
        </w:tc>
        <w:tc>
          <w:tcPr>
            <w:tcW w:w="1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178,314 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Other long-term liabilities, net</w:t>
      </w:r>
      <w:r>
        <w:rPr>
          <w:rFonts w:ascii="Times New Roman;sans-serif" w:hAnsi="Times New Roman;sans-serif"/>
          <w:b w:val="false"/>
          <w:color w:val="000000"/>
          <w:sz w:val="22"/>
        </w:rPr>
        <w:t>, consisted of the following as of the periods indicated:</w:t>
      </w:r>
    </w:p>
    <w:tbl>
      <w:tblPr>
        <w:tblW w:w="6101" w:type="dxa"/>
        <w:jc w:val="left"/>
        <w:tblInd w:w="0" w:type="dxa"/>
        <w:tblLayout w:type="fixed"/>
        <w:tblCellMar>
          <w:top w:w="28" w:type="dxa"/>
          <w:left w:w="28" w:type="dxa"/>
          <w:bottom w:w="28" w:type="dxa"/>
          <w:right w:w="28" w:type="dxa"/>
        </w:tblCellMar>
      </w:tblPr>
      <w:tblGrid>
        <w:gridCol w:w="938"/>
        <w:gridCol w:w="827"/>
        <w:gridCol w:w="830"/>
        <w:gridCol w:w="268"/>
        <w:gridCol w:w="1008"/>
        <w:gridCol w:w="149"/>
        <w:gridCol w:w="109"/>
        <w:gridCol w:w="109"/>
        <w:gridCol w:w="109"/>
        <w:gridCol w:w="344"/>
        <w:gridCol w:w="1138"/>
        <w:gridCol w:w="272"/>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insurance</w:t>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36,499 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33,519 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compensation obligations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32,597 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(1)</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38,797 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104,638 </w:t>
            </w:r>
          </w:p>
        </w:tc>
        <w:tc>
          <w:tcPr>
            <w:tcW w:w="1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93,420 </w:t>
            </w:r>
          </w:p>
        </w:tc>
        <w:tc>
          <w:tcPr>
            <w:tcW w:w="2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(1)Includes indemnification liabilities in connection with the Brazil Sale Transaction. See Note 2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for additional details.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18" w:name="i3b08b3695df64012b48599788c606f9f_2881"/>
      <w:bookmarkEnd w:id="18"/>
      <w:r>
        <w:rPr>
          <w:rFonts w:ascii="Times New Roman;sans-serif" w:hAnsi="Times New Roman;sans-serif"/>
          <w:b w:val="false"/>
          <w:i/>
          <w:color w:val="000000"/>
          <w:sz w:val="22"/>
        </w:rPr>
        <w:t>Long-term debt, net</w:t>
      </w:r>
      <w:r>
        <w:rPr>
          <w:rFonts w:ascii="Times New Roman;sans-serif" w:hAnsi="Times New Roman;sans-serif"/>
          <w:b w:val="false"/>
          <w:color w:val="000000"/>
          <w:sz w:val="22"/>
        </w:rPr>
        <w:t>, consisted of the following as of the periods indicated:</w:t>
      </w:r>
    </w:p>
    <w:tbl>
      <w:tblPr>
        <w:tblW w:w="10205" w:type="dxa"/>
        <w:jc w:val="left"/>
        <w:tblInd w:w="0" w:type="dxa"/>
        <w:tblLayout w:type="fixed"/>
        <w:tblCellMar>
          <w:top w:w="28" w:type="dxa"/>
          <w:left w:w="28" w:type="dxa"/>
          <w:bottom w:w="28" w:type="dxa"/>
          <w:right w:w="28" w:type="dxa"/>
        </w:tblCellMar>
      </w:tblPr>
      <w:tblGrid>
        <w:gridCol w:w="1083"/>
        <w:gridCol w:w="935"/>
        <w:gridCol w:w="939"/>
        <w:gridCol w:w="349"/>
        <w:gridCol w:w="1317"/>
        <w:gridCol w:w="196"/>
        <w:gridCol w:w="109"/>
        <w:gridCol w:w="109"/>
        <w:gridCol w:w="109"/>
        <w:gridCol w:w="298"/>
        <w:gridCol w:w="281"/>
        <w:gridCol w:w="664"/>
        <w:gridCol w:w="109"/>
        <w:gridCol w:w="109"/>
        <w:gridCol w:w="109"/>
        <w:gridCol w:w="309"/>
        <w:gridCol w:w="1379"/>
        <w:gridCol w:w="174"/>
        <w:gridCol w:w="109"/>
        <w:gridCol w:w="109"/>
        <w:gridCol w:w="109"/>
        <w:gridCol w:w="289"/>
        <w:gridCol w:w="265"/>
        <w:gridCol w:w="746"/>
      </w:tblGrid>
      <w:tr>
        <w:trPr/>
        <w:tc>
          <w:tcPr>
            <w:tcW w:w="10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 (1)</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6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17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 (2)</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66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920,724 </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1,030,724 </w:t>
            </w:r>
          </w:p>
        </w:tc>
        <w:tc>
          <w:tcPr>
            <w:tcW w:w="17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discount and issuance costs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1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917,610 </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1,027,398 </w:t>
            </w:r>
          </w:p>
        </w:tc>
        <w:tc>
          <w:tcPr>
            <w:tcW w:w="17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(1)Interest rate represents the weighted average interest rate as of the respective periods.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(2)Obligations under the 2025 Notes, which matured on May 1, 2025, have been classified as long-term, reflecting the Company’s intent and ability to refinance these notes through borrowings on its existing revolving credit facility. On May 1, 2025, the 2025 Notes were settled primarily using borrowings from the revolving credit facility.</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60" w:after="60"/>
        <w:jc w:val="both"/>
        <w:rPr/>
      </w:pPr>
      <w:r>
        <w:rPr>
          <w:rFonts w:ascii="Times New Roman;sans-serif" w:hAnsi="Times New Roman;sans-serif"/>
          <w:b w:val="false"/>
          <w:i/>
          <w:color w:val="000000"/>
          <w:sz w:val="22"/>
        </w:rPr>
        <w:t xml:space="preserve">Debt Covenants - </w:t>
      </w:r>
      <w:r>
        <w:rPr>
          <w:rFonts w:ascii="Times New Roman;sans-serif" w:hAnsi="Times New Roman;sans-serif"/>
          <w:b w:val="false"/>
          <w:color w:val="000000"/>
          <w:sz w:val="22"/>
        </w:rPr>
        <w:t>As of March 30, 2025 and December 29, 2024, the Company was in compliance with its debt c</w:t>
      </w:r>
      <w:bookmarkStart w:id="19" w:name="ie20a6f955e4545e1a43fd811d5c922b4_181"/>
      <w:bookmarkEnd w:id="19"/>
      <w:r>
        <w:rPr>
          <w:rFonts w:ascii="Times New Roman;sans-serif" w:hAnsi="Times New Roman;sans-serif"/>
          <w:b w:val="false"/>
          <w:color w:val="000000"/>
          <w:sz w:val="22"/>
        </w:rPr>
        <w:t>ovenants.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9.    Convertible </w:t>
      </w:r>
      <w:bookmarkStart w:id="20" w:name="ica819ee4eda644a5b777fb919b9c6864_11751"/>
      <w:bookmarkEnd w:id="20"/>
      <w:r>
        <w:rPr>
          <w:rFonts w:ascii="Times New Roman;sans-serif" w:hAnsi="Times New Roman;sans-serif"/>
          <w:b w:val="false"/>
          <w:color w:val="000000"/>
          <w:sz w:val="22"/>
        </w:rPr>
        <w:t>Senior Notes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following table includes the outstanding principal amount and carrying value of the</w:t>
      </w:r>
      <w:r>
        <w:rPr>
          <w:color w:val="252525"/>
        </w:rPr>
        <w:t xml:space="preserve"> </w:t>
      </w:r>
      <w:r>
        <w:rPr>
          <w:rFonts w:ascii="Times New Roman;sans-serif" w:hAnsi="Times New Roman;sans-serif"/>
          <w:b w:val="false"/>
          <w:color w:val="000000"/>
          <w:sz w:val="22"/>
        </w:rPr>
        <w:t>Company’s remaining 5.00% convertible senior notes due in 2025 (the “2025 Notes”) as of the periods indicated:</w:t>
      </w:r>
    </w:p>
    <w:tbl>
      <w:tblPr>
        <w:tblW w:w="6310" w:type="dxa"/>
        <w:jc w:val="center"/>
        <w:tblInd w:w="0" w:type="dxa"/>
        <w:tblLayout w:type="fixed"/>
        <w:tblCellMar>
          <w:top w:w="28" w:type="dxa"/>
          <w:left w:w="28" w:type="dxa"/>
          <w:bottom w:w="28" w:type="dxa"/>
          <w:right w:w="28" w:type="dxa"/>
        </w:tblCellMar>
      </w:tblPr>
      <w:tblGrid>
        <w:gridCol w:w="1014"/>
        <w:gridCol w:w="894"/>
        <w:gridCol w:w="897"/>
        <w:gridCol w:w="293"/>
        <w:gridCol w:w="968"/>
        <w:gridCol w:w="163"/>
        <w:gridCol w:w="109"/>
        <w:gridCol w:w="109"/>
        <w:gridCol w:w="109"/>
        <w:gridCol w:w="344"/>
        <w:gridCol w:w="1138"/>
        <w:gridCol w:w="272"/>
      </w:tblGrid>
      <w:tr>
        <w:trPr/>
        <w:tc>
          <w:tcPr>
            <w:tcW w:w="10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w:t>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carrying amount</w:t>
            </w:r>
          </w:p>
        </w:tc>
        <w:tc>
          <w:tcPr>
            <w:tcW w:w="2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20,710 </w:t>
            </w:r>
          </w:p>
        </w:tc>
        <w:tc>
          <w:tcPr>
            <w:tcW w:w="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20,668 </w:t>
            </w:r>
          </w:p>
        </w:tc>
        <w:tc>
          <w:tcPr>
            <w:tcW w:w="2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interest expense for the 2025 Notes by component for the periods indicated:</w:t>
      </w:r>
    </w:p>
    <w:tbl>
      <w:tblPr>
        <w:tblW w:w="6588" w:type="dxa"/>
        <w:jc w:val="left"/>
        <w:tblInd w:w="0" w:type="dxa"/>
        <w:tblLayout w:type="fixed"/>
        <w:tblCellMar>
          <w:top w:w="28" w:type="dxa"/>
          <w:left w:w="28" w:type="dxa"/>
          <w:bottom w:w="28" w:type="dxa"/>
          <w:right w:w="28" w:type="dxa"/>
        </w:tblCellMar>
      </w:tblPr>
      <w:tblGrid>
        <w:gridCol w:w="851"/>
        <w:gridCol w:w="750"/>
        <w:gridCol w:w="753"/>
        <w:gridCol w:w="109"/>
        <w:gridCol w:w="109"/>
        <w:gridCol w:w="254"/>
        <w:gridCol w:w="254"/>
        <w:gridCol w:w="459"/>
        <w:gridCol w:w="989"/>
        <w:gridCol w:w="263"/>
        <w:gridCol w:w="109"/>
        <w:gridCol w:w="109"/>
        <w:gridCol w:w="109"/>
        <w:gridCol w:w="318"/>
        <w:gridCol w:w="902"/>
        <w:gridCol w:w="250"/>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Coupon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2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1,006 </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2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1,164 </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(1)The effective rate of the 2025 Notes over their expected life is </w:t>
      </w:r>
      <w:r>
        <w:rPr>
          <w:rFonts w:ascii="Times New Roman;sans-serif" w:hAnsi="Times New Roman;sans-serif"/>
          <w:b w:val="false"/>
          <w:color w:val="252525"/>
          <w:sz w:val="18"/>
        </w:rPr>
        <w:t>5.85%.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2025 Notes matured on May 1, 2025, and were settled in cash for $20.7 million, excluding accrued interest. In connection with the maturity of the 2025 Notes, the related convertible note hedges entered into with certain purchasers of the 2025 Notes and/or their respective affiliates and other financial institutions expired.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warrants remain proportional to the 2025 Notes that matured May 1, 2025 and have a dilutive effect on the Company’s common stock to the extent that the price of its common stock exceeds the strike price of the warrants. The warrants expire on various dates following the maturity of the 2025 Notes through November 21, 2025, unless the Company terminates the warrants prior to their scheduled expiration. In connection with dividends paid during thirteen weeks ended March 30, 2025, the strike price for the remaining warrants decreased to $14.60.</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10.    </w:t>
      </w:r>
      <w:bookmarkStart w:id="21" w:name="i58f993351806442f917c843a9aafd383_2998"/>
      <w:bookmarkEnd w:id="21"/>
      <w:r>
        <w:rPr>
          <w:rFonts w:ascii="Times New Roman;sans-serif" w:hAnsi="Times New Roman;sans-serif"/>
          <w:b w:val="false"/>
          <w:color w:val="000000"/>
          <w:sz w:val="22"/>
        </w:rPr>
        <w:t xml:space="preserve">Stockholders’ Equity </w:t>
      </w:r>
    </w:p>
    <w:p>
      <w:pPr>
        <w:pStyle w:val="TextBody"/>
        <w:bidi w:val="0"/>
        <w:spacing w:before="0" w:after="0"/>
        <w:ind w:left="0" w:right="0" w:hanging="9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In February 2024, the Company’s Board of Directors (the “Board”) approved a $350.0 million share repurchase authorization (the “2024 Share Repurchase Program”). As of March 30, 2025, $96.8 million</w:t>
      </w:r>
      <w:r>
        <w:rPr>
          <w:color w:val="000000"/>
        </w:rPr>
        <w:t xml:space="preserve"> </w:t>
      </w:r>
      <w:r>
        <w:rPr>
          <w:rFonts w:ascii="Times New Roman;sans-serif" w:hAnsi="Times New Roman;sans-serif"/>
          <w:b w:val="false"/>
          <w:color w:val="000000"/>
          <w:sz w:val="22"/>
        </w:rPr>
        <w:t xml:space="preserve">remained available for repurchase.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Dividends</w:t>
      </w:r>
      <w:r>
        <w:rPr>
          <w:color w:val="000000"/>
        </w:rPr>
        <w:t xml:space="preserve"> </w:t>
      </w:r>
      <w:r>
        <w:rPr>
          <w:rFonts w:ascii="Times New Roman;sans-serif" w:hAnsi="Times New Roman;sans-serif"/>
          <w:b w:val="false"/>
          <w:color w:val="000000"/>
          <w:sz w:val="22"/>
        </w:rPr>
        <w:t>- The Company declared and paid dividends per share during fiscal year 2025 as follows:</w:t>
      </w:r>
    </w:p>
    <w:tbl>
      <w:tblPr>
        <w:tblW w:w="7098" w:type="dxa"/>
        <w:jc w:val="center"/>
        <w:tblInd w:w="0" w:type="dxa"/>
        <w:tblLayout w:type="fixed"/>
        <w:tblCellMar>
          <w:top w:w="28" w:type="dxa"/>
          <w:left w:w="28" w:type="dxa"/>
          <w:bottom w:w="28" w:type="dxa"/>
          <w:right w:w="28" w:type="dxa"/>
        </w:tblCellMar>
      </w:tblPr>
      <w:tblGrid>
        <w:gridCol w:w="1206"/>
        <w:gridCol w:w="1060"/>
        <w:gridCol w:w="1063"/>
        <w:gridCol w:w="109"/>
        <w:gridCol w:w="109"/>
        <w:gridCol w:w="510"/>
        <w:gridCol w:w="1215"/>
        <w:gridCol w:w="285"/>
        <w:gridCol w:w="109"/>
        <w:gridCol w:w="109"/>
        <w:gridCol w:w="109"/>
        <w:gridCol w:w="109"/>
        <w:gridCol w:w="109"/>
        <w:gridCol w:w="196"/>
        <w:gridCol w:w="64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0.15 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April 2025, the Board declared a quarterly cash dividend of $0.15 per share, payable on June 4, 2025 to shareholders of record at the close of business on May 20,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pPr>
      <w:bookmarkStart w:id="22" w:name="id337ef725dde42bcbdcf978ff62cb682_144"/>
      <w:bookmarkEnd w:id="22"/>
      <w:r>
        <w:rPr>
          <w:rFonts w:ascii="Times New Roman;sans-serif" w:hAnsi="Times New Roman;sans-serif"/>
          <w:b w:val="false"/>
          <w:i/>
          <w:color w:val="000000"/>
          <w:sz w:val="22"/>
        </w:rPr>
        <w:t xml:space="preserve">Accumulated Other Comprehensive Income (Loss) </w:t>
      </w:r>
      <w:r>
        <w:rPr>
          <w:rFonts w:ascii="Times New Roman;sans-serif" w:hAnsi="Times New Roman;sans-serif"/>
          <w:b w:val="false"/>
          <w:color w:val="000000"/>
          <w:sz w:val="22"/>
        </w:rPr>
        <w:t>- The following table is a rollforward of the components of Accumulated Other Comprehensive Income (Loss) for the periods indicated:</w:t>
      </w:r>
    </w:p>
    <w:tbl>
      <w:tblPr>
        <w:tblW w:w="10205" w:type="dxa"/>
        <w:jc w:val="center"/>
        <w:tblInd w:w="0" w:type="dxa"/>
        <w:tblLayout w:type="fixed"/>
        <w:tblCellMar>
          <w:top w:w="28" w:type="dxa"/>
          <w:left w:w="28" w:type="dxa"/>
          <w:bottom w:w="28" w:type="dxa"/>
          <w:right w:w="28" w:type="dxa"/>
        </w:tblCellMar>
      </w:tblPr>
      <w:tblGrid>
        <w:gridCol w:w="2260"/>
        <w:gridCol w:w="1940"/>
        <w:gridCol w:w="1947"/>
        <w:gridCol w:w="109"/>
        <w:gridCol w:w="109"/>
        <w:gridCol w:w="171"/>
        <w:gridCol w:w="171"/>
        <w:gridCol w:w="308"/>
        <w:gridCol w:w="1268"/>
        <w:gridCol w:w="171"/>
        <w:gridCol w:w="109"/>
        <w:gridCol w:w="109"/>
        <w:gridCol w:w="109"/>
        <w:gridCol w:w="240"/>
        <w:gridCol w:w="989"/>
        <w:gridCol w:w="195"/>
      </w:tblGrid>
      <w:tr>
        <w:trPr/>
        <w:tc>
          <w:tcPr>
            <w:tcW w:w="226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51" w:type="dxa"/>
            <w:gridSpan w:val="6"/>
            <w:tcBorders/>
          </w:tcPr>
          <w:p>
            <w:pPr>
              <w:pStyle w:val="TableContents"/>
              <w:bidi w:val="0"/>
              <w:spacing w:before="0" w:after="283"/>
              <w:jc w:val="left"/>
              <w:rPr>
                <w:sz w:val="4"/>
                <w:szCs w:val="4"/>
              </w:rPr>
            </w:pPr>
            <w:r>
              <w:rPr>
                <w:sz w:val="4"/>
                <w:szCs w:val="4"/>
              </w:rPr>
            </w:r>
          </w:p>
        </w:tc>
      </w:tr>
      <w:tr>
        <w:trPr/>
        <w:tc>
          <w:tcPr>
            <w:tcW w:w="61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(212,172)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(177,689)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foreign currency translation adjustments into earnings due to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217,548 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(179,620)</w:t>
            </w:r>
          </w:p>
        </w:tc>
        <w:tc>
          <w:tcPr>
            <w:tcW w:w="19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(Loss) gain on derivatives,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realized in Net income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19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(212,793)</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(178,304)</w:t>
            </w:r>
          </w:p>
        </w:tc>
        <w:tc>
          <w:tcPr>
            <w:tcW w:w="19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7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215,018 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bookmarkStart w:id="23" w:name="i47b64c6eee294dba81b268f000e4594c_14-7-1"/>
            <w:bookmarkEnd w:id="23"/>
            <w:r>
              <w:rPr>
                <w:rFonts w:ascii="Times New Roman;sans-serif" w:hAnsi="Times New Roman;sans-serif"/>
                <w:b w:val="false"/>
                <w:color w:val="000000"/>
                <w:sz w:val="18"/>
              </w:rPr>
              <w:t>(774)</w:t>
            </w:r>
          </w:p>
        </w:tc>
        <w:tc>
          <w:tcPr>
            <w:tcW w:w="19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2,225 </w:t>
            </w:r>
          </w:p>
        </w:tc>
        <w:tc>
          <w:tcPr>
            <w:tcW w:w="1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(179,078)</w:t>
            </w:r>
          </w:p>
        </w:tc>
        <w:tc>
          <w:tcPr>
            <w:tcW w:w="1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foreign currency translation adjustments primarily related to the Company’s equity method investment.</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11.    Derivative </w:t>
      </w:r>
      <w:bookmarkStart w:id="24" w:name="i92f503e6818943abb588ab5c02010726_2639"/>
      <w:bookmarkEnd w:id="24"/>
      <w:r>
        <w:rPr>
          <w:rFonts w:ascii="Times New Roman;sans-serif" w:hAnsi="Times New Roman;sans-serif"/>
          <w:b w:val="false"/>
          <w:color w:val="000000"/>
          <w:sz w:val="22"/>
        </w:rPr>
        <w:t xml:space="preserve">Instruments and Hedging Activities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Cash Flow Hedges of Interest Rate Risk - </w:t>
      </w:r>
      <w:r>
        <w:rPr>
          <w:rFonts w:ascii="Times New Roman;sans-serif" w:hAnsi="Times New Roman;sans-serif"/>
          <w:b w:val="false"/>
          <w:color w:val="000000"/>
          <w:sz w:val="22"/>
        </w:rPr>
        <w:t>In March 2024 and December 2023, OSI entered into 11 interest rate swap agreements with ten counterparties (the “Swap Transactions”) to manage its exposure to fluctuations in variable interest rates that include one and two-year tenors. The remaining Swap Transactions have an aggregate notional amount of $275.0 million with the following terms:</w:t>
      </w:r>
    </w:p>
    <w:tbl>
      <w:tblPr>
        <w:tblW w:w="10205" w:type="dxa"/>
        <w:jc w:val="center"/>
        <w:tblInd w:w="0" w:type="dxa"/>
        <w:tblLayout w:type="fixed"/>
        <w:tblCellMar>
          <w:top w:w="28" w:type="dxa"/>
          <w:left w:w="28" w:type="dxa"/>
          <w:bottom w:w="28" w:type="dxa"/>
          <w:right w:w="28" w:type="dxa"/>
        </w:tblCellMar>
      </w:tblPr>
      <w:tblGrid>
        <w:gridCol w:w="278"/>
        <w:gridCol w:w="1389"/>
        <w:gridCol w:w="143"/>
        <w:gridCol w:w="109"/>
        <w:gridCol w:w="109"/>
        <w:gridCol w:w="109"/>
        <w:gridCol w:w="1347"/>
        <w:gridCol w:w="1347"/>
        <w:gridCol w:w="1350"/>
        <w:gridCol w:w="109"/>
        <w:gridCol w:w="109"/>
        <w:gridCol w:w="109"/>
        <w:gridCol w:w="507"/>
        <w:gridCol w:w="507"/>
        <w:gridCol w:w="509"/>
        <w:gridCol w:w="109"/>
        <w:gridCol w:w="109"/>
        <w:gridCol w:w="109"/>
        <w:gridCol w:w="538"/>
        <w:gridCol w:w="538"/>
        <w:gridCol w:w="771"/>
      </w:tblGrid>
      <w:tr>
        <w:trPr/>
        <w:tc>
          <w:tcPr>
            <w:tcW w:w="2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FIXED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r>
      <w:tr>
        <w:trPr/>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r>
      <w:tr>
        <w:trPr/>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100,000,000 </w:t>
            </w:r>
          </w:p>
        </w:tc>
        <w:tc>
          <w:tcPr>
            <w:tcW w:w="1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2025</w:t>
            </w:r>
          </w:p>
        </w:tc>
      </w:tr>
      <w:tr>
        <w:trPr/>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March 31, 2026</w:t>
            </w:r>
          </w:p>
        </w:tc>
      </w:tr>
      <w:tr>
        <w:trPr/>
        <w:tc>
          <w:tcPr>
            <w:tcW w:w="2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275,000,000 </w:t>
            </w:r>
          </w:p>
        </w:tc>
        <w:tc>
          <w:tcPr>
            <w:tcW w:w="1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weighted average fixed interest rate excludes the term SOFR adjustment and interest rate spread described below.</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remaining Swap Transactions, the Company effectively converted $275.0 million of its outstanding indebtedness from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Swap Transactions have been designated and qualify as cash flow hedges, are recognized on the Company’s Consolidated Balance Sheets at fair value and are classified based on the instruments’</w:t>
      </w:r>
      <w:r>
        <w:rPr>
          <w:color w:val="000000"/>
        </w:rPr>
        <w:t xml:space="preserve"> </w:t>
      </w:r>
      <w:r>
        <w:rPr>
          <w:rFonts w:ascii="Times New Roman;sans-serif" w:hAnsi="Times New Roman;sans-serif"/>
          <w:b w:val="false"/>
          <w:color w:val="000000"/>
          <w:sz w:val="22"/>
        </w:rPr>
        <w:t>maturity dates. The Company estimates $1.1 million of interest expense will be reclassified from Accumulated Other Comprehensive Income (Loss) to Interest expense, net over the next 12 months related to the Swap Transactions.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the fair value and classification of the Company’s swap agreements as of the periods indicated:</w:t>
      </w:r>
    </w:p>
    <w:tbl>
      <w:tblPr>
        <w:tblW w:w="10205" w:type="dxa"/>
        <w:jc w:val="center"/>
        <w:tblInd w:w="0" w:type="dxa"/>
        <w:tblLayout w:type="fixed"/>
        <w:tblCellMar>
          <w:top w:w="28" w:type="dxa"/>
          <w:left w:w="28" w:type="dxa"/>
          <w:bottom w:w="28" w:type="dxa"/>
          <w:right w:w="28" w:type="dxa"/>
        </w:tblCellMar>
      </w:tblPr>
      <w:tblGrid>
        <w:gridCol w:w="1154"/>
        <w:gridCol w:w="992"/>
        <w:gridCol w:w="994"/>
        <w:gridCol w:w="1193"/>
        <w:gridCol w:w="1193"/>
        <w:gridCol w:w="1196"/>
        <w:gridCol w:w="109"/>
        <w:gridCol w:w="109"/>
        <w:gridCol w:w="109"/>
        <w:gridCol w:w="287"/>
        <w:gridCol w:w="816"/>
        <w:gridCol w:w="159"/>
        <w:gridCol w:w="109"/>
        <w:gridCol w:w="109"/>
        <w:gridCol w:w="109"/>
        <w:gridCol w:w="396"/>
        <w:gridCol w:w="852"/>
        <w:gridCol w:w="319"/>
      </w:tblGrid>
      <w:tr>
        <w:trPr/>
        <w:tc>
          <w:tcPr>
            <w:tcW w:w="115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5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3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3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3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3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liability</w:t>
            </w:r>
          </w:p>
        </w:tc>
        <w:tc>
          <w:tcPr>
            <w:tcW w:w="358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3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 - liability</w:t>
            </w:r>
          </w:p>
        </w:tc>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fair value of derivative instruments - liabilities (1)</w:t>
            </w:r>
          </w:p>
        </w:tc>
        <w:tc>
          <w:tcPr>
            <w:tcW w:w="3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1,072 </w:t>
            </w:r>
          </w:p>
        </w:tc>
        <w:tc>
          <w:tcPr>
            <w:tcW w:w="1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31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40" w:type="dxa"/>
            <w:gridSpan w:val="3"/>
            <w:tcBorders/>
            <w:vAlign w:val="center"/>
          </w:tcPr>
          <w:p>
            <w:pPr>
              <w:pStyle w:val="TableContents"/>
              <w:bidi w:val="0"/>
              <w:spacing w:before="0" w:after="283"/>
              <w:jc w:val="left"/>
              <w:rPr>
                <w:sz w:val="4"/>
                <w:szCs w:val="4"/>
              </w:rPr>
            </w:pPr>
            <w:r>
              <w:rPr>
                <w:sz w:val="4"/>
                <w:szCs w:val="4"/>
              </w:rPr>
            </w:r>
          </w:p>
        </w:tc>
        <w:tc>
          <w:tcPr>
            <w:tcW w:w="3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jc w:val="both"/>
        <w:rPr/>
      </w:pPr>
      <w:r>
        <w:rPr>
          <w:rFonts w:ascii="Times New Roman;sans-serif" w:hAnsi="Times New Roman;sans-serif"/>
          <w:b w:val="false"/>
          <w:color w:val="000000"/>
          <w:sz w:val="18"/>
        </w:rPr>
        <w:t xml:space="preserve">(1)    See Note 13 - </w:t>
      </w:r>
      <w:r>
        <w:rPr>
          <w:rFonts w:ascii="Times New Roman;sans-serif" w:hAnsi="Times New Roman;sans-serif"/>
          <w:b w:val="false"/>
          <w:i/>
          <w:color w:val="000000"/>
          <w:sz w:val="18"/>
        </w:rPr>
        <w:t>Fair Value Measurements</w:t>
      </w:r>
      <w:r>
        <w:rPr>
          <w:color w:val="000000"/>
        </w:rPr>
        <w:t xml:space="preserve"> </w:t>
      </w:r>
      <w:r>
        <w:rPr>
          <w:rFonts w:ascii="Times New Roman;sans-serif" w:hAnsi="Times New Roman;sans-serif"/>
          <w:b w:val="false"/>
          <w:color w:val="000000"/>
          <w:sz w:val="18"/>
        </w:rPr>
        <w:t>for fair value discussion of the interest rate swaps.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March 30, 2025, all counterparties to the Swap Transactions performed in accordance with their contractual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30, 2025 and December 29, 2024, the fair value of the Company’s Swap Transactions was in a net liability position, including accrued interest but excluding any adjustment for nonperformance risk, of $1.1 million and $0.8 million, respectively. As of March 30, 2025 and December 29, 2024, the Company has not posted any collateral related to the Swap Transactions.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The Swap Transactions contain provisions whereby the Company could be declared in default on its derivative obligations if the repayment of the underlying indebtedness is accelerated by the lender due to the Company’s default on indebtedness. If the Company had breached any of these provisions as of March 30, 2025 and December 29, 2024, it could have been required to settle its obligations under the Swap Transactions at their termination value of $1.1 million</w:t>
      </w:r>
      <w:r>
        <w:rPr>
          <w:color w:val="000000"/>
        </w:rPr>
        <w:t xml:space="preserve">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color w:val="000000"/>
          <w:sz w:val="22"/>
        </w:rPr>
        <w:t>$0.8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Non-Designated Hedges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During the fourth quarter of 2024, the Company entered into foreign currency forward contracts to partially offset the foreign currency exchange gains and losses generated by the Brazilian Reais rate risk associated with the purchase price installment payments from the Brazil Sale Transaction. As of March 30, 2025, the Company had R$697.0 million Brazilian Reais (approximately $120.2 million U.S. Dollars) of outstanding notional amounts related to its foreign currency forward contracts. The liability and asset related to the foreign exchange forward contracts as of March 30, 2025 and December 29, 2024 are not material. As of March 30, 2025 and December 29, 2024, the Company has not posted any collateral related to the foreign currency forward contracts.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w:t>
      </w:r>
      <w:bookmarkStart w:id="25" w:name="if5c79ef6f0724b909ade62a8cc213327_887"/>
      <w:bookmarkEnd w:id="25"/>
      <w:r>
        <w:rPr>
          <w:rFonts w:ascii="Times New Roman;sans-serif" w:hAnsi="Times New Roman;sans-serif"/>
          <w:b w:val="false"/>
          <w:color w:val="000000"/>
          <w:sz w:val="22"/>
        </w:rPr>
        <w:t>g table summarizes the effects of the Company’s foreign exchange forward contracts on the Consolidated Statements of Operations and Comprehensive Income (Loss) for the period indicated:</w:t>
      </w:r>
    </w:p>
    <w:tbl>
      <w:tblPr>
        <w:tblW w:w="10205" w:type="dxa"/>
        <w:jc w:val="center"/>
        <w:tblInd w:w="0" w:type="dxa"/>
        <w:tblLayout w:type="fixed"/>
        <w:tblCellMar>
          <w:top w:w="28" w:type="dxa"/>
          <w:left w:w="28" w:type="dxa"/>
          <w:bottom w:w="28" w:type="dxa"/>
          <w:right w:w="28" w:type="dxa"/>
        </w:tblCellMar>
      </w:tblPr>
      <w:tblGrid>
        <w:gridCol w:w="820"/>
        <w:gridCol w:w="723"/>
        <w:gridCol w:w="725"/>
        <w:gridCol w:w="1824"/>
        <w:gridCol w:w="1824"/>
        <w:gridCol w:w="1828"/>
        <w:gridCol w:w="109"/>
        <w:gridCol w:w="109"/>
        <w:gridCol w:w="109"/>
        <w:gridCol w:w="339"/>
        <w:gridCol w:w="1119"/>
        <w:gridCol w:w="190"/>
        <w:gridCol w:w="109"/>
        <w:gridCol w:w="109"/>
        <w:gridCol w:w="109"/>
        <w:gridCol w:w="159"/>
      </w:tblGrid>
      <w:tr>
        <w:trPr/>
        <w:tc>
          <w:tcPr>
            <w:tcW w:w="8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INCOME (LOSS)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54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foreign currency forward contracts (1)</w:t>
            </w:r>
          </w:p>
        </w:tc>
        <w:tc>
          <w:tcPr>
            <w:tcW w:w="547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10,250 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loss on foreign currency forward contracts is materially offset by the gains on foreign currency exchange related to the installment receivable from the Brazil Sale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The Company’s interest rate swaps and foreign currency forward contracts are subject to master netting arrangements. As of March 30, 2025, the Company elected not to offset derivative positions in the balance sheet with the same counterparty under the same </w:t>
      </w:r>
      <w:bookmarkStart w:id="26" w:name="if5c79ef6f0724b909ade62a8cc213327_886"/>
      <w:bookmarkEnd w:id="26"/>
      <w:r>
        <w:rPr>
          <w:rFonts w:ascii="Times New Roman;sans-serif" w:hAnsi="Times New Roman;sans-serif"/>
          <w:b w:val="false"/>
          <w:color w:val="000000"/>
          <w:sz w:val="22"/>
        </w:rPr>
        <w:t>agreement.</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12.    Leases</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Layout w:type="fixed"/>
        <w:tblCellMar>
          <w:top w:w="28" w:type="dxa"/>
          <w:left w:w="28" w:type="dxa"/>
          <w:bottom w:w="28" w:type="dxa"/>
          <w:right w:w="28" w:type="dxa"/>
        </w:tblCellMar>
      </w:tblPr>
      <w:tblGrid>
        <w:gridCol w:w="917"/>
        <w:gridCol w:w="790"/>
        <w:gridCol w:w="793"/>
        <w:gridCol w:w="1327"/>
        <w:gridCol w:w="1327"/>
        <w:gridCol w:w="1330"/>
        <w:gridCol w:w="109"/>
        <w:gridCol w:w="109"/>
        <w:gridCol w:w="109"/>
        <w:gridCol w:w="230"/>
        <w:gridCol w:w="1028"/>
        <w:gridCol w:w="128"/>
        <w:gridCol w:w="109"/>
        <w:gridCol w:w="109"/>
        <w:gridCol w:w="109"/>
        <w:gridCol w:w="268"/>
        <w:gridCol w:w="1196"/>
        <w:gridCol w:w="217"/>
      </w:tblGrid>
      <w:tr>
        <w:trPr/>
        <w:tc>
          <w:tcPr>
            <w:tcW w:w="9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98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1,031,937 </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1,012,857 </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 (1)</w:t>
            </w:r>
          </w:p>
        </w:tc>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assets, net</w:t>
            </w:r>
          </w:p>
        </w:tc>
        <w:tc>
          <w:tcPr>
            <w:tcW w:w="3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1,044,208 </w:t>
            </w:r>
          </w:p>
        </w:tc>
        <w:tc>
          <w:tcPr>
            <w:tcW w:w="12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1,022,915 </w:t>
            </w:r>
          </w:p>
        </w:tc>
        <w:tc>
          <w:tcPr>
            <w:tcW w:w="21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158,806 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finance lease liabilities</w:t>
            </w:r>
          </w:p>
        </w:tc>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1,095,873 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1,088,518 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finance lease liabilities</w:t>
            </w:r>
          </w:p>
        </w:tc>
        <w:tc>
          <w:tcPr>
            <w:tcW w:w="3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3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1,271,093 </w:t>
            </w:r>
          </w:p>
        </w:tc>
        <w:tc>
          <w:tcPr>
            <w:tcW w:w="12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1,258,301 </w:t>
            </w:r>
          </w:p>
        </w:tc>
        <w:tc>
          <w:tcPr>
            <w:tcW w:w="2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(1)Net of accumulated amortization of $4.7 million and $4.0 million as of March 30, 2025 and December 29, 2024, respectively.</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Following is a summary of expenses and income related to leases recognized in the Company’s Consolidated Statements of Operations and Comprehensive Income (Loss) for the periods indicated:</w:t>
      </w:r>
    </w:p>
    <w:tbl>
      <w:tblPr>
        <w:tblW w:w="10205" w:type="dxa"/>
        <w:jc w:val="center"/>
        <w:tblInd w:w="0" w:type="dxa"/>
        <w:tblLayout w:type="fixed"/>
        <w:tblCellMar>
          <w:top w:w="28" w:type="dxa"/>
          <w:left w:w="28" w:type="dxa"/>
          <w:bottom w:w="28" w:type="dxa"/>
          <w:right w:w="28" w:type="dxa"/>
        </w:tblCellMar>
      </w:tblPr>
      <w:tblGrid>
        <w:gridCol w:w="642"/>
        <w:gridCol w:w="467"/>
        <w:gridCol w:w="469"/>
        <w:gridCol w:w="1625"/>
        <w:gridCol w:w="1625"/>
        <w:gridCol w:w="1629"/>
        <w:gridCol w:w="109"/>
        <w:gridCol w:w="109"/>
        <w:gridCol w:w="109"/>
        <w:gridCol w:w="109"/>
        <w:gridCol w:w="109"/>
        <w:gridCol w:w="154"/>
        <w:gridCol w:w="154"/>
        <w:gridCol w:w="277"/>
        <w:gridCol w:w="915"/>
        <w:gridCol w:w="154"/>
        <w:gridCol w:w="109"/>
        <w:gridCol w:w="109"/>
        <w:gridCol w:w="109"/>
        <w:gridCol w:w="239"/>
        <w:gridCol w:w="788"/>
        <w:gridCol w:w="195"/>
      </w:tblGrid>
      <w:tr>
        <w:trPr/>
        <w:tc>
          <w:tcPr>
            <w:tcW w:w="64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 STATEMENTS OF OPERATIONS AND COMPREHENSIVE INCOME (LOSS)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549" w:type="dxa"/>
            <w:gridSpan w:val="6"/>
            <w:tcBorders/>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48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 (1)</w:t>
            </w:r>
          </w:p>
        </w:tc>
        <w:tc>
          <w:tcPr>
            <w:tcW w:w="487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42,305 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42,932 </w:t>
            </w:r>
          </w:p>
        </w:tc>
        <w:tc>
          <w:tcPr>
            <w:tcW w:w="19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w:t>
            </w:r>
          </w:p>
        </w:tc>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costs:</w:t>
            </w:r>
          </w:p>
        </w:tc>
        <w:tc>
          <w:tcPr>
            <w:tcW w:w="4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leased assets</w:t>
            </w:r>
          </w:p>
        </w:tc>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4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Sublease revenue</w:t>
            </w:r>
          </w:p>
        </w:tc>
        <w:tc>
          <w:tcPr>
            <w:tcW w:w="4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costs, net</w:t>
            </w:r>
          </w:p>
        </w:tc>
        <w:tc>
          <w:tcPr>
            <w:tcW w:w="4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42,724 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42,939 </w:t>
            </w:r>
          </w:p>
        </w:tc>
        <w:tc>
          <w:tcPr>
            <w:tcW w:w="1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(1)Excludes rent expense for office facilities and Company-owned closed or subleased properties of $3.6 million and $3.4 million for the thirteen weeks ended March 30, 2025 and March 31, 2024, respectively, which is included in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cash flow impacts to the Company’s Consolidated Financial Statements related to its leases for the periods indicated:</w:t>
      </w:r>
    </w:p>
    <w:tbl>
      <w:tblPr>
        <w:tblW w:w="8966" w:type="dxa"/>
        <w:jc w:val="center"/>
        <w:tblInd w:w="0" w:type="dxa"/>
        <w:tblLayout w:type="fixed"/>
        <w:tblCellMar>
          <w:top w:w="28" w:type="dxa"/>
          <w:left w:w="28" w:type="dxa"/>
          <w:bottom w:w="28" w:type="dxa"/>
          <w:right w:w="28" w:type="dxa"/>
        </w:tblCellMar>
      </w:tblPr>
      <w:tblGrid>
        <w:gridCol w:w="2077"/>
        <w:gridCol w:w="1831"/>
        <w:gridCol w:w="1837"/>
        <w:gridCol w:w="293"/>
        <w:gridCol w:w="968"/>
        <w:gridCol w:w="163"/>
        <w:gridCol w:w="109"/>
        <w:gridCol w:w="109"/>
        <w:gridCol w:w="109"/>
        <w:gridCol w:w="289"/>
        <w:gridCol w:w="954"/>
        <w:gridCol w:w="227"/>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amounts included in the measurement of operating lease liabilities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47,244 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13.    Fair Value Measurements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675" w:type="dxa"/>
        <w:jc w:val="center"/>
        <w:tblInd w:w="0" w:type="dxa"/>
        <w:tblLayout w:type="fixed"/>
        <w:tblCellMar>
          <w:top w:w="28" w:type="dxa"/>
          <w:left w:w="28" w:type="dxa"/>
          <w:bottom w:w="28" w:type="dxa"/>
          <w:right w:w="28" w:type="dxa"/>
        </w:tblCellMar>
      </w:tblPr>
      <w:tblGrid>
        <w:gridCol w:w="234"/>
        <w:gridCol w:w="205"/>
        <w:gridCol w:w="205"/>
        <w:gridCol w:w="109"/>
        <w:gridCol w:w="109"/>
        <w:gridCol w:w="109"/>
        <w:gridCol w:w="1964"/>
        <w:gridCol w:w="1964"/>
        <w:gridCol w:w="277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Unobservable inputs that cannot be corroborated by observable market data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Fair Value Measurements on a Recurring Basis - </w:t>
      </w:r>
      <w:r>
        <w:rPr>
          <w:rFonts w:ascii="Times New Roman;sans-serif" w:hAnsi="Times New Roman;sans-serif"/>
          <w:b w:val="false"/>
          <w:color w:val="000000"/>
          <w:sz w:val="22"/>
        </w:rPr>
        <w:t>The following table summarizes the Company’s financial assets and liabilities measured at fair value by hierarchy level on a recurring basis as of the periods indicated:</w:t>
      </w:r>
    </w:p>
    <w:tbl>
      <w:tblPr>
        <w:tblW w:w="10205" w:type="dxa"/>
        <w:jc w:val="left"/>
        <w:tblInd w:w="0" w:type="dxa"/>
        <w:tblLayout w:type="fixed"/>
        <w:tblCellMar>
          <w:top w:w="28" w:type="dxa"/>
          <w:left w:w="28" w:type="dxa"/>
          <w:bottom w:w="28" w:type="dxa"/>
          <w:right w:w="28" w:type="dxa"/>
        </w:tblCellMar>
      </w:tblPr>
      <w:tblGrid>
        <w:gridCol w:w="596"/>
        <w:gridCol w:w="455"/>
        <w:gridCol w:w="456"/>
        <w:gridCol w:w="822"/>
        <w:gridCol w:w="822"/>
        <w:gridCol w:w="824"/>
        <w:gridCol w:w="109"/>
        <w:gridCol w:w="109"/>
        <w:gridCol w:w="109"/>
        <w:gridCol w:w="528"/>
        <w:gridCol w:w="528"/>
        <w:gridCol w:w="530"/>
        <w:gridCol w:w="109"/>
        <w:gridCol w:w="109"/>
        <w:gridCol w:w="109"/>
        <w:gridCol w:w="238"/>
        <w:gridCol w:w="675"/>
        <w:gridCol w:w="132"/>
        <w:gridCol w:w="109"/>
        <w:gridCol w:w="109"/>
        <w:gridCol w:w="109"/>
        <w:gridCol w:w="109"/>
        <w:gridCol w:w="109"/>
        <w:gridCol w:w="109"/>
        <w:gridCol w:w="109"/>
        <w:gridCol w:w="109"/>
        <w:gridCol w:w="109"/>
        <w:gridCol w:w="258"/>
        <w:gridCol w:w="853"/>
        <w:gridCol w:w="145"/>
        <w:gridCol w:w="109"/>
        <w:gridCol w:w="109"/>
        <w:gridCol w:w="109"/>
        <w:gridCol w:w="109"/>
        <w:gridCol w:w="109"/>
        <w:gridCol w:w="163"/>
      </w:tblGrid>
      <w:tr>
        <w:trPr/>
        <w:tc>
          <w:tcPr>
            <w:tcW w:w="5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1" w:type="dxa"/>
            <w:gridSpan w:val="12"/>
            <w:tcBorders/>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24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gridSpan w:val="4"/>
            <w:tcBorders/>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246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w:t>
            </w:r>
          </w:p>
        </w:tc>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2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contracts</w:t>
            </w:r>
          </w:p>
        </w:tc>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vAlign w:val="center"/>
          </w:tcPr>
          <w:p>
            <w:pPr>
              <w:pStyle w:val="TableContents"/>
              <w:bidi w:val="0"/>
              <w:spacing w:before="0" w:after="283"/>
              <w:jc w:val="left"/>
              <w:rPr>
                <w:sz w:val="4"/>
                <w:szCs w:val="4"/>
              </w:rPr>
            </w:pPr>
            <w:r>
              <w:rPr>
                <w:sz w:val="4"/>
                <w:szCs w:val="4"/>
              </w:rPr>
            </w:r>
          </w:p>
        </w:tc>
        <w:tc>
          <w:tcPr>
            <w:tcW w:w="2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Fair value of each class of financial instruments is determined based on the following:</w:t>
      </w:r>
    </w:p>
    <w:tbl>
      <w:tblPr>
        <w:tblW w:w="10205" w:type="dxa"/>
        <w:jc w:val="left"/>
        <w:tblInd w:w="0" w:type="dxa"/>
        <w:tblLayout w:type="fixed"/>
        <w:tblCellMar>
          <w:top w:w="28" w:type="dxa"/>
          <w:left w:w="28" w:type="dxa"/>
          <w:bottom w:w="28" w:type="dxa"/>
          <w:right w:w="28" w:type="dxa"/>
        </w:tblCellMar>
      </w:tblPr>
      <w:tblGrid>
        <w:gridCol w:w="475"/>
        <w:gridCol w:w="418"/>
        <w:gridCol w:w="420"/>
        <w:gridCol w:w="109"/>
        <w:gridCol w:w="109"/>
        <w:gridCol w:w="109"/>
        <w:gridCol w:w="2506"/>
        <w:gridCol w:w="2506"/>
        <w:gridCol w:w="3553"/>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METHODS AND ASSUMPTIONS</w:t>
            </w:r>
          </w:p>
        </w:tc>
      </w:tr>
      <w:tr>
        <w:trPr/>
        <w:tc>
          <w:tcPr>
            <w:tcW w:w="131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approximates fair value because maturities are less than three months.</w:t>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18"/>
              </w:rPr>
            </w:pPr>
            <w:r>
              <w:rPr>
                <w:rFonts w:ascii="Times New Roman;sans-serif" w:hAnsi="Times New Roman;sans-serif"/>
                <w:b w:val="false"/>
                <w:color w:val="000000"/>
                <w:sz w:val="18"/>
              </w:rPr>
              <w:t>The Company’s derivative instruments include interest rate swaps and foreign currency forward contracts. Fair value measurements are based on the contractual terms of the derivatives and observable market-based inputs. Interest rate swaps are valued using a discounted cash flow analysis on the expected cash flows of each derivative using observable inputs including interest rate curves and credit spreads. Foreign currency forwards are valued by comparing the contracted forward exchange rate to the current market forward exchange rate. Key inputs for the valuation of the foreign currency forwards are spot rates, foreign currency forward rates, and the interest rate curve of the domestic currency. The Company also considers its own nonperformance risk and the respective counterparty’s nonperformance risk in the fair value measurements. As of March 30, 2025 and December 29, 2024, the Company determined that the credit valuation adjustments were not significant to the overall valuation of its derivatives.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Interim Disclosures about Fair Value of Financial Instruments - </w:t>
      </w:r>
      <w:r>
        <w:rPr>
          <w:rFonts w:ascii="Times New Roman;sans-serif" w:hAnsi="Times New Roman;sans-serif"/>
          <w:b w:val="false"/>
          <w:color w:val="000000"/>
          <w:sz w:val="22"/>
        </w:rPr>
        <w:t>The Company’s non-derivative financial instruments consist of cash equivalents, accounts receivable, accounts payable and long-term debt. The fair values of cash equivalents, accounts receivable and accounts payable approximate their carrying amounts reported on the Company’s Consolidated Balance Sheets due to their short duration.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left"/>
        <w:tblInd w:w="0" w:type="dxa"/>
        <w:tblLayout w:type="fixed"/>
        <w:tblCellMar>
          <w:top w:w="28" w:type="dxa"/>
          <w:left w:w="28" w:type="dxa"/>
          <w:bottom w:w="28" w:type="dxa"/>
          <w:right w:w="28" w:type="dxa"/>
        </w:tblCellMar>
      </w:tblPr>
      <w:tblGrid>
        <w:gridCol w:w="1021"/>
        <w:gridCol w:w="880"/>
        <w:gridCol w:w="884"/>
        <w:gridCol w:w="266"/>
        <w:gridCol w:w="998"/>
        <w:gridCol w:w="147"/>
        <w:gridCol w:w="109"/>
        <w:gridCol w:w="109"/>
        <w:gridCol w:w="109"/>
        <w:gridCol w:w="290"/>
        <w:gridCol w:w="1092"/>
        <w:gridCol w:w="161"/>
        <w:gridCol w:w="109"/>
        <w:gridCol w:w="119"/>
        <w:gridCol w:w="119"/>
        <w:gridCol w:w="119"/>
        <w:gridCol w:w="119"/>
        <w:gridCol w:w="266"/>
        <w:gridCol w:w="998"/>
        <w:gridCol w:w="147"/>
        <w:gridCol w:w="109"/>
        <w:gridCol w:w="109"/>
        <w:gridCol w:w="109"/>
        <w:gridCol w:w="290"/>
        <w:gridCol w:w="1092"/>
        <w:gridCol w:w="161"/>
        <w:gridCol w:w="109"/>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2143" w:type="dxa"/>
            <w:gridSpan w:val="8"/>
            <w:tcBorders/>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 - revolving credit facility</w:t>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Notes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Notes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270,132 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14.    Income Taxes </w:t>
      </w:r>
    </w:p>
    <w:tbl>
      <w:tblPr>
        <w:tblW w:w="7756" w:type="dxa"/>
        <w:jc w:val="left"/>
        <w:tblInd w:w="0" w:type="dxa"/>
        <w:tblLayout w:type="fixed"/>
        <w:tblCellMar>
          <w:top w:w="28" w:type="dxa"/>
          <w:left w:w="28" w:type="dxa"/>
          <w:bottom w:w="28" w:type="dxa"/>
          <w:right w:w="28" w:type="dxa"/>
        </w:tblCellMar>
      </w:tblPr>
      <w:tblGrid>
        <w:gridCol w:w="1274"/>
        <w:gridCol w:w="1123"/>
        <w:gridCol w:w="1127"/>
        <w:gridCol w:w="109"/>
        <w:gridCol w:w="109"/>
        <w:gridCol w:w="183"/>
        <w:gridCol w:w="183"/>
        <w:gridCol w:w="330"/>
        <w:gridCol w:w="1090"/>
        <w:gridCol w:w="432"/>
        <w:gridCol w:w="109"/>
        <w:gridCol w:w="109"/>
        <w:gridCol w:w="109"/>
        <w:gridCol w:w="236"/>
        <w:gridCol w:w="870"/>
        <w:gridCol w:w="363"/>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6" w:type="dxa"/>
            <w:gridSpan w:val="6"/>
            <w:tcBorders/>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46,044 </w:t>
            </w:r>
          </w:p>
        </w:tc>
        <w:tc>
          <w:tcPr>
            <w:tcW w:w="4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(78,556)</w:t>
            </w:r>
          </w:p>
        </w:tc>
        <w:tc>
          <w:tcPr>
            <w:tcW w:w="3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6,642 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March 30, 2025 increased by 10.5 percentage points as compared to the thirteen weeks ended March 31, 2024. This increase was primarily due to impact of the non-deductible losses associated with the repurchase of $83.6 million of the outstanding 2025 Notes (the “Second 2025 Notes Partial Repurchase”) recorded in the thirteen weeks ended March 31, 2024 which, relative to a pre-tax book loss, resulted in a negative effective income tax rate. The increase was partially offset by the benefit of FICA tax credits on certain employees’ tips in 2025 relative to forecasted pretax book income.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U.S., a restaurant company employer may claim a credit against its federal income taxes for FICA taxes paid on certain tipped wages (the “FICA tax credit”). The level of FICA tax credits is primarily driven by U.S. Restaurant sales and is not impacted by costs incurred that may reduce Income (loss) before provision for income taxes.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March 30, 2025 was lower than the Company’s blended federal and state statutory rate of approximately 26% primarily due to the benefit of FICA tax credits on certain tipped wages.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effective income tax rate for the thirteen weeks ended March 31, 2024 was lower than the Company’s blended federal and state statutory rate of approximately 26% primarily due to the impact of nondeductible losses associated with the Second 2025 Notes Partial Repurchase, partially offset by the benefit of FICA tax credits on certain tipped wages which, relative to a pre-tax book loss during the quarter, resulted in a negative effective income tax rate.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15.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Litigation and Other Matters</w:t>
      </w:r>
      <w:r>
        <w:rPr>
          <w:color w:val="000000"/>
        </w:rPr>
        <w:t xml:space="preserve"> </w:t>
      </w:r>
      <w:r>
        <w:rPr>
          <w:rFonts w:ascii="Times New Roman;sans-serif" w:hAnsi="Times New Roman;sans-serif"/>
          <w:b w:val="false"/>
          <w:color w:val="000000"/>
          <w:sz w:val="22"/>
        </w:rPr>
        <w:t>- The Company recorded reserves of $2.2 million and $2.3 million for certain of its outstanding legal proceedings as of March 30, 2025 and December 29, 2024,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Lease Guarantees</w:t>
      </w:r>
      <w:r>
        <w:rPr>
          <w:color w:val="000000"/>
        </w:rPr>
        <w:t xml:space="preserve"> </w:t>
      </w:r>
      <w:r>
        <w:rPr>
          <w:rFonts w:ascii="Times New Roman;sans-serif" w:hAnsi="Times New Roman;sans-serif"/>
          <w:b w:val="false"/>
          <w:color w:val="000000"/>
          <w:sz w:val="22"/>
        </w:rPr>
        <w:t>- The Company assigned its interest, and is contingently liable, under certain real estate leases. These leases have varying terms, the latest of which expires in 2032. As of March 30, 2025, the undiscounted payments that the Company could be required to make in the event of non-payment by the primary lessees was $11.6 million. The present value of these potential payments discounted at the Company’s incremental borrowing rate as of March 30, 2025 was $9.4 million. In the event of default, the indemnity clauses in the Company’s purchase and sale agreements generally govern its ability to pursue and recover damages incurred. As of March 30, 2025 and December 29, 2024, the Company’s recorded contingent lease liability was $1.8 million and $1.6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left"/>
        <w:rPr>
          <w:rFonts w:ascii="Times New Roman;sans-serif" w:hAnsi="Times New Roman;sans-serif"/>
          <w:b w:val="false"/>
          <w:color w:val="000000"/>
          <w:sz w:val="22"/>
        </w:rPr>
      </w:pPr>
      <w:bookmarkStart w:id="27" w:name="ie177c389e4964e53a4dd8bd0ed35b876_3311"/>
      <w:bookmarkEnd w:id="27"/>
      <w:r>
        <w:rPr>
          <w:rFonts w:ascii="Times New Roman;sans-serif" w:hAnsi="Times New Roman;sans-serif"/>
          <w:b w:val="false"/>
          <w:color w:val="000000"/>
          <w:sz w:val="22"/>
        </w:rPr>
        <w:t>16.    Segment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is a summary of reportable segments:</w:t>
      </w:r>
    </w:p>
    <w:tbl>
      <w:tblPr>
        <w:tblW w:w="8063"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1014"/>
        <w:gridCol w:w="1014"/>
        <w:gridCol w:w="1017"/>
        <w:gridCol w:w="109"/>
        <w:gridCol w:w="109"/>
        <w:gridCol w:w="109"/>
        <w:gridCol w:w="663"/>
        <w:gridCol w:w="663"/>
        <w:gridCol w:w="938"/>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GEOGRAPHIC LOCATION</w:t>
            </w:r>
          </w:p>
        </w:tc>
      </w:tr>
      <w:tr>
        <w:trPr/>
        <w:tc>
          <w:tcPr>
            <w:tcW w:w="2100"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United States of America</w:t>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12 Franchise Markets</w:t>
            </w:r>
          </w:p>
        </w:tc>
      </w:tr>
      <w:tr>
        <w:trPr/>
        <w:tc>
          <w:tcPr>
            <w:tcW w:w="2100"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 (Abbraccio)</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(1)Includes franchise locations.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Segment accounting policies are the same as those described in Note 2 - </w:t>
      </w:r>
      <w:r>
        <w:rPr>
          <w:rFonts w:ascii="Times New Roman;sans-serif" w:hAnsi="Times New Roman;sans-serif"/>
          <w:b w:val="false"/>
          <w:i/>
          <w:color w:val="000000"/>
          <w:sz w:val="22"/>
        </w:rPr>
        <w:t xml:space="preserve">Summary of Significant Accounting Policies </w:t>
      </w:r>
      <w:r>
        <w:rPr>
          <w:rFonts w:ascii="Times New Roman;sans-serif" w:hAnsi="Times New Roman;sans-serif"/>
          <w:b w:val="false"/>
          <w:color w:val="000000"/>
          <w:sz w:val="22"/>
        </w:rPr>
        <w:t xml:space="preserve">in the Company’s Annual Report on Form 10-K for the year ended December 29, 2024. Revenues for all segments include only transactions with customers and exclude intersegment revenues. There were no material transactions among reportable segments. Excluded from Income from operations for U.S. are certain legal and corporate costs not directly related to the performance of the segment, most stock-based compensation expenses, a portion of insurance expenses and certain bonus expenses. The below segment disclosures have been recast to include amounts that relate solely to the Company’s continuing operations. In the tables below, “other” includes amounts related to the Company’s equity method investment in Brazil and its Hong Kong subsidiary.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revenues by segment for the periods indicated:</w:t>
      </w:r>
    </w:p>
    <w:tbl>
      <w:tblPr>
        <w:tblW w:w="5225" w:type="dxa"/>
        <w:jc w:val="left"/>
        <w:tblInd w:w="0" w:type="dxa"/>
        <w:tblLayout w:type="fixed"/>
        <w:tblCellMar>
          <w:top w:w="28" w:type="dxa"/>
          <w:left w:w="28" w:type="dxa"/>
          <w:bottom w:w="28" w:type="dxa"/>
          <w:right w:w="28" w:type="dxa"/>
        </w:tblCellMar>
      </w:tblPr>
      <w:tblGrid>
        <w:gridCol w:w="646"/>
        <w:gridCol w:w="568"/>
        <w:gridCol w:w="571"/>
        <w:gridCol w:w="237"/>
        <w:gridCol w:w="1056"/>
        <w:gridCol w:w="132"/>
        <w:gridCol w:w="109"/>
        <w:gridCol w:w="109"/>
        <w:gridCol w:w="109"/>
        <w:gridCol w:w="237"/>
        <w:gridCol w:w="1056"/>
        <w:gridCol w:w="132"/>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1,030,903 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revenues</w:t>
            </w:r>
          </w:p>
        </w:tc>
        <w:tc>
          <w:tcPr>
            <w:tcW w:w="129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1,040,186 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1,053,216 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 other revenues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1,049,594 </w:t>
            </w:r>
          </w:p>
        </w:tc>
        <w:tc>
          <w:tcPr>
            <w:tcW w:w="1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1,069,073 </w:t>
            </w:r>
          </w:p>
        </w:tc>
        <w:tc>
          <w:tcPr>
            <w:tcW w:w="1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segment operating income and significant segment expense information for the periods indicated:</w:t>
      </w:r>
    </w:p>
    <w:tbl>
      <w:tblPr>
        <w:tblW w:w="6274" w:type="dxa"/>
        <w:jc w:val="left"/>
        <w:tblInd w:w="0" w:type="dxa"/>
        <w:tblLayout w:type="fixed"/>
        <w:tblCellMar>
          <w:top w:w="28" w:type="dxa"/>
          <w:left w:w="28" w:type="dxa"/>
          <w:bottom w:w="28" w:type="dxa"/>
          <w:right w:w="28" w:type="dxa"/>
        </w:tblCellMar>
      </w:tblPr>
      <w:tblGrid>
        <w:gridCol w:w="1025"/>
        <w:gridCol w:w="903"/>
        <w:gridCol w:w="906"/>
        <w:gridCol w:w="237"/>
        <w:gridCol w:w="1056"/>
        <w:gridCol w:w="132"/>
        <w:gridCol w:w="109"/>
        <w:gridCol w:w="109"/>
        <w:gridCol w:w="109"/>
        <w:gridCol w:w="237"/>
        <w:gridCol w:w="1056"/>
        <w:gridCol w:w="132"/>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U.S.</w:t>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1,030,903 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311,549 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312,705 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311,199 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expenses</w:t>
            </w:r>
          </w:p>
        </w:tc>
        <w:tc>
          <w:tcPr>
            <w:tcW w:w="129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943,233 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945,620 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87,670 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97,484 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2015" w:type="dxa"/>
            <w:gridSpan w:val="8"/>
            <w:tcBorders/>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i/>
                <w:color w:val="000000"/>
                <w:sz w:val="18"/>
              </w:rPr>
            </w:pPr>
            <w:r>
              <w:rPr>
                <w:rFonts w:ascii="Times New Roman;sans-serif" w:hAnsi="Times New Roman;sans-serif"/>
                <w:b/>
                <w:i/>
                <w:color w:val="000000"/>
                <w:sz w:val="18"/>
              </w:rPr>
              <w:t>International Franchise</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expenses (2)</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9,004 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9,689 </w:t>
            </w:r>
          </w:p>
        </w:tc>
        <w:tc>
          <w:tcPr>
            <w:tcW w:w="1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2015" w:type="dxa"/>
            <w:gridSpan w:val="8"/>
            <w:tcBorders/>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segment</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1,040,186 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1,053,216 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expenses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943,512 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946,043 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income from operations</w:t>
            </w:r>
          </w:p>
        </w:tc>
        <w:tc>
          <w:tcPr>
            <w:tcW w:w="23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96,674 </w:t>
            </w:r>
          </w:p>
        </w:tc>
        <w:tc>
          <w:tcPr>
            <w:tcW w:w="1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107,173 </w:t>
            </w:r>
          </w:p>
        </w:tc>
        <w:tc>
          <w:tcPr>
            <w:tcW w:w="1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depreciation and amortization, general and administrative and impairment expense.</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general and administrative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reconciliation of segment income from operations to Income (loss) before provision for income taxes for the periods indicated:</w:t>
      </w:r>
    </w:p>
    <w:tbl>
      <w:tblPr>
        <w:tblW w:w="6964" w:type="dxa"/>
        <w:jc w:val="left"/>
        <w:tblInd w:w="0" w:type="dxa"/>
        <w:tblLayout w:type="fixed"/>
        <w:tblCellMar>
          <w:top w:w="28" w:type="dxa"/>
          <w:left w:w="28" w:type="dxa"/>
          <w:bottom w:w="28" w:type="dxa"/>
          <w:right w:w="28" w:type="dxa"/>
        </w:tblCellMar>
      </w:tblPr>
      <w:tblGrid>
        <w:gridCol w:w="1274"/>
        <w:gridCol w:w="1123"/>
        <w:gridCol w:w="1128"/>
        <w:gridCol w:w="293"/>
        <w:gridCol w:w="968"/>
        <w:gridCol w:w="163"/>
        <w:gridCol w:w="109"/>
        <w:gridCol w:w="109"/>
        <w:gridCol w:w="109"/>
        <w:gridCol w:w="268"/>
        <w:gridCol w:w="1008"/>
        <w:gridCol w:w="149"/>
        <w:gridCol w:w="109"/>
        <w:gridCol w:w="154"/>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income from operations</w:t>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96,674 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107,173 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Unallocated corporate operating expense</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(loss) from operations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from operations</w:t>
            </w:r>
          </w:p>
        </w:tc>
        <w:tc>
          <w:tcPr>
            <w:tcW w:w="12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57,231 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70,917 </w:t>
            </w:r>
          </w:p>
        </w:tc>
        <w:tc>
          <w:tcPr>
            <w:tcW w:w="14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(11,187)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29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46,044 </w:t>
            </w:r>
          </w:p>
        </w:tc>
        <w:tc>
          <w:tcPr>
            <w:tcW w:w="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(78,556)</w:t>
            </w:r>
          </w:p>
        </w:tc>
        <w:tc>
          <w:tcPr>
            <w:tcW w:w="1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 - Continued</w:t>
      </w:r>
    </w:p>
    <w:p>
      <w:pPr>
        <w:pStyle w:val="TextBody"/>
        <w:bidi w:val="0"/>
        <w:spacing w:lineRule="auto" w:line="288" w:before="1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is a summary of depreciation and amortization and capital expenditures by segment for the periods indicated:</w:t>
      </w:r>
    </w:p>
    <w:tbl>
      <w:tblPr>
        <w:tblW w:w="8673" w:type="dxa"/>
        <w:jc w:val="left"/>
        <w:tblInd w:w="0" w:type="dxa"/>
        <w:tblLayout w:type="fixed"/>
        <w:tblCellMar>
          <w:top w:w="28" w:type="dxa"/>
          <w:left w:w="28" w:type="dxa"/>
          <w:bottom w:w="28" w:type="dxa"/>
          <w:right w:w="28" w:type="dxa"/>
        </w:tblCellMar>
      </w:tblPr>
      <w:tblGrid>
        <w:gridCol w:w="657"/>
        <w:gridCol w:w="577"/>
        <w:gridCol w:w="581"/>
        <w:gridCol w:w="293"/>
        <w:gridCol w:w="969"/>
        <w:gridCol w:w="162"/>
        <w:gridCol w:w="154"/>
        <w:gridCol w:w="154"/>
        <w:gridCol w:w="154"/>
        <w:gridCol w:w="293"/>
        <w:gridCol w:w="969"/>
        <w:gridCol w:w="162"/>
        <w:gridCol w:w="109"/>
        <w:gridCol w:w="109"/>
        <w:gridCol w:w="109"/>
        <w:gridCol w:w="293"/>
        <w:gridCol w:w="968"/>
        <w:gridCol w:w="163"/>
        <w:gridCol w:w="109"/>
        <w:gridCol w:w="109"/>
        <w:gridCol w:w="109"/>
        <w:gridCol w:w="289"/>
        <w:gridCol w:w="954"/>
        <w:gridCol w:w="227"/>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8"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DEPRECIATION AND AMORTIZATION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 EXPENDITURES</w:t>
            </w:r>
          </w:p>
        </w:tc>
      </w:tr>
      <w:tr>
        <w:trPr/>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(dollars in thousands)</w:t>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4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41,613 </w:t>
            </w:r>
          </w:p>
        </w:tc>
        <w:tc>
          <w:tcPr>
            <w:tcW w:w="1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39,968 </w:t>
            </w:r>
          </w:p>
        </w:tc>
        <w:tc>
          <w:tcPr>
            <w:tcW w:w="16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42,301 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48,589 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9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43,947 </w:t>
            </w:r>
          </w:p>
        </w:tc>
        <w:tc>
          <w:tcPr>
            <w:tcW w:w="16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42,700 </w:t>
            </w:r>
          </w:p>
        </w:tc>
        <w:tc>
          <w:tcPr>
            <w:tcW w:w="16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48,654 </w:t>
            </w:r>
          </w:p>
        </w:tc>
        <w:tc>
          <w:tcPr>
            <w:tcW w:w="16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51,217 </w:t>
            </w:r>
          </w:p>
        </w:tc>
        <w:tc>
          <w:tcPr>
            <w:tcW w:w="22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Total assets by segment as of the periods i</w:t>
      </w:r>
      <w:bookmarkStart w:id="28" w:name="ic2ce9015d1fa438f98723de8c6de168f_90"/>
      <w:bookmarkEnd w:id="28"/>
      <w:r>
        <w:rPr>
          <w:rFonts w:ascii="Times New Roman;sans-serif" w:hAnsi="Times New Roman;sans-serif"/>
          <w:b w:val="false"/>
          <w:color w:val="000000"/>
          <w:sz w:val="22"/>
        </w:rPr>
        <w:t>ndicated:</w:t>
      </w:r>
    </w:p>
    <w:tbl>
      <w:tblPr>
        <w:tblW w:w="7050" w:type="dxa"/>
        <w:jc w:val="center"/>
        <w:tblInd w:w="0" w:type="dxa"/>
        <w:tblLayout w:type="fixed"/>
        <w:tblCellMar>
          <w:top w:w="28" w:type="dxa"/>
          <w:left w:w="28" w:type="dxa"/>
          <w:bottom w:w="28" w:type="dxa"/>
          <w:right w:w="28" w:type="dxa"/>
        </w:tblCellMar>
      </w:tblPr>
      <w:tblGrid>
        <w:gridCol w:w="1242"/>
        <w:gridCol w:w="1094"/>
        <w:gridCol w:w="1098"/>
        <w:gridCol w:w="237"/>
        <w:gridCol w:w="1056"/>
        <w:gridCol w:w="132"/>
        <w:gridCol w:w="109"/>
        <w:gridCol w:w="109"/>
        <w:gridCol w:w="109"/>
        <w:gridCol w:w="285"/>
        <w:gridCol w:w="1267"/>
        <w:gridCol w:w="158"/>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2,653,142 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2,735,251 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assets</w:t>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2,757,622 </w:t>
            </w:r>
          </w:p>
        </w:tc>
        <w:tc>
          <w:tcPr>
            <w:tcW w:w="1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2,838,493 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466,923 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306,560 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of discontinued operations held for sale</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3,305,370 </w:t>
            </w:r>
          </w:p>
        </w:tc>
        <w:tc>
          <w:tcPr>
            <w:tcW w:w="1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3,384,805 </w:t>
            </w:r>
          </w:p>
        </w:tc>
        <w:tc>
          <w:tcPr>
            <w:tcW w:w="15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Cautionary Statement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(i)Consumer reactions to public health and food safety issues;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(ii)Minimum wage increases, additional mandated employee benefits and fluctuations in the cost and availability of employees;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(iii)Our ability to recruit and retain high-quality leadership, restaurant-level management and team members;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(iv)Economic and geopolitical conditions, including recent tariff developments, and their effects on consumer confidence and discretionary spending, consumer traffic, the cost and availability of credit and interest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(v)Our ability to compete in the highly competitive restaurant industry with many well-established competitors and new market entrants;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(vi)Our ability to protect our information technology systems from interruption or security breach, including cybersecurity threats, and to protect consumer data and personal employee information;</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(viii)Our ability to preserve and grow the reputation and value of our brands, particularly in light of changes in consumer engagement with social media platforms and limited control with respect to the operations of our franchisees;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(ix)The effects of international economic, political and social conditions and legal systems on our foreign operations and on foreign currency exchange rates;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(x)The impacts of our operations in Brazil as a minority investor and franchisor following our recent sale transaction;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(xi)Our ability to comply with corporate citizenship and sustainability reporting requirements and investor expectations or our failure to achieve any goals, targets or objectives that we establish with respect to corporate citizenship and sustainability matters;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(xii)Our ability to effectively respond to changes in patterns of consumer traffic, including by maintaining relationships with third-party delivery apps and services, consumer tastes and dietary habits;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(xiii)Our ability to comply with governmental laws and regulations, the costs of compliance with such laws and regulations and the effects of changes or uncertainty with respect to applicable laws and regulations, including tax laws and unanticipated liabilities, and the impact of any litigation;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(xiv)Our ability to implement our remodeling, relocation and expansion plans, due to uncertainty in locating and acquiring attractive sites on acceptable terms, obtaining required permits and approvals, recruiting and training necessary personnel, obtaining adequate financing and estimating the performance of newly opened, remodeled or relocated restaurants, and our cost savings plans to enable reinvestment in our business, due to uncertainty with respect to macroeconomic conditions and the efficiency that may be added by the actions we take;</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(xv)Seasonal and periodic fluctuations in our results and the effects of significant adverse weather conditions and other disasters or unforeseen events;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(xvii)Any impairment in the carrying value of our goodwill or other intangible or long-lived assets and its effect on our financial condition and results of operations;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(xviii)Such other factors as discussed in Part I, Item IA. Risk Factors of our Annual Report on Form 10-K for the year ended December 29, 2024.</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periods are not intended to express any future trends or indications of future performance, unless specifically expressed as such, and should only be viewed as historical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bookmarkStart w:id="29" w:name="i3b83e57e371a475384cf6d570fce8018_411"/>
      <w:bookmarkEnd w:id="29"/>
      <w:r>
        <w:rPr>
          <w:rFonts w:ascii="Times New Roman;sans-serif" w:hAnsi="Times New Roman;sans-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one of the largest casual dining restaurant companies in the world with a portfolio of leading, differentiated restaurant concepts. As of March 30, 2025, we owned and operated 980 restaurants and franchised 486 restaurants across 46 states, Guam and 12 countries. Our restaurant portfolio includes: Outback Steakhouse, Carrabba’s Italian Grill, Bonefish Grill and Fleming’s Prime Steakhouse &amp; Wine Bar.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Financial Overview - </w:t>
      </w:r>
      <w:r>
        <w:rPr>
          <w:rFonts w:ascii="Times New Roman;sans-serif" w:hAnsi="Times New Roman;sans-serif"/>
          <w:b w:val="false"/>
          <w:color w:val="000000"/>
          <w:sz w:val="22"/>
        </w:rPr>
        <w:t>Our financial overview for the thirteen weeks ended March 30, 2025 from continuing operations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U.S. combined and Outback Steakhouse comparable restaurant sales of (0.5)% and (1.3)%, respectively;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Decrease in Total revenues of (1.8)% as compared to the first quarter of 2024;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and restaurant-level operating margins of 5.5% and 13.9%, respectively, as compared to 6.6% and 15.4%, respectively, for the first quarter of 2024;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Operating income of $57.2 million as compared to $70.9 million in the first quarter of 2024;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2"/>
        </w:rPr>
        <w:t>Diluted earnings per share of $0.50 as compared to $(1.00) for the first quarter of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Key Financial Performance Indicators</w:t>
      </w:r>
      <w:r>
        <w:rPr>
          <w:color w:val="000000"/>
        </w:rPr>
        <w:t xml:space="preserve"> </w:t>
      </w:r>
      <w:r>
        <w:rPr>
          <w:rFonts w:ascii="Times New Roman;sans-serif" w:hAnsi="Times New Roman;sans-serif"/>
          <w:b w:val="false"/>
          <w:color w:val="000000"/>
          <w:sz w:val="22"/>
        </w:rPr>
        <w:t>- Key measures that we use in evaluating our restaurants and assessing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Average restaurant unit volumes</w:t>
      </w:r>
      <w:r>
        <w:rPr>
          <w:color w:val="000000"/>
        </w:rPr>
        <w:t>—</w:t>
      </w:r>
      <w:r>
        <w:rPr>
          <w:rFonts w:ascii="Times New Roman;sans-serif" w:hAnsi="Times New Roman;sans-serif"/>
          <w:b w:val="false"/>
          <w:color w:val="000000"/>
          <w:sz w:val="22"/>
        </w:rPr>
        <w:t>average sales (excluding gift card breakage) per restaurant to measure changes in customer traffic, pricing and development of the brand.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Comparable restaurant sales</w:t>
      </w:r>
      <w:r>
        <w:rPr>
          <w:color w:val="000000"/>
        </w:rPr>
        <w:t>—</w:t>
      </w:r>
      <w:r>
        <w:rPr>
          <w:rFonts w:ascii="Times New Roman;sans-serif" w:hAnsi="Times New Roman;sans-serif"/>
          <w:b w:val="false"/>
          <w:color w:val="000000"/>
          <w:sz w:val="22"/>
        </w:rPr>
        <w:t>year-over-year comparison of the change in sales volumes (excluding gift card breakage) for Company-owned restaurants that are open 18 months or more in order to remove the impact of new restaurant openings in comparing the operations of existing restaurants.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System-wide sales</w:t>
      </w:r>
      <w:r>
        <w:rPr>
          <w:color w:val="000000"/>
        </w:rPr>
        <w:t>—</w:t>
      </w:r>
      <w:r>
        <w:rPr>
          <w:rFonts w:ascii="Times New Roman;sans-serif" w:hAnsi="Times New Roman;sans-serif"/>
          <w:b w:val="false"/>
          <w:color w:val="000000"/>
          <w:sz w:val="22"/>
        </w:rPr>
        <w:t>total restaurant sales volume for all Company-owned and franchise restaurants, regardless of ownership, to interpret the overall health of our brands.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Restaurant-level operating margin, Income from operations, Net income (loss) and Diluted earnings (loss) per share</w:t>
      </w:r>
      <w:r>
        <w:rPr>
          <w:color w:val="000000"/>
        </w:rPr>
        <w:t>—</w:t>
      </w:r>
      <w:r>
        <w:rPr>
          <w:rFonts w:ascii="Times New Roman;sans-serif" w:hAnsi="Times New Roman;sans-serif"/>
          <w:b w:val="false"/>
          <w:color w:val="000000"/>
          <w:sz w:val="22"/>
        </w:rPr>
        <w:t xml:space="preserve">financial measures utilized to evaluate our operating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Our restaurant-level operating margin is expressed as the percentage of our Restaurant sales that Food and beverage costs, Labor and other related expense and Other restaurant operating expense (including advertising expenses) represent, in each case as such items are reflected in our Consolidated Statements of Operations and Comprehensive Income (Loss). The following categories of revenue and operating expenses are not included in restaurant-level operating income and corresponding margin because we do not consider them reflective of operating performance at the restaurant-level within a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(i)Franchise and other revenues, which are earned primarily from franchise royalties and other non-food and beverage revenue streams, such as rental and sublease income;</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(ii)Depreciation and amortization, which, although substantially all of which is related to restaurant-level assets, represent historical sunk costs rather than cash outlays for the restaurants;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(iii)General and administrative expense, which includes primarily non-restaurant-level costs associated with support of the restaurants and other activities at our corporate offices; and</w:t>
      </w:r>
    </w:p>
    <w:p>
      <w:pPr>
        <w:pStyle w:val="TextBody"/>
        <w:bidi w:val="0"/>
        <w:spacing w:lineRule="auto" w:line="288" w:before="0" w:after="0"/>
        <w:ind w:left="0" w:right="0" w:hanging="720"/>
        <w:jc w:val="both"/>
        <w:rPr>
          <w:rFonts w:ascii="Times New Roman;sans-serif" w:hAnsi="Times New Roman;sans-serif"/>
          <w:b w:val="false"/>
          <w:color w:val="000000"/>
          <w:sz w:val="22"/>
        </w:rPr>
      </w:pPr>
      <w:r>
        <w:rPr>
          <w:rFonts w:ascii="Times New Roman;sans-serif" w:hAnsi="Times New Roman;sans-serif"/>
          <w:b w:val="false"/>
          <w:color w:val="000000"/>
          <w:sz w:val="22"/>
        </w:rPr>
        <w:t>(iv)Asset impairment charges and restaurant closing costs, which are not reflective of ongoing restaurant performance in a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Restaurant-level operating margin excludes various expenses, as discussed above, that are essential to supporting the operations of our restaurants and may materially impact our Consolidated Statements of Operations and Comprehensive Income (Loss). As a result, restaurant-level operating margin is not indicative of our consolidated results of operations and is presented exclusively as a supplement to, and not a substitute for, Net income (loss) or Income from operations. In addition, our presentation of restaurant-level operating margin may not be comparable to similarly titled measures used by other companies in our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2"/>
        </w:rPr>
        <w:t>Adjusted restaurant-level operating margin, Adjusted income from operations, Adjusted net income and Adjusted diluted earnings per share</w:t>
      </w:r>
      <w:r>
        <w:rPr>
          <w:color w:val="000000"/>
        </w:rPr>
        <w:t>—</w:t>
      </w:r>
      <w:r>
        <w:rPr>
          <w:rFonts w:ascii="Times New Roman;sans-serif" w:hAnsi="Times New Roman;sans-serif"/>
          <w:b w:val="false"/>
          <w:color w:val="000000"/>
          <w:sz w:val="22"/>
        </w:rPr>
        <w:t>non-GAAP financial measures utilized to evaluate our operating performance.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Selected Operating Data - </w:t>
      </w:r>
      <w:r>
        <w:rPr>
          <w:rFonts w:ascii="Times New Roman;sans-serif" w:hAnsi="Times New Roman;sans-serif"/>
          <w:b w:val="false"/>
          <w:color w:val="000000"/>
          <w:sz w:val="22"/>
        </w:rPr>
        <w:t>The table below presents the number of our restaurants in operation as of the periods indicated:</w:t>
      </w:r>
    </w:p>
    <w:tbl>
      <w:tblPr>
        <w:tblW w:w="6835" w:type="dxa"/>
        <w:jc w:val="left"/>
        <w:tblInd w:w="0" w:type="dxa"/>
        <w:tblLayout w:type="fixed"/>
        <w:tblCellMar>
          <w:top w:w="28" w:type="dxa"/>
          <w:left w:w="28" w:type="dxa"/>
          <w:bottom w:w="28" w:type="dxa"/>
          <w:right w:w="28" w:type="dxa"/>
        </w:tblCellMar>
      </w:tblPr>
      <w:tblGrid>
        <w:gridCol w:w="1308"/>
        <w:gridCol w:w="1150"/>
        <w:gridCol w:w="1157"/>
        <w:gridCol w:w="474"/>
        <w:gridCol w:w="474"/>
        <w:gridCol w:w="476"/>
        <w:gridCol w:w="109"/>
        <w:gridCol w:w="109"/>
        <w:gridCol w:w="109"/>
        <w:gridCol w:w="430"/>
        <w:gridCol w:w="430"/>
        <w:gridCol w:w="609"/>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Number of restaurants (at end of the period):</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Aussie Grill</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Company-owned</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4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6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(1)</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 total</w:t>
            </w:r>
          </w:p>
        </w:tc>
        <w:tc>
          <w:tcPr>
            <w:tcW w:w="9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4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6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other - Company-owned</w:t>
            </w:r>
          </w:p>
        </w:tc>
        <w:tc>
          <w:tcPr>
            <w:tcW w:w="142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Hong Kong/China</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 Brazil (1)</w:t>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w:t>
            </w:r>
          </w:p>
        </w:tc>
        <w:tc>
          <w:tcPr>
            <w:tcW w:w="9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4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1,451 </w:t>
            </w:r>
          </w:p>
        </w:tc>
        <w:tc>
          <w:tcPr>
            <w:tcW w:w="6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Company-owned</w:t>
            </w:r>
          </w:p>
        </w:tc>
        <w:tc>
          <w:tcPr>
            <w:tcW w:w="9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4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6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System-wide total - Franchised</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bookmarkStart w:id="30" w:name="i946d68b0533448b79226ed5d52774fb4_32-3-1"/>
            <w:bookmarkEnd w:id="30"/>
            <w:r>
              <w:rPr>
                <w:rFonts w:ascii="Times New Roman;sans-serif" w:hAnsi="Times New Roman;sans-serif"/>
                <w:b w:val="false"/>
                <w:color w:val="000000"/>
                <w:sz w:val="18"/>
              </w:rPr>
              <w:t>289 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(1)Following the close of the Brazil Sale Transaction on December 30, 2024, all restaurants in that market operate as unconsolidated franchisees and the related store count is no longer reported on a one-month lag. See Note 2 -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 xml:space="preserve">of the Notes to Consolidated Financial Statements for further details. The March 31, 2024 restaurant counts for Brazil, are reported as of February 29, 2024, to correspond with the balance sheet date of this subsidiary.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left"/>
        <w:rPr>
          <w:rFonts w:ascii="Times New Roman;sans-serif" w:hAnsi="Times New Roman;sans-serif"/>
          <w:b/>
          <w:color w:val="000000"/>
          <w:sz w:val="22"/>
        </w:rPr>
      </w:pPr>
      <w:bookmarkStart w:id="31" w:name="ia82e9fe5ffd14993b8dfd0d086bf47b3_27"/>
      <w:bookmarkEnd w:id="31"/>
      <w:r>
        <w:rPr>
          <w:rFonts w:ascii="Times New Roman;sans-serif" w:hAnsi="Times New Roman;sans-serif"/>
          <w:b/>
          <w:color w:val="000000"/>
          <w:sz w:val="22"/>
        </w:rPr>
        <w:t>Results of Operations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REVENUES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Restaurant Sales - </w:t>
      </w:r>
      <w:r>
        <w:rPr>
          <w:rFonts w:ascii="Times New Roman;sans-serif" w:hAnsi="Times New Roman;sans-serif"/>
          <w:b w:val="false"/>
          <w:color w:val="000000"/>
          <w:sz w:val="22"/>
        </w:rPr>
        <w:t>Following is a summary of the change in Restaurant sales for the period indicated:</w:t>
      </w:r>
    </w:p>
    <w:tbl>
      <w:tblPr>
        <w:tblW w:w="5257" w:type="dxa"/>
        <w:jc w:val="left"/>
        <w:tblInd w:w="0" w:type="dxa"/>
        <w:tblLayout w:type="fixed"/>
        <w:tblCellMar>
          <w:top w:w="28" w:type="dxa"/>
          <w:left w:w="28" w:type="dxa"/>
          <w:bottom w:w="28" w:type="dxa"/>
          <w:right w:w="28" w:type="dxa"/>
        </w:tblCellMar>
      </w:tblPr>
      <w:tblGrid>
        <w:gridCol w:w="1005"/>
        <w:gridCol w:w="883"/>
        <w:gridCol w:w="886"/>
        <w:gridCol w:w="437"/>
        <w:gridCol w:w="1540"/>
        <w:gridCol w:w="243"/>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31, 2024</w:t>
            </w:r>
          </w:p>
        </w:tc>
        <w:tc>
          <w:tcPr>
            <w:tcW w:w="4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1,046.7 </w:t>
            </w:r>
          </w:p>
        </w:tc>
        <w:tc>
          <w:tcPr>
            <w:tcW w:w="2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from:</w:t>
            </w:r>
          </w:p>
        </w:tc>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closures (1)</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w:t>
            </w:r>
          </w:p>
        </w:tc>
        <w:tc>
          <w:tcPr>
            <w:tcW w:w="1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openings (2)</w:t>
            </w:r>
          </w:p>
        </w:tc>
        <w:tc>
          <w:tcPr>
            <w:tcW w:w="1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 the period ended March 30, 2025</w:t>
            </w:r>
          </w:p>
        </w:tc>
        <w:tc>
          <w:tcPr>
            <w:tcW w:w="43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1,029.5 </w:t>
            </w:r>
          </w:p>
        </w:tc>
        <w:tc>
          <w:tcPr>
            <w:tcW w:w="24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(1)Includes the restaurant sales impact from the closure of 58 restaurants since December 31, 2023.</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restaurant sales from 25 new restaurants not included in our comparable restaurant sales base.</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Average Restaurant Unit Volumes and Operating Weeks - </w:t>
      </w:r>
      <w:r>
        <w:rPr>
          <w:rFonts w:ascii="Times New Roman;sans-serif" w:hAnsi="Times New Roman;sans-serif"/>
          <w:b w:val="false"/>
          <w:color w:val="000000"/>
          <w:sz w:val="22"/>
        </w:rPr>
        <w:t>Following is a summary of the average restaurant unit volumes and operating weeks for the periods indicated:</w:t>
      </w:r>
    </w:p>
    <w:tbl>
      <w:tblPr>
        <w:tblW w:w="9046" w:type="dxa"/>
        <w:jc w:val="left"/>
        <w:tblInd w:w="0" w:type="dxa"/>
        <w:tblLayout w:type="fixed"/>
        <w:tblCellMar>
          <w:top w:w="28" w:type="dxa"/>
          <w:left w:w="28" w:type="dxa"/>
          <w:bottom w:w="28" w:type="dxa"/>
          <w:right w:w="28" w:type="dxa"/>
        </w:tblCellMar>
      </w:tblPr>
      <w:tblGrid>
        <w:gridCol w:w="1110"/>
        <w:gridCol w:w="973"/>
        <w:gridCol w:w="977"/>
        <w:gridCol w:w="109"/>
        <w:gridCol w:w="109"/>
        <w:gridCol w:w="739"/>
        <w:gridCol w:w="739"/>
        <w:gridCol w:w="741"/>
        <w:gridCol w:w="109"/>
        <w:gridCol w:w="268"/>
        <w:gridCol w:w="1008"/>
        <w:gridCol w:w="149"/>
        <w:gridCol w:w="109"/>
        <w:gridCol w:w="109"/>
        <w:gridCol w:w="109"/>
        <w:gridCol w:w="268"/>
        <w:gridCol w:w="1008"/>
        <w:gridCol w:w="149"/>
        <w:gridCol w:w="109"/>
        <w:gridCol w:w="154"/>
      </w:tblGrid>
      <w:tr>
        <w:trPr/>
        <w:tc>
          <w:tcPr>
            <w:tcW w:w="111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549" w:type="dxa"/>
            <w:gridSpan w:val="12"/>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restaurant unit volumes: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82,423 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83,012 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72,325 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123,287 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weeks: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Comparable Restaurant Sales, Traffic and Average Check Per Person (Decreases) Increases - </w:t>
      </w:r>
      <w:r>
        <w:rPr>
          <w:rFonts w:ascii="Times New Roman;sans-serif" w:hAnsi="Times New Roman;sans-serif"/>
          <w:b w:val="false"/>
          <w:color w:val="000000"/>
          <w:sz w:val="22"/>
        </w:rPr>
        <w:t>Following is a summary of comparable restaurant sales, traffic and average check per person (decreases) increases for the periods indicated:</w:t>
      </w:r>
    </w:p>
    <w:tbl>
      <w:tblPr>
        <w:tblW w:w="9526" w:type="dxa"/>
        <w:jc w:val="left"/>
        <w:tblInd w:w="0" w:type="dxa"/>
        <w:tblLayout w:type="fixed"/>
        <w:tblCellMar>
          <w:top w:w="28" w:type="dxa"/>
          <w:left w:w="28" w:type="dxa"/>
          <w:bottom w:w="28" w:type="dxa"/>
          <w:right w:w="28" w:type="dxa"/>
        </w:tblCellMar>
      </w:tblPr>
      <w:tblGrid>
        <w:gridCol w:w="1757"/>
        <w:gridCol w:w="1545"/>
        <w:gridCol w:w="1557"/>
        <w:gridCol w:w="109"/>
        <w:gridCol w:w="109"/>
        <w:gridCol w:w="109"/>
        <w:gridCol w:w="109"/>
        <w:gridCol w:w="109"/>
        <w:gridCol w:w="109"/>
        <w:gridCol w:w="348"/>
        <w:gridCol w:w="348"/>
        <w:gridCol w:w="348"/>
        <w:gridCol w:w="348"/>
        <w:gridCol w:w="825"/>
        <w:gridCol w:w="109"/>
        <w:gridCol w:w="109"/>
        <w:gridCol w:w="109"/>
        <w:gridCol w:w="308"/>
        <w:gridCol w:w="308"/>
        <w:gridCol w:w="853"/>
      </w:tblGrid>
      <w:tr>
        <w:trPr/>
        <w:tc>
          <w:tcPr>
            <w:tcW w:w="175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6" w:type="dxa"/>
            <w:gridSpan w:val="6"/>
            <w:tcBorders/>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Year over year percentage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Comparable restaurant sales (restaurants open 18 months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Outback Steakhouse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Traffic: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check per person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48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(2)Includes the impact of menu pricing changes, product mix and discounts.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COSTS AND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sets forth the percentages of certain items in our Consolidated Statements of Operations in relation to Restaurant sales or Total revenues for the periods indicated:</w:t>
      </w:r>
    </w:p>
    <w:tbl>
      <w:tblPr>
        <w:tblW w:w="8912" w:type="dxa"/>
        <w:jc w:val="left"/>
        <w:tblInd w:w="0" w:type="dxa"/>
        <w:tblLayout w:type="fixed"/>
        <w:tblCellMar>
          <w:top w:w="28" w:type="dxa"/>
          <w:left w:w="28" w:type="dxa"/>
          <w:bottom w:w="28" w:type="dxa"/>
          <w:right w:w="28" w:type="dxa"/>
        </w:tblCellMar>
      </w:tblPr>
      <w:tblGrid>
        <w:gridCol w:w="1535"/>
        <w:gridCol w:w="1352"/>
        <w:gridCol w:w="1358"/>
        <w:gridCol w:w="109"/>
        <w:gridCol w:w="109"/>
        <w:gridCol w:w="348"/>
        <w:gridCol w:w="348"/>
        <w:gridCol w:w="348"/>
        <w:gridCol w:w="348"/>
        <w:gridCol w:w="825"/>
        <w:gridCol w:w="109"/>
        <w:gridCol w:w="109"/>
        <w:gridCol w:w="109"/>
        <w:gridCol w:w="326"/>
        <w:gridCol w:w="326"/>
        <w:gridCol w:w="772"/>
        <w:gridCol w:w="109"/>
        <w:gridCol w:w="109"/>
        <w:gridCol w:w="109"/>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98.1 </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8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7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Food and beverage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 and other related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restaurant operating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8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93.4 </w:t>
            </w:r>
          </w:p>
        </w:tc>
        <w:tc>
          <w:tcPr>
            <w:tcW w:w="7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7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82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7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8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7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equity method investment,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7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8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7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96"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8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7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(1)As a percentage of Restaurant sales.</w:t>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    Less than 1/10th of one percent of Total revenues.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i/>
          <w:color w:val="000000"/>
          <w:sz w:val="22"/>
          <w:u w:val="single"/>
        </w:rPr>
      </w:pPr>
      <w:r>
        <w:rPr>
          <w:rFonts w:ascii="Times New Roman;sans-serif" w:hAnsi="Times New Roman;sans-serif"/>
          <w:b w:val="false"/>
          <w:i/>
          <w:color w:val="000000"/>
          <w:sz w:val="22"/>
          <w:u w:val="single"/>
        </w:rPr>
        <w:t>Thirteen weeks ended March 30, 2025 as compared to thirteen weeks ended March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Food and beverage cost</w:t>
      </w:r>
      <w:r>
        <w:rPr>
          <w:color w:val="000000"/>
        </w:rPr>
        <w:t xml:space="preserve"> </w:t>
      </w:r>
      <w:r>
        <w:rPr>
          <w:rFonts w:ascii="Times New Roman;sans-serif" w:hAnsi="Times New Roman;sans-serif"/>
          <w:b w:val="false"/>
          <w:color w:val="000000"/>
          <w:sz w:val="22"/>
        </w:rPr>
        <w:t>increased as a percentage of Restaurant sales primarily due to 0.9% from unfavorable product cost mix and 0.7% from commodity inflation. These increases were partially offset by decreases as a percentage of Restaurant sales of 1.1% in menu pricing and 0.3% from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Labor and other related expense</w:t>
      </w:r>
      <w:r>
        <w:rPr>
          <w:color w:val="000000"/>
        </w:rPr>
        <w:t xml:space="preserve"> </w:t>
      </w:r>
      <w:r>
        <w:rPr>
          <w:rFonts w:ascii="Times New Roman;sans-serif" w:hAnsi="Times New Roman;sans-serif"/>
          <w:b w:val="false"/>
          <w:color w:val="000000"/>
          <w:sz w:val="22"/>
        </w:rPr>
        <w:t>increased as a percentage of Restaurant sales primarily due to 1.1% from higher hourly and field management labor costs, mainly due to wage rate inflation, partially offset by a decrease of 0.5%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Other restaurant operating expense</w:t>
      </w:r>
      <w:r>
        <w:rPr>
          <w:color w:val="000000"/>
        </w:rPr>
        <w:t xml:space="preserve"> </w:t>
      </w:r>
      <w:r>
        <w:rPr>
          <w:rFonts w:ascii="Times New Roman;sans-serif" w:hAnsi="Times New Roman;sans-serif"/>
          <w:b w:val="false"/>
          <w:color w:val="000000"/>
          <w:sz w:val="22"/>
        </w:rPr>
        <w:t>increased as a percentage of Restaurant sales primarily due to 1.3% from higher restaurant-level operating and supply expenses, mainly due to inflation. This increase was partially offset by decreases as a percentage of Restaurant sales of 0.3% from an increase in average check per person and 0.2% from certain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General and administrative expense</w:t>
      </w:r>
      <w:r>
        <w:rPr>
          <w:color w:val="000000"/>
        </w:rPr>
        <w:t xml:space="preserve"> </w:t>
      </w:r>
      <w:r>
        <w:rPr>
          <w:rFonts w:ascii="Times New Roman;sans-serif" w:hAnsi="Times New Roman;sans-serif"/>
          <w:b w:val="false"/>
          <w:color w:val="000000"/>
          <w:sz w:val="22"/>
        </w:rPr>
        <w:t>increased as a percentage of Total revenues primarily due to severance and costs associated with our foreign currency forward contracts.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Loss on extinguishment of debt </w:t>
      </w:r>
      <w:r>
        <w:rPr>
          <w:rFonts w:ascii="Times New Roman;sans-serif" w:hAnsi="Times New Roman;sans-serif"/>
          <w:b w:val="false"/>
          <w:color w:val="000000"/>
          <w:sz w:val="22"/>
        </w:rPr>
        <w:t>during the thirteen weeks ended March 31, 2024 was in connection with the Second 2025 Notes Partial Repurchase.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ans-serif" w:hAnsi="Times New Roman;sans-serif"/>
          <w:b w:val="false"/>
          <w:i/>
          <w:color w:val="000000"/>
          <w:sz w:val="22"/>
        </w:rPr>
        <w:t>Provision for income taxes</w:t>
      </w:r>
      <w:r>
        <w:rPr>
          <w:color w:val="000000"/>
        </w:rPr>
        <w:t xml:space="preserve"> </w:t>
      </w:r>
      <w:r>
        <w:rPr>
          <w:rFonts w:ascii="Times New Roman;sans-serif" w:hAnsi="Times New Roman;sans-serif"/>
          <w:b w:val="false"/>
          <w:color w:val="000000"/>
          <w:sz w:val="22"/>
        </w:rPr>
        <w:t>for the thirteen weeks ended March 30, 2025 includes the benefit of FICA tax credits on certain employees’ tips in 2025 relative to forecasted pretax book income. Provision for income taxes for the thirteen weeks ended March 31, 2024 includes the impact of the non-deductible losses associated with the Second 2025 Notes Partial Repurchase.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SEGMENT PERFORMANCE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Revenues for both segments include transactions with customers and royalties from franchisees. There were no material transactions among reportable segments. Excluded from Income from operations for U.S. are certain legal and corporate costs not directly related to the performance of the segments, most stock-based compensation expenses, a portion of insurance expenses and certain bonus expenses. The below segment disclosures have been recast to include amounts that relate solely to our continuing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Refer to Note 16</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Segment Reporting </w:t>
      </w:r>
      <w:r>
        <w:rPr>
          <w:rFonts w:ascii="Times New Roman;sans-serif" w:hAnsi="Times New Roman;sans-serif"/>
          <w:b w:val="false"/>
          <w:color w:val="000000"/>
          <w:sz w:val="22"/>
        </w:rPr>
        <w:t xml:space="preserve">of the Notes to Consolidated Financial Statements for reconciliations of segment income from operations to the consolidated operating results.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See the </w:t>
      </w:r>
      <w:r>
        <w:rPr>
          <w:rFonts w:ascii="Times New Roman;sans-serif" w:hAnsi="Times New Roman;sans-serif"/>
          <w:b w:val="false"/>
          <w:i/>
          <w:color w:val="000000"/>
          <w:sz w:val="22"/>
        </w:rPr>
        <w:t xml:space="preserve">Overview-Key Financial Performance Indicators </w:t>
      </w:r>
      <w:r>
        <w:rPr>
          <w:rFonts w:ascii="Times New Roman;sans-serif" w:hAnsi="Times New Roman;sans-serif"/>
          <w:b w:val="false"/>
          <w:color w:val="000000"/>
          <w:sz w:val="22"/>
        </w:rPr>
        <w:t>and</w:t>
      </w:r>
      <w:r>
        <w:rPr>
          <w:color w:val="000000"/>
        </w:rPr>
        <w:t xml:space="preserve"> </w:t>
      </w:r>
      <w:r>
        <w:rPr>
          <w:rFonts w:ascii="Times New Roman;sans-serif" w:hAnsi="Times New Roman;sans-serif"/>
          <w:b w:val="false"/>
          <w:i/>
          <w:color w:val="000000"/>
          <w:sz w:val="22"/>
        </w:rPr>
        <w:t>Non-GAAP Financial Measures</w:t>
      </w:r>
      <w:r>
        <w:rPr>
          <w:color w:val="000000"/>
        </w:rPr>
        <w:t xml:space="preserve"> </w:t>
      </w:r>
      <w:r>
        <w:rPr>
          <w:rFonts w:ascii="Times New Roman;sans-serif" w:hAnsi="Times New Roman;sans-serif"/>
          <w:b w:val="false"/>
          <w:color w:val="000000"/>
          <w:sz w:val="22"/>
        </w:rPr>
        <w:t>sections of Management’s Discussion and Analysis of Financial Condition and Results of Operations for additional details regarding the calculation of restaurant-level operating margin.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left"/>
        <w:rPr/>
      </w:pPr>
      <w:r>
        <w:rPr>
          <w:rFonts w:ascii="Times New Roman;sans-serif" w:hAnsi="Times New Roman;sans-serif"/>
          <w:b w:val="false"/>
          <w:i/>
          <w:color w:val="000000"/>
          <w:sz w:val="22"/>
        </w:rPr>
        <w:t>Summary financial data</w:t>
      </w:r>
      <w:r>
        <w:rPr>
          <w:color w:val="000000"/>
        </w:rPr>
        <w:t xml:space="preserve"> </w:t>
      </w:r>
      <w:r>
        <w:rPr>
          <w:rFonts w:ascii="Times New Roman;sans-serif" w:hAnsi="Times New Roman;sans-serif"/>
          <w:b w:val="false"/>
          <w:color w:val="000000"/>
          <w:sz w:val="22"/>
        </w:rPr>
        <w:t>- Following is a summary of financial data by segment for the periods indicated:</w:t>
      </w:r>
    </w:p>
    <w:tbl>
      <w:tblPr>
        <w:tblW w:w="7195" w:type="dxa"/>
        <w:jc w:val="left"/>
        <w:tblInd w:w="0" w:type="dxa"/>
        <w:tblLayout w:type="fixed"/>
        <w:tblCellMar>
          <w:top w:w="28" w:type="dxa"/>
          <w:left w:w="28" w:type="dxa"/>
          <w:bottom w:w="28" w:type="dxa"/>
          <w:right w:w="28" w:type="dxa"/>
        </w:tblCellMar>
      </w:tblPr>
      <w:tblGrid>
        <w:gridCol w:w="1280"/>
        <w:gridCol w:w="1128"/>
        <w:gridCol w:w="1131"/>
        <w:gridCol w:w="211"/>
        <w:gridCol w:w="938"/>
        <w:gridCol w:w="275"/>
        <w:gridCol w:w="109"/>
        <w:gridCol w:w="109"/>
        <w:gridCol w:w="109"/>
        <w:gridCol w:w="211"/>
        <w:gridCol w:w="938"/>
        <w:gridCol w:w="275"/>
        <w:gridCol w:w="109"/>
        <w:gridCol w:w="109"/>
        <w:gridCol w:w="109"/>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 sales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1,020,130 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1,030,896 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1,030,903 </w:t>
            </w:r>
          </w:p>
        </w:tc>
        <w:tc>
          <w:tcPr>
            <w:tcW w:w="27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1,043,104 </w:t>
            </w:r>
          </w:p>
        </w:tc>
        <w:tc>
          <w:tcPr>
            <w:tcW w:w="27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87,670 </w:t>
            </w:r>
          </w:p>
        </w:tc>
        <w:tc>
          <w:tcPr>
            <w:tcW w:w="2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97,484 </w:t>
            </w:r>
          </w:p>
        </w:tc>
        <w:tc>
          <w:tcPr>
            <w:tcW w:w="2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margin, continuing operations</w:t>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42" w:type="dxa"/>
        <w:jc w:val="left"/>
        <w:tblInd w:w="0" w:type="dxa"/>
        <w:tblLayout w:type="fixed"/>
        <w:tblCellMar>
          <w:top w:w="28" w:type="dxa"/>
          <w:left w:w="28" w:type="dxa"/>
          <w:bottom w:w="28" w:type="dxa"/>
          <w:right w:w="28" w:type="dxa"/>
        </w:tblCellMar>
      </w:tblPr>
      <w:tblGrid>
        <w:gridCol w:w="944"/>
        <w:gridCol w:w="831"/>
        <w:gridCol w:w="834"/>
        <w:gridCol w:w="109"/>
        <w:gridCol w:w="109"/>
        <w:gridCol w:w="253"/>
        <w:gridCol w:w="253"/>
        <w:gridCol w:w="456"/>
        <w:gridCol w:w="1298"/>
        <w:gridCol w:w="258"/>
        <w:gridCol w:w="109"/>
        <w:gridCol w:w="109"/>
        <w:gridCol w:w="109"/>
        <w:gridCol w:w="289"/>
        <w:gridCol w:w="954"/>
        <w:gridCol w:w="227"/>
      </w:tblGrid>
      <w:tr>
        <w:trPr/>
        <w:tc>
          <w:tcPr>
            <w:tcW w:w="94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 FRANCHISE</w:t>
            </w:r>
          </w:p>
        </w:tc>
        <w:tc>
          <w:tcPr>
            <w:tcW w:w="1797" w:type="dxa"/>
            <w:gridSpan w:val="6"/>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062" w:type="dxa"/>
            <w:gridSpan w:val="10"/>
            <w:tcBorders/>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8" w:type="dxa"/>
            <w:gridSpan w:val="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Franchise revenues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9,283 </w:t>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10,112 </w:t>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decrease was primarily due to lower comparable restaurant sales and the net impact of restaurant closures and openings.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(2)Includes royalties from international franchisees and intercompany royalties from Brazil operations at a 5% royalty rate prior to the Brazil Sale Transaction. On December 30, 2024, we entered into franchise agreements in connection with the Brazil Sale Transaction that include royalty rates that are lower than our historical intercompany rates and on the low end of our international franchisee royalty percentage range.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Income from continuing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U.S. - </w:t>
      </w:r>
      <w:r>
        <w:rPr>
          <w:rFonts w:ascii="Times New Roman;sans-serif" w:hAnsi="Times New Roman;sans-serif"/>
          <w:b w:val="false"/>
          <w:color w:val="000000"/>
          <w:sz w:val="22"/>
        </w:rPr>
        <w:t>The decrease in U.S. Income from operations generated during the thirteen weeks ended March 30, 2025 as compared to the thirteen weeks ended March 31, 2024 was primarily due to: (i) lower restaurant sales, (ii) higher operating, labor and commodity costs, primarily due to inflation, and (iii) unfavorable product cost mix. These decreases were partially offset by: (i) an increase in average check per person, primarily due to pricing, (ii) the lapping of 2024 impairment and closure costs in connection with the 2023 Restaurant Closures and (iii) the impact of certain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color w:val="000000"/>
          <w:sz w:val="22"/>
        </w:rPr>
      </w:pPr>
      <w:bookmarkStart w:id="32" w:name="i47f1352b947d4a12b5e352c78baae8c9_33"/>
      <w:bookmarkEnd w:id="32"/>
      <w:r>
        <w:rPr>
          <w:rFonts w:ascii="Times New Roman;sans-serif" w:hAnsi="Times New Roman;sans-serif"/>
          <w:b/>
          <w:color w:val="000000"/>
          <w:sz w:val="22"/>
        </w:rPr>
        <w:t>Non-GAAP Financial Measures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22"/>
        </w:rPr>
        <w:t>- The following table reconciles consolidated Income from continuing operations and the corresponding margin to restaurant-level operating income from continuing operations and consolidated adjusted restaurant-level operating income and the corresponding margins for the periods indicated:</w:t>
      </w:r>
    </w:p>
    <w:tbl>
      <w:tblPr>
        <w:tblW w:w="9348" w:type="dxa"/>
        <w:jc w:val="left"/>
        <w:tblInd w:w="0" w:type="dxa"/>
        <w:tblLayout w:type="fixed"/>
        <w:tblCellMar>
          <w:top w:w="28" w:type="dxa"/>
          <w:left w:w="28" w:type="dxa"/>
          <w:bottom w:w="28" w:type="dxa"/>
          <w:right w:w="28" w:type="dxa"/>
        </w:tblCellMar>
      </w:tblPr>
      <w:tblGrid>
        <w:gridCol w:w="1854"/>
        <w:gridCol w:w="1628"/>
        <w:gridCol w:w="1632"/>
        <w:gridCol w:w="109"/>
        <w:gridCol w:w="109"/>
        <w:gridCol w:w="172"/>
        <w:gridCol w:w="172"/>
        <w:gridCol w:w="309"/>
        <w:gridCol w:w="1162"/>
        <w:gridCol w:w="404"/>
        <w:gridCol w:w="109"/>
        <w:gridCol w:w="109"/>
        <w:gridCol w:w="109"/>
        <w:gridCol w:w="233"/>
        <w:gridCol w:w="878"/>
        <w:gridCol w:w="359"/>
      </w:tblGrid>
      <w:tr>
        <w:trPr/>
        <w:tc>
          <w:tcPr>
            <w:tcW w:w="185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57,231 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70,917 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Franchise and 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20,077 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22,383 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42,700 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61,377 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59,476 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impaired assets and restaurant closings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10,873 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Restaurant-level operating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142,828 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161,583 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Restaurant-level operating margin,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40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35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Closure-related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35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restaurant-level operating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142,828 </w:t>
            </w:r>
          </w:p>
        </w:tc>
        <w:tc>
          <w:tcPr>
            <w:tcW w:w="40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162,017 </w:t>
            </w:r>
          </w:p>
        </w:tc>
        <w:tc>
          <w:tcPr>
            <w:tcW w:w="35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restaurant-level operating margin,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4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3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Adjusted Income from Operations Non-GAAP Reconciliations</w:t>
      </w:r>
      <w:r>
        <w:rPr>
          <w:color w:val="000000"/>
        </w:rPr>
        <w:t xml:space="preserve"> </w:t>
      </w:r>
      <w:r>
        <w:rPr>
          <w:rFonts w:ascii="Times New Roman;sans-serif" w:hAnsi="Times New Roman;sans-serif"/>
          <w:b w:val="false"/>
          <w:color w:val="000000"/>
          <w:sz w:val="22"/>
        </w:rPr>
        <w:t>- The following table reconciles Income from continuing operations and the corresponding margin to adjusted income from operations and the corresponding margin for the periods indicated:</w:t>
      </w:r>
    </w:p>
    <w:tbl>
      <w:tblPr>
        <w:tblW w:w="8478" w:type="dxa"/>
        <w:jc w:val="left"/>
        <w:tblInd w:w="0" w:type="dxa"/>
        <w:tblLayout w:type="fixed"/>
        <w:tblCellMar>
          <w:top w:w="28" w:type="dxa"/>
          <w:left w:w="28" w:type="dxa"/>
          <w:bottom w:w="28" w:type="dxa"/>
          <w:right w:w="28" w:type="dxa"/>
        </w:tblCellMar>
      </w:tblPr>
      <w:tblGrid>
        <w:gridCol w:w="1534"/>
        <w:gridCol w:w="1352"/>
        <w:gridCol w:w="1359"/>
        <w:gridCol w:w="109"/>
        <w:gridCol w:w="109"/>
        <w:gridCol w:w="183"/>
        <w:gridCol w:w="183"/>
        <w:gridCol w:w="330"/>
        <w:gridCol w:w="1090"/>
        <w:gridCol w:w="432"/>
        <w:gridCol w:w="109"/>
        <w:gridCol w:w="109"/>
        <w:gridCol w:w="109"/>
        <w:gridCol w:w="252"/>
        <w:gridCol w:w="831"/>
        <w:gridCol w:w="387"/>
      </w:tblGrid>
      <w:tr>
        <w:trPr/>
        <w:tc>
          <w:tcPr>
            <w:tcW w:w="153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57,231 </w:t>
            </w:r>
          </w:p>
        </w:tc>
        <w:tc>
          <w:tcPr>
            <w:tcW w:w="4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70,917 </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Operating income margin,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restaurant-level operating income adjustments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Severance and other transformational costs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6,058 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forward contract costs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impairments and closure-related charges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from operations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6,457 </w:t>
            </w:r>
          </w:p>
        </w:tc>
        <w:tc>
          <w:tcPr>
            <w:tcW w:w="4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12,955 </w:t>
            </w:r>
          </w:p>
        </w:tc>
        <w:tc>
          <w:tcPr>
            <w:tcW w:w="38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income from operations,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63,688 </w:t>
            </w:r>
          </w:p>
        </w:tc>
        <w:tc>
          <w:tcPr>
            <w:tcW w:w="4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83,872 </w:t>
            </w:r>
          </w:p>
        </w:tc>
        <w:tc>
          <w:tcPr>
            <w:tcW w:w="3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operating income margin,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4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3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(1)See the </w:t>
      </w:r>
      <w:r>
        <w:rPr>
          <w:rFonts w:ascii="Times New Roman;sans-serif" w:hAnsi="Times New Roman;sans-serif"/>
          <w:b w:val="false"/>
          <w:i/>
          <w:color w:val="000000"/>
          <w:sz w:val="18"/>
        </w:rPr>
        <w:t>Consolidated Restaurant-level Operating Income and Adjusted Restaurant-level Operating Income and Corresponding Margins Non-GAAP Reconciliations</w:t>
      </w:r>
      <w:r>
        <w:rPr>
          <w:color w:val="000000"/>
        </w:rPr>
        <w:t xml:space="preserve"> </w:t>
      </w:r>
      <w:r>
        <w:rPr>
          <w:rFonts w:ascii="Times New Roman;sans-serif" w:hAnsi="Times New Roman;sans-serif"/>
          <w:b w:val="false"/>
          <w:color w:val="000000"/>
          <w:sz w:val="18"/>
        </w:rPr>
        <w:t>table above for details regarding restaurant-level operating income adjustments.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(2)Severance and other costs incurred as a result of transformational and restructuring activities.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(3)Costs in connection with the foreign currency forward contracts that mostly offset foreign currency exchange risk associated with installment payments from the Brazil Sale Transaction.</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(4)Primarily includes gains from certain lease terminations for the thirteen weeks ended March 30, 2025. Includes asset impairment, closure costs and severance in connection with the 2023 Restaurant Closures for the thirteen weeks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pPr>
      <w:r>
        <w:rPr>
          <w:rFonts w:ascii="Times New Roman;sans-serif" w:hAnsi="Times New Roman;sans-serif"/>
          <w:b w:val="false"/>
          <w:i/>
          <w:color w:val="000000"/>
          <w:sz w:val="22"/>
        </w:rPr>
        <w:t xml:space="preserve">Adjusted Net Income and Adjusted Diluted Earnings </w:t>
      </w:r>
      <w:bookmarkStart w:id="33" w:name="i65be60775f4a4c9286d61e657c964e96_2607"/>
      <w:bookmarkEnd w:id="33"/>
      <w:r>
        <w:rPr>
          <w:rFonts w:ascii="Times New Roman;sans-serif" w:hAnsi="Times New Roman;sans-serif"/>
          <w:b w:val="false"/>
          <w:i/>
          <w:color w:val="000000"/>
          <w:sz w:val="22"/>
        </w:rPr>
        <w:t xml:space="preserve">Per Share Non-GAAP Reconciliations </w:t>
      </w:r>
      <w:r>
        <w:rPr>
          <w:rFonts w:ascii="Times New Roman;sans-serif" w:hAnsi="Times New Roman;sans-serif"/>
          <w:b w:val="false"/>
          <w:color w:val="000000"/>
          <w:sz w:val="22"/>
        </w:rPr>
        <w:t>- The following table reconciles Net income (loss) attributable to Bloomin’ Brands to adjusted net income and adjusted diluted earnings per share for the periods indicated:</w:t>
      </w:r>
    </w:p>
    <w:tbl>
      <w:tblPr>
        <w:tblW w:w="10114" w:type="dxa"/>
        <w:jc w:val="left"/>
        <w:tblInd w:w="0" w:type="dxa"/>
        <w:tblLayout w:type="fixed"/>
        <w:tblCellMar>
          <w:top w:w="28" w:type="dxa"/>
          <w:left w:w="28" w:type="dxa"/>
          <w:bottom w:w="28" w:type="dxa"/>
          <w:right w:w="28" w:type="dxa"/>
        </w:tblCellMar>
      </w:tblPr>
      <w:tblGrid>
        <w:gridCol w:w="2130"/>
        <w:gridCol w:w="1871"/>
        <w:gridCol w:w="1878"/>
        <w:gridCol w:w="109"/>
        <w:gridCol w:w="109"/>
        <w:gridCol w:w="207"/>
        <w:gridCol w:w="207"/>
        <w:gridCol w:w="372"/>
        <w:gridCol w:w="1227"/>
        <w:gridCol w:w="207"/>
        <w:gridCol w:w="109"/>
        <w:gridCol w:w="109"/>
        <w:gridCol w:w="109"/>
        <w:gridCol w:w="269"/>
        <w:gridCol w:w="990"/>
        <w:gridCol w:w="211"/>
      </w:tblGrid>
      <w:tr>
        <w:trPr/>
        <w:tc>
          <w:tcPr>
            <w:tcW w:w="2130"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1797" w:type="dxa"/>
            <w:gridSpan w:val="6"/>
            <w:tcBorders/>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42,152 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(83,872)</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Bloomin’ Brands from continuing operations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42,406 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(86,780)</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 adjustments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 of debt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adjustments,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6,457 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148,752 </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 to provision for income taxes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adjustments,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7,587 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147,709 </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49,993 </w:t>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60,929 </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(loss) income, discontinued operations (5)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49,739 </w:t>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63,514 </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diluted earnings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0.50 </w:t>
            </w:r>
          </w:p>
        </w:tc>
        <w:tc>
          <w:tcPr>
            <w:tcW w:w="20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(0.96)</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earnings per share (6)(7)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7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20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21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weighted average common shares outstanding (7)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diluted weighted average common shares outstanding (6)(7)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9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85,130 </w:t>
            </w:r>
          </w:p>
        </w:tc>
        <w:tc>
          <w:tcPr>
            <w:tcW w:w="2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95,376 </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(1)Represents net income (loss) from continuing operations less net income attributable to noncontrolling interests.</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(2)See the </w:t>
      </w:r>
      <w:r>
        <w:rPr>
          <w:rFonts w:ascii="Times New Roman;sans-serif" w:hAnsi="Times New Roman;sans-serif"/>
          <w:b w:val="false"/>
          <w:i/>
          <w:color w:val="000000"/>
          <w:sz w:val="18"/>
        </w:rPr>
        <w:t>Adjusted Income from Operations Non-GAAP Reconciliations</w:t>
      </w:r>
      <w:r>
        <w:rPr>
          <w:color w:val="000000"/>
        </w:rPr>
        <w:t xml:space="preserve"> </w:t>
      </w:r>
      <w:r>
        <w:rPr>
          <w:rFonts w:ascii="Times New Roman;sans-serif" w:hAnsi="Times New Roman;sans-serif"/>
          <w:b w:val="false"/>
          <w:color w:val="000000"/>
          <w:sz w:val="18"/>
        </w:rPr>
        <w:t>table above for details regarding Income from operations adjustments.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(3)Includes losses in connection with the Second 2025 Notes Partial Repurchase, including settlements of the related convertible senior note hedges and warrants.</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(4)Includes the tax effects of non-GAAP adjustments determined based on the nature of the underlying non-GAAP adjustments and their relevant jurisdictional tax rates for all periods presented. The thirteen weeks ended March 30, 2025 include an adjustment to income tax expense related to foreign currency gains on the Brazil sale installment receivable. For the thirteen weeks ended March 31, 2024, the difference between GAAP and adjusted effective income tax rates primarily relates to nondeductible losses and other tax costs associated with the Second 2025 Notes Partial Repurchase.</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 xml:space="preserve">(5)Includes net (loss) income from our Brazil operations for the periods presented. See Note 2 - </w:t>
      </w:r>
      <w:r>
        <w:rPr>
          <w:rFonts w:ascii="Times New Roman;sans-serif" w:hAnsi="Times New Roman;sans-serif"/>
          <w:b w:val="false"/>
          <w:i/>
          <w:color w:val="000000"/>
          <w:sz w:val="18"/>
        </w:rPr>
        <w:t>Discontinued Operations</w:t>
      </w:r>
      <w:r>
        <w:rPr>
          <w:color w:val="000000"/>
        </w:rPr>
        <w:t xml:space="preserve"> </w:t>
      </w:r>
      <w:r>
        <w:rPr>
          <w:rFonts w:ascii="Times New Roman;sans-serif" w:hAnsi="Times New Roman;sans-serif"/>
          <w:b w:val="false"/>
          <w:color w:val="000000"/>
          <w:sz w:val="18"/>
        </w:rPr>
        <w:t xml:space="preserve">of the Notes to Consolidated Financial Statements for additional details regarding the Brazil Sale Transaction. </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(6)Adjusted diluted weighted average common shares outstanding for the thirteen weeks ended March 31, 2024 were calculated including the effect of 4.3 million dilutive securities for outstanding 2025 Notes and the effect of 3.1 million dilutive securities for the Warrant Transactions, as defined below. In connection with the offering of the 2025 Notes, we entered into convertible note hedge transactions and concurrently entered into warrant transactions relating to the same number of shares of our common stock (the “Warrant Transactions”). The impact of dilutive securities for the outstanding 2025 Notes and the Warrant Transactions were immaterial for the thirteen weeks ended March 30, 2025. Adjusted diluted earnings per share and adjusted diluted weighted average common shares outstanding for the thirteen weeks ended March 31, 2024 have been recast to remove the 4.3 million share benefit of the convertible note hedge transactions we issued in connection with the offering of the 2025 Notes, which was previously included as a non-GAAP share adjustment.</w:t>
      </w:r>
    </w:p>
    <w:p>
      <w:pPr>
        <w:pStyle w:val="TextBody"/>
        <w:bidi w:val="0"/>
        <w:spacing w:lineRule="auto" w:line="288" w:before="0" w:after="0"/>
        <w:ind w:left="0" w:right="0" w:hanging="720"/>
        <w:jc w:val="both"/>
        <w:rPr/>
      </w:pPr>
      <w:r>
        <w:rPr>
          <w:rFonts w:ascii="Times New Roman;sans-serif" w:hAnsi="Times New Roman;sans-serif"/>
          <w:b w:val="false"/>
          <w:color w:val="000000"/>
          <w:sz w:val="18"/>
        </w:rPr>
        <w:t>(7)Due to a GAAP net loss from continuing operations, antidilutive securities are excluded from diluted weighted average common shares outstanding for the thirteen weeks ended March 31, 2024. However, considering the adjusted net income position, adjusted diluted weighted average common shares outstanding incorporates securities that would have been dilutive for</w:t>
      </w:r>
      <w:bookmarkStart w:id="34" w:name="i65be60775f4a4c9286d61e657c964e96_2609"/>
      <w:bookmarkEnd w:id="34"/>
      <w:r>
        <w:rPr>
          <w:rFonts w:ascii="Times New Roman;sans-serif" w:hAnsi="Times New Roman;sans-serif"/>
          <w:b w:val="false"/>
          <w:color w:val="000000"/>
          <w:sz w:val="18"/>
        </w:rPr>
        <w:t xml:space="preserve">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System-Wide Sales - </w:t>
      </w:r>
      <w:r>
        <w:rPr>
          <w:rFonts w:ascii="Times New Roman;sans-serif" w:hAnsi="Times New Roman;sans-serif"/>
          <w:b w:val="false"/>
          <w:color w:val="000000"/>
          <w:sz w:val="22"/>
        </w:rPr>
        <w:t>System-wide sales is a non-GAAP financial measure that includes sales of all restaurants operating under our brand names, whether we own them or not.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4</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val="false"/>
          <w:i/>
          <w:color w:val="000000"/>
          <w:sz w:val="22"/>
        </w:rPr>
        <w:t xml:space="preserve">Revenue Recognition </w:t>
      </w:r>
      <w:r>
        <w:rPr>
          <w:rFonts w:ascii="Times New Roman;sans-serif" w:hAnsi="Times New Roman;sans-serif"/>
          <w:b w:val="false"/>
          <w:color w:val="000000"/>
          <w:sz w:val="22"/>
        </w:rPr>
        <w:t>of the Notes to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provides a summary of sales of franchised restaurants by segment for the periods indicated, which are not included in our consolidated Restaurant sales. Franchise sales within this table do not represent our sales and are presented only as an indicator of changes in the restaurant system, which management believes is important information regarding the health of our restaurant concepts and in determining our royalties and/or service fees.</w:t>
      </w:r>
    </w:p>
    <w:tbl>
      <w:tblPr>
        <w:tblW w:w="7076" w:type="dxa"/>
        <w:jc w:val="left"/>
        <w:tblInd w:w="0" w:type="dxa"/>
        <w:tblLayout w:type="fixed"/>
        <w:tblCellMar>
          <w:top w:w="28" w:type="dxa"/>
          <w:left w:w="28" w:type="dxa"/>
          <w:bottom w:w="28" w:type="dxa"/>
          <w:right w:w="28" w:type="dxa"/>
        </w:tblCellMar>
      </w:tblPr>
      <w:tblGrid>
        <w:gridCol w:w="952"/>
        <w:gridCol w:w="835"/>
        <w:gridCol w:w="838"/>
        <w:gridCol w:w="109"/>
        <w:gridCol w:w="109"/>
        <w:gridCol w:w="254"/>
        <w:gridCol w:w="254"/>
        <w:gridCol w:w="459"/>
        <w:gridCol w:w="989"/>
        <w:gridCol w:w="263"/>
        <w:gridCol w:w="109"/>
        <w:gridCol w:w="109"/>
        <w:gridCol w:w="109"/>
        <w:gridCol w:w="383"/>
        <w:gridCol w:w="825"/>
        <w:gridCol w:w="216"/>
        <w:gridCol w:w="109"/>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THIRTEEN WEEKS ENDED</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2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Brazil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Outback Steakhouse - South Korea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 Franchise 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4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2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237 </w:t>
            </w:r>
          </w:p>
        </w:tc>
        <w:tc>
          <w:tcPr>
            <w:tcW w:w="2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franchise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2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bookmarkStart w:id="35" w:name="if7f1c3d3c2154240990c1969575db58e_12-7-1"/>
            <w:bookmarkEnd w:id="35"/>
            <w:r>
              <w:rPr>
                <w:rFonts w:ascii="Times New Roman;sans-serif" w:hAnsi="Times New Roman;sans-serif"/>
                <w:b w:val="false"/>
                <w:color w:val="000000"/>
                <w:sz w:val="18"/>
              </w:rPr>
              <w:t>385 </w:t>
            </w:r>
          </w:p>
        </w:tc>
        <w:tc>
          <w:tcPr>
            <w:tcW w:w="2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(1)The decrease in Brazil sales primarily resulted from fluctuations in foreign exchange rates. The thirteen weeks ended March 30, 2025, includes activity for December 31, 2024 through March 30, 2025 and the thirteen weeks ended March 31, 2024, includes activity for December 1, 2024 through February 29, 2024.</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 xml:space="preserve">Liquidity and </w:t>
      </w:r>
      <w:bookmarkStart w:id="36" w:name="i17df5c8766e049ae867d01cdb3ffa6e8_38"/>
      <w:bookmarkEnd w:id="36"/>
      <w:r>
        <w:rPr>
          <w:rFonts w:ascii="Times New Roman;sans-serif" w:hAnsi="Times New Roman;sans-serif"/>
          <w:b/>
          <w:color w:val="000000"/>
          <w:sz w:val="22"/>
        </w:rPr>
        <w:t xml:space="preserve">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Cash and Cash Equivalents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30, 2025, we had $57.7 million in cash and cash equivalents, of which $4.7 million was held by foreign affiliates.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color w:val="000000"/>
          <w:sz w:val="22"/>
        </w:rPr>
        <w:t xml:space="preserve">As of March 30, 2025, </w:t>
      </w:r>
      <w:r>
        <w:rPr>
          <w:rFonts w:ascii="Times New Roman;sans-serif" w:hAnsi="Times New Roman;sans-serif"/>
          <w:b w:val="false"/>
          <w:color w:val="000000"/>
          <w:sz w:val="22"/>
          <w:shd w:fill="FFFFFF" w:val="clear"/>
        </w:rPr>
        <w:t xml:space="preserve">we did not have aggregate undistributed foreign earnings from our consolidated foreign subsidiaries.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Borrowing Capacity and Debt Service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Credit Facilities</w:t>
      </w:r>
      <w:r>
        <w:rPr>
          <w:color w:val="000000"/>
        </w:rPr>
        <w:t xml:space="preserve"> </w:t>
      </w:r>
      <w:r>
        <w:rPr>
          <w:rFonts w:ascii="Times New Roman;sans-serif" w:hAnsi="Times New Roman;sans-serif"/>
          <w:b w:val="false"/>
          <w:color w:val="000000"/>
          <w:sz w:val="22"/>
        </w:rPr>
        <w:t>- Following is a summary of our outstanding credit facilities as of the dates indicated and principal payments and debt issuance during the period indicated:</w:t>
      </w:r>
    </w:p>
    <w:tbl>
      <w:tblPr>
        <w:tblW w:w="10205" w:type="dxa"/>
        <w:jc w:val="left"/>
        <w:tblInd w:w="0" w:type="dxa"/>
        <w:tblLayout w:type="fixed"/>
        <w:tblCellMar>
          <w:top w:w="28" w:type="dxa"/>
          <w:left w:w="28" w:type="dxa"/>
          <w:bottom w:w="28" w:type="dxa"/>
          <w:right w:w="28" w:type="dxa"/>
        </w:tblCellMar>
      </w:tblPr>
      <w:tblGrid>
        <w:gridCol w:w="640"/>
        <w:gridCol w:w="564"/>
        <w:gridCol w:w="566"/>
        <w:gridCol w:w="336"/>
        <w:gridCol w:w="1265"/>
        <w:gridCol w:w="439"/>
        <w:gridCol w:w="109"/>
        <w:gridCol w:w="109"/>
        <w:gridCol w:w="109"/>
        <w:gridCol w:w="109"/>
        <w:gridCol w:w="109"/>
        <w:gridCol w:w="109"/>
        <w:gridCol w:w="109"/>
        <w:gridCol w:w="109"/>
        <w:gridCol w:w="109"/>
        <w:gridCol w:w="109"/>
        <w:gridCol w:w="109"/>
        <w:gridCol w:w="196"/>
        <w:gridCol w:w="646"/>
        <w:gridCol w:w="256"/>
        <w:gridCol w:w="109"/>
        <w:gridCol w:w="109"/>
        <w:gridCol w:w="109"/>
        <w:gridCol w:w="280"/>
        <w:gridCol w:w="1055"/>
        <w:gridCol w:w="366"/>
        <w:gridCol w:w="280"/>
        <w:gridCol w:w="280"/>
        <w:gridCol w:w="282"/>
        <w:gridCol w:w="196"/>
        <w:gridCol w:w="871"/>
        <w:gridCol w:w="161"/>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SENIOR SECURED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CREDIT FACILITIES</w:t>
            </w:r>
          </w:p>
        </w:tc>
        <w:tc>
          <w:tcPr>
            <w:tcW w:w="2070" w:type="dxa"/>
            <w:gridSpan w:val="6"/>
            <w:tcBorders/>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20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CREDIT FACILITY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vMerge w:val="continue"/>
            <w:tcBorders/>
            <w:tcMar>
              <w:top w:w="0" w:type="dxa"/>
              <w:left w:w="0" w:type="dxa"/>
              <w:bottom w:w="0" w:type="dxa"/>
              <w:right w:w="0" w:type="dxa"/>
            </w:tcMar>
            <w:vAlign w:val="center"/>
          </w:tcPr>
          <w:p>
            <w:pPr>
              <w:pStyle w:val="Normal"/>
              <w:bidi w:val="0"/>
              <w:jc w:val="left"/>
              <w:rPr/>
            </w:pPr>
            <w:r>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NOTES</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29, 2024</w:t>
            </w:r>
          </w:p>
        </w:tc>
        <w:tc>
          <w:tcPr>
            <w:tcW w:w="3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710,000 </w:t>
            </w:r>
          </w:p>
        </w:tc>
        <w:tc>
          <w:tcPr>
            <w:tcW w:w="4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1,030,724 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new debt</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385,000 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 payments</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(495,000)</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March 30, 2025 (1)</w:t>
            </w:r>
          </w:p>
        </w:tc>
        <w:tc>
          <w:tcPr>
            <w:tcW w:w="3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43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20,724 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3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920,724 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rates, as of March 30, 2025 (2)</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maturity date</w:t>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May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April 2029</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____________________</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(1)On May 1, 2025, the 2025 Notes were settled primarily using borrowings from the revolving credit facility.</w:t>
      </w:r>
    </w:p>
    <w:p>
      <w:pPr>
        <w:pStyle w:val="TextBody"/>
        <w:bidi w:val="0"/>
        <w:spacing w:lineRule="auto" w:line="288" w:before="0" w:after="0"/>
        <w:ind w:left="0" w:right="0" w:hanging="720"/>
        <w:jc w:val="both"/>
        <w:rPr>
          <w:rFonts w:ascii="Times New Roman;sans-serif" w:hAnsi="Times New Roman;sans-serif"/>
          <w:b w:val="false"/>
          <w:color w:val="000000"/>
          <w:sz w:val="18"/>
        </w:rPr>
      </w:pPr>
      <w:r>
        <w:rPr>
          <w:rFonts w:ascii="Times New Roman;sans-serif" w:hAnsi="Times New Roman;sans-serif"/>
          <w:b w:val="false"/>
          <w:color w:val="000000"/>
          <w:sz w:val="18"/>
        </w:rPr>
        <w:t>(2)Interest rate for revolving credit facility represents the weighted average interest rate as of March 30, 2025.</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As of March 30, 2025, we had $583.7 million in available unused borrowing capacity under our revolving credit facility, net of letters of credit of $16.3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of March 30, 2025 and December 29, 2024, we were in compliance with our debt covenants. We believe that we will remain in compliance with our debt covenants during the next 12 months and beyond.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Cash flows generated from operating activities and availability under our revolving credit facility are our principal sources of liquidity, which we use for operating expenses, development of new restaurants, remodeling older restaurants or relocating, investments in technology and dividend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Brazil Sale Transaction - </w:t>
      </w:r>
      <w:r>
        <w:rPr>
          <w:rFonts w:ascii="Times New Roman;sans-serif" w:hAnsi="Times New Roman;sans-serif"/>
          <w:b w:val="false"/>
          <w:color w:val="000000"/>
          <w:sz w:val="22"/>
        </w:rPr>
        <w:t xml:space="preserve">On December 30, 2024 we received cash proceeds, net of withheld income taxes, of $103.9 million, in U.S. dollars based on the exchange rate on the Closing Date, representing 52% of the total Purchase Price from the Brazil Sale Transaction, and applied the proceeds to our revolving credit facility during the thirteen weeks ended March 30, 2025. The second installment payment, representing 48% of total proceeds from the Brazil Sale Transaction, is due on December 30, 2025, which we also anticipate applying towards the revolving credit facility.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 xml:space="preserve">Capital Expenditures </w:t>
      </w:r>
      <w:r>
        <w:rPr>
          <w:rFonts w:ascii="Times New Roman;sans-serif" w:hAnsi="Times New Roman;sans-serif"/>
          <w:b w:val="false"/>
          <w:color w:val="000000"/>
          <w:sz w:val="22"/>
        </w:rPr>
        <w:t xml:space="preserve">- We estimate that our capital expenditures will total approximately $190 million to $210 million in 2025. The amount of actual capital expenditures may be affected by general economic, financial, competitive, legislative and regulatory factors, among other things, including raw material constraints.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Dividends and Share Repurchases</w:t>
      </w:r>
      <w:r>
        <w:rPr>
          <w:color w:val="000000"/>
        </w:rPr>
        <w:t xml:space="preserve"> </w:t>
      </w:r>
      <w:r>
        <w:rPr>
          <w:rFonts w:ascii="Times New Roman;sans-serif" w:hAnsi="Times New Roman;sans-serif"/>
          <w:b w:val="false"/>
          <w:color w:val="000000"/>
          <w:sz w:val="22"/>
        </w:rPr>
        <w:t>- In April 2025, our Board declared a quarterly cash dividend of $0.15 per share, payable on June 4, 2025. Future dividend payments are dependent on our earnings, financial condition, capital expenditure requirements, surplus and other factors that our Board considers relevant, as well as continued compliance with the financial covenants in our debt agreements.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February 2024, our Board approved a $350.0 million share repurchase authorization. As of March 30, 2025, $96.8 million remained available for repurchase.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following table presents our dividends and share repurchases for the periods indicated:</w:t>
      </w:r>
    </w:p>
    <w:tbl>
      <w:tblPr>
        <w:tblW w:w="6973" w:type="dxa"/>
        <w:jc w:val="center"/>
        <w:tblInd w:w="0" w:type="dxa"/>
        <w:tblLayout w:type="fixed"/>
        <w:tblCellMar>
          <w:top w:w="28" w:type="dxa"/>
          <w:left w:w="28" w:type="dxa"/>
          <w:bottom w:w="28" w:type="dxa"/>
          <w:right w:w="28" w:type="dxa"/>
        </w:tblCellMar>
      </w:tblPr>
      <w:tblGrid>
        <w:gridCol w:w="656"/>
        <w:gridCol w:w="578"/>
        <w:gridCol w:w="580"/>
        <w:gridCol w:w="302"/>
        <w:gridCol w:w="998"/>
        <w:gridCol w:w="170"/>
        <w:gridCol w:w="109"/>
        <w:gridCol w:w="109"/>
        <w:gridCol w:w="109"/>
        <w:gridCol w:w="366"/>
        <w:gridCol w:w="1378"/>
        <w:gridCol w:w="205"/>
        <w:gridCol w:w="109"/>
        <w:gridCol w:w="109"/>
        <w:gridCol w:w="109"/>
        <w:gridCol w:w="196"/>
        <w:gridCol w:w="73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 2024</w:t>
            </w:r>
          </w:p>
        </w:tc>
        <w:tc>
          <w:tcPr>
            <w:tcW w:w="3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82,574 </w:t>
            </w:r>
          </w:p>
        </w:tc>
        <w:tc>
          <w:tcPr>
            <w:tcW w:w="17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265,695 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348,269 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First fiscal quarter 2025</w:t>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95,321 </w:t>
            </w:r>
          </w:p>
        </w:tc>
        <w:tc>
          <w:tcPr>
            <w:tcW w:w="17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265,695 </w:t>
            </w:r>
          </w:p>
        </w:tc>
        <w:tc>
          <w:tcPr>
            <w:tcW w:w="2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361,016 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Summary of Cash Flows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37" w:name="ia7f77fbb8d7f434294e1c24c2251642a_1115"/>
      <w:bookmarkEnd w:id="37"/>
      <w:r>
        <w:rPr>
          <w:rFonts w:ascii="Times New Roman;sans-serif" w:hAnsi="Times New Roman;sans-serif"/>
          <w:b w:val="false"/>
          <w:i/>
          <w:color w:val="000000"/>
          <w:sz w:val="22"/>
        </w:rPr>
        <w:t>Cash Flows</w:t>
      </w:r>
      <w:r>
        <w:rPr>
          <w:color w:val="000000"/>
        </w:rPr>
        <w:t xml:space="preserve"> </w:t>
      </w:r>
      <w:r>
        <w:rPr>
          <w:rFonts w:ascii="Times New Roman;sans-serif" w:hAnsi="Times New Roman;sans-serif"/>
          <w:b w:val="false"/>
          <w:color w:val="000000"/>
          <w:sz w:val="22"/>
        </w:rPr>
        <w:t>- The following chart presents a summary of our cash flows provided by (used in) operating, investing and financing activities from continuing operations for the periods indicated:</w:t>
      </w:r>
    </w:p>
    <w:p>
      <w:pPr>
        <w:pStyle w:val="TextBody"/>
        <w:bidi w:val="0"/>
        <w:spacing w:before="0" w:after="0"/>
        <w:jc w:val="center"/>
        <w:rPr/>
      </w:pPr>
      <w:r>
        <w:rPr/>
        <w:drawing>
          <wp:inline distT="0" distB="0" distL="0" distR="0">
            <wp:extent cx="6486525" cy="264795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3"/>
                    <a:stretch>
                      <a:fillRect/>
                    </a:stretch>
                  </pic:blipFill>
                  <pic:spPr bwMode="auto">
                    <a:xfrm>
                      <a:off x="0" y="0"/>
                      <a:ext cx="6486525" cy="2647950"/>
                    </a:xfrm>
                    <a:prstGeom prst="rect">
                      <a:avLst/>
                    </a:prstGeom>
                  </pic:spPr>
                </pic:pic>
              </a:graphicData>
            </a:graphic>
          </wp:inline>
        </w:drawing>
      </w:r>
      <w:bookmarkStart w:id="38" w:name="i-2"/>
      <w:bookmarkEnd w:id="38"/>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Operating Activities</w:t>
      </w:r>
      <w:r>
        <w:rPr>
          <w:color w:val="000000"/>
        </w:rPr>
        <w:t xml:space="preserve"> </w:t>
      </w:r>
      <w:r>
        <w:rPr>
          <w:rFonts w:ascii="Times New Roman;sans-serif" w:hAnsi="Times New Roman;sans-serif"/>
          <w:b w:val="false"/>
          <w:color w:val="000000"/>
          <w:sz w:val="22"/>
        </w:rPr>
        <w:t>- The increase in net cash provided by operating activities during the thirteen weeks ended March 30, 2025 as compared to the thirteen weeks ended March 31, 2024 was primarily due to changes in working capital partially offset by lower net earnings.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Investing Activities </w:t>
      </w:r>
      <w:r>
        <w:rPr>
          <w:rFonts w:ascii="Times New Roman;sans-serif" w:hAnsi="Times New Roman;sans-serif"/>
          <w:b w:val="false"/>
          <w:color w:val="000000"/>
          <w:sz w:val="22"/>
        </w:rPr>
        <w:t>- Net cash provided by investing activities during the thirteen weeks ended March 30, 2025 was primarily due to the proceeds from the Brazil sale, net of taxes withheld, partially offset by capital expenditures and payments on foreign currency forward contracts. Net cash used in investing activities during the thirteen weeks ended March 31, 2024 was primarily due to capital expenditures.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 xml:space="preserve">Financing Activities - </w:t>
      </w:r>
      <w:r>
        <w:rPr>
          <w:rFonts w:ascii="Times New Roman;sans-serif" w:hAnsi="Times New Roman;sans-serif"/>
          <w:b w:val="false"/>
          <w:color w:val="000000"/>
          <w:sz w:val="22"/>
        </w:rPr>
        <w:t xml:space="preserve">Net cash used in financing activities during the thirteen weeks ended March 30, 2025 was primarily due to net payments on the revolving credit facility from the proceeds on the Brazil Sale Transaction. Net cash provided by financing activities during the thirteen weeks ended March 31, 2024 was primarily due to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MANAGEMENT’S DISCUSSION AND ANALYSIS OF</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FINANCIAL CONDITION AND RESULTS OF OPERATIONS - Continued</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draws on the revolving credit facility exceeding cash used to repurchase common stock and net cash received from the partial unwind agreements relating to a portion of the convertible note hedge and warrant transactions that were entered into in connection with the issuance of the 2025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i/>
          <w:color w:val="000000"/>
          <w:sz w:val="22"/>
        </w:rPr>
        <w:t>Financial Condition</w:t>
      </w:r>
      <w:r>
        <w:rPr>
          <w:color w:val="000000"/>
        </w:rPr>
        <w:t xml:space="preserve"> </w:t>
      </w:r>
      <w:r>
        <w:rPr>
          <w:rFonts w:ascii="Times New Roman;sans-serif" w:hAnsi="Times New Roman;sans-serif"/>
          <w:b w:val="false"/>
          <w:color w:val="000000"/>
          <w:sz w:val="22"/>
        </w:rPr>
        <w:t>- Following is a summary of our current assets, current liabilities and working capital (deficit) as of the periods indicated:</w:t>
      </w:r>
    </w:p>
    <w:tbl>
      <w:tblPr>
        <w:tblW w:w="5351" w:type="dxa"/>
        <w:jc w:val="left"/>
        <w:tblInd w:w="0" w:type="dxa"/>
        <w:tblLayout w:type="fixed"/>
        <w:tblCellMar>
          <w:top w:w="28" w:type="dxa"/>
          <w:left w:w="28" w:type="dxa"/>
          <w:bottom w:w="28" w:type="dxa"/>
          <w:right w:w="28" w:type="dxa"/>
        </w:tblCellMar>
      </w:tblPr>
      <w:tblGrid>
        <w:gridCol w:w="667"/>
        <w:gridCol w:w="588"/>
        <w:gridCol w:w="590"/>
        <w:gridCol w:w="250"/>
        <w:gridCol w:w="1036"/>
        <w:gridCol w:w="139"/>
        <w:gridCol w:w="109"/>
        <w:gridCol w:w="109"/>
        <w:gridCol w:w="109"/>
        <w:gridCol w:w="296"/>
        <w:gridCol w:w="1226"/>
        <w:gridCol w:w="2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29,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318,881 </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320,519 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778,465 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952,336 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capital (deficit)</w:t>
            </w:r>
          </w:p>
        </w:tc>
        <w:tc>
          <w:tcPr>
            <w:tcW w:w="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(459,584)</w:t>
            </w:r>
          </w:p>
        </w:tc>
        <w:tc>
          <w:tcPr>
            <w:tcW w:w="13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(631,817)</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Working capital (deficit) includes: (i) Unearned revenue primarily from unredeemed gift cards of $317.7 million and $374.1 million as of March 30, 2025 and December 29, 2024, respectively, and (ii) current operating lease liabilities of $161.2 million and $158.8 million as of March 30, 2025 and December 29, 2024,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w:t>
      </w:r>
      <w:bookmarkStart w:id="39" w:name="i53ce505ad07b454d94a6e825d186cbb1_1036"/>
      <w:bookmarkEnd w:id="39"/>
      <w:r>
        <w:rPr>
          <w:rFonts w:ascii="Times New Roman;sans-serif" w:hAnsi="Times New Roman;sans-serif"/>
          <w:b w:val="false"/>
          <w:color w:val="000000"/>
          <w:sz w:val="22"/>
        </w:rPr>
        <w:t>penditures.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Recently Issued Financial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recently issued Financial Accounting Standards that we adopted during the thirteen weeks ended March 30, 2025 and that are applicable to us and likely to have material effect on our consolidated financial statements but have not yet been adopted, see Note 1 - </w:t>
      </w:r>
      <w:r>
        <w:rPr>
          <w:rFonts w:ascii="Times New Roman;sans-serif" w:hAnsi="Times New Roman;sans-serif"/>
          <w:b w:val="false"/>
          <w:i/>
          <w:color w:val="000000"/>
          <w:sz w:val="22"/>
        </w:rPr>
        <w:t>Description of the Business and Basis of Presentation</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are exposed to market risk from changes in commodity prices, labor inflation and foreign currency exchange rates and interest rates. We believe that there have been no material changes in our market risk since December 29, 2024. See Part II, Item 7A., “Quantitative and Qualitative Disclosures about Market Risk,” in our Annual Report on Form 10-K for the year ended December 29, 2024 for further information regarding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We have established and maintain disclosure controls and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March 30,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have been no changes in our internal control over financial reporting (as defined in Rule 13a-15(f) under the Exchange Act) during the thirteen weeks ended March 30, 2025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2"/>
        </w:rPr>
      </w:pPr>
      <w:r>
        <w:rPr>
          <w:rFonts w:ascii="Times New Roman;sans-serif" w:hAnsi="Times New Roman;sans-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2"/>
        </w:rPr>
        <w:t xml:space="preserve">For a description of our legal proceedings, see Note 15 - </w:t>
      </w:r>
      <w:r>
        <w:rPr>
          <w:rFonts w:ascii="Times New Roman;sans-serif" w:hAnsi="Times New Roman;sans-serif"/>
          <w:b w:val="false"/>
          <w:i/>
          <w:color w:val="000000"/>
          <w:sz w:val="22"/>
        </w:rPr>
        <w:t>Commitments and Contingencies</w:t>
      </w:r>
      <w:r>
        <w:rPr>
          <w:color w:val="000000"/>
        </w:rPr>
        <w:t xml:space="preserve"> </w:t>
      </w:r>
      <w:r>
        <w:rPr>
          <w:rFonts w:ascii="Times New Roman;sans-serif" w:hAnsi="Times New Roman;sans-serif"/>
          <w:b w:val="false"/>
          <w:color w:val="000000"/>
          <w:sz w:val="22"/>
        </w:rPr>
        <w:t>of the Notes to Consolidated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1A. Risk Factors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addition to the other information discussed in this report, please consider the factors described in Part I, Item 1A., “Risk Factors,” in our 2024 Form 10-K which could materially affect our business, financial condition or future results. There have not been any material changes to the risk factors described in our 2024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There were no sales of equity securities during the thirteen weeks ended March 30, 2025 that were not registered under the Securities Act.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2"/>
        </w:rPr>
        <w:t>Share Repurchases</w:t>
      </w:r>
      <w:r>
        <w:rPr>
          <w:color w:val="000000"/>
        </w:rPr>
        <w:t xml:space="preserve"> </w:t>
      </w:r>
      <w:r>
        <w:rPr>
          <w:rFonts w:ascii="Times New Roman;sans-serif" w:hAnsi="Times New Roman;sans-serif"/>
          <w:b w:val="false"/>
          <w:color w:val="000000"/>
          <w:sz w:val="22"/>
        </w:rPr>
        <w:t>- In February 2024, our Board approved a share repurchase authorization of up to $350.0 million of our outstanding common stock as announced in our press release issued February 23, 2024 (the “2024 Share Repurchase Program”). The 2024 Share Repurchase Program will expire on August 13,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We did not repurchase any of our outstanding common stock during the thirteen weeks ended March 30, 2025. As of March 30, 2025, we had $96.8 million of remaining share repurchase authorization under the 2024 Share Repurchase Program.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2"/>
        </w:rPr>
        <w:t xml:space="preserve">Rule 10b5-1 Trading Plans - </w:t>
      </w:r>
      <w:r>
        <w:rPr>
          <w:rFonts w:ascii="Times New Roman;sans-serif" w:hAnsi="Times New Roman;sans-serif"/>
          <w:b w:val="false"/>
          <w:color w:val="000000"/>
          <w:sz w:val="22"/>
        </w:rPr>
        <w:t xml:space="preserve">During the thirteen weeks ended March 30, 2025, </w:t>
      </w:r>
      <w:bookmarkStart w:id="40" w:name="i4117426997a24392bc41cee84d1b70f8_259"/>
      <w:bookmarkEnd w:id="40"/>
      <w:r>
        <w:rPr>
          <w:rFonts w:ascii="Times New Roman;sans-serif" w:hAnsi="Times New Roman;sans-serif"/>
          <w:b w:val="false"/>
          <w:color w:val="000000"/>
          <w:sz w:val="22"/>
        </w:rPr>
        <w:t>none of the Company’s directors or executive officers adopted, modified or terminated a Rule 10b5-1 trading arrangement or any “non-Rule 10b5-1 trading arrangement” (as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2"/>
        </w:rPr>
      </w:pPr>
      <w:r>
        <w:rPr>
          <w:rFonts w:ascii="Times New Roman;sans-serif" w:hAnsi="Times New Roman;sans-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69"/>
        <w:gridCol w:w="324"/>
        <w:gridCol w:w="326"/>
        <w:gridCol w:w="117"/>
        <w:gridCol w:w="117"/>
        <w:gridCol w:w="117"/>
        <w:gridCol w:w="2330"/>
        <w:gridCol w:w="1831"/>
        <w:gridCol w:w="1835"/>
        <w:gridCol w:w="117"/>
        <w:gridCol w:w="117"/>
        <w:gridCol w:w="117"/>
        <w:gridCol w:w="726"/>
        <w:gridCol w:w="726"/>
        <w:gridCol w:w="1036"/>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 OF EXHIBITS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FILINGS REFERENCED FOR</w:t>
              <w:br/>
              <w:t xml:space="preserve">INCORPORATION BY REFERENCE </w:t>
            </w:r>
          </w:p>
        </w:tc>
      </w:tr>
      <w:tr>
        <w:trPr/>
        <w:tc>
          <w:tcPr>
            <w:tcW w:w="10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r>
              <w:fldChar w:fldCharType="begin"/>
            </w:r>
            <w:r>
              <w:rPr>
                <w:rStyle w:val="InternetLink"/>
                <w:sz w:val="22"/>
                <w:u w:val="single"/>
                <w:b w:val="false"/>
                <w:rFonts w:ascii="Times New Roman;sans-serif" w:hAnsi="Times New Roman;sans-serif"/>
                <w:color w:val="0000FF"/>
              </w:rPr>
              <w:instrText xml:space="preserve"> HYPERLINK "https://www.sec.gov/ix?doc=/Archives/edgar/data/1546417/000154641725000040/blmn-20250304.htm" \l "i91872d3d6e09437ba4641e75f50cf0db_1734"</w:instrText>
            </w:r>
            <w:r>
              <w:rPr>
                <w:rStyle w:val="InternetLink"/>
                <w:sz w:val="22"/>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2"/>
                <w:u w:val="single"/>
              </w:rPr>
              <w:t>Bloomin’ Brands, Inc. 2025 Omnibus Incentive Compensation Plan (incorporated herein by reference to the Definitive Proxy Statement filed by Bloomin’ Brands, Inc. on March 4, 2025)</w:t>
            </w:r>
            <w:r>
              <w:rPr>
                <w:rStyle w:val="InternetLink"/>
                <w:sz w:val="22"/>
                <w:u w:val="single"/>
                <w:b w:val="false"/>
                <w:rFonts w:ascii="Times New Roman;sans-serif" w:hAnsi="Times New Roman;sans-serif"/>
                <w:color w:val="0000FF"/>
              </w:rPr>
              <w:fldChar w:fldCharType="end"/>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March 4, 2025, Definitive Proxy Statement</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160"/>
              <w:jc w:val="left"/>
              <w:rPr/>
            </w:pPr>
            <w:hyperlink r:id="rId4">
              <w:r>
                <w:rPr>
                  <w:rStyle w:val="InternetLink"/>
                  <w:rFonts w:ascii="Times New Roman;sans-serif" w:hAnsi="Times New Roman;sans-serif"/>
                  <w:b w:val="false"/>
                  <w:color w:val="0000FF"/>
                  <w:sz w:val="22"/>
                  <w:u w:val="single"/>
                </w:rPr>
                <w:t>Form of Restricted Stock Unit Award Agreement for restricted stock granted to directors under the Bloomin’ Brands, Inc. 2025 Omnibus Incentive Compensation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23, 2025, Form 8-K, Exhibit 10.2</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2"/>
                  <w:u w:val="single"/>
                </w:rPr>
                <w:t>Form of Restricted Stock Unit Award Agreement for restricted stock granted to executive management under the Bloomin’ Brands, Inc. 2025 Omnibus Incentive Compensation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23, 2025, Form 8-K, Exhibit 10.3</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2"/>
                  <w:u w:val="single"/>
                </w:rPr>
                <w:t>Form of Performance Award Agreement for performance units granted to executive management under the Bloomin’ Brands, Inc. 2025 Omnibus Incentive Compensation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23, 2025, Form 8-K, Exhibit 10.4</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2"/>
                  <w:u w:val="single"/>
                </w:rPr>
                <w:t>Form of Restricted Cash Award Agreement for cash awards granted to executive management under the Bloomin’ Brands, Inc. 2025 Omnibus Incentive Compensation Plan</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April 23, 2025, Form 8-K, Exhibit 10.5</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33025_ex311.htm">
              <w:r>
                <w:rPr>
                  <w:rStyle w:val="InternetLink"/>
                  <w:rFonts w:ascii="Times New Roman;sans-serif" w:hAnsi="Times New Roman;sans-serif"/>
                  <w:b w:val="false"/>
                  <w:color w:val="0000FF"/>
                  <w:sz w:val="22"/>
                  <w:u w:val="single"/>
                </w:rPr>
                <w:t>Certification of Chief Executive Officer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31.2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33025_ex312.htm">
              <w:r>
                <w:rPr>
                  <w:rStyle w:val="InternetLink"/>
                  <w:rFonts w:ascii="Times New Roman;sans-serif" w:hAnsi="Times New Roman;sans-serif"/>
                  <w:b w:val="false"/>
                  <w:color w:val="0000FF"/>
                  <w:sz w:val="22"/>
                  <w:u w:val="single"/>
                </w:rPr>
                <w:t>Certification of Chief Financial Officer pursuant to Section 302 of the Sarbanes-Oxley Act of 2002</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33025_ex321.htm">
              <w:r>
                <w:rPr>
                  <w:rStyle w:val="InternetLink"/>
                  <w:rFonts w:ascii="Times New Roman;sans-serif" w:hAnsi="Times New Roman;sans-serif"/>
                  <w:b w:val="false"/>
                  <w:color w:val="0000FF"/>
                  <w:sz w:val="22"/>
                  <w:u w:val="single"/>
                </w:rPr>
                <w:t>Certification of Chief Executive Officer pursuant to 18 U.S.C. Section 1350, as adopted pursuant to Section 906 of the Sarbanes-Oxley Act of 2002 (1)</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32.2</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33025_ex322.htm">
              <w:r>
                <w:rPr>
                  <w:rStyle w:val="InternetLink"/>
                  <w:rFonts w:ascii="Times New Roman;sans-serif" w:hAnsi="Times New Roman;sans-serif"/>
                  <w:b w:val="false"/>
                  <w:color w:val="0000FF"/>
                  <w:sz w:val="22"/>
                  <w:u w:val="single"/>
                </w:rPr>
                <w:t>Certification of Chief Financial Officer pursuant to 18 U.S.C. Section 1350, as adopted pursuant to Section 906 of the Sarbanes-Oxley Act of 2002 (1)</w:t>
              </w:r>
            </w:hyperlink>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Furnished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101.INS</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Instance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101.SCH</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Schema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101.CAL</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Calculation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101.DEF</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Definition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101.LAB</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Label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101.PRE</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XBRL Taxonomy Extension Presentation Linkbase Document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104</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Cover Page Interactive Data File (formatted as inline XBRL and contained in Exhibit 101)</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Filed herewith</w:t>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Management contract or compensatory plan or arrangement required to be filed as an exhibit.</w:t>
            </w:r>
          </w:p>
        </w:tc>
      </w:tr>
      <w:tr>
        <w:trPr/>
        <w:tc>
          <w:tcPr>
            <w:tcW w:w="1019" w:type="dxa"/>
            <w:gridSpan w:val="3"/>
            <w:tcBorders/>
            <w:vAlign w:val="center"/>
          </w:tcPr>
          <w:p>
            <w:pPr>
              <w:pStyle w:val="TableContents"/>
              <w:bidi w:val="0"/>
              <w:spacing w:before="0" w:after="283"/>
              <w:jc w:val="left"/>
              <w:rPr>
                <w:sz w:val="4"/>
                <w:szCs w:val="4"/>
              </w:rPr>
            </w:pPr>
            <w:r>
              <w:rPr>
                <w:sz w:val="4"/>
                <w:szCs w:val="4"/>
              </w:rPr>
            </w:r>
          </w:p>
        </w:tc>
        <w:tc>
          <w:tcPr>
            <w:tcW w:w="9186" w:type="dxa"/>
            <w:gridSpan w:val="12"/>
            <w:tcBorders/>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7f8d64f4349426bb6089f20c9056705_10">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BLOOMIN’ BRANDS,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270" w:type="dxa"/>
        <w:jc w:val="left"/>
        <w:tblInd w:w="0" w:type="dxa"/>
        <w:tblLayout w:type="fixed"/>
        <w:tblCellMar>
          <w:top w:w="28" w:type="dxa"/>
          <w:left w:w="28" w:type="dxa"/>
          <w:bottom w:w="28" w:type="dxa"/>
          <w:right w:w="28" w:type="dxa"/>
        </w:tblCellMar>
      </w:tblPr>
      <w:tblGrid>
        <w:gridCol w:w="222"/>
        <w:gridCol w:w="196"/>
        <w:gridCol w:w="197"/>
        <w:gridCol w:w="434"/>
        <w:gridCol w:w="434"/>
        <w:gridCol w:w="436"/>
        <w:gridCol w:w="208"/>
        <w:gridCol w:w="208"/>
        <w:gridCol w:w="210"/>
        <w:gridCol w:w="1381"/>
        <w:gridCol w:w="1381"/>
        <w:gridCol w:w="196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8, 2025</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Philip Pace</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47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Philip Pace</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Senior Vice President, Chief Accounting Officer </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[Remainder of page intentionally left blank]</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Michael L. Spanos, certify that: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4754" w:type="dxa"/>
        <w:jc w:val="center"/>
        <w:tblInd w:w="0" w:type="dxa"/>
        <w:tblLayout w:type="fixed"/>
        <w:tblCellMar>
          <w:top w:w="28" w:type="dxa"/>
          <w:left w:w="28" w:type="dxa"/>
          <w:bottom w:w="28" w:type="dxa"/>
          <w:right w:w="28" w:type="dxa"/>
        </w:tblCellMar>
      </w:tblPr>
      <w:tblGrid>
        <w:gridCol w:w="222"/>
        <w:gridCol w:w="196"/>
        <w:gridCol w:w="197"/>
        <w:gridCol w:w="434"/>
        <w:gridCol w:w="434"/>
        <w:gridCol w:w="436"/>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8, 2025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 W. Michael Healy, certify that:</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 </w:t>
      </w:r>
    </w:p>
    <w:tbl>
      <w:tblPr>
        <w:tblW w:w="7019" w:type="dxa"/>
        <w:jc w:val="center"/>
        <w:tblInd w:w="0" w:type="dxa"/>
        <w:tblLayout w:type="fixed"/>
        <w:tblCellMar>
          <w:top w:w="28" w:type="dxa"/>
          <w:left w:w="28" w:type="dxa"/>
          <w:bottom w:w="28" w:type="dxa"/>
          <w:right w:w="28" w:type="dxa"/>
        </w:tblCellMar>
      </w:tblPr>
      <w:tblGrid>
        <w:gridCol w:w="222"/>
        <w:gridCol w:w="196"/>
        <w:gridCol w:w="197"/>
        <w:gridCol w:w="434"/>
        <w:gridCol w:w="434"/>
        <w:gridCol w:w="436"/>
        <w:gridCol w:w="1495"/>
        <w:gridCol w:w="1495"/>
        <w:gridCol w:w="211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8, 2025</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March 30, 2025 as filed with the Securities and Exchange Commission on the date hereof (the “Report”), I, Michael L. Spanos,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4754" w:type="dxa"/>
        <w:jc w:val="center"/>
        <w:tblInd w:w="0" w:type="dxa"/>
        <w:tblLayout w:type="fixed"/>
        <w:tblCellMar>
          <w:top w:w="28" w:type="dxa"/>
          <w:left w:w="28" w:type="dxa"/>
          <w:bottom w:w="28" w:type="dxa"/>
          <w:right w:w="28" w:type="dxa"/>
        </w:tblCellMar>
      </w:tblPr>
      <w:tblGrid>
        <w:gridCol w:w="222"/>
        <w:gridCol w:w="196"/>
        <w:gridCol w:w="197"/>
        <w:gridCol w:w="434"/>
        <w:gridCol w:w="434"/>
        <w:gridCol w:w="436"/>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May 8, 2025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br/>
              <w:t>(Principal Executive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of Bloomin’ Brands, Inc. (the “Company”) on Form 10-Q for the quarter ended March 30, 2025 as filed with the Securities and Exchange Commission on the date hereof (the “Report”), I, W. Michael Healy, Executive Vice President and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 for the dates and periods covered by the Report.</w:t>
      </w:r>
    </w:p>
    <w:tbl>
      <w:tblPr>
        <w:tblW w:w="7019" w:type="dxa"/>
        <w:jc w:val="center"/>
        <w:tblInd w:w="0" w:type="dxa"/>
        <w:tblLayout w:type="fixed"/>
        <w:tblCellMar>
          <w:top w:w="28" w:type="dxa"/>
          <w:left w:w="28" w:type="dxa"/>
          <w:bottom w:w="28" w:type="dxa"/>
          <w:right w:w="28" w:type="dxa"/>
        </w:tblCellMar>
      </w:tblPr>
      <w:tblGrid>
        <w:gridCol w:w="222"/>
        <w:gridCol w:w="196"/>
        <w:gridCol w:w="197"/>
        <w:gridCol w:w="434"/>
        <w:gridCol w:w="434"/>
        <w:gridCol w:w="436"/>
        <w:gridCol w:w="1495"/>
        <w:gridCol w:w="1495"/>
        <w:gridCol w:w="2110"/>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May 8, 2025</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 Michael Healy</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Executive Vice President and Chief Financial Officer</w:t>
              <w:br/>
              <w:t>(Principal Financial Officer)</w:t>
            </w:r>
          </w:p>
        </w:tc>
      </w:tr>
    </w:tbl>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2"/>
        </w:rPr>
      </w:pPr>
      <w:r>
        <w:rPr>
          <w:rFonts w:ascii="Times New Roman;sans-serif" w:hAnsi="Times New Roman;sans-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46417/000154641725000076/blmn-042325_ex102.htm" TargetMode="External"/><Relationship Id="rId5" Type="http://schemas.openxmlformats.org/officeDocument/2006/relationships/hyperlink" Target="https://www.sec.gov/Archives/edgar/data/1546417/000154641725000076/blmn-042325_ex103.htm" TargetMode="External"/><Relationship Id="rId6" Type="http://schemas.openxmlformats.org/officeDocument/2006/relationships/hyperlink" Target="https://www.sec.gov/Archives/edgar/data/1546417/000154641725000076/blmn-042325_ex104.htm" TargetMode="External"/><Relationship Id="rId7" Type="http://schemas.openxmlformats.org/officeDocument/2006/relationships/hyperlink" Target="https://www.sec.gov/Archives/edgar/data/1546417/000154641725000076/blmn-042325_ex105.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16881</Words>
  <Characters>97079</Characters>
  <CharactersWithSpaces>112206</CharactersWithSpaces>
  <Paragraphs>3028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